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316CFA" w14:textId="77777777" w:rsidR="00D9263C" w:rsidRDefault="00C63167">
      <w:pPr>
        <w:rPr>
          <w:b/>
          <w:u w:val="single"/>
        </w:rPr>
      </w:pPr>
      <w:r>
        <w:rPr>
          <w:b/>
          <w:u w:val="single"/>
        </w:rPr>
        <w:t>Hieroglyphs, Text and Society (AHAR5004)</w:t>
      </w:r>
    </w:p>
    <w:p w14:paraId="5C2E8B02" w14:textId="77777777" w:rsidR="00C63167" w:rsidRDefault="00C63167" w:rsidP="00C63167">
      <w:pPr>
        <w:jc w:val="center"/>
        <w:rPr>
          <w:b/>
          <w:u w:val="single"/>
        </w:rPr>
      </w:pPr>
      <w:r>
        <w:rPr>
          <w:b/>
          <w:u w:val="single"/>
        </w:rPr>
        <w:t>Document Review of Hammurabi’s Law Code</w:t>
      </w:r>
    </w:p>
    <w:p w14:paraId="0097C3EA" w14:textId="77777777" w:rsidR="00C63167" w:rsidRDefault="00C63167" w:rsidP="00C63167">
      <w:pPr>
        <w:jc w:val="center"/>
        <w:rPr>
          <w:b/>
          <w:u w:val="single"/>
        </w:rPr>
      </w:pPr>
    </w:p>
    <w:p w14:paraId="5943A8F8" w14:textId="764AF4D7" w:rsidR="0000268A" w:rsidRDefault="002E430A" w:rsidP="00C63167">
      <w:r>
        <w:t xml:space="preserve">In this essay, the text under review will be Hammurabi’s Law Code, in particular an extract that contains laws 137 to 152. </w:t>
      </w:r>
      <w:r w:rsidR="002E3A29">
        <w:t>The aim of this review is to look through the content and reflect on the impact it has had; politically, socially and economically, and also to analyse any biases and inaccuracies (or vice versa) that there may</w:t>
      </w:r>
      <w:r w:rsidR="00CB6FC4">
        <w:t xml:space="preserve"> have</w:t>
      </w:r>
      <w:r w:rsidR="002E3A29">
        <w:t xml:space="preserve"> b</w:t>
      </w:r>
      <w:r w:rsidR="00CB6FC4">
        <w:t>e</w:t>
      </w:r>
      <w:r w:rsidR="002E3A29">
        <w:t>e</w:t>
      </w:r>
      <w:r w:rsidR="00CB6FC4">
        <w:t>n</w:t>
      </w:r>
      <w:r w:rsidR="002E3A29">
        <w:t xml:space="preserve"> and comment accordingly.</w:t>
      </w:r>
    </w:p>
    <w:p w14:paraId="13B61E72" w14:textId="53DB45A5" w:rsidR="00C63167" w:rsidRDefault="002E430A" w:rsidP="00C63167">
      <w:r>
        <w:t xml:space="preserve">Enacted by Hammurabi upon the claim that Marduk, the most divine Babylonian </w:t>
      </w:r>
      <w:r w:rsidR="00323B8C">
        <w:t>g</w:t>
      </w:r>
      <w:r>
        <w:t>od, told him to write it, the Law Code itself has been dated back to c.1754BC, four years prior to what is believed to be the Babylonian king’s death</w:t>
      </w:r>
      <w:r w:rsidR="00E56391">
        <w:t>.</w:t>
      </w:r>
    </w:p>
    <w:p w14:paraId="4CBAAD04" w14:textId="08A18DFC" w:rsidR="00E56391" w:rsidRDefault="00E56391" w:rsidP="00C63167">
      <w:r>
        <w:t xml:space="preserve">A summary of the whole Law code would be that it is a stele of 282 rules, including laws surrounding economic provisions, family law, criminal law, and civil law, which were mostly relevant to aspects of Babylonian life. The extract in particular, looks at family law, </w:t>
      </w:r>
      <w:r w:rsidR="0000268A">
        <w:t>and appears to be of a more gendered focus, which included relationships between husband and wife. The extract also contains the  rules surrounding concubines, or the laws regarding what should be done with wealth in the event of divorce, or what was expected with regards to dowries, the inability to bear or provide a children, specifically a son/heir, and also what were to happen if there cases of rape, adultery, disease and death. Under the laws of Hammurabi, “Babylonian family life and gender roles were clearly delineated”</w:t>
      </w:r>
      <w:r w:rsidR="00DC66B5">
        <w:t xml:space="preserve"> (</w:t>
      </w:r>
      <w:r w:rsidR="000A1D06">
        <w:t>Dearing, M., 2011</w:t>
      </w:r>
      <w:r w:rsidR="00DC66B5">
        <w:t>)</w:t>
      </w:r>
      <w:r w:rsidR="0000268A">
        <w:t>.</w:t>
      </w:r>
    </w:p>
    <w:p w14:paraId="70E36454" w14:textId="69A88D1D" w:rsidR="002E3A29" w:rsidRDefault="00323B8C" w:rsidP="00C63167">
      <w:r>
        <w:t>At the very beginning of the full text, in the prologue of the stele, Hammurabi states that although it is he whom is writing these laws, it was the gods who gave him the right to do so</w:t>
      </w:r>
      <w:r w:rsidR="00DC66B5">
        <w:t xml:space="preserve"> (</w:t>
      </w:r>
      <w:r w:rsidR="00D44526">
        <w:t>Jarus</w:t>
      </w:r>
      <w:r w:rsidR="00DC66B5">
        <w:t>, O., 2013)</w:t>
      </w:r>
      <w:r>
        <w:t>, thus giving the laws a lot more authority than may have been achieved from just laws of a king</w:t>
      </w:r>
      <w:r w:rsidR="00746A21">
        <w:t>.</w:t>
      </w:r>
      <w:r w:rsidR="00671CDA">
        <w:t xml:space="preserve"> This is not to say that the king has little authority, but once given support of the deities, then a king’s power is increased significantly.</w:t>
      </w:r>
    </w:p>
    <w:p w14:paraId="4D9F4CC3" w14:textId="53315964" w:rsidR="00746A21" w:rsidRDefault="00746A21" w:rsidP="00C63167">
      <w:r>
        <w:t xml:space="preserve">With regards to its reliability, there is an opportunity for one to look at it from two points of view; one looking at the artefact, the overall stele and then the text itself. With regards to the physical stele, it is difficult to question the reliability of the original, as it is a set of laws literally set in stone. However, when questioning the reliability of the text, </w:t>
      </w:r>
      <w:r w:rsidR="004165A8">
        <w:t xml:space="preserve">one thing that must be taken in to account is that the laws </w:t>
      </w:r>
      <w:r w:rsidR="00E95E28">
        <w:t xml:space="preserve">have had been recreated at times, and writings would need to be correctly translated, if there is a chance of misinterpretation then there is also a risk of elements of unreliability. </w:t>
      </w:r>
    </w:p>
    <w:p w14:paraId="6FEE4FF9" w14:textId="1DF49504" w:rsidR="00BC3A64" w:rsidRDefault="00E95E28" w:rsidP="00C63167">
      <w:r>
        <w:t xml:space="preserve">One criterium that one must look for when analysing a text is to detect whether there is any bias in the text. Within the extract, of which there is a focus on the laws regarding the family and are very gendered there is immediately </w:t>
      </w:r>
      <w:r w:rsidR="00DB2B6B">
        <w:t>a point of bias. Society at this time and for a long time before and after, was heavily patriarchal, therefore the is a possibility of bias towards the male citizens that were involved in cases regarding these laws. Be that as it may, it is important to recognise that these laws were written with the ‘inferior’ people in mind, this including women, children and the poo</w:t>
      </w:r>
      <w:r w:rsidR="00CB6FC4">
        <w:t>r</w:t>
      </w:r>
      <w:r w:rsidR="00DB2B6B">
        <w:t xml:space="preserve">. An example of the bias against women can be found in law 143 if the </w:t>
      </w:r>
      <w:r w:rsidR="00D11A7B">
        <w:t>Code of</w:t>
      </w:r>
      <w:r w:rsidR="00DB2B6B">
        <w:t>, it is clear that women were very much the property of a strong male figure in her life (Husband, father, or head of household) and can be punished for not acting appropriately by being thrown in to water</w:t>
      </w:r>
      <w:r w:rsidR="00BB3B77">
        <w:t xml:space="preserve"> (</w:t>
      </w:r>
      <w:r w:rsidR="00D11A7B">
        <w:t>Code of</w:t>
      </w:r>
      <w:r w:rsidR="00BB3B77">
        <w:t xml:space="preserve"> Hammurabi, Law 143)</w:t>
      </w:r>
      <w:r w:rsidR="00C848BE">
        <w:t xml:space="preserve">. </w:t>
      </w:r>
      <w:r w:rsidR="00931DDB">
        <w:t xml:space="preserve">Furthermore, </w:t>
      </w:r>
      <w:r w:rsidR="004C72BF">
        <w:t>Fidler has argued that men were also given multiple chances for a man in Babylonian society to have a child in the hope of a son and heir</w:t>
      </w:r>
      <w:r w:rsidR="00BB3B77">
        <w:t xml:space="preserve"> (Fidler, 19</w:t>
      </w:r>
      <w:r w:rsidR="000A1D06">
        <w:t>1</w:t>
      </w:r>
      <w:r w:rsidR="00BB3B77">
        <w:t>3)</w:t>
      </w:r>
      <w:r w:rsidR="004C72BF">
        <w:t xml:space="preserve">. </w:t>
      </w:r>
      <w:r w:rsidR="004C72BF" w:rsidRPr="00DC66B5">
        <w:t>If the first wife was childless, he may marry a concubine in an attempt to have a child, it s</w:t>
      </w:r>
      <w:r w:rsidR="00931DDB" w:rsidRPr="00DC66B5">
        <w:t>eems here that the bias is towards the men who are focussing on securing his bloodline</w:t>
      </w:r>
      <w:r w:rsidR="00DC66B5" w:rsidRPr="00DC66B5">
        <w:t xml:space="preserve">, the concubine will not </w:t>
      </w:r>
      <w:r w:rsidR="00DC66B5" w:rsidRPr="00DC66B5">
        <w:lastRenderedPageBreak/>
        <w:t>however, take rank with the original wife</w:t>
      </w:r>
      <w:r w:rsidR="00BB3B77">
        <w:t xml:space="preserve"> (</w:t>
      </w:r>
      <w:r w:rsidR="00D11A7B">
        <w:t>Code of</w:t>
      </w:r>
      <w:r w:rsidR="00BB3B77">
        <w:t xml:space="preserve"> Hammurabi, Law 145</w:t>
      </w:r>
      <w:r w:rsidR="00BB3B77">
        <w:t>)</w:t>
      </w:r>
      <w:r w:rsidR="00931DDB" w:rsidRPr="00DC66B5">
        <w:t>.</w:t>
      </w:r>
      <w:r w:rsidR="00931DDB">
        <w:t xml:space="preserve"> Evidence of the contrasting point is in law 142, where if the women were an honourable citizen and tried to be a good wife, but still were to “hate her husband and say ‘thou shalt not have me’”, it would be noted that it is she has been exemplar and her husband is the one whom is lacking, and she shall be returned to her father as well as her dowry</w:t>
      </w:r>
      <w:r w:rsidR="00061189">
        <w:t xml:space="preserve"> (</w:t>
      </w:r>
      <w:r w:rsidR="00D11A7B">
        <w:t>Code of</w:t>
      </w:r>
      <w:r w:rsidR="00061189">
        <w:t xml:space="preserve"> Hammurabi, Law 142)</w:t>
      </w:r>
      <w:r w:rsidR="00931DDB">
        <w:t xml:space="preserve">. </w:t>
      </w:r>
      <w:r w:rsidR="00931DDB" w:rsidRPr="00061189">
        <w:t>Despite</w:t>
      </w:r>
      <w:r w:rsidR="00EB0D2F" w:rsidRPr="00061189">
        <w:t xml:space="preserve"> the laws benefitting the men for the majority of time in a patriarchal society</w:t>
      </w:r>
      <w:r w:rsidR="00931DDB" w:rsidRPr="00061189">
        <w:t xml:space="preserve">, there were also </w:t>
      </w:r>
      <w:r w:rsidR="00EB0D2F" w:rsidRPr="00061189">
        <w:t>examples of a silver lining or justice for women at, for example there is a law that states that if a man’s wife is forced upon by another man, he “shall be slain”</w:t>
      </w:r>
      <w:r w:rsidR="00061189">
        <w:t xml:space="preserve"> </w:t>
      </w:r>
      <w:r w:rsidR="00061189" w:rsidRPr="00061189">
        <w:t>(</w:t>
      </w:r>
      <w:r w:rsidR="00D11A7B">
        <w:t>Code of</w:t>
      </w:r>
      <w:r w:rsidR="00061189">
        <w:t xml:space="preserve"> Hammurabi, Law 1</w:t>
      </w:r>
      <w:r w:rsidR="00061189">
        <w:t>30)</w:t>
      </w:r>
      <w:r w:rsidR="00EB0D2F">
        <w:t>.</w:t>
      </w:r>
      <w:r w:rsidR="00671CDA">
        <w:t xml:space="preserve"> This does not however, prove solely to be of the benefit to women, it also has a possible view that it shows that it is wr</w:t>
      </w:r>
      <w:r w:rsidR="00014E31">
        <w:t>ong to take another man’s property by force.</w:t>
      </w:r>
      <w:r w:rsidR="00EB0D2F">
        <w:t xml:space="preserve"> There is further evidence that women may</w:t>
      </w:r>
      <w:r w:rsidR="00FF1B3D">
        <w:t xml:space="preserve"> have been considered in the law codes, specifically,</w:t>
      </w:r>
      <w:r w:rsidR="00EB0D2F">
        <w:t xml:space="preserve"> in the event of disease or death</w:t>
      </w:r>
      <w:r w:rsidR="00FF1B3D">
        <w:t>.</w:t>
      </w:r>
      <w:r w:rsidR="00EB0D2F">
        <w:t xml:space="preserve"> </w:t>
      </w:r>
      <w:r w:rsidR="00FF1B3D">
        <w:t>L</w:t>
      </w:r>
      <w:r w:rsidR="00EB0D2F">
        <w:t xml:space="preserve">aw 148 states that if </w:t>
      </w:r>
      <w:r w:rsidR="00014E31">
        <w:t>a married woman is taken</w:t>
      </w:r>
      <w:r w:rsidR="00EB0D2F">
        <w:t xml:space="preserve"> ill, then she shall be looked after by her husband, who may also take a new wife, but not “put away” the former wife</w:t>
      </w:r>
      <w:r w:rsidR="00061189">
        <w:t xml:space="preserve"> (</w:t>
      </w:r>
      <w:r w:rsidR="00D11A7B">
        <w:t>Code of</w:t>
      </w:r>
      <w:r w:rsidR="00061189">
        <w:t xml:space="preserve"> Hammurabi, Law 148</w:t>
      </w:r>
      <w:r w:rsidR="00061189">
        <w:t>)</w:t>
      </w:r>
      <w:r w:rsidR="00FF1B3D">
        <w:t>.</w:t>
      </w:r>
      <w:r w:rsidR="00EB0D2F">
        <w:t xml:space="preserve"> </w:t>
      </w:r>
      <w:r w:rsidR="00FF1B3D">
        <w:t>Also, as noted by Fidler,</w:t>
      </w:r>
      <w:r w:rsidR="00EB0D2F">
        <w:t xml:space="preserve"> in the event of her husband</w:t>
      </w:r>
      <w:r w:rsidR="00FF1B3D">
        <w:t>’</w:t>
      </w:r>
      <w:r w:rsidR="00EB0D2F">
        <w:t xml:space="preserve">s death or if he put her away, then she may </w:t>
      </w:r>
      <w:r w:rsidR="00FF1B3D">
        <w:t>have free will of whomever she marries after, unless she is with child then there is a judicial process of whether the new potential husband is suitable to be the child’s father</w:t>
      </w:r>
      <w:r w:rsidR="00061189">
        <w:t xml:space="preserve"> (</w:t>
      </w:r>
      <w:r w:rsidR="00061189">
        <w:t xml:space="preserve">Fidler, F.G., </w:t>
      </w:r>
      <w:r w:rsidR="000A1D06">
        <w:t>1913)</w:t>
      </w:r>
      <w:r w:rsidR="00FF1B3D">
        <w:t>.</w:t>
      </w:r>
    </w:p>
    <w:p w14:paraId="6C6E29C7" w14:textId="02E94F92" w:rsidR="00FF1B3D" w:rsidRDefault="00BC3A64" w:rsidP="00C63167">
      <w:r>
        <w:t>Another criterium needed in order to successfully analyse the text is to understand its historical context. The 18</w:t>
      </w:r>
      <w:r w:rsidRPr="00BC3A64">
        <w:rPr>
          <w:vertAlign w:val="superscript"/>
        </w:rPr>
        <w:t>th</w:t>
      </w:r>
      <w:r>
        <w:t xml:space="preserve"> century BC, in the middle of which the law codes were written, saw the start of Hammurabi’s reign c.1792BC, and the following few decades were quite peaceful for Babylon, </w:t>
      </w:r>
      <w:r w:rsidR="00516AC8">
        <w:t>which underwent public works, including the heightening of the city walls, and expanding the temples</w:t>
      </w:r>
      <w:r w:rsidR="001D68F2">
        <w:t xml:space="preserve"> (Arnold, B.T., 2005)</w:t>
      </w:r>
      <w:r w:rsidR="00516AC8">
        <w:t>. Then c. 1763BC, Hammurabi gathered forces and began to claim land, specifically the lower Mesopotamian plains, and turning against Larsa, who had supported him</w:t>
      </w:r>
      <w:r w:rsidR="001D68F2">
        <w:t xml:space="preserve"> </w:t>
      </w:r>
      <w:r w:rsidR="001D68F2">
        <w:t>(Van De Mieroop, M., 2005)</w:t>
      </w:r>
      <w:r w:rsidR="00516AC8">
        <w:t>. The king then had his sights set on the North, and in a few years, was able to unite the whole of Mesopotamia under his rule</w:t>
      </w:r>
      <w:r w:rsidR="001D68F2">
        <w:t xml:space="preserve"> (Van De Mieroop, M., 2005)</w:t>
      </w:r>
      <w:r w:rsidR="00516AC8">
        <w:t xml:space="preserve">. The law code was then written c.1754BC, and therefore this suggests that the law code was written as an attempt to </w:t>
      </w:r>
      <w:r w:rsidR="00D9263C">
        <w:t>maintain all under his rule by his set of laws, as ordered by the gods. The stele was, upon discovery, believed to be the first of its nature (a law code) and was also found to have been used long past Hammurabi’s death c.1750BC, as the Kassite Dynasty was found to use that aspect of Babylonian culture, and their control over the city started roughly 150 years after Hammurabi’s death and lasted over 400 years</w:t>
      </w:r>
      <w:r w:rsidR="001D68F2">
        <w:t xml:space="preserve"> (Mark, J.J., 2011)</w:t>
      </w:r>
      <w:r w:rsidR="00AC0CA7">
        <w:t>.</w:t>
      </w:r>
    </w:p>
    <w:p w14:paraId="475D8C38" w14:textId="40EE1FC7" w:rsidR="00AC0CA7" w:rsidRDefault="00AC0CA7" w:rsidP="00C63167">
      <w:pPr>
        <w:rPr>
          <w:highlight w:val="yellow"/>
        </w:rPr>
      </w:pPr>
      <w:r>
        <w:t xml:space="preserve">Furthermore, to review its reliability, one needs to infer as to whether the text can provide a political, social and economic history, starting here with a political viewpoint. Judging by the events that occurred as a result of </w:t>
      </w:r>
      <w:r w:rsidR="00841CC5">
        <w:t>H</w:t>
      </w:r>
      <w:r>
        <w:t xml:space="preserve">ammurabi’s reign, there is evidence of a political history being constructed. This is due to the idea that by writing of the law code, Hammurabi was able to unite those he had just conquered in Mesopotamia by giving everyone one set of rules to follow, making </w:t>
      </w:r>
      <w:r w:rsidRPr="00841CC5">
        <w:t xml:space="preserve">everyone feel more equal to an extent. With regards to the extract in particular, however, there is very little political history that can be uncovered from it, as the laws focus more on family and </w:t>
      </w:r>
      <w:r w:rsidR="00E03F1E" w:rsidRPr="00841CC5">
        <w:t>relationships and there is no outstanding representation of such a history, other than it may be argued that some of these laws enabled the continuation of Babylonian culture</w:t>
      </w:r>
      <w:r w:rsidR="00841CC5" w:rsidRPr="00841CC5">
        <w:t xml:space="preserve"> (</w:t>
      </w:r>
      <w:r w:rsidR="00D11A7B">
        <w:t>Code of</w:t>
      </w:r>
      <w:r w:rsidR="00841CC5" w:rsidRPr="00841CC5">
        <w:t xml:space="preserve"> Hammurabi, 145)</w:t>
      </w:r>
      <w:r w:rsidR="00E03F1E" w:rsidRPr="00841CC5">
        <w:t>.</w:t>
      </w:r>
    </w:p>
    <w:p w14:paraId="1A282164" w14:textId="369EA3C7" w:rsidR="00E03F1E" w:rsidRDefault="00E03F1E" w:rsidP="00C63167">
      <w:r>
        <w:t xml:space="preserve">Secondly, the question of whether the text provides an economical history. Again, there is no major evidence that this source can provide an history of this sort, however the laws in the extract regarding dowries and marriage settlements would have been </w:t>
      </w:r>
      <w:r w:rsidR="002614A5">
        <w:t>affected</w:t>
      </w:r>
      <w:r>
        <w:t xml:space="preserve"> by the economy of the time and therefore, would provide an economic history if aided by a text that focusses more on the economy of Hammurabi’s Babylon.</w:t>
      </w:r>
    </w:p>
    <w:p w14:paraId="7149C5BE" w14:textId="4B056AB5" w:rsidR="00577984" w:rsidRDefault="00306413" w:rsidP="00C63167">
      <w:r>
        <w:lastRenderedPageBreak/>
        <w:t xml:space="preserve">Thirdly, the social history </w:t>
      </w:r>
      <w:r w:rsidR="004B688E">
        <w:t>caused by this text</w:t>
      </w:r>
      <w:r>
        <w:t xml:space="preserve"> </w:t>
      </w:r>
      <w:r w:rsidR="004B688E">
        <w:t>appears</w:t>
      </w:r>
      <w:r>
        <w:t xml:space="preserve"> is the most prominent of the three</w:t>
      </w:r>
      <w:r w:rsidR="004B688E">
        <w:t xml:space="preserve"> histories. The full text </w:t>
      </w:r>
      <w:r w:rsidR="008C385B">
        <w:t>gives a social history as the fact that it is a set of laws provided for everyone in Mesopotamia</w:t>
      </w:r>
      <w:r w:rsidR="003017CA">
        <w:t xml:space="preserve"> ruled by Hammurabi, which ha</w:t>
      </w:r>
      <w:r w:rsidR="00191567">
        <w:t xml:space="preserve">d </w:t>
      </w:r>
      <w:r w:rsidR="00D44526">
        <w:t>a significant impact</w:t>
      </w:r>
      <w:r w:rsidR="003017CA">
        <w:t xml:space="preserve"> on society and every day life to these people</w:t>
      </w:r>
      <w:r w:rsidR="007A4E65">
        <w:t xml:space="preserve">. </w:t>
      </w:r>
      <w:r w:rsidR="00191567">
        <w:t>Also, the extract in particular</w:t>
      </w:r>
      <w:r w:rsidR="007A4E65">
        <w:t xml:space="preserve"> ha</w:t>
      </w:r>
      <w:r w:rsidR="00191567">
        <w:t>d</w:t>
      </w:r>
      <w:r w:rsidR="007A4E65">
        <w:t xml:space="preserve"> </w:t>
      </w:r>
      <w:r w:rsidR="00D44526">
        <w:t>a substantial impact</w:t>
      </w:r>
      <w:r w:rsidR="007A4E65">
        <w:t xml:space="preserve"> on society, especially surrounding the household, marriage, wives and concubines</w:t>
      </w:r>
      <w:r w:rsidR="00191567">
        <w:t>. People were affected because the laws clarified what would happen in a lot potentially common situation and other rare situations, like divorce, death of a spouse, but also making the citizens under Hammurabi’s reign</w:t>
      </w:r>
      <w:r w:rsidR="009F0713">
        <w:t xml:space="preserve">. Law codes were written to keep </w:t>
      </w:r>
      <w:r w:rsidR="00EB18C0">
        <w:t xml:space="preserve">peace in </w:t>
      </w:r>
      <w:r w:rsidR="00EB18C0" w:rsidRPr="00841CC5">
        <w:t>society and to make sure life was ‘safer’ and in the case of Hammurabi’s Law Code it is argued that they were written with one aim being to give some protection towards the weak and poor (i.e. Women, children and slaves, against injustice at the hands of the rich and powerful</w:t>
      </w:r>
      <w:r w:rsidR="00841CC5" w:rsidRPr="00841CC5">
        <w:t xml:space="preserve"> (Vincent, G.E., 1904)</w:t>
      </w:r>
      <w:r w:rsidR="00014E31">
        <w:t>)</w:t>
      </w:r>
      <w:r w:rsidR="00154EB6" w:rsidRPr="00841CC5">
        <w:t>,</w:t>
      </w:r>
      <w:r w:rsidR="00154EB6">
        <w:t xml:space="preserve"> therefore supporting the idea of a social history being made as a result of this text.</w:t>
      </w:r>
    </w:p>
    <w:p w14:paraId="4222C95A" w14:textId="1D5305F3" w:rsidR="001C2749" w:rsidRDefault="00F47F25" w:rsidP="00C63167">
      <w:r>
        <w:t>Finally</w:t>
      </w:r>
      <w:r w:rsidR="004377C1">
        <w:t>,</w:t>
      </w:r>
      <w:r>
        <w:t xml:space="preserve"> there are also texts that correspond with information given </w:t>
      </w:r>
      <w:r w:rsidR="004377C1">
        <w:t>in this extract</w:t>
      </w:r>
      <w:r w:rsidR="005F2170">
        <w:t xml:space="preserve">, these included contractual tablets, a lot of which were relatable to the given extract as they were wedding or divorce agreements, as well as </w:t>
      </w:r>
      <w:r w:rsidR="00EE613E">
        <w:t xml:space="preserve">other agreements with regards to monetary exchanges. </w:t>
      </w:r>
      <w:r w:rsidR="00976E75">
        <w:t>Another significant text that was written</w:t>
      </w:r>
      <w:r w:rsidR="00EE613E">
        <w:t xml:space="preserve"> around </w:t>
      </w:r>
      <w:r w:rsidR="00976E75">
        <w:t xml:space="preserve">a similar </w:t>
      </w:r>
      <w:r w:rsidR="00EE613E">
        <w:t xml:space="preserve">time </w:t>
      </w:r>
      <w:r w:rsidR="00976E75">
        <w:t xml:space="preserve">was the stele of Dadusha, which although bears similarities to the </w:t>
      </w:r>
      <w:r w:rsidR="008F3254">
        <w:t>law code</w:t>
      </w:r>
      <w:r w:rsidR="00976E75">
        <w:t xml:space="preserve"> with regards to the language and </w:t>
      </w:r>
      <w:r w:rsidR="008F3254">
        <w:t>materials used to write it, however, the style in which the Stele of Dadusha was written suits more a story, or recollection of history rather than a law code</w:t>
      </w:r>
      <w:r w:rsidR="00251366">
        <w:t xml:space="preserve"> (</w:t>
      </w:r>
      <w:r w:rsidR="00251366">
        <w:t>Van De Meiroop, M., 2007</w:t>
      </w:r>
      <w:r w:rsidR="00251366">
        <w:t>)</w:t>
      </w:r>
      <w:r w:rsidR="008F3254">
        <w:t xml:space="preserve">. </w:t>
      </w:r>
      <w:r w:rsidR="00EF5287">
        <w:t xml:space="preserve">There is also evidence of a law code that was in fact older than Hammurabi’s in the form of the Laws of Eshnunna, it was written </w:t>
      </w:r>
      <w:r w:rsidR="00844ACC">
        <w:t>during the reign of Dadusha (c.1800-1779) and actually contains laws that are seen in Hammurabi’s Law Code</w:t>
      </w:r>
      <w:r w:rsidR="00251366">
        <w:t xml:space="preserve"> (Yaron, 1988)</w:t>
      </w:r>
      <w:r w:rsidR="00844ACC">
        <w:t>, which suggests that Hammurabi’s ideas may not have been original, but he had the sense to accept laws with previous moral merit for his own people.</w:t>
      </w:r>
    </w:p>
    <w:p w14:paraId="15180F80" w14:textId="399D29E2" w:rsidR="00251366" w:rsidRDefault="00585E55" w:rsidP="00C63167">
      <w:r>
        <w:t>For one to conclude this review, it is necessary to look back upon the information provided</w:t>
      </w:r>
      <w:r w:rsidR="009E1E6D">
        <w:t>. F</w:t>
      </w:r>
      <w:r>
        <w:t>irstly</w:t>
      </w:r>
      <w:r w:rsidR="00F6314C">
        <w:t>,</w:t>
      </w:r>
      <w:r>
        <w:t xml:space="preserve"> the </w:t>
      </w:r>
      <w:r w:rsidR="00D11A7B">
        <w:t>Code of</w:t>
      </w:r>
      <w:r w:rsidR="009E1E6D">
        <w:t xml:space="preserve"> Hammurabi as a whole with regards to reliability cannot be questioned entirely due to the format and style, and was designed to be understood at its simplest form for everyone in the 18</w:t>
      </w:r>
      <w:r w:rsidR="009E1E6D" w:rsidRPr="009E1E6D">
        <w:rPr>
          <w:vertAlign w:val="superscript"/>
        </w:rPr>
        <w:t>th</w:t>
      </w:r>
      <w:r w:rsidR="009E1E6D">
        <w:t xml:space="preserve"> Century BC, therefore is more reliable as its content was aimed at </w:t>
      </w:r>
      <w:r w:rsidR="00D44526">
        <w:t>various aspects</w:t>
      </w:r>
      <w:r w:rsidR="009E1E6D">
        <w:t xml:space="preserve"> of Babylonian life.</w:t>
      </w:r>
      <w:r w:rsidR="00F6314C">
        <w:t xml:space="preserve"> It also displays very little bias as a result and can depict a political, social and economic history as it spans over all three elements to Babylonian society.</w:t>
      </w:r>
      <w:r w:rsidR="009E1E6D">
        <w:t xml:space="preserve"> </w:t>
      </w:r>
      <w:r w:rsidR="00F6314C">
        <w:t>T</w:t>
      </w:r>
      <w:r w:rsidR="009E1E6D">
        <w:t>he extract in particular</w:t>
      </w:r>
      <w:r w:rsidR="00F6314C">
        <w:t>,</w:t>
      </w:r>
      <w:r w:rsidR="009E1E6D">
        <w:t xml:space="preserve"> however</w:t>
      </w:r>
      <w:r w:rsidR="00F6314C">
        <w:t xml:space="preserve">, maintains the element of reliability, but also now has aspects of bias, due to the fact that it is a section that focusses on family law and looks at marriage, divorce, children and the household. As a result of this, the extract provides a strong social history more than </w:t>
      </w:r>
      <w:r w:rsidR="00D336F0">
        <w:t>one of political or economic value and in conclusion, remains a reliable source but the aim of this section of laws in the extract must be taken in to consideration.</w:t>
      </w:r>
    </w:p>
    <w:p w14:paraId="002A8742" w14:textId="27AF781C" w:rsidR="007B3ECE" w:rsidRDefault="007B3ECE" w:rsidP="00C63167">
      <w:pPr>
        <w:rPr>
          <w:b/>
        </w:rPr>
      </w:pPr>
      <w:r>
        <w:rPr>
          <w:b/>
        </w:rPr>
        <w:t xml:space="preserve">Word Count: </w:t>
      </w:r>
      <w:r w:rsidR="00D44526">
        <w:rPr>
          <w:b/>
        </w:rPr>
        <w:t>1</w:t>
      </w:r>
      <w:r w:rsidR="00014E31">
        <w:rPr>
          <w:b/>
        </w:rPr>
        <w:t>963</w:t>
      </w:r>
    </w:p>
    <w:p w14:paraId="119F87B1" w14:textId="77777777" w:rsidR="00014E31" w:rsidRPr="007B3ECE" w:rsidRDefault="00014E31" w:rsidP="00C63167">
      <w:pPr>
        <w:rPr>
          <w:b/>
        </w:rPr>
      </w:pPr>
    </w:p>
    <w:p w14:paraId="37F5A8F1" w14:textId="64148FBC" w:rsidR="00D44526" w:rsidRDefault="00D44526" w:rsidP="00C63167"/>
    <w:p w14:paraId="03DB1025" w14:textId="77777777" w:rsidR="00D44526" w:rsidRDefault="00D44526">
      <w:r>
        <w:br w:type="page"/>
      </w:r>
    </w:p>
    <w:p w14:paraId="4DD44980" w14:textId="33174794" w:rsidR="00454822" w:rsidRDefault="00D44526" w:rsidP="00D44526">
      <w:pPr>
        <w:jc w:val="center"/>
        <w:rPr>
          <w:b/>
          <w:sz w:val="32"/>
          <w:szCs w:val="32"/>
          <w:u w:val="single"/>
        </w:rPr>
      </w:pPr>
      <w:r w:rsidRPr="00D44526">
        <w:rPr>
          <w:b/>
          <w:sz w:val="32"/>
          <w:szCs w:val="32"/>
          <w:u w:val="single"/>
        </w:rPr>
        <w:lastRenderedPageBreak/>
        <w:t>Reference List</w:t>
      </w:r>
    </w:p>
    <w:p w14:paraId="1F21CA98" w14:textId="6E65DAD2" w:rsidR="00D44526" w:rsidRDefault="00D44526" w:rsidP="00D44526">
      <w:pPr>
        <w:jc w:val="center"/>
        <w:rPr>
          <w:b/>
          <w:sz w:val="32"/>
          <w:szCs w:val="32"/>
          <w:u w:val="single"/>
        </w:rPr>
      </w:pPr>
    </w:p>
    <w:p w14:paraId="54888D91" w14:textId="4D40B0BD" w:rsidR="00D44526" w:rsidRDefault="00D11A7B" w:rsidP="00D44526">
      <w:r>
        <w:t>Code of</w:t>
      </w:r>
      <w:r w:rsidR="00D44526">
        <w:t xml:space="preserve"> Hammurabi</w:t>
      </w:r>
    </w:p>
    <w:p w14:paraId="45C9178E" w14:textId="1E588842" w:rsidR="00DC592A" w:rsidRPr="00DC592A" w:rsidRDefault="00DC592A" w:rsidP="00D44526">
      <w:r>
        <w:t xml:space="preserve">Arnold, B.T., 2005, </w:t>
      </w:r>
      <w:r>
        <w:rPr>
          <w:i/>
        </w:rPr>
        <w:t xml:space="preserve">Who were the Babylonians?, </w:t>
      </w:r>
      <w:r>
        <w:t xml:space="preserve">Leiden, Netherlands: Brill Publishers, Pg. 40-46 </w:t>
      </w:r>
    </w:p>
    <w:p w14:paraId="190E6B87" w14:textId="3DBF4E24" w:rsidR="00DC592A" w:rsidRPr="00EA7E09" w:rsidRDefault="00DC592A" w:rsidP="00D44526">
      <w:r>
        <w:t xml:space="preserve">Bruckner, J.K., </w:t>
      </w:r>
      <w:r w:rsidR="00EA7E09">
        <w:t xml:space="preserve">2008, </w:t>
      </w:r>
      <w:r w:rsidR="00EA7E09">
        <w:rPr>
          <w:i/>
        </w:rPr>
        <w:t>Exodus (Understanding the Bible Commentary series)</w:t>
      </w:r>
      <w:r w:rsidR="00EA7E09">
        <w:t>, Grand Rapids, Michigan: Baker Books.</w:t>
      </w:r>
      <w:r w:rsidR="00E747CB">
        <w:t xml:space="preserve"> Pg. 50-51</w:t>
      </w:r>
    </w:p>
    <w:p w14:paraId="6410BA0F" w14:textId="2B1807CC" w:rsidR="00DC592A" w:rsidRDefault="00DC592A" w:rsidP="00D44526">
      <w:r>
        <w:t xml:space="preserve">Fidler, F.G., 1913, Position of Women under the Hammurabi Code, </w:t>
      </w:r>
      <w:r>
        <w:rPr>
          <w:i/>
        </w:rPr>
        <w:t xml:space="preserve">English Review </w:t>
      </w:r>
      <w:r>
        <w:t>(15), Pg. 422</w:t>
      </w:r>
      <w:r w:rsidR="003D5D1A">
        <w:t>-430</w:t>
      </w:r>
    </w:p>
    <w:p w14:paraId="152372BF" w14:textId="77777777" w:rsidR="00B6189F" w:rsidRDefault="00B6189F" w:rsidP="00B6189F">
      <w:r>
        <w:t xml:space="preserve">Van De Mieroop, M., 2005, </w:t>
      </w:r>
      <w:r>
        <w:rPr>
          <w:i/>
        </w:rPr>
        <w:t xml:space="preserve">King Hammurabi of Babylon: A Biography, </w:t>
      </w:r>
      <w:r>
        <w:t>New Jersey: Blackwell Publishing, Pg. 1-65</w:t>
      </w:r>
    </w:p>
    <w:p w14:paraId="0BF5D60B" w14:textId="14DA8FDF" w:rsidR="00B6189F" w:rsidRDefault="00B6189F" w:rsidP="00B6189F">
      <w:r>
        <w:t xml:space="preserve">Van De Mieroop, M., 2007, </w:t>
      </w:r>
      <w:r>
        <w:rPr>
          <w:i/>
        </w:rPr>
        <w:t xml:space="preserve">A History of the Ancient Near East </w:t>
      </w:r>
      <w:r>
        <w:t>(2</w:t>
      </w:r>
      <w:r w:rsidRPr="00E747CB">
        <w:rPr>
          <w:vertAlign w:val="superscript"/>
        </w:rPr>
        <w:t>nd</w:t>
      </w:r>
      <w:r>
        <w:t xml:space="preserve"> ed.) New Jersey: Blackwell Publishing, Pg. 99-100</w:t>
      </w:r>
    </w:p>
    <w:p w14:paraId="1C82FAA9" w14:textId="037EDABC" w:rsidR="00B6189F" w:rsidRPr="00B6189F" w:rsidRDefault="00B6189F" w:rsidP="00B6189F">
      <w:r>
        <w:t xml:space="preserve">Vincent, G.E., The Laws of Hammurabi, </w:t>
      </w:r>
      <w:r>
        <w:rPr>
          <w:i/>
        </w:rPr>
        <w:t xml:space="preserve">American Journal of Sociology, </w:t>
      </w:r>
      <w:r>
        <w:t>Vol. 9 (6)</w:t>
      </w:r>
      <w:r w:rsidR="00070A23">
        <w:t>, Pg. 737-754</w:t>
      </w:r>
    </w:p>
    <w:p w14:paraId="7C1325F9" w14:textId="78310E88" w:rsidR="00DC592A" w:rsidRDefault="00DB6E6F" w:rsidP="00D44526">
      <w:r>
        <w:t xml:space="preserve">Yaron, R, 1988, </w:t>
      </w:r>
      <w:r>
        <w:rPr>
          <w:i/>
        </w:rPr>
        <w:t xml:space="preserve">The Laws of Eshnunna </w:t>
      </w:r>
      <w:r>
        <w:t>(2</w:t>
      </w:r>
      <w:r w:rsidRPr="00DB6E6F">
        <w:rPr>
          <w:vertAlign w:val="superscript"/>
        </w:rPr>
        <w:t>nd</w:t>
      </w:r>
      <w:r>
        <w:t xml:space="preserve"> Ed)</w:t>
      </w:r>
      <w:r w:rsidR="00E44BC6">
        <w:t xml:space="preserve"> The Hebrew University, Jerusalem: The Magnes Press, Pg. 19-20</w:t>
      </w:r>
    </w:p>
    <w:p w14:paraId="41F1FDA2" w14:textId="6743422E" w:rsidR="00D11A7B" w:rsidRDefault="00D11A7B" w:rsidP="00D44526">
      <w:r>
        <w:t xml:space="preserve">Dearing, M., 2011, </w:t>
      </w:r>
      <w:r w:rsidRPr="00D11A7B">
        <w:rPr>
          <w:i/>
        </w:rPr>
        <w:t>Hammurabi of Babylon: Code, Summary and Stele</w:t>
      </w:r>
      <w:r>
        <w:t xml:space="preserve">, </w:t>
      </w:r>
      <w:hyperlink r:id="rId7" w:history="1">
        <w:r w:rsidRPr="003C0937">
          <w:rPr>
            <w:rStyle w:val="Hyperlink"/>
          </w:rPr>
          <w:t>www.study.com/academy/lesson/hammurabi-of-babylon-code-summary-stele.html</w:t>
        </w:r>
      </w:hyperlink>
      <w:r>
        <w:t xml:space="preserve"> (Accessed on: 4/11/2017)</w:t>
      </w:r>
    </w:p>
    <w:p w14:paraId="1A4ED22E" w14:textId="6F00B0E3" w:rsidR="00D11A7B" w:rsidRDefault="00D11A7B" w:rsidP="00D44526">
      <w:r>
        <w:t xml:space="preserve">Jarus, O., 2013, </w:t>
      </w:r>
      <w:r w:rsidRPr="00D11A7B">
        <w:rPr>
          <w:i/>
        </w:rPr>
        <w:t>Code of Hammu</w:t>
      </w:r>
      <w:r>
        <w:rPr>
          <w:i/>
        </w:rPr>
        <w:t>rabi: Ancient Babylonian Laws,</w:t>
      </w:r>
      <w:r>
        <w:t xml:space="preserve"> </w:t>
      </w:r>
      <w:hyperlink r:id="rId8" w:history="1">
        <w:r w:rsidRPr="003C0937">
          <w:rPr>
            <w:rStyle w:val="Hyperlink"/>
          </w:rPr>
          <w:t>www.livescience.com/39393-code-of-hammurabi.html</w:t>
        </w:r>
      </w:hyperlink>
      <w:r w:rsidR="00DC592A">
        <w:t xml:space="preserve"> (Accessed on: 4/11/2017)</w:t>
      </w:r>
    </w:p>
    <w:p w14:paraId="088EDBDF" w14:textId="23ACC554" w:rsidR="00070A23" w:rsidRDefault="00DC592A" w:rsidP="00D44526">
      <w:r>
        <w:t xml:space="preserve">Mark, J.J., 2011, </w:t>
      </w:r>
      <w:r>
        <w:rPr>
          <w:i/>
        </w:rPr>
        <w:t xml:space="preserve">Hammurabi, </w:t>
      </w:r>
      <w:hyperlink r:id="rId9" w:history="1">
        <w:r w:rsidRPr="003C0937">
          <w:rPr>
            <w:rStyle w:val="Hyperlink"/>
          </w:rPr>
          <w:t>www.ancient.eu/hammurabi/</w:t>
        </w:r>
      </w:hyperlink>
      <w:r>
        <w:t xml:space="preserve"> (Accessed on: 7/11/2017)</w:t>
      </w:r>
    </w:p>
    <w:p w14:paraId="361ADE5D" w14:textId="77777777" w:rsidR="00070A23" w:rsidRDefault="00070A23">
      <w:r>
        <w:br w:type="page"/>
      </w:r>
    </w:p>
    <w:p w14:paraId="228D596F" w14:textId="5DD40CE8" w:rsidR="00DC592A" w:rsidRDefault="00070A23" w:rsidP="00070A23">
      <w:pPr>
        <w:jc w:val="center"/>
        <w:rPr>
          <w:b/>
          <w:u w:val="single"/>
        </w:rPr>
      </w:pPr>
      <w:r>
        <w:rPr>
          <w:b/>
          <w:u w:val="single"/>
        </w:rPr>
        <w:lastRenderedPageBreak/>
        <w:t>Bibliography</w:t>
      </w:r>
    </w:p>
    <w:p w14:paraId="391729D7" w14:textId="3C34F49F" w:rsidR="00070A23" w:rsidRDefault="00070A23" w:rsidP="00070A23">
      <w:r>
        <w:t>Code of Hammurabi</w:t>
      </w:r>
      <w:r w:rsidR="00E97BE8">
        <w:t>.</w:t>
      </w:r>
    </w:p>
    <w:p w14:paraId="48ACECFB" w14:textId="14DEA38C" w:rsidR="00070A23" w:rsidRPr="00DC592A" w:rsidRDefault="00070A23" w:rsidP="00070A23">
      <w:r>
        <w:t xml:space="preserve">Arnold, B.T., 2005, </w:t>
      </w:r>
      <w:r>
        <w:rPr>
          <w:i/>
        </w:rPr>
        <w:t xml:space="preserve">Who were the Babylonians?, </w:t>
      </w:r>
      <w:r>
        <w:t>Leiden, Netherlands: Brill Publishers, Pg. 40-46</w:t>
      </w:r>
      <w:r w:rsidR="00E97BE8">
        <w:t>.</w:t>
      </w:r>
    </w:p>
    <w:p w14:paraId="261C6FCD" w14:textId="6DEC2FEB" w:rsidR="00E97BE8" w:rsidRDefault="00E97BE8" w:rsidP="00070A23">
      <w:r>
        <w:t xml:space="preserve">Bahrani, S., 2017, </w:t>
      </w:r>
      <w:r>
        <w:rPr>
          <w:i/>
        </w:rPr>
        <w:t xml:space="preserve">Mesopotamia: Ancient Art and Architecture, </w:t>
      </w:r>
      <w:r>
        <w:t>London: Thames and Hudson [Chapter</w:t>
      </w:r>
      <w:r w:rsidR="00C92EF1">
        <w:t xml:space="preserve"> 8].</w:t>
      </w:r>
    </w:p>
    <w:p w14:paraId="18F7427C" w14:textId="518AD3E7" w:rsidR="00C92EF1" w:rsidRDefault="00C92EF1" w:rsidP="00070A23">
      <w:r>
        <w:t xml:space="preserve">Bahrani, Z., 2001, </w:t>
      </w:r>
      <w:r>
        <w:rPr>
          <w:i/>
        </w:rPr>
        <w:t xml:space="preserve">Women of Babylon: Gender and Representation in Mesopotamia, </w:t>
      </w:r>
      <w:r>
        <w:t>London: Routledge.</w:t>
      </w:r>
    </w:p>
    <w:p w14:paraId="55F029B2" w14:textId="62C27883" w:rsidR="00C92EF1" w:rsidRPr="00C92EF1" w:rsidRDefault="00C92EF1" w:rsidP="00070A23">
      <w:r>
        <w:t xml:space="preserve">Bertman, S., 2003, </w:t>
      </w:r>
      <w:r>
        <w:rPr>
          <w:i/>
        </w:rPr>
        <w:t xml:space="preserve">Handbook to Life in Ancient Mesopotamia, </w:t>
      </w:r>
      <w:r>
        <w:t>Oxford: Oxford University Press, [Chapter 3].</w:t>
      </w:r>
    </w:p>
    <w:p w14:paraId="2D0C24CA" w14:textId="6E49F3D7" w:rsidR="00070A23" w:rsidRPr="00EA7E09" w:rsidRDefault="00070A23" w:rsidP="00070A23">
      <w:r>
        <w:t xml:space="preserve">Bruckner, J.K., 2008, </w:t>
      </w:r>
      <w:r>
        <w:rPr>
          <w:i/>
        </w:rPr>
        <w:t>Exodus (Understanding the Bible Commentary series)</w:t>
      </w:r>
      <w:r>
        <w:t>, Grand Rapids, Michigan: Baker Books. Pg. 50-51</w:t>
      </w:r>
      <w:r w:rsidR="00E97BE8">
        <w:t>.</w:t>
      </w:r>
    </w:p>
    <w:p w14:paraId="45EC176C" w14:textId="5C781AA9" w:rsidR="00070A23" w:rsidRDefault="00070A23" w:rsidP="00070A23">
      <w:r>
        <w:t xml:space="preserve">Fidler, F.G., 1913, Position of Women under the Hammurabi Code, </w:t>
      </w:r>
      <w:r>
        <w:rPr>
          <w:i/>
        </w:rPr>
        <w:t xml:space="preserve">English Review </w:t>
      </w:r>
      <w:r>
        <w:t>(15), Pg. 422-430</w:t>
      </w:r>
      <w:r w:rsidR="00E97BE8">
        <w:t>.</w:t>
      </w:r>
    </w:p>
    <w:p w14:paraId="6E546A8B" w14:textId="2614E49E" w:rsidR="00C92EF1" w:rsidRDefault="00C92EF1" w:rsidP="00070A23">
      <w:r>
        <w:t xml:space="preserve">Justel, J.L., 2016, “Women, Gender and Law at the Dawn of History: The evidence of the cuneiform Tablets”, Budin S.L. &amp; Turfa, J.M. (Eds.), </w:t>
      </w:r>
      <w:r>
        <w:rPr>
          <w:i/>
        </w:rPr>
        <w:t>Women in Antiquity: Real Women across the Ancient World,</w:t>
      </w:r>
      <w:r>
        <w:t xml:space="preserve"> London: Routledge, Pg. 77-100.</w:t>
      </w:r>
    </w:p>
    <w:p w14:paraId="0A933F4B" w14:textId="5D160853" w:rsidR="00C92EF1" w:rsidRDefault="00C92EF1" w:rsidP="00070A23">
      <w:r>
        <w:t xml:space="preserve">Postgate, J.N., 1992, </w:t>
      </w:r>
      <w:r>
        <w:rPr>
          <w:i/>
        </w:rPr>
        <w:t>Early Mesopotamia: Society and Economy at the Dawn of History.</w:t>
      </w:r>
      <w:r>
        <w:t xml:space="preserve"> London: Routledge [Chapter 15].</w:t>
      </w:r>
    </w:p>
    <w:p w14:paraId="314A2E3F" w14:textId="02D20154" w:rsidR="00C92EF1" w:rsidRPr="008948E5" w:rsidRDefault="00C92EF1" w:rsidP="00070A23">
      <w:r>
        <w:t xml:space="preserve">Roth, M.T., Michalowski, P. (Ed.), </w:t>
      </w:r>
      <w:r w:rsidR="008948E5">
        <w:t>1995,</w:t>
      </w:r>
      <w:r>
        <w:rPr>
          <w:i/>
        </w:rPr>
        <w:t xml:space="preserve"> Law Collections from M</w:t>
      </w:r>
      <w:r w:rsidR="008948E5">
        <w:rPr>
          <w:i/>
        </w:rPr>
        <w:t>e</w:t>
      </w:r>
      <w:r>
        <w:rPr>
          <w:i/>
        </w:rPr>
        <w:t>sopotamia</w:t>
      </w:r>
      <w:r w:rsidR="008948E5">
        <w:rPr>
          <w:i/>
        </w:rPr>
        <w:t xml:space="preserve"> and Asia Minor</w:t>
      </w:r>
      <w:r w:rsidR="008948E5">
        <w:t>, Atlanta, Georgia: Scholars Press, Pg. 57-142.</w:t>
      </w:r>
      <w:bookmarkStart w:id="0" w:name="_GoBack"/>
      <w:bookmarkEnd w:id="0"/>
    </w:p>
    <w:p w14:paraId="51F37D17" w14:textId="59961946" w:rsidR="00E97BE8" w:rsidRPr="00E97BE8" w:rsidRDefault="00E97BE8" w:rsidP="00070A23">
      <w:r>
        <w:t xml:space="preserve">Slanski, K.E., 2012, The Law of Hammurabi and its Audience, </w:t>
      </w:r>
      <w:r>
        <w:rPr>
          <w:i/>
        </w:rPr>
        <w:t xml:space="preserve">Yale Journal of Law and the Humanities, </w:t>
      </w:r>
      <w:r>
        <w:t>24(1): 97-111</w:t>
      </w:r>
    </w:p>
    <w:p w14:paraId="0D4B735D" w14:textId="56994B88" w:rsidR="00070A23" w:rsidRDefault="00070A23" w:rsidP="00070A23">
      <w:r>
        <w:t xml:space="preserve">Van De Mieroop, M., 2005, </w:t>
      </w:r>
      <w:r>
        <w:rPr>
          <w:i/>
        </w:rPr>
        <w:t xml:space="preserve">King Hammurabi of Babylon: A Biography, </w:t>
      </w:r>
      <w:r>
        <w:t>New Jersey: Blackwell Publishing, Pg. 1-65</w:t>
      </w:r>
      <w:r w:rsidR="00E97BE8">
        <w:t>.</w:t>
      </w:r>
    </w:p>
    <w:p w14:paraId="22956432" w14:textId="6F1664A2" w:rsidR="00070A23" w:rsidRDefault="00070A23" w:rsidP="00070A23">
      <w:r>
        <w:t xml:space="preserve">Van De Mieroop, M., 2007, </w:t>
      </w:r>
      <w:r>
        <w:rPr>
          <w:i/>
        </w:rPr>
        <w:t xml:space="preserve">A History of the Ancient Near East </w:t>
      </w:r>
      <w:r>
        <w:t>(2</w:t>
      </w:r>
      <w:r w:rsidRPr="00E747CB">
        <w:rPr>
          <w:vertAlign w:val="superscript"/>
        </w:rPr>
        <w:t>nd</w:t>
      </w:r>
      <w:r>
        <w:t xml:space="preserve"> ed.) New Jersey: Blackwell Publishing, Pg. 99-100</w:t>
      </w:r>
      <w:r w:rsidR="00E97BE8">
        <w:t>.</w:t>
      </w:r>
    </w:p>
    <w:p w14:paraId="5831887C" w14:textId="4DF5F074" w:rsidR="00070A23" w:rsidRDefault="00070A23" w:rsidP="00070A23">
      <w:r>
        <w:t xml:space="preserve">Vincent, G.E., The Laws of Hammurabi, </w:t>
      </w:r>
      <w:r>
        <w:rPr>
          <w:i/>
        </w:rPr>
        <w:t xml:space="preserve">American Journal of Sociology, </w:t>
      </w:r>
      <w:r>
        <w:t>Vol. 9 (6), Pg. 737-754</w:t>
      </w:r>
      <w:r w:rsidR="00E97BE8">
        <w:t>.</w:t>
      </w:r>
    </w:p>
    <w:p w14:paraId="5A19955F" w14:textId="4B4D0D89" w:rsidR="00070A23" w:rsidRPr="00E97BE8" w:rsidRDefault="00070A23" w:rsidP="00070A23">
      <w:r>
        <w:t xml:space="preserve">Wright, D.P., 2009, </w:t>
      </w:r>
      <w:r>
        <w:rPr>
          <w:i/>
        </w:rPr>
        <w:t>Inventing God’s law</w:t>
      </w:r>
      <w:r w:rsidR="00E97BE8">
        <w:rPr>
          <w:i/>
        </w:rPr>
        <w:t xml:space="preserve"> how the covenant code of the bible used and revised the Laws of Hammurabi, </w:t>
      </w:r>
      <w:r w:rsidR="00E97BE8">
        <w:t>Oxford, Oxford University Press.</w:t>
      </w:r>
    </w:p>
    <w:p w14:paraId="7F4DF155" w14:textId="660D173C" w:rsidR="00070A23" w:rsidRDefault="00070A23" w:rsidP="00070A23">
      <w:r>
        <w:t xml:space="preserve">Yaron, R, 1988, </w:t>
      </w:r>
      <w:r>
        <w:rPr>
          <w:i/>
        </w:rPr>
        <w:t xml:space="preserve">The Laws of Eshnunna </w:t>
      </w:r>
      <w:r>
        <w:t>(2</w:t>
      </w:r>
      <w:r w:rsidRPr="00DB6E6F">
        <w:rPr>
          <w:vertAlign w:val="superscript"/>
        </w:rPr>
        <w:t>nd</w:t>
      </w:r>
      <w:r>
        <w:t xml:space="preserve"> Ed) The Hebrew University, Jerusalem: The Magnes Press, Pg. 19-20</w:t>
      </w:r>
      <w:r w:rsidR="00E97BE8">
        <w:t>.</w:t>
      </w:r>
    </w:p>
    <w:p w14:paraId="6C30467B" w14:textId="1F414A2A" w:rsidR="00070A23" w:rsidRDefault="00070A23" w:rsidP="00070A23">
      <w:r>
        <w:t xml:space="preserve">Dearing, M., 2011, </w:t>
      </w:r>
      <w:r w:rsidRPr="00D11A7B">
        <w:rPr>
          <w:i/>
        </w:rPr>
        <w:t>Hammurabi of Babylon: Code, Summary and Stele</w:t>
      </w:r>
      <w:r>
        <w:t xml:space="preserve">, </w:t>
      </w:r>
      <w:hyperlink r:id="rId10" w:history="1">
        <w:r w:rsidRPr="003C0937">
          <w:rPr>
            <w:rStyle w:val="Hyperlink"/>
          </w:rPr>
          <w:t>www.study.com/academy/lesson/hammurabi-of-babylon-code-summary-stele.html</w:t>
        </w:r>
      </w:hyperlink>
      <w:r>
        <w:t xml:space="preserve"> (Accessed on: 4/11/2017)</w:t>
      </w:r>
      <w:r w:rsidR="00E97BE8">
        <w:t>.</w:t>
      </w:r>
    </w:p>
    <w:p w14:paraId="130CDF96" w14:textId="26C70048" w:rsidR="00070A23" w:rsidRDefault="00070A23" w:rsidP="00070A23">
      <w:r>
        <w:t xml:space="preserve">Jarus, O., 2013, </w:t>
      </w:r>
      <w:r w:rsidRPr="00D11A7B">
        <w:rPr>
          <w:i/>
        </w:rPr>
        <w:t>Code of Hammu</w:t>
      </w:r>
      <w:r>
        <w:rPr>
          <w:i/>
        </w:rPr>
        <w:t>rabi: Ancient Babylonian Laws,</w:t>
      </w:r>
      <w:r>
        <w:t xml:space="preserve"> </w:t>
      </w:r>
      <w:hyperlink r:id="rId11" w:history="1">
        <w:r w:rsidRPr="003C0937">
          <w:rPr>
            <w:rStyle w:val="Hyperlink"/>
          </w:rPr>
          <w:t>www.livescience.com/39393-code-of-hammurabi.html</w:t>
        </w:r>
      </w:hyperlink>
      <w:r>
        <w:t xml:space="preserve"> (Accessed on: 4/11/2017)</w:t>
      </w:r>
      <w:r w:rsidR="00E97BE8">
        <w:t>.</w:t>
      </w:r>
    </w:p>
    <w:p w14:paraId="6FEA3D8E" w14:textId="3B628786" w:rsidR="00070A23" w:rsidRPr="00DC592A" w:rsidRDefault="00070A23" w:rsidP="00070A23">
      <w:r>
        <w:t xml:space="preserve">Mark, J.J., 2011, </w:t>
      </w:r>
      <w:r>
        <w:rPr>
          <w:i/>
        </w:rPr>
        <w:t xml:space="preserve">Hammurabi, </w:t>
      </w:r>
      <w:hyperlink r:id="rId12" w:history="1">
        <w:r w:rsidRPr="003C0937">
          <w:rPr>
            <w:rStyle w:val="Hyperlink"/>
          </w:rPr>
          <w:t>www.ancient.eu/hammurabi/</w:t>
        </w:r>
      </w:hyperlink>
      <w:r>
        <w:t xml:space="preserve"> (Accessed on: 7/11/2017)</w:t>
      </w:r>
      <w:r w:rsidR="00E97BE8">
        <w:t>.</w:t>
      </w:r>
    </w:p>
    <w:p w14:paraId="2AFFF999" w14:textId="77777777" w:rsidR="00070A23" w:rsidRPr="00070A23" w:rsidRDefault="00070A23" w:rsidP="00070A23">
      <w:pPr>
        <w:jc w:val="center"/>
        <w:rPr>
          <w:b/>
          <w:u w:val="single"/>
        </w:rPr>
      </w:pPr>
    </w:p>
    <w:sectPr w:rsidR="00070A23" w:rsidRPr="00070A23">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AB92DF" w14:textId="77777777" w:rsidR="00EC118D" w:rsidRDefault="00EC118D" w:rsidP="00C63167">
      <w:pPr>
        <w:spacing w:after="0" w:line="240" w:lineRule="auto"/>
      </w:pPr>
      <w:r>
        <w:separator/>
      </w:r>
    </w:p>
  </w:endnote>
  <w:endnote w:type="continuationSeparator" w:id="0">
    <w:p w14:paraId="5D3B64EA" w14:textId="77777777" w:rsidR="00EC118D" w:rsidRDefault="00EC118D" w:rsidP="00C631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0FC785" w14:textId="77777777" w:rsidR="00EC118D" w:rsidRDefault="00EC118D" w:rsidP="00C63167">
      <w:pPr>
        <w:spacing w:after="0" w:line="240" w:lineRule="auto"/>
      </w:pPr>
      <w:r>
        <w:separator/>
      </w:r>
    </w:p>
  </w:footnote>
  <w:footnote w:type="continuationSeparator" w:id="0">
    <w:p w14:paraId="4CD6B660" w14:textId="77777777" w:rsidR="00EC118D" w:rsidRDefault="00EC118D" w:rsidP="00C631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F654BD" w14:textId="77777777" w:rsidR="00D9263C" w:rsidRDefault="00D9263C" w:rsidP="00C63167">
    <w:pPr>
      <w:pStyle w:val="Header"/>
      <w:jc w:val="right"/>
    </w:pPr>
    <w:r>
      <w:t>Enrico Atkinson</w:t>
    </w:r>
  </w:p>
  <w:p w14:paraId="541D8A82" w14:textId="77777777" w:rsidR="00D9263C" w:rsidRDefault="00D9263C" w:rsidP="00C63167">
    <w:pPr>
      <w:pStyle w:val="Header"/>
      <w:jc w:val="right"/>
    </w:pPr>
    <w:r>
      <w:t>1500923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167"/>
    <w:rsid w:val="0000268A"/>
    <w:rsid w:val="00014E31"/>
    <w:rsid w:val="00061189"/>
    <w:rsid w:val="00070A23"/>
    <w:rsid w:val="000A06A5"/>
    <w:rsid w:val="000A1D06"/>
    <w:rsid w:val="00154EB6"/>
    <w:rsid w:val="001841EE"/>
    <w:rsid w:val="00191567"/>
    <w:rsid w:val="001C2749"/>
    <w:rsid w:val="001D68F2"/>
    <w:rsid w:val="00251366"/>
    <w:rsid w:val="00255E20"/>
    <w:rsid w:val="002614A5"/>
    <w:rsid w:val="002E3A29"/>
    <w:rsid w:val="002E430A"/>
    <w:rsid w:val="003017CA"/>
    <w:rsid w:val="00306413"/>
    <w:rsid w:val="00323B8C"/>
    <w:rsid w:val="003D5D1A"/>
    <w:rsid w:val="004165A8"/>
    <w:rsid w:val="004377C1"/>
    <w:rsid w:val="00454822"/>
    <w:rsid w:val="004B688E"/>
    <w:rsid w:val="004C72BF"/>
    <w:rsid w:val="00516AC8"/>
    <w:rsid w:val="00577984"/>
    <w:rsid w:val="00585E55"/>
    <w:rsid w:val="005F2170"/>
    <w:rsid w:val="00671CDA"/>
    <w:rsid w:val="00746A21"/>
    <w:rsid w:val="007A4E65"/>
    <w:rsid w:val="007B3ECE"/>
    <w:rsid w:val="00841CC5"/>
    <w:rsid w:val="00844ACC"/>
    <w:rsid w:val="008948E5"/>
    <w:rsid w:val="008C385B"/>
    <w:rsid w:val="008F3254"/>
    <w:rsid w:val="00931DDB"/>
    <w:rsid w:val="00976E75"/>
    <w:rsid w:val="009E1E6D"/>
    <w:rsid w:val="009F0713"/>
    <w:rsid w:val="00AB3C36"/>
    <w:rsid w:val="00AB54F1"/>
    <w:rsid w:val="00AC0CA7"/>
    <w:rsid w:val="00B6189F"/>
    <w:rsid w:val="00B62C41"/>
    <w:rsid w:val="00B93CA2"/>
    <w:rsid w:val="00BB3B77"/>
    <w:rsid w:val="00BC3A64"/>
    <w:rsid w:val="00C63167"/>
    <w:rsid w:val="00C8277A"/>
    <w:rsid w:val="00C848BE"/>
    <w:rsid w:val="00C92EF1"/>
    <w:rsid w:val="00CB6FC4"/>
    <w:rsid w:val="00D11A7B"/>
    <w:rsid w:val="00D336F0"/>
    <w:rsid w:val="00D44526"/>
    <w:rsid w:val="00D9263C"/>
    <w:rsid w:val="00DB2B6B"/>
    <w:rsid w:val="00DB6E6F"/>
    <w:rsid w:val="00DC592A"/>
    <w:rsid w:val="00DC66B5"/>
    <w:rsid w:val="00DD7F77"/>
    <w:rsid w:val="00E03F1E"/>
    <w:rsid w:val="00E44BC6"/>
    <w:rsid w:val="00E56391"/>
    <w:rsid w:val="00E626BE"/>
    <w:rsid w:val="00E747CB"/>
    <w:rsid w:val="00E95E28"/>
    <w:rsid w:val="00E97BE8"/>
    <w:rsid w:val="00EA7E09"/>
    <w:rsid w:val="00EB0D2F"/>
    <w:rsid w:val="00EB18C0"/>
    <w:rsid w:val="00EC118D"/>
    <w:rsid w:val="00EE613E"/>
    <w:rsid w:val="00EF5287"/>
    <w:rsid w:val="00F47F25"/>
    <w:rsid w:val="00F6314C"/>
    <w:rsid w:val="00FA2FB1"/>
    <w:rsid w:val="00FF1B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88B682"/>
  <w15:chartTrackingRefBased/>
  <w15:docId w15:val="{FE4F13FB-3A6B-4437-B4CB-F60A0E51A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631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3167"/>
  </w:style>
  <w:style w:type="paragraph" w:styleId="Footer">
    <w:name w:val="footer"/>
    <w:basedOn w:val="Normal"/>
    <w:link w:val="FooterChar"/>
    <w:uiPriority w:val="99"/>
    <w:unhideWhenUsed/>
    <w:rsid w:val="00C631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3167"/>
  </w:style>
  <w:style w:type="paragraph" w:styleId="FootnoteText">
    <w:name w:val="footnote text"/>
    <w:basedOn w:val="Normal"/>
    <w:link w:val="FootnoteTextChar"/>
    <w:uiPriority w:val="99"/>
    <w:semiHidden/>
    <w:unhideWhenUsed/>
    <w:rsid w:val="00AB3C3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B3C36"/>
    <w:rPr>
      <w:sz w:val="20"/>
      <w:szCs w:val="20"/>
    </w:rPr>
  </w:style>
  <w:style w:type="character" w:styleId="FootnoteReference">
    <w:name w:val="footnote reference"/>
    <w:basedOn w:val="DefaultParagraphFont"/>
    <w:uiPriority w:val="99"/>
    <w:semiHidden/>
    <w:unhideWhenUsed/>
    <w:rsid w:val="00AB3C36"/>
    <w:rPr>
      <w:vertAlign w:val="superscript"/>
    </w:rPr>
  </w:style>
  <w:style w:type="character" w:styleId="Hyperlink">
    <w:name w:val="Hyperlink"/>
    <w:basedOn w:val="DefaultParagraphFont"/>
    <w:uiPriority w:val="99"/>
    <w:unhideWhenUsed/>
    <w:rsid w:val="00D11A7B"/>
    <w:rPr>
      <w:color w:val="0563C1" w:themeColor="hyperlink"/>
      <w:u w:val="single"/>
    </w:rPr>
  </w:style>
  <w:style w:type="character" w:styleId="UnresolvedMention">
    <w:name w:val="Unresolved Mention"/>
    <w:basedOn w:val="DefaultParagraphFont"/>
    <w:uiPriority w:val="99"/>
    <w:semiHidden/>
    <w:unhideWhenUsed/>
    <w:rsid w:val="00D11A7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ivescience.com/39393-code-of-hammurabi.html"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study.com/academy/lesson/hammurabi-of-babylon-code-summary-stele.html" TargetMode="External"/><Relationship Id="rId12" Type="http://schemas.openxmlformats.org/officeDocument/2006/relationships/hyperlink" Target="http://www.ancient.eu/hammurabi/"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livescience.com/39393-code-of-hammurabi.html"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study.com/academy/lesson/hammurabi-of-babylon-code-summary-stele.html" TargetMode="External"/><Relationship Id="rId4" Type="http://schemas.openxmlformats.org/officeDocument/2006/relationships/webSettings" Target="webSettings.xml"/><Relationship Id="rId9" Type="http://schemas.openxmlformats.org/officeDocument/2006/relationships/hyperlink" Target="http://www.ancient.eu/hammurabi/"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75C938-C1AC-4026-918E-B270AD9915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5783</TotalTime>
  <Pages>5</Pages>
  <Words>2238</Words>
  <Characters>12762</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Enrico Atkinson (1500923)</dc:creator>
  <cp:keywords/>
  <dc:description/>
  <cp:lastModifiedBy>Enrico Atkinson (1500923)</cp:lastModifiedBy>
  <cp:revision>22</cp:revision>
  <dcterms:created xsi:type="dcterms:W3CDTF">2017-11-06T13:33:00Z</dcterms:created>
  <dcterms:modified xsi:type="dcterms:W3CDTF">2017-11-10T14:16:00Z</dcterms:modified>
</cp:coreProperties>
</file>