
<file path=[Content_Types].xml><?xml version="1.0" encoding="utf-8"?>
<Types xmlns="http://schemas.openxmlformats.org/package/2006/content-types">
  <Default Extension="fntdata" ContentType="application/x-fontdata"/>
  <Default Extension="jpeg" ContentType="image/jpeg"/>
  <Default Extension="png" ContentType="image/png"/>
  <Default Extension="rels" ContentType="application/vnd.openxmlformats-package.relationships+xml"/>
  <Default Extension="xml" ContentType="application/xml"/>
  <Override PartName="/word/styles.xml" ContentType="application/vnd.openxmlformats-officedocument.wordprocessingml.styles+xml"/>
  <Override PartName="/word/footer1.xml" ContentType="application/vnd.openxmlformats-officedocument.wordprocessingml.footer+xml"/>
  <Override PartName="/word/footer2.xml" ContentType="application/vnd.openxmlformats-officedocument.wordprocessingml.footer+xml"/>
  <Override PartName="/word/document.xml" ContentType="application/vnd.openxmlformats-officedocument.wordprocessingml.document.main+xml"/>
  <Override PartName="/word/footer3.xml" ContentType="application/vnd.openxmlformats-officedocument.wordprocessingml.footer+xml"/>
  <Override PartName="/word/settings.xml" ContentType="application/vnd.openxmlformats-officedocument.wordprocessingml.settings+xml"/>
  <Override PartName="/word/fontTable.xml" ContentType="application/vnd.openxmlformats-officedocument.wordprocessingml.fontTable+xml"/>
  <Override PartName="/word/theme/theme1.xml" ContentType="application/vnd.openxmlformats-officedocument.theme+xml"/>
  <Override PartName="/docProps/custom.xml" ContentType="application/vnd.openxmlformats-officedocument.custom-properties+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before="120" w:after="120"/>
        <w:jc w:val="center"/>
        <w:rPr>
          <w:rFonts w:cs="Arial"/>
          <w:szCs w:val="24"/>
          <w:lang w:val="en-IN"/>
        </w:rPr>
      </w:pPr>
      <w:r>
        <w:rPr/>
        <w:drawing>
          <wp:inline distT="0" distB="0" distL="0" distR="0">
            <wp:extent cx="3451860" cy="12490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2"/>
                    <a:stretch>
                      <a:fillRect/>
                    </a:stretch>
                  </pic:blipFill>
                  <pic:spPr bwMode="auto">
                    <a:xfrm>
                      <a:off x="0" y="0"/>
                      <a:ext cx="3451860" cy="1249045"/>
                    </a:xfrm>
                    <a:prstGeom prst="rect">
                      <a:avLst/>
                    </a:prstGeom>
                    <a:noFill/>
                  </pic:spPr>
                </pic:pic>
              </a:graphicData>
            </a:graphic>
          </wp:inline>
        </w:drawing>
      </w:r>
    </w:p>
    <w:p>
      <w:pPr>
        <w:pStyle w:val="Normal"/>
        <w:jc w:val="center"/>
        <w:rPr>
          <w:rFonts w:cs="Arial"/>
          <w:b/>
          <w:bCs/>
          <w:szCs w:val="24"/>
          <w:lang w:val="en-IN"/>
        </w:rPr>
      </w:pPr>
      <w:r>
        <w:rPr>
          <w:rFonts w:cs="Arial"/>
          <w:b/>
          <w:bCs/>
          <w:szCs w:val="24"/>
          <w:lang w:val="en-IN"/>
        </w:rPr>
      </w:r>
    </w:p>
    <w:p>
      <w:pPr>
        <w:pStyle w:val="Normal"/>
        <w:jc w:val="center"/>
        <w:rPr>
          <w:rFonts w:cs="Arial"/>
          <w:b/>
          <w:bCs/>
          <w:szCs w:val="24"/>
          <w:lang w:val="en-IN"/>
        </w:rPr>
      </w:pPr>
      <w:r>
        <w:rPr>
          <w:rFonts w:cs="Arial"/>
          <w:b/>
          <w:bCs/>
          <w:szCs w:val="24"/>
          <w:lang w:val="en-IN"/>
        </w:rPr>
        <w:t>Master of Business Administration (MBA)</w:t>
      </w:r>
    </w:p>
    <w:p>
      <w:pPr>
        <w:pStyle w:val="Normal"/>
        <w:jc w:val="center"/>
        <w:rPr>
          <w:rFonts w:cs="Arial"/>
          <w:b/>
          <w:bCs/>
          <w:szCs w:val="24"/>
          <w:lang w:val="en-IN"/>
        </w:rPr>
      </w:pPr>
      <w:r>
        <w:rPr>
          <w:rFonts w:cs="Arial"/>
          <w:b/>
          <w:bCs/>
          <w:szCs w:val="24"/>
          <w:lang w:val="en-IN"/>
        </w:rPr>
        <w:t xml:space="preserve">Module Title: </w:t>
      </w:r>
      <w:r>
        <w:rPr>
          <w:rFonts w:cs="Arial"/>
          <w:szCs w:val="24"/>
          <w:lang w:val="en-IN"/>
        </w:rPr>
        <w:t>Strategic Management</w:t>
      </w:r>
    </w:p>
    <w:p>
      <w:pPr>
        <w:pStyle w:val="Normal"/>
        <w:jc w:val="center"/>
        <w:rPr>
          <w:rFonts w:cs="Arial"/>
          <w:b/>
          <w:bCs/>
          <w:szCs w:val="24"/>
          <w:lang w:val="en-IN"/>
        </w:rPr>
      </w:pPr>
      <w:r>
        <w:rPr>
          <w:rFonts w:cs="Arial"/>
          <w:b/>
          <w:bCs/>
          <w:szCs w:val="24"/>
          <w:lang w:val="en-IN"/>
        </w:rPr>
        <w:t xml:space="preserve">Module Code: </w:t>
      </w:r>
      <w:r>
        <w:rPr/>
        <w:t>LCMB7003</w:t>
      </w:r>
    </w:p>
    <w:p>
      <w:pPr>
        <w:pStyle w:val="Normal"/>
        <w:jc w:val="center"/>
        <w:rPr>
          <w:rFonts w:cs="Arial"/>
          <w:szCs w:val="24"/>
          <w:lang w:val="en-IN"/>
        </w:rPr>
      </w:pPr>
      <w:r>
        <w:rPr>
          <w:rFonts w:cs="Arial"/>
          <w:szCs w:val="24"/>
          <w:lang w:val="en-IN"/>
        </w:rPr>
      </w:r>
    </w:p>
    <w:p>
      <w:pPr>
        <w:pStyle w:val="Normal"/>
        <w:jc w:val="center"/>
        <w:rPr>
          <w:rFonts w:cs="Arial"/>
          <w:b/>
          <w:bCs/>
          <w:szCs w:val="24"/>
          <w:lang w:val="en-IN"/>
        </w:rPr>
      </w:pPr>
      <w:r>
        <w:rPr>
          <w:rFonts w:cs="Arial"/>
          <w:b/>
          <w:bCs/>
          <w:szCs w:val="24"/>
          <w:lang w:val="en-IN"/>
        </w:rPr>
        <w:t xml:space="preserve">Assessment Title: </w:t>
      </w:r>
      <w:r>
        <w:rPr/>
        <w:t>Strategic Management Analysis of Tesco’s UK Grocery Operations</w:t>
      </w:r>
    </w:p>
    <w:p>
      <w:pPr>
        <w:pStyle w:val="Normal"/>
        <w:jc w:val="center"/>
        <w:rPr>
          <w:rFonts w:cs="Arial"/>
          <w:szCs w:val="24"/>
          <w:lang w:val="en-IN"/>
        </w:rPr>
      </w:pPr>
      <w:r>
        <w:rPr>
          <w:rFonts w:cs="Arial"/>
          <w:szCs w:val="24"/>
          <w:lang w:val="en-IN"/>
        </w:rPr>
      </w:r>
    </w:p>
    <w:p>
      <w:pPr>
        <w:pStyle w:val="Normal"/>
        <w:jc w:val="center"/>
        <w:rPr>
          <w:rFonts w:cs="Arial"/>
          <w:b/>
          <w:bCs/>
          <w:szCs w:val="24"/>
          <w:lang w:val="en-IN"/>
        </w:rPr>
      </w:pPr>
      <w:r>
        <w:rPr>
          <w:rFonts w:cs="Arial"/>
          <w:b/>
          <w:bCs/>
          <w:szCs w:val="24"/>
          <w:lang w:val="en-IN"/>
        </w:rPr>
        <w:t xml:space="preserve">Student Name: </w:t>
      </w:r>
      <w:r>
        <w:rPr>
          <w:rFonts w:cs="Arial"/>
          <w:b w:val="false"/>
          <w:bCs w:val="false"/>
          <w:szCs w:val="24"/>
          <w:lang w:val="en-IN"/>
        </w:rPr>
        <w:t>Raj Rameshchandra Patel</w:t>
      </w:r>
    </w:p>
    <w:p>
      <w:pPr>
        <w:pStyle w:val="Normal"/>
        <w:jc w:val="center"/>
        <w:rPr>
          <w:rFonts w:cs="Arial"/>
          <w:b/>
          <w:bCs/>
          <w:szCs w:val="24"/>
          <w:lang w:val="en-IN"/>
        </w:rPr>
      </w:pPr>
      <w:r>
        <w:rPr>
          <w:rFonts w:cs="Arial"/>
          <w:b/>
          <w:bCs/>
          <w:szCs w:val="24"/>
          <w:lang w:val="en-IN"/>
        </w:rPr>
        <w:t xml:space="preserve">Student ID: </w:t>
      </w:r>
      <w:r>
        <w:rPr>
          <w:rFonts w:cs="Arial"/>
          <w:b w:val="false"/>
          <w:bCs w:val="false"/>
          <w:szCs w:val="24"/>
          <w:lang w:val="en-IN"/>
        </w:rPr>
        <w:t>2518465</w:t>
      </w:r>
    </w:p>
    <w:p>
      <w:pPr>
        <w:pStyle w:val="Normal"/>
        <w:jc w:val="center"/>
        <w:rPr>
          <w:rFonts w:cs="Arial"/>
          <w:szCs w:val="24"/>
          <w:lang w:val="en-IN"/>
        </w:rPr>
      </w:pPr>
      <w:r>
        <w:rPr>
          <w:rFonts w:cs="Arial"/>
          <w:szCs w:val="24"/>
          <w:lang w:val="en-IN"/>
        </w:rPr>
      </w:r>
    </w:p>
    <w:p>
      <w:pPr>
        <w:pStyle w:val="Normal"/>
        <w:jc w:val="center"/>
        <w:rPr>
          <w:rFonts w:cs="Arial"/>
          <w:b/>
          <w:bCs/>
          <w:szCs w:val="24"/>
          <w:lang w:val="en-IN"/>
        </w:rPr>
      </w:pPr>
      <w:r>
        <w:rPr>
          <w:rFonts w:cs="Arial"/>
          <w:b/>
          <w:bCs/>
          <w:szCs w:val="24"/>
          <w:lang w:val="en-IN"/>
        </w:rPr>
        <w:t xml:space="preserve">Lecturer Name: </w:t>
      </w:r>
      <w:r>
        <w:rPr>
          <w:rFonts w:cs="Arial"/>
          <w:b w:val="false"/>
          <w:bCs w:val="false"/>
          <w:szCs w:val="24"/>
          <w:lang w:val="en-IN"/>
        </w:rPr>
        <w:t xml:space="preserve"> Mr. Ghulam Mujtaba</w:t>
      </w:r>
    </w:p>
    <w:p>
      <w:pPr>
        <w:pStyle w:val="Normal"/>
        <w:jc w:val="center"/>
        <w:rPr>
          <w:rFonts w:cs="Arial"/>
          <w:szCs w:val="24"/>
          <w:lang w:val="en-IN"/>
        </w:rPr>
      </w:pPr>
      <w:r>
        <w:rPr>
          <w:rFonts w:cs="Arial"/>
          <w:szCs w:val="24"/>
          <w:lang w:val="en-IN"/>
        </w:rPr>
      </w:r>
    </w:p>
    <w:p>
      <w:pPr>
        <w:pStyle w:val="Normal"/>
        <w:jc w:val="center"/>
        <w:rPr>
          <w:rFonts w:cs="Arial"/>
          <w:b/>
          <w:bCs/>
          <w:szCs w:val="24"/>
          <w:lang w:val="en-IN"/>
        </w:rPr>
      </w:pPr>
      <w:r>
        <w:rPr/>
      </w:r>
    </w:p>
    <w:p>
      <w:pPr>
        <w:pStyle w:val="Heading1"/>
        <w:rPr/>
      </w:pPr>
      <w:r>
        <w:rPr/>
      </w:r>
    </w:p>
    <w:p>
      <w:pPr>
        <w:pStyle w:val="Heading1"/>
        <w:rPr/>
      </w:pPr>
      <w:r>
        <w:rPr/>
      </w:r>
    </w:p>
    <w:p>
      <w:pPr>
        <w:pStyle w:val="Normal"/>
        <w:spacing w:lineRule="auto" w:line="259" w:before="0" w:after="160"/>
        <w:jc w:val="start"/>
        <w:rPr>
          <w:rFonts w:eastAsia="" w:eastAsiaTheme="majorEastAsia"/>
          <w:b/>
          <w:bCs/>
          <w:color w:themeColor="text1" w:val="000000"/>
          <w:kern w:val="2"/>
          <w:szCs w:val="48"/>
          <w:lang w:eastAsia="en-IN"/>
        </w:rPr>
      </w:pPr>
      <w:r>
        <w:rPr>
          <w:rFonts w:eastAsia="" w:eastAsiaTheme="majorEastAsia"/>
          <w:b/>
          <w:bCs/>
          <w:color w:themeColor="text1" w:val="000000"/>
          <w:kern w:val="2"/>
          <w:szCs w:val="48"/>
          <w:lang w:eastAsia="en-IN"/>
        </w:rPr>
      </w:r>
    </w:p>
    <w:sdt>
      <w:sdtPr>
        <w:docPartObj>
          <w:docPartGallery w:val="Table of Contents"/>
          <w:docPartUnique w:val="true"/>
        </w:docPartObj>
      </w:sdtPr>
      <w:sdtContent>
        <w:p>
          <w:pPr>
            <w:pStyle w:val="TOCHeading"/>
            <w:spacing w:before="0" w:after="0"/>
            <w:jc w:val="center"/>
            <w:rPr>
              <w:rFonts w:ascii="Arial" w:hAnsi="Arial" w:cs="Arial"/>
              <w:b/>
              <w:bCs/>
              <w:color w:themeColor="text1" w:val="000000"/>
            </w:rPr>
          </w:pPr>
          <w:r>
            <w:br w:type="page"/>
          </w:r>
          <w:r>
            <w:rPr>
              <w:rFonts w:cs="Arial" w:ascii="Arial" w:hAnsi="Arial"/>
              <w:b/>
              <w:bCs/>
              <w:color w:themeColor="text1" w:val="000000"/>
            </w:rPr>
            <w:t>Table of Contents</w:t>
          </w:r>
        </w:p>
        <w:p>
          <w:pPr>
            <w:pStyle w:val="TOC1"/>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r>
            <w:fldChar w:fldCharType="begin"/>
          </w:r>
          <w:r>
            <w:rPr>
              <w:rStyle w:val="IndexLink"/>
              <w:webHidden/>
            </w:rPr>
            <w:instrText xml:space="preserve"> TOC \z \o "1-3" \u \h</w:instrText>
          </w:r>
          <w:r>
            <w:rPr>
              <w:rStyle w:val="IndexLink"/>
              <w:webHidden/>
            </w:rPr>
            <w:fldChar w:fldCharType="separate"/>
          </w:r>
          <w:hyperlink w:anchor="_Toc237352506">
            <w:r>
              <w:rPr>
                <w:rStyle w:val="IndexLink"/>
                <w:webHidden/>
              </w:rPr>
              <w:t>Section 1: Strategic Management Analysis of Tesco’s UK Grocery Operations</w:t>
            </w:r>
            <w:r>
              <w:rPr>
                <w:webHidden/>
              </w:rPr>
              <w:fldChar w:fldCharType="begin"/>
            </w:r>
            <w:r>
              <w:rPr>
                <w:webHidden/>
              </w:rPr>
              <w:instrText xml:space="preserve">PAGEREF _Toc237352506 \h</w:instrText>
            </w:r>
            <w:r>
              <w:rPr>
                <w:webHidden/>
              </w:rPr>
              <w:fldChar w:fldCharType="separate"/>
            </w:r>
            <w:r>
              <w:rPr>
                <w:rStyle w:val="IndexLink"/>
                <w:vanish w:val="false"/>
              </w:rPr>
              <w:tab/>
              <w:t>3</w:t>
            </w:r>
            <w:r>
              <w:rPr>
                <w:webHidden/>
              </w:rPr>
              <w:fldChar w:fldCharType="end"/>
            </w:r>
          </w:hyperlink>
        </w:p>
        <w:p>
          <w:pPr>
            <w:pStyle w:val="TOC1"/>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352507">
            <w:r>
              <w:rPr>
                <w:rStyle w:val="IndexLink"/>
                <w:webHidden/>
                <w:lang w:val="en-IN"/>
              </w:rPr>
              <w:t>1. Organisational Context and Overview</w:t>
            </w:r>
            <w:r>
              <w:rPr>
                <w:webHidden/>
              </w:rPr>
              <w:fldChar w:fldCharType="begin"/>
            </w:r>
            <w:r>
              <w:rPr>
                <w:webHidden/>
              </w:rPr>
              <w:instrText xml:space="preserve">PAGEREF _Toc237352507 \h</w:instrText>
            </w:r>
            <w:r>
              <w:rPr>
                <w:webHidden/>
              </w:rPr>
              <w:fldChar w:fldCharType="separate"/>
            </w:r>
            <w:r>
              <w:rPr>
                <w:rStyle w:val="IndexLink"/>
                <w:vanish w:val="false"/>
              </w:rPr>
              <w:tab/>
              <w:t>3</w:t>
            </w:r>
            <w:r>
              <w:rPr>
                <w:webHidden/>
              </w:rPr>
              <w:fldChar w:fldCharType="end"/>
            </w:r>
          </w:hyperlink>
        </w:p>
        <w:p>
          <w:pPr>
            <w:pStyle w:val="TOC1"/>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352508">
            <w:r>
              <w:rPr>
                <w:rStyle w:val="IndexLink"/>
                <w:webHidden/>
                <w:lang w:val="en-IN"/>
              </w:rPr>
              <w:t>2. External and Internal Analysis</w:t>
            </w:r>
            <w:r>
              <w:rPr>
                <w:webHidden/>
              </w:rPr>
              <w:fldChar w:fldCharType="begin"/>
            </w:r>
            <w:r>
              <w:rPr>
                <w:webHidden/>
              </w:rPr>
              <w:instrText xml:space="preserve">PAGEREF _Toc237352508 \h</w:instrText>
            </w:r>
            <w:r>
              <w:rPr>
                <w:webHidden/>
              </w:rPr>
              <w:fldChar w:fldCharType="separate"/>
            </w:r>
            <w:r>
              <w:rPr>
                <w:rStyle w:val="IndexLink"/>
                <w:vanish w:val="false"/>
              </w:rPr>
              <w:tab/>
              <w:t>4</w:t>
            </w:r>
            <w:r>
              <w:rPr>
                <w:webHidden/>
              </w:rPr>
              <w:fldChar w:fldCharType="end"/>
            </w:r>
          </w:hyperlink>
        </w:p>
        <w:p>
          <w:pPr>
            <w:pStyle w:val="TOC2"/>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352509">
            <w:r>
              <w:rPr>
                <w:rStyle w:val="IndexLink"/>
                <w:webHidden/>
                <w:lang w:val="en-IN"/>
              </w:rPr>
              <w:t>2.1 PESTEL Analysis</w:t>
            </w:r>
            <w:r>
              <w:rPr>
                <w:webHidden/>
              </w:rPr>
              <w:fldChar w:fldCharType="begin"/>
            </w:r>
            <w:r>
              <w:rPr>
                <w:webHidden/>
              </w:rPr>
              <w:instrText xml:space="preserve">PAGEREF _Toc237352509 \h</w:instrText>
            </w:r>
            <w:r>
              <w:rPr>
                <w:webHidden/>
              </w:rPr>
              <w:fldChar w:fldCharType="separate"/>
            </w:r>
            <w:r>
              <w:rPr>
                <w:rStyle w:val="IndexLink"/>
                <w:vanish w:val="false"/>
              </w:rPr>
              <w:tab/>
              <w:t>4</w:t>
            </w:r>
            <w:r>
              <w:rPr>
                <w:webHidden/>
              </w:rPr>
              <w:fldChar w:fldCharType="end"/>
            </w:r>
          </w:hyperlink>
        </w:p>
        <w:p>
          <w:pPr>
            <w:pStyle w:val="TOC2"/>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352510">
            <w:r>
              <w:rPr>
                <w:rStyle w:val="IndexLink"/>
                <w:webHidden/>
                <w:lang w:val="en-IN"/>
              </w:rPr>
              <w:t>2.2 SWOT Analysis</w:t>
            </w:r>
            <w:r>
              <w:rPr>
                <w:webHidden/>
              </w:rPr>
              <w:fldChar w:fldCharType="begin"/>
            </w:r>
            <w:r>
              <w:rPr>
                <w:webHidden/>
              </w:rPr>
              <w:instrText xml:space="preserve">PAGEREF _Toc237352510 \h</w:instrText>
            </w:r>
            <w:r>
              <w:rPr>
                <w:webHidden/>
              </w:rPr>
              <w:fldChar w:fldCharType="separate"/>
            </w:r>
            <w:r>
              <w:rPr>
                <w:rStyle w:val="IndexLink"/>
                <w:vanish w:val="false"/>
              </w:rPr>
              <w:tab/>
              <w:t>7</w:t>
            </w:r>
            <w:r>
              <w:rPr>
                <w:webHidden/>
              </w:rPr>
              <w:fldChar w:fldCharType="end"/>
            </w:r>
          </w:hyperlink>
        </w:p>
        <w:p>
          <w:pPr>
            <w:pStyle w:val="TOC1"/>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352511">
            <w:r>
              <w:rPr>
                <w:rStyle w:val="IndexLink"/>
                <w:webHidden/>
                <w:lang w:val="en-IN"/>
              </w:rPr>
              <w:t>3. Comprehensive and Holistic View of Tesco</w:t>
            </w:r>
            <w:r>
              <w:rPr>
                <w:webHidden/>
              </w:rPr>
              <w:fldChar w:fldCharType="begin"/>
            </w:r>
            <w:r>
              <w:rPr>
                <w:webHidden/>
              </w:rPr>
              <w:instrText xml:space="preserve">PAGEREF _Toc237352511 \h</w:instrText>
            </w:r>
            <w:r>
              <w:rPr>
                <w:webHidden/>
              </w:rPr>
              <w:fldChar w:fldCharType="separate"/>
            </w:r>
            <w:r>
              <w:rPr>
                <w:rStyle w:val="IndexLink"/>
                <w:vanish w:val="false"/>
              </w:rPr>
              <w:tab/>
              <w:t>10</w:t>
            </w:r>
            <w:r>
              <w:rPr>
                <w:webHidden/>
              </w:rPr>
              <w:fldChar w:fldCharType="end"/>
            </w:r>
          </w:hyperlink>
        </w:p>
        <w:p>
          <w:pPr>
            <w:pStyle w:val="TOC2"/>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352512">
            <w:r>
              <w:rPr>
                <w:rStyle w:val="IndexLink"/>
                <w:webHidden/>
                <w:lang w:val="en-IN"/>
              </w:rPr>
              <w:t>3.1 Corporate Social Responsibility and Alignment with Business Objectives</w:t>
            </w:r>
            <w:r>
              <w:rPr>
                <w:webHidden/>
              </w:rPr>
              <w:fldChar w:fldCharType="begin"/>
            </w:r>
            <w:r>
              <w:rPr>
                <w:webHidden/>
              </w:rPr>
              <w:instrText xml:space="preserve">PAGEREF _Toc237352512 \h</w:instrText>
            </w:r>
            <w:r>
              <w:rPr>
                <w:webHidden/>
              </w:rPr>
              <w:fldChar w:fldCharType="separate"/>
            </w:r>
            <w:r>
              <w:rPr>
                <w:rStyle w:val="IndexLink"/>
                <w:vanish w:val="false"/>
              </w:rPr>
              <w:tab/>
              <w:t>10</w:t>
            </w:r>
            <w:r>
              <w:rPr>
                <w:webHidden/>
              </w:rPr>
              <w:fldChar w:fldCharType="end"/>
            </w:r>
          </w:hyperlink>
        </w:p>
        <w:p>
          <w:pPr>
            <w:pStyle w:val="TOC2"/>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352513">
            <w:r>
              <w:rPr>
                <w:rStyle w:val="IndexLink"/>
                <w:webHidden/>
                <w:lang w:val="en-IN"/>
              </w:rPr>
              <w:t>3.2 Balanced Scorecard</w:t>
            </w:r>
            <w:r>
              <w:rPr>
                <w:webHidden/>
              </w:rPr>
              <w:fldChar w:fldCharType="begin"/>
            </w:r>
            <w:r>
              <w:rPr>
                <w:webHidden/>
              </w:rPr>
              <w:instrText xml:space="preserve">PAGEREF _Toc237352513 \h</w:instrText>
            </w:r>
            <w:r>
              <w:rPr>
                <w:webHidden/>
              </w:rPr>
              <w:fldChar w:fldCharType="separate"/>
            </w:r>
            <w:r>
              <w:rPr>
                <w:rStyle w:val="IndexLink"/>
                <w:vanish w:val="false"/>
              </w:rPr>
              <w:tab/>
              <w:t>11</w:t>
            </w:r>
            <w:r>
              <w:rPr>
                <w:webHidden/>
              </w:rPr>
              <w:fldChar w:fldCharType="end"/>
            </w:r>
          </w:hyperlink>
        </w:p>
        <w:p>
          <w:pPr>
            <w:pStyle w:val="TOC3"/>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352514">
            <w:r>
              <w:rPr>
                <w:rStyle w:val="IndexLink"/>
                <w:webHidden/>
                <w:lang w:val="en-IN"/>
              </w:rPr>
              <w:t>3.2.1 Financial Perspective</w:t>
            </w:r>
            <w:r>
              <w:rPr>
                <w:webHidden/>
              </w:rPr>
              <w:fldChar w:fldCharType="begin"/>
            </w:r>
            <w:r>
              <w:rPr>
                <w:webHidden/>
              </w:rPr>
              <w:instrText xml:space="preserve">PAGEREF _Toc237352514 \h</w:instrText>
            </w:r>
            <w:r>
              <w:rPr>
                <w:webHidden/>
              </w:rPr>
              <w:fldChar w:fldCharType="separate"/>
            </w:r>
            <w:r>
              <w:rPr>
                <w:rStyle w:val="IndexLink"/>
                <w:vanish w:val="false"/>
              </w:rPr>
              <w:tab/>
              <w:t>11</w:t>
            </w:r>
            <w:r>
              <w:rPr>
                <w:webHidden/>
              </w:rPr>
              <w:fldChar w:fldCharType="end"/>
            </w:r>
          </w:hyperlink>
        </w:p>
        <w:p>
          <w:pPr>
            <w:pStyle w:val="TOC3"/>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352515">
            <w:r>
              <w:rPr>
                <w:rStyle w:val="IndexLink"/>
                <w:webHidden/>
                <w:lang w:val="en-IN"/>
              </w:rPr>
              <w:t>3.2.2 Customer Perspective</w:t>
            </w:r>
            <w:r>
              <w:rPr>
                <w:webHidden/>
              </w:rPr>
              <w:fldChar w:fldCharType="begin"/>
            </w:r>
            <w:r>
              <w:rPr>
                <w:webHidden/>
              </w:rPr>
              <w:instrText xml:space="preserve">PAGEREF _Toc237352515 \h</w:instrText>
            </w:r>
            <w:r>
              <w:rPr>
                <w:webHidden/>
              </w:rPr>
              <w:fldChar w:fldCharType="separate"/>
            </w:r>
            <w:r>
              <w:rPr>
                <w:rStyle w:val="IndexLink"/>
                <w:vanish w:val="false"/>
              </w:rPr>
              <w:tab/>
              <w:t>12</w:t>
            </w:r>
            <w:r>
              <w:rPr>
                <w:webHidden/>
              </w:rPr>
              <w:fldChar w:fldCharType="end"/>
            </w:r>
          </w:hyperlink>
        </w:p>
        <w:p>
          <w:pPr>
            <w:pStyle w:val="TOC3"/>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352516">
            <w:r>
              <w:rPr>
                <w:rStyle w:val="IndexLink"/>
                <w:webHidden/>
                <w:lang w:val="en-IN"/>
              </w:rPr>
              <w:t>3.2.3 Internal Business Process Perspective</w:t>
            </w:r>
            <w:r>
              <w:rPr>
                <w:webHidden/>
              </w:rPr>
              <w:fldChar w:fldCharType="begin"/>
            </w:r>
            <w:r>
              <w:rPr>
                <w:webHidden/>
              </w:rPr>
              <w:instrText xml:space="preserve">PAGEREF _Toc237352516 \h</w:instrText>
            </w:r>
            <w:r>
              <w:rPr>
                <w:webHidden/>
              </w:rPr>
              <w:fldChar w:fldCharType="separate"/>
            </w:r>
            <w:r>
              <w:rPr>
                <w:rStyle w:val="IndexLink"/>
                <w:vanish w:val="false"/>
              </w:rPr>
              <w:tab/>
              <w:t>12</w:t>
            </w:r>
            <w:r>
              <w:rPr>
                <w:webHidden/>
              </w:rPr>
              <w:fldChar w:fldCharType="end"/>
            </w:r>
          </w:hyperlink>
        </w:p>
        <w:p>
          <w:pPr>
            <w:pStyle w:val="TOC3"/>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352517">
            <w:r>
              <w:rPr>
                <w:rStyle w:val="IndexLink"/>
                <w:webHidden/>
                <w:lang w:val="en-IN"/>
              </w:rPr>
              <w:t>3.2.4 Learning and Growth Perspective</w:t>
            </w:r>
            <w:r>
              <w:rPr>
                <w:webHidden/>
              </w:rPr>
              <w:fldChar w:fldCharType="begin"/>
            </w:r>
            <w:r>
              <w:rPr>
                <w:webHidden/>
              </w:rPr>
              <w:instrText xml:space="preserve">PAGEREF _Toc237352517 \h</w:instrText>
            </w:r>
            <w:r>
              <w:rPr>
                <w:webHidden/>
              </w:rPr>
              <w:fldChar w:fldCharType="separate"/>
            </w:r>
            <w:r>
              <w:rPr>
                <w:rStyle w:val="IndexLink"/>
                <w:vanish w:val="false"/>
              </w:rPr>
              <w:tab/>
              <w:t>12</w:t>
            </w:r>
            <w:r>
              <w:rPr>
                <w:webHidden/>
              </w:rPr>
              <w:fldChar w:fldCharType="end"/>
            </w:r>
          </w:hyperlink>
        </w:p>
        <w:p>
          <w:pPr>
            <w:pStyle w:val="TOC1"/>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352518">
            <w:r>
              <w:rPr>
                <w:rStyle w:val="IndexLink"/>
                <w:webHidden/>
                <w:lang w:val="en-IN"/>
              </w:rPr>
              <w:t>4. Strategic Choices and Implementation</w:t>
            </w:r>
            <w:r>
              <w:rPr>
                <w:webHidden/>
              </w:rPr>
              <w:fldChar w:fldCharType="begin"/>
            </w:r>
            <w:r>
              <w:rPr>
                <w:webHidden/>
              </w:rPr>
              <w:instrText xml:space="preserve">PAGEREF _Toc237352518 \h</w:instrText>
            </w:r>
            <w:r>
              <w:rPr>
                <w:webHidden/>
              </w:rPr>
              <w:fldChar w:fldCharType="separate"/>
            </w:r>
            <w:r>
              <w:rPr>
                <w:rStyle w:val="IndexLink"/>
                <w:vanish w:val="false"/>
              </w:rPr>
              <w:tab/>
              <w:t>13</w:t>
            </w:r>
            <w:r>
              <w:rPr>
                <w:webHidden/>
              </w:rPr>
              <w:fldChar w:fldCharType="end"/>
            </w:r>
          </w:hyperlink>
        </w:p>
        <w:p>
          <w:pPr>
            <w:pStyle w:val="TOC2"/>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352519">
            <w:r>
              <w:rPr>
                <w:rStyle w:val="IndexLink"/>
                <w:webHidden/>
                <w:lang w:val="en-IN"/>
              </w:rPr>
              <w:t>4.1 Strategic Choices</w:t>
            </w:r>
            <w:r>
              <w:rPr>
                <w:webHidden/>
              </w:rPr>
              <w:fldChar w:fldCharType="begin"/>
            </w:r>
            <w:r>
              <w:rPr>
                <w:webHidden/>
              </w:rPr>
              <w:instrText xml:space="preserve">PAGEREF _Toc237352519 \h</w:instrText>
            </w:r>
            <w:r>
              <w:rPr>
                <w:webHidden/>
              </w:rPr>
              <w:fldChar w:fldCharType="separate"/>
            </w:r>
            <w:r>
              <w:rPr>
                <w:rStyle w:val="IndexLink"/>
                <w:vanish w:val="false"/>
              </w:rPr>
              <w:tab/>
              <w:t>13</w:t>
            </w:r>
            <w:r>
              <w:rPr>
                <w:webHidden/>
              </w:rPr>
              <w:fldChar w:fldCharType="end"/>
            </w:r>
          </w:hyperlink>
        </w:p>
        <w:p>
          <w:pPr>
            <w:pStyle w:val="TOC2"/>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352520">
            <w:r>
              <w:rPr>
                <w:rStyle w:val="IndexLink"/>
                <w:webHidden/>
                <w:lang w:val="en-IN"/>
              </w:rPr>
              <w:t>4.2 Porter’s Five Forces</w:t>
            </w:r>
            <w:r>
              <w:rPr>
                <w:webHidden/>
              </w:rPr>
              <w:fldChar w:fldCharType="begin"/>
            </w:r>
            <w:r>
              <w:rPr>
                <w:webHidden/>
              </w:rPr>
              <w:instrText xml:space="preserve">PAGEREF _Toc237352520 \h</w:instrText>
            </w:r>
            <w:r>
              <w:rPr>
                <w:webHidden/>
              </w:rPr>
              <w:fldChar w:fldCharType="separate"/>
            </w:r>
            <w:r>
              <w:rPr>
                <w:rStyle w:val="IndexLink"/>
                <w:vanish w:val="false"/>
              </w:rPr>
              <w:tab/>
              <w:t>13</w:t>
            </w:r>
            <w:r>
              <w:rPr>
                <w:webHidden/>
              </w:rPr>
              <w:fldChar w:fldCharType="end"/>
            </w:r>
          </w:hyperlink>
        </w:p>
        <w:p>
          <w:pPr>
            <w:pStyle w:val="TOC2"/>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352521">
            <w:r>
              <w:rPr>
                <w:rStyle w:val="IndexLink"/>
                <w:webHidden/>
                <w:lang w:val="en-IN"/>
              </w:rPr>
              <w:t>4.3 Ansoff Matrix and Growth Direction</w:t>
            </w:r>
            <w:r>
              <w:rPr>
                <w:webHidden/>
              </w:rPr>
              <w:fldChar w:fldCharType="begin"/>
            </w:r>
            <w:r>
              <w:rPr>
                <w:webHidden/>
              </w:rPr>
              <w:instrText xml:space="preserve">PAGEREF _Toc237352521 \h</w:instrText>
            </w:r>
            <w:r>
              <w:rPr>
                <w:webHidden/>
              </w:rPr>
              <w:fldChar w:fldCharType="separate"/>
            </w:r>
            <w:r>
              <w:rPr>
                <w:rStyle w:val="IndexLink"/>
                <w:vanish w:val="false"/>
              </w:rPr>
              <w:tab/>
              <w:t>15</w:t>
            </w:r>
            <w:r>
              <w:rPr>
                <w:webHidden/>
              </w:rPr>
              <w:fldChar w:fldCharType="end"/>
            </w:r>
          </w:hyperlink>
        </w:p>
        <w:p>
          <w:pPr>
            <w:pStyle w:val="TOC2"/>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352522">
            <w:r>
              <w:rPr>
                <w:rStyle w:val="IndexLink"/>
                <w:webHidden/>
                <w:lang w:val="en-IN"/>
              </w:rPr>
              <w:t>4.4 Recommended Strategy</w:t>
            </w:r>
            <w:r>
              <w:rPr>
                <w:webHidden/>
              </w:rPr>
              <w:fldChar w:fldCharType="begin"/>
            </w:r>
            <w:r>
              <w:rPr>
                <w:webHidden/>
              </w:rPr>
              <w:instrText xml:space="preserve">PAGEREF _Toc237352522 \h</w:instrText>
            </w:r>
            <w:r>
              <w:rPr>
                <w:webHidden/>
              </w:rPr>
              <w:fldChar w:fldCharType="separate"/>
            </w:r>
            <w:r>
              <w:rPr>
                <w:rStyle w:val="IndexLink"/>
                <w:vanish w:val="false"/>
              </w:rPr>
              <w:tab/>
              <w:t>15</w:t>
            </w:r>
            <w:r>
              <w:rPr>
                <w:webHidden/>
              </w:rPr>
              <w:fldChar w:fldCharType="end"/>
            </w:r>
          </w:hyperlink>
        </w:p>
        <w:p>
          <w:pPr>
            <w:pStyle w:val="TOC2"/>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352523">
            <w:r>
              <w:rPr>
                <w:rStyle w:val="IndexLink"/>
                <w:webHidden/>
                <w:lang w:val="en-IN"/>
              </w:rPr>
              <w:t>4.5 Implementation Challenges and Mitigation</w:t>
            </w:r>
            <w:r>
              <w:rPr>
                <w:webHidden/>
              </w:rPr>
              <w:fldChar w:fldCharType="begin"/>
            </w:r>
            <w:r>
              <w:rPr>
                <w:webHidden/>
              </w:rPr>
              <w:instrText xml:space="preserve">PAGEREF _Toc237352523 \h</w:instrText>
            </w:r>
            <w:r>
              <w:rPr>
                <w:webHidden/>
              </w:rPr>
              <w:fldChar w:fldCharType="separate"/>
            </w:r>
            <w:r>
              <w:rPr>
                <w:rStyle w:val="IndexLink"/>
                <w:vanish w:val="false"/>
              </w:rPr>
              <w:tab/>
              <w:t>16</w:t>
            </w:r>
            <w:r>
              <w:rPr>
                <w:webHidden/>
              </w:rPr>
              <w:fldChar w:fldCharType="end"/>
            </w:r>
          </w:hyperlink>
        </w:p>
        <w:p>
          <w:pPr>
            <w:pStyle w:val="TOC1"/>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352524">
            <w:r>
              <w:rPr>
                <w:rStyle w:val="IndexLink"/>
                <w:webHidden/>
                <w:lang w:val="en-IN"/>
              </w:rPr>
              <w:t>Section 2: Reflective Account Using Kolb’s Experiential Learning Cycle</w:t>
            </w:r>
            <w:r>
              <w:rPr>
                <w:webHidden/>
              </w:rPr>
              <w:fldChar w:fldCharType="begin"/>
            </w:r>
            <w:r>
              <w:rPr>
                <w:webHidden/>
              </w:rPr>
              <w:instrText xml:space="preserve">PAGEREF _Toc237352524 \h</w:instrText>
            </w:r>
            <w:r>
              <w:rPr>
                <w:webHidden/>
              </w:rPr>
              <w:fldChar w:fldCharType="separate"/>
            </w:r>
            <w:r>
              <w:rPr>
                <w:rStyle w:val="IndexLink"/>
                <w:vanish w:val="false"/>
              </w:rPr>
              <w:tab/>
              <w:t>17</w:t>
            </w:r>
            <w:r>
              <w:rPr>
                <w:webHidden/>
              </w:rPr>
              <w:fldChar w:fldCharType="end"/>
            </w:r>
          </w:hyperlink>
        </w:p>
        <w:p>
          <w:pPr>
            <w:pStyle w:val="TOC2"/>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352525">
            <w:r>
              <w:rPr>
                <w:rStyle w:val="IndexLink"/>
                <w:webHidden/>
                <w:lang w:val="en-IN"/>
              </w:rPr>
              <w:t>2.1 Concrete Experience</w:t>
            </w:r>
            <w:r>
              <w:rPr>
                <w:webHidden/>
              </w:rPr>
              <w:fldChar w:fldCharType="begin"/>
            </w:r>
            <w:r>
              <w:rPr>
                <w:webHidden/>
              </w:rPr>
              <w:instrText xml:space="preserve">PAGEREF _Toc237352525 \h</w:instrText>
            </w:r>
            <w:r>
              <w:rPr>
                <w:webHidden/>
              </w:rPr>
              <w:fldChar w:fldCharType="separate"/>
            </w:r>
            <w:r>
              <w:rPr>
                <w:rStyle w:val="IndexLink"/>
                <w:vanish w:val="false"/>
              </w:rPr>
              <w:tab/>
              <w:t>17</w:t>
            </w:r>
            <w:r>
              <w:rPr>
                <w:webHidden/>
              </w:rPr>
              <w:fldChar w:fldCharType="end"/>
            </w:r>
          </w:hyperlink>
        </w:p>
        <w:p>
          <w:pPr>
            <w:pStyle w:val="TOC2"/>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352526">
            <w:r>
              <w:rPr>
                <w:rStyle w:val="IndexLink"/>
                <w:webHidden/>
                <w:lang w:val="en-IN"/>
              </w:rPr>
              <w:t>2.2 Reflective Observation</w:t>
            </w:r>
            <w:r>
              <w:rPr>
                <w:webHidden/>
              </w:rPr>
              <w:fldChar w:fldCharType="begin"/>
            </w:r>
            <w:r>
              <w:rPr>
                <w:webHidden/>
              </w:rPr>
              <w:instrText xml:space="preserve">PAGEREF _Toc237352526 \h</w:instrText>
            </w:r>
            <w:r>
              <w:rPr>
                <w:webHidden/>
              </w:rPr>
              <w:fldChar w:fldCharType="separate"/>
            </w:r>
            <w:r>
              <w:rPr>
                <w:rStyle w:val="IndexLink"/>
                <w:vanish w:val="false"/>
              </w:rPr>
              <w:tab/>
              <w:t>18</w:t>
            </w:r>
            <w:r>
              <w:rPr>
                <w:webHidden/>
              </w:rPr>
              <w:fldChar w:fldCharType="end"/>
            </w:r>
          </w:hyperlink>
        </w:p>
        <w:p>
          <w:pPr>
            <w:pStyle w:val="TOC2"/>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352527">
            <w:r>
              <w:rPr>
                <w:rStyle w:val="IndexLink"/>
                <w:webHidden/>
                <w:lang w:val="en-IN"/>
              </w:rPr>
              <w:t>2.3 Abstract Conceptualisation</w:t>
            </w:r>
            <w:r>
              <w:rPr>
                <w:webHidden/>
              </w:rPr>
              <w:fldChar w:fldCharType="begin"/>
            </w:r>
            <w:r>
              <w:rPr>
                <w:webHidden/>
              </w:rPr>
              <w:instrText xml:space="preserve">PAGEREF _Toc237352527 \h</w:instrText>
            </w:r>
            <w:r>
              <w:rPr>
                <w:webHidden/>
              </w:rPr>
              <w:fldChar w:fldCharType="separate"/>
            </w:r>
            <w:r>
              <w:rPr>
                <w:rStyle w:val="IndexLink"/>
                <w:vanish w:val="false"/>
              </w:rPr>
              <w:tab/>
              <w:t>19</w:t>
            </w:r>
            <w:r>
              <w:rPr>
                <w:webHidden/>
              </w:rPr>
              <w:fldChar w:fldCharType="end"/>
            </w:r>
          </w:hyperlink>
        </w:p>
        <w:p>
          <w:pPr>
            <w:pStyle w:val="TOC2"/>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352528">
            <w:r>
              <w:rPr>
                <w:rStyle w:val="IndexLink"/>
                <w:webHidden/>
                <w:lang w:val="en-IN"/>
              </w:rPr>
              <w:t>2.4 Active Experimentation</w:t>
            </w:r>
            <w:r>
              <w:rPr>
                <w:webHidden/>
              </w:rPr>
              <w:fldChar w:fldCharType="begin"/>
            </w:r>
            <w:r>
              <w:rPr>
                <w:webHidden/>
              </w:rPr>
              <w:instrText xml:space="preserve">PAGEREF _Toc237352528 \h</w:instrText>
            </w:r>
            <w:r>
              <w:rPr>
                <w:webHidden/>
              </w:rPr>
              <w:fldChar w:fldCharType="separate"/>
            </w:r>
            <w:r>
              <w:rPr>
                <w:rStyle w:val="IndexLink"/>
                <w:vanish w:val="false"/>
              </w:rPr>
              <w:tab/>
              <w:t>19</w:t>
            </w:r>
            <w:r>
              <w:rPr>
                <w:webHidden/>
              </w:rPr>
              <w:fldChar w:fldCharType="end"/>
            </w:r>
          </w:hyperlink>
        </w:p>
        <w:p>
          <w:pPr>
            <w:pStyle w:val="TOC1"/>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352529">
            <w:r>
              <w:rPr>
                <w:rStyle w:val="IndexLink"/>
                <w:webHidden/>
              </w:rPr>
              <w:t>REFERENCES</w:t>
            </w:r>
            <w:r>
              <w:rPr>
                <w:webHidden/>
              </w:rPr>
              <w:fldChar w:fldCharType="begin"/>
            </w:r>
            <w:r>
              <w:rPr>
                <w:webHidden/>
              </w:rPr>
              <w:instrText xml:space="preserve">PAGEREF _Toc237352529 \h</w:instrText>
            </w:r>
            <w:r>
              <w:rPr>
                <w:webHidden/>
              </w:rPr>
              <w:fldChar w:fldCharType="separate"/>
            </w:r>
            <w:r>
              <w:rPr>
                <w:rStyle w:val="IndexLink"/>
                <w:vanish w:val="false"/>
              </w:rPr>
              <w:tab/>
              <w:t>21</w:t>
            </w:r>
            <w:r>
              <w:rPr>
                <w:webHidden/>
              </w:rPr>
              <w:fldChar w:fldCharType="end"/>
            </w:r>
          </w:hyperlink>
        </w:p>
        <w:p>
          <w:pPr>
            <w:pStyle w:val="Normal"/>
            <w:rPr/>
          </w:pPr>
          <w:r>
            <w:rPr/>
          </w:r>
          <w:r>
            <w:rPr/>
            <w:fldChar w:fldCharType="end"/>
          </w:r>
        </w:p>
      </w:sdtContent>
    </w:sdt>
    <w:p>
      <w:pPr>
        <w:pStyle w:val="Heading1"/>
        <w:rPr/>
      </w:pPr>
      <w:bookmarkStart w:id="0" w:name="_Toc237352506"/>
      <w:r>
        <w:rPr/>
        <w:t>Section 1: Strategic Management Analysis of Tesco’s UK Grocery Operations</w:t>
      </w:r>
      <w:bookmarkEnd w:id="0"/>
    </w:p>
    <w:p>
      <w:pPr>
        <w:pStyle w:val="Heading1"/>
        <w:rPr>
          <w:lang w:val="en-IN"/>
        </w:rPr>
      </w:pPr>
      <w:bookmarkStart w:id="1" w:name="_Toc237352507"/>
      <w:r>
        <w:rPr>
          <w:lang w:val="en-IN"/>
        </w:rPr>
        <w:t>1. Organisational Context and Overview</w:t>
      </w:r>
      <w:bookmarkEnd w:id="1"/>
    </w:p>
    <w:p>
      <w:pPr>
        <w:pStyle w:val="Normal"/>
        <w:rPr>
          <w:lang w:val="en-IN"/>
        </w:rPr>
      </w:pPr>
      <w:r>
        <w:rPr>
          <w:lang w:val="en-IN"/>
        </w:rPr>
        <w:t>Tesco plc is one of the UK’s largest grocery retailers and has developed from a small market stall into a major multinational retail organisation (</w:t>
      </w:r>
      <w:r>
        <w:rPr/>
        <w:t>Tesco, 2026</w:t>
      </w:r>
      <w:r>
        <w:rPr>
          <w:lang w:val="en-IN"/>
        </w:rPr>
        <w:t xml:space="preserve">). The company has established a strong presence across different retail formats, including large supermarkets, convenience stores and online grocery services. For this report, the analysis focuses specifically on </w:t>
      </w:r>
      <w:r>
        <w:rPr>
          <w:b/>
          <w:bCs/>
          <w:lang w:val="en-IN"/>
        </w:rPr>
        <w:t>Tesco’s UK grocery retail operations</w:t>
      </w:r>
      <w:r>
        <w:rPr>
          <w:lang w:val="en-IN"/>
        </w:rPr>
        <w:t xml:space="preserve">, rather than its international businesses, because the assessment requires organisations operating across multiple markets to be examined within one clearly defined market. Tesco identifies its purpose as </w:t>
      </w:r>
      <w:r>
        <w:rPr>
          <w:i/>
          <w:iCs/>
          <w:lang w:val="en-IN"/>
        </w:rPr>
        <w:t>“serving our customers, communities and planet a little better every day”</w:t>
      </w:r>
      <w:r>
        <w:rPr>
          <w:lang w:val="en-IN"/>
        </w:rPr>
        <w:t>, demonstrating the importance of customers, communities and sustainability within its overall strategic direction (</w:t>
      </w:r>
      <w:r>
        <w:rPr/>
        <w:t>Tesco, 2026a</w:t>
      </w:r>
      <w:r>
        <w:rPr>
          <w:lang w:val="en-IN"/>
        </w:rPr>
        <w:t xml:space="preserve">). </w:t>
      </w:r>
    </w:p>
    <w:p>
      <w:pPr>
        <w:pStyle w:val="Normal"/>
        <w:rPr>
          <w:lang w:val="en-IN"/>
        </w:rPr>
      </w:pPr>
      <w:r>
        <w:rPr/>
        <w:drawing>
          <wp:inline distT="0" distB="0" distL="0" distR="0">
            <wp:extent cx="5731510" cy="4260850"/>
            <wp:effectExtent l="0" t="0" r="0" b="0"/>
            <wp:docPr id="2" name="Image2" descr="Tesco sales growth more than halves as Middle East uncertainty weighs on  shoppers - Grocery Gazette - Latest Grocery Industry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 descr="Tesco sales growth more than halves as Middle East uncertainty weighs on  shoppers - Grocery Gazette - Latest Grocery Industry News"/>
                    <pic:cNvPicPr>
                      <a:picLocks noChangeAspect="1" noChangeArrowheads="1"/>
                    </pic:cNvPicPr>
                  </pic:nvPicPr>
                  <pic:blipFill>
                    <a:blip r:embed="rId3"/>
                    <a:stretch>
                      <a:fillRect/>
                    </a:stretch>
                  </pic:blipFill>
                  <pic:spPr bwMode="auto">
                    <a:xfrm>
                      <a:off x="0" y="0"/>
                      <a:ext cx="5731510" cy="4260850"/>
                    </a:xfrm>
                    <a:prstGeom prst="rect">
                      <a:avLst/>
                    </a:prstGeom>
                    <a:noFill/>
                  </pic:spPr>
                </pic:pic>
              </a:graphicData>
            </a:graphic>
          </wp:inline>
        </w:drawing>
      </w:r>
    </w:p>
    <w:p>
      <w:pPr>
        <w:pStyle w:val="Normal"/>
        <w:rPr>
          <w:lang w:val="en-IN"/>
        </w:rPr>
      </w:pPr>
      <w:r>
        <w:rPr>
          <w:lang w:val="en-IN"/>
        </w:rPr>
        <w:t xml:space="preserve">Tesco’s business model is centred on providing customers with a combination of </w:t>
      </w:r>
      <w:r>
        <w:rPr>
          <w:b/>
          <w:bCs/>
          <w:lang w:val="en-IN"/>
        </w:rPr>
        <w:t>value, quality, range and convenience</w:t>
      </w:r>
      <w:r>
        <w:rPr>
          <w:lang w:val="en-IN"/>
        </w:rPr>
        <w:t xml:space="preserve">. Its extensive physical store network is complemented by online grocery shopping and rapid delivery services, enabling the organisation to serve customers through multiple channels. A particularly important element of Tesco’s competitive model is its </w:t>
      </w:r>
      <w:r>
        <w:rPr>
          <w:b/>
          <w:bCs/>
          <w:lang w:val="en-IN"/>
        </w:rPr>
        <w:t>Clubcard ecosystem</w:t>
      </w:r>
      <w:r>
        <w:rPr>
          <w:lang w:val="en-IN"/>
        </w:rPr>
        <w:t>, which provides customer loyalty benefits while generating valuable purchasing data that can be used to personalise offers and understand consumer behaviour. Tesco has previously reported more than 20 million Clubcard households in the UK, highlighting the scale of this capability and its potential contribution to customer retention and competitive advantage (</w:t>
      </w:r>
      <w:r>
        <w:rPr/>
        <w:t>Davey, 2022</w:t>
      </w:r>
      <w:r>
        <w:rPr>
          <w:lang w:val="en-IN"/>
        </w:rPr>
        <w:t xml:space="preserve">). </w:t>
      </w:r>
    </w:p>
    <w:p>
      <w:pPr>
        <w:pStyle w:val="Normal"/>
        <w:rPr>
          <w:lang w:val="en-IN"/>
        </w:rPr>
      </w:pPr>
      <w:r>
        <w:rPr>
          <w:lang w:val="en-IN"/>
        </w:rPr>
        <w:t>Tesco operates within the highly competitive UK grocery retail industry, where it competes with major full-line supermarkets including Sainsbury’s, Asda and Morrisons, alongside rapidly expanding discount retailers such as Aldi and Lidl (</w:t>
      </w:r>
      <w:r>
        <w:rPr/>
        <w:t>Leite, 2020</w:t>
      </w:r>
      <w:r>
        <w:rPr>
          <w:lang w:val="en-IN"/>
        </w:rPr>
        <w:t xml:space="preserve">). Consequently, maintaining competitive advantage requires Tesco to balance competitive pricing with product quality, customer experience, convenience and differentiation. The intensity of competition is also reflected in Tesco’s continued emphasis on value and customer satisfaction. In its 2025/26 first-quarter trading statement, Tesco reported UK grocery market share of </w:t>
      </w:r>
      <w:r>
        <w:rPr>
          <w:b/>
          <w:bCs/>
          <w:lang w:val="en-IN"/>
        </w:rPr>
        <w:t>28.0%</w:t>
      </w:r>
      <w:r>
        <w:rPr>
          <w:lang w:val="en-IN"/>
        </w:rPr>
        <w:t>, representing a 44-basis-point year-on-year increase, while UK food sales increased by 5.9% (</w:t>
      </w:r>
      <w:r>
        <w:rPr/>
        <w:t>Tesco, 2025</w:t>
      </w:r>
      <w:r>
        <w:rPr>
          <w:lang w:val="en-IN"/>
        </w:rPr>
        <w:t xml:space="preserve">). </w:t>
      </w:r>
    </w:p>
    <w:p>
      <w:pPr>
        <w:pStyle w:val="Normal"/>
        <w:rPr>
          <w:lang w:val="en-IN"/>
        </w:rPr>
      </w:pPr>
      <w:r>
        <w:rPr>
          <w:lang w:val="en-IN"/>
        </w:rPr>
        <w:t xml:space="preserve">Tesco’s 2026 Annual Report further reported </w:t>
      </w:r>
      <w:r>
        <w:rPr>
          <w:b/>
          <w:bCs/>
          <w:lang w:val="en-IN"/>
        </w:rPr>
        <w:t>28.5% UK market share</w:t>
      </w:r>
      <w:r>
        <w:rPr>
          <w:lang w:val="en-IN"/>
        </w:rPr>
        <w:t>, alongside group sales of £67.7 billion and adjusted operating profit of £3.152 billion (</w:t>
      </w:r>
      <w:r>
        <w:rPr/>
        <w:t>Tesco, 2026b</w:t>
      </w:r>
      <w:r>
        <w:rPr>
          <w:lang w:val="en-IN"/>
        </w:rPr>
        <w:t>). These results indicate a strong strategic position, although Tesco must continue responding to price competition, changing consumer expectations, technological development and sustainability pressures. Therefore, the subsequent analysis evaluates Tesco’s external environment, internal capabilities, CSR performance and strategic choices to determine how it can sustain and strengthen its competitive advantage in the UK grocery market.</w:t>
      </w:r>
    </w:p>
    <w:p>
      <w:pPr>
        <w:pStyle w:val="Heading1"/>
        <w:rPr>
          <w:lang w:val="en-IN"/>
        </w:rPr>
      </w:pPr>
      <w:bookmarkStart w:id="2" w:name="_Toc237352508"/>
      <w:r>
        <w:rPr>
          <w:lang w:val="en-IN"/>
        </w:rPr>
        <w:t>2. External and Internal Analysis</w:t>
      </w:r>
      <w:bookmarkEnd w:id="2"/>
    </w:p>
    <w:p>
      <w:pPr>
        <w:pStyle w:val="Heading2"/>
        <w:rPr>
          <w:lang w:val="en-IN"/>
        </w:rPr>
      </w:pPr>
      <w:bookmarkStart w:id="3" w:name="_Toc237352509"/>
      <w:r>
        <w:rPr>
          <w:lang w:val="en-IN"/>
        </w:rPr>
        <w:t>2.1 PESTEL Analysis</w:t>
      </w:r>
      <w:bookmarkEnd w:id="3"/>
    </w:p>
    <w:p>
      <w:pPr>
        <w:pStyle w:val="Normal"/>
        <w:rPr>
          <w:lang w:val="en-IN"/>
        </w:rPr>
      </w:pPr>
      <w:r>
        <w:rPr>
          <w:lang w:val="en-IN"/>
        </w:rPr>
        <w:t>Tesco’s UK grocery operations are influenced by a complex external environment characterised by intense competition, changing consumer expectations, technological development, regulatory intervention and continuing sustainability pressures. A PESTEL analysis is therefore useful for identifying the external factors that may influence Tesco’s strategic position and future competitive advantage.</w:t>
      </w:r>
    </w:p>
    <w:p>
      <w:pPr>
        <w:pStyle w:val="Normal"/>
        <w:rPr>
          <w:b/>
          <w:bCs/>
          <w:lang w:val="en-IN"/>
        </w:rPr>
      </w:pPr>
      <w:r>
        <w:rPr>
          <w:b/>
          <w:bCs/>
          <w:lang w:val="en-IN"/>
        </w:rPr>
        <w:t>Political Factors</w:t>
      </w:r>
    </w:p>
    <w:p>
      <w:pPr>
        <w:pStyle w:val="Normal"/>
        <w:rPr>
          <w:lang w:val="en-IN"/>
        </w:rPr>
      </w:pPr>
      <w:r>
        <w:rPr>
          <w:lang w:val="en-IN"/>
        </w:rPr>
        <w:t>Political and regulatory conditions remain important for Tesco because food retailing is highly regulated and directly connected with consumer welfare, food standards and competition policy. The UK government and regulatory bodies continue to scrutinise the grocery sector, particularly competition and consumer choice. For example, the Competition and Markets Authority (CMA) proposed in August 2026 that Aldi and Lidl should be brought under existing supermarket land rules because of their increasing scale and competitive influence (</w:t>
      </w:r>
      <w:r>
        <w:rPr/>
        <w:t>Gov UK, 2026</w:t>
      </w:r>
      <w:r>
        <w:rPr>
          <w:lang w:val="en-IN"/>
        </w:rPr>
        <w:t>). This development is strategically relevant to Tesco because the company competes against rapidly expanding discounters. Although the proposed rules could create a more level competitive environment, Tesco cannot rely on regulation to protect its market position. Instead, it needs to maintain competitiveness through price, convenience, customer loyalty and operational efficiency.</w:t>
      </w:r>
    </w:p>
    <w:p>
      <w:pPr>
        <w:pStyle w:val="Normal"/>
        <w:rPr>
          <w:b/>
          <w:bCs/>
          <w:lang w:val="en-IN"/>
        </w:rPr>
      </w:pPr>
      <w:r>
        <w:rPr>
          <w:b/>
          <w:bCs/>
          <w:lang w:val="en-IN"/>
        </w:rPr>
        <w:t>Economic Factors</w:t>
      </w:r>
    </w:p>
    <w:p>
      <w:pPr>
        <w:pStyle w:val="Normal"/>
        <w:rPr>
          <w:lang w:val="en-IN"/>
        </w:rPr>
      </w:pPr>
      <w:r>
        <w:rPr>
          <w:lang w:val="en-IN"/>
        </w:rPr>
        <w:t>Economic conditions represent a significant challenge because consumers become more price-sensitive when household budgets are under pressure (</w:t>
      </w:r>
      <w:r>
        <w:rPr/>
        <w:t xml:space="preserve">Ishrat </w:t>
      </w:r>
      <w:r>
        <w:rPr>
          <w:i/>
          <w:iCs/>
        </w:rPr>
        <w:t>et al.,</w:t>
      </w:r>
      <w:r>
        <w:rPr/>
        <w:t xml:space="preserve"> 2023</w:t>
      </w:r>
      <w:r>
        <w:rPr>
          <w:lang w:val="en-IN"/>
        </w:rPr>
        <w:t xml:space="preserve">). Tesco must therefore balance affordability with profitability. The growth of discount retailers such as Aldi and Lidl increases this pressure because consumers can switch between retailers based on price. Tesco's scale provides purchasing power and operational efficiencies that can support competitive pricing. Recent market data shows Tesco retaining the largest UK grocery market share, at </w:t>
      </w:r>
      <w:r>
        <w:rPr>
          <w:b/>
          <w:bCs/>
          <w:lang w:val="en-IN"/>
        </w:rPr>
        <w:t>28.7% in the 12 weeks ending 28 December 2025</w:t>
      </w:r>
      <w:r>
        <w:rPr>
          <w:lang w:val="en-IN"/>
        </w:rPr>
        <w:t xml:space="preserve">, compared with 16.3% for Sainsbury's and 10.1% for Aldi (Tesco, 2026). This indicates that Tesco has successfully defended its position despite economic and competitive pressures. However, maintaining low prices can reduce margins, creating a strategic tension between </w:t>
      </w:r>
      <w:r>
        <w:rPr>
          <w:b/>
          <w:bCs/>
          <w:lang w:val="en-IN"/>
        </w:rPr>
        <w:t>value leadership and profitability</w:t>
      </w:r>
      <w:r>
        <w:rPr>
          <w:lang w:val="en-IN"/>
        </w:rPr>
        <w:t>.</w:t>
      </w:r>
    </w:p>
    <w:p>
      <w:pPr>
        <w:pStyle w:val="Normal"/>
        <w:rPr>
          <w:b/>
          <w:bCs/>
          <w:lang w:val="en-IN"/>
        </w:rPr>
      </w:pPr>
      <w:r>
        <w:rPr>
          <w:b/>
          <w:bCs/>
          <w:lang w:val="en-IN"/>
        </w:rPr>
        <w:t>Social Factors</w:t>
      </w:r>
    </w:p>
    <w:p>
      <w:pPr>
        <w:pStyle w:val="Normal"/>
        <w:rPr>
          <w:lang w:val="en-IN"/>
        </w:rPr>
      </w:pPr>
      <w:r>
        <w:rPr>
          <w:lang w:val="en-IN"/>
        </w:rPr>
        <w:t>Consumer preferences within the UK grocery market are changing, with greater expectations regarding health, convenience, value and personalised shopping experiences (</w:t>
      </w:r>
      <w:r>
        <w:rPr/>
        <w:t>Wadud, 2026</w:t>
      </w:r>
      <w:r>
        <w:rPr>
          <w:lang w:val="en-IN"/>
        </w:rPr>
        <w:t>). Consumers increasingly expect retailers to provide convenient omnichannel shopping while also responding to concerns about healthier diets and responsible consumption. Tesco has responded through product development, Clubcard personalisation and healthier product initiatives. In its 2025/26 results, Tesco reported that at least 65% of products sold in the UK and Ireland by volume were classified as healthy, demonstrating an attempt to connect its product strategy with changing consumer expectations. However, changing preferences also create pressure for continuous innovation because consumers can easily compare products and prices across competing supermarkets.</w:t>
      </w:r>
    </w:p>
    <w:p>
      <w:pPr>
        <w:pStyle w:val="Normal"/>
        <w:rPr>
          <w:b/>
          <w:bCs/>
          <w:lang w:val="en-IN"/>
        </w:rPr>
      </w:pPr>
      <w:r>
        <w:rPr>
          <w:b/>
          <w:bCs/>
          <w:lang w:val="en-IN"/>
        </w:rPr>
        <w:t>Technological Factors</w:t>
      </w:r>
    </w:p>
    <w:p>
      <w:pPr>
        <w:pStyle w:val="Normal"/>
        <w:rPr>
          <w:lang w:val="en-IN"/>
        </w:rPr>
      </w:pPr>
      <w:r>
        <w:rPr>
          <w:lang w:val="en-IN"/>
        </w:rPr>
        <w:t xml:space="preserve">Technology represents both an opportunity and a source of competitive pressure. Tesco's Clubcard system provides a major digital capability because customer purchasing information can support personalised offers and more informed decision-making. Tesco reported UK Clubcard penetration of </w:t>
      </w:r>
      <w:r>
        <w:rPr>
          <w:b/>
          <w:bCs/>
          <w:lang w:val="en-IN"/>
        </w:rPr>
        <w:t>84%</w:t>
      </w:r>
      <w:r>
        <w:rPr>
          <w:lang w:val="en-IN"/>
        </w:rPr>
        <w:t>, while UK online sales increased by 11% to more than £7 billion in 2025/26 (Tesco, 2026b). Tesco Whoosh sales increased by 51% to more than £400 million, demonstrating growing demand for rapid grocery delivery. Technology can therefore strengthen customer loyalty, improve convenience and increase operational efficiency. However, continued investment is required, and competitors are also developing digital capabilities, meaning technology alone may not provide a permanent competitive advantage.</w:t>
      </w:r>
    </w:p>
    <w:p>
      <w:pPr>
        <w:pStyle w:val="Normal"/>
        <w:rPr>
          <w:b/>
          <w:bCs/>
          <w:lang w:val="en-IN"/>
        </w:rPr>
      </w:pPr>
      <w:r>
        <w:rPr>
          <w:b/>
          <w:bCs/>
          <w:lang w:val="en-IN"/>
        </w:rPr>
        <w:t>Environmental Factors</w:t>
      </w:r>
    </w:p>
    <w:p>
      <w:pPr>
        <w:pStyle w:val="Normal"/>
        <w:rPr>
          <w:lang w:val="en-IN"/>
        </w:rPr>
      </w:pPr>
      <w:r>
        <w:rPr>
          <w:lang w:val="en-IN"/>
        </w:rPr>
        <w:t>Environmental pressures are increasingly significant for grocery retailers because their operations involve energy consumption, transport, packaging, refrigeration, food waste and extensive supply chains (</w:t>
      </w:r>
      <w:r>
        <w:rPr/>
        <w:t xml:space="preserve">Olarewaju </w:t>
      </w:r>
      <w:r>
        <w:rPr>
          <w:i/>
          <w:iCs/>
        </w:rPr>
        <w:t>et al.,</w:t>
      </w:r>
      <w:r>
        <w:rPr/>
        <w:t xml:space="preserve"> 2024</w:t>
      </w:r>
      <w:r>
        <w:rPr>
          <w:lang w:val="en-IN"/>
        </w:rPr>
        <w:t xml:space="preserve">). Tesco has made progress in reducing its environmental impact. Its 2025 results reported a </w:t>
      </w:r>
      <w:r>
        <w:rPr>
          <w:b/>
          <w:bCs/>
          <w:lang w:val="en-IN"/>
        </w:rPr>
        <w:t xml:space="preserve">65% reduction in Scope 1 and Scope 2 emissions compared with its 2015/16 baseline </w:t>
      </w:r>
      <w:r>
        <w:rPr>
          <w:lang w:val="en-IN"/>
        </w:rPr>
        <w:t>(Tesco, 2025). These initiatives can strengthen Tesco's reputation and respond to stakeholder expectations. Nevertheless, sustainability creates costs and operational complexity, particularly where Tesco needs to change packaging, sourcing and logistics without increasing prices significantly. Environmental performance should therefore be viewed not simply as CSR but as an increasingly important component of long-term strategic competitiveness.</w:t>
      </w:r>
    </w:p>
    <w:p>
      <w:pPr>
        <w:pStyle w:val="Normal"/>
        <w:rPr>
          <w:b/>
          <w:bCs/>
          <w:lang w:val="en-IN"/>
        </w:rPr>
      </w:pPr>
      <w:r>
        <w:rPr>
          <w:b/>
          <w:bCs/>
          <w:lang w:val="en-IN"/>
        </w:rPr>
        <w:t>Legal Factors</w:t>
      </w:r>
    </w:p>
    <w:p>
      <w:pPr>
        <w:pStyle w:val="Normal"/>
        <w:rPr>
          <w:lang w:val="en-IN"/>
        </w:rPr>
      </w:pPr>
      <w:r>
        <w:rPr>
          <w:lang w:val="en-IN"/>
        </w:rPr>
        <w:t>Tesco must comply with extensive legislation covering food safety, employment, consumer protection, competition, data protection and environmental requirements. The growing importance of customer data through Clubcard also increases the importance of responsible data management (</w:t>
      </w:r>
      <w:r>
        <w:rPr/>
        <w:t>Sze and Gunasekara, 2025</w:t>
      </w:r>
      <w:r>
        <w:rPr>
          <w:lang w:val="en-IN"/>
        </w:rPr>
        <w:t>). Regulatory developments in the grocery sector can affect store expansion and competitive behaviour. Consequently, legal compliance is essential not only for avoiding penalties but also for maintaining consumer trust and protecting Tesco's reputation.</w:t>
      </w:r>
    </w:p>
    <w:p>
      <w:pPr>
        <w:pStyle w:val="Normal"/>
        <w:rPr>
          <w:lang w:val="en-IN"/>
        </w:rPr>
      </w:pPr>
      <w:r>
        <w:rPr>
          <w:lang w:val="en-IN"/>
        </w:rPr>
        <w:t xml:space="preserve">It has been critically analysed that PESTEL analysis indicates that Tesco faces substantial external pressure from </w:t>
      </w:r>
      <w:r>
        <w:rPr>
          <w:b/>
          <w:bCs/>
          <w:lang w:val="en-IN"/>
        </w:rPr>
        <w:t>price competition, regulation, changing consumer expectations and sustainability requirements</w:t>
      </w:r>
      <w:r>
        <w:rPr>
          <w:lang w:val="en-IN"/>
        </w:rPr>
        <w:t>, while technology, customer data and digital retailing provide important opportunities. These external findings provide the basis for the following SWOT analysis.</w:t>
      </w:r>
    </w:p>
    <w:p>
      <w:pPr>
        <w:pStyle w:val="Heading2"/>
        <w:rPr>
          <w:lang w:val="en-IN"/>
        </w:rPr>
      </w:pPr>
      <w:bookmarkStart w:id="4" w:name="_Toc237352510"/>
      <w:r>
        <w:rPr>
          <w:lang w:val="en-IN"/>
        </w:rPr>
        <w:t>2.2 SWOT Analysis</w:t>
      </w:r>
      <w:bookmarkEnd w:id="4"/>
    </w:p>
    <w:p>
      <w:pPr>
        <w:pStyle w:val="Normal"/>
        <w:rPr>
          <w:lang w:val="en-IN"/>
        </w:rPr>
      </w:pPr>
      <w:r>
        <w:rPr>
          <w:lang w:val="en-IN"/>
        </w:rPr>
        <w:t>The SWOT analysis synthesises the key external and internal issues identified in Tesco's strategic environment. Rather than treating the four categories independently, the analysis highlights how Tesco's capabilities interact with market opportunities and threats.</w:t>
      </w:r>
    </w:p>
    <w:p>
      <w:pPr>
        <w:pStyle w:val="Normal"/>
        <w:rPr>
          <w:b/>
          <w:bCs/>
          <w:lang w:val="en-IN"/>
        </w:rPr>
      </w:pPr>
      <w:r>
        <w:rPr>
          <w:b/>
          <w:bCs/>
          <w:lang w:val="en-IN"/>
        </w:rPr>
        <w:t>Strengths</w:t>
      </w:r>
    </w:p>
    <w:p>
      <w:pPr>
        <w:pStyle w:val="Normal"/>
        <w:rPr>
          <w:lang w:val="en-IN"/>
        </w:rPr>
      </w:pPr>
      <w:r>
        <w:rPr>
          <w:lang w:val="en-IN"/>
        </w:rPr>
        <w:t xml:space="preserve">Tesco's most significant strength is its </w:t>
      </w:r>
      <w:r>
        <w:rPr>
          <w:b/>
          <w:bCs/>
          <w:lang w:val="en-IN"/>
        </w:rPr>
        <w:t>scale and established UK market position</w:t>
      </w:r>
      <w:r>
        <w:rPr>
          <w:lang w:val="en-IN"/>
        </w:rPr>
        <w:t xml:space="preserve">. With a 28.7% grocery market share at the end of 2025, Tesco remained considerably ahead of its nearest competitors (Tesco, 2026b). Its extensive store network, strong brand recognition and purchasing scale provide important advantages in a market where price competitiveness is critical. A second major strength is the </w:t>
      </w:r>
      <w:r>
        <w:rPr>
          <w:b/>
          <w:bCs/>
          <w:lang w:val="en-IN"/>
        </w:rPr>
        <w:t>Clubcard ecosystem</w:t>
      </w:r>
      <w:r>
        <w:rPr>
          <w:lang w:val="en-IN"/>
        </w:rPr>
        <w:t>. High Clubcard penetration allows Tesco to understand customer purchasing behaviour and develop personalised promotions (</w:t>
      </w:r>
      <w:r>
        <w:rPr/>
        <w:t>Meng, 2024</w:t>
      </w:r>
      <w:r>
        <w:rPr>
          <w:lang w:val="en-IN"/>
        </w:rPr>
        <w:t xml:space="preserve">). This capability supports customer retention while also strengthening Tesco's understanding of demand. Tesco's digital capability is reinforced by its growing online business, with UK online sales exceeding £7 billion in 2025/26. </w:t>
      </w:r>
    </w:p>
    <w:p>
      <w:pPr>
        <w:pStyle w:val="Normal"/>
        <w:rPr>
          <w:b/>
          <w:bCs/>
          <w:lang w:val="en-IN"/>
        </w:rPr>
      </w:pPr>
      <w:r>
        <w:rPr>
          <w:b/>
          <w:bCs/>
          <w:lang w:val="en-IN"/>
        </w:rPr>
        <w:t>Weaknesses</w:t>
      </w:r>
    </w:p>
    <w:p>
      <w:pPr>
        <w:pStyle w:val="Normal"/>
        <w:rPr>
          <w:lang w:val="en-IN"/>
        </w:rPr>
      </w:pPr>
      <w:r>
        <w:rPr>
          <w:lang w:val="en-IN"/>
        </w:rPr>
        <w:t>Tesco's scale can also create organisational complexity and high operating costs. Maintaining a very large store and supply-chain network requires significant investment, while price competition limits the extent to which additional costs can be transferred to consumers (</w:t>
      </w:r>
      <w:r>
        <w:rPr/>
        <w:t xml:space="preserve">Korpeoglu </w:t>
      </w:r>
      <w:r>
        <w:rPr>
          <w:i/>
          <w:iCs/>
        </w:rPr>
        <w:t>et al.,</w:t>
      </w:r>
      <w:r>
        <w:rPr/>
        <w:t xml:space="preserve"> 2020</w:t>
      </w:r>
      <w:r>
        <w:rPr>
          <w:lang w:val="en-IN"/>
        </w:rPr>
        <w:t>). Tesco may also face a strategic challenge in maintaining differentiation because supermarkets increasingly compete on similar dimensions of price, convenience, product range and digital services. Another weakness is the continuing requirement for substantial investment in technology, sustainability and store operations. Although these investments can create long-term benefits, they can place pressure on short-term profitability and resources.</w:t>
      </w:r>
    </w:p>
    <w:p>
      <w:pPr>
        <w:pStyle w:val="Normal"/>
        <w:rPr>
          <w:b/>
          <w:bCs/>
          <w:lang w:val="en-IN"/>
        </w:rPr>
      </w:pPr>
      <w:r>
        <w:rPr>
          <w:b/>
          <w:bCs/>
          <w:lang w:val="en-IN"/>
        </w:rPr>
        <w:t>Opportunities</w:t>
      </w:r>
    </w:p>
    <w:p>
      <w:pPr>
        <w:pStyle w:val="Normal"/>
        <w:rPr>
          <w:lang w:val="en-IN"/>
        </w:rPr>
      </w:pPr>
      <w:r>
        <w:rPr>
          <w:lang w:val="en-IN"/>
        </w:rPr>
        <w:t>Digital grocery growth provides an important opportunity. Tesco's strong online performance and rapid-delivery growth suggest that customers increasingly value convenience (</w:t>
      </w:r>
      <w:r>
        <w:rPr/>
        <w:t>Samadzadeh, 2024</w:t>
      </w:r>
      <w:r>
        <w:rPr>
          <w:lang w:val="en-IN"/>
        </w:rPr>
        <w:t>). Tesco can therefore use Clubcard data and digital platforms to create increasingly personalised shopping experiences. Health and sustainability also provide opportunities for product innovation and differentiation. Tesco can strengthen its own-brand ranges, healthier products and sustainable sourcing while aligning these initiatives with changing consumer expectations.</w:t>
      </w:r>
    </w:p>
    <w:p>
      <w:pPr>
        <w:pStyle w:val="Normal"/>
        <w:rPr>
          <w:b/>
          <w:bCs/>
          <w:lang w:val="en-IN"/>
        </w:rPr>
      </w:pPr>
      <w:r>
        <w:rPr>
          <w:b/>
          <w:bCs/>
          <w:lang w:val="en-IN"/>
        </w:rPr>
        <w:t>Threats</w:t>
      </w:r>
    </w:p>
    <w:p>
      <w:pPr>
        <w:pStyle w:val="Normal"/>
        <w:rPr>
          <w:lang w:val="en-IN"/>
        </w:rPr>
      </w:pPr>
      <w:r>
        <w:rPr>
          <w:lang w:val="en-IN"/>
        </w:rPr>
        <w:t xml:space="preserve">The most significant threat is </w:t>
      </w:r>
      <w:r>
        <w:rPr>
          <w:b/>
          <w:bCs/>
          <w:lang w:val="en-IN"/>
        </w:rPr>
        <w:t>intensifying competition</w:t>
      </w:r>
      <w:r>
        <w:rPr>
          <w:lang w:val="en-IN"/>
        </w:rPr>
        <w:t>, particularly from Aldi and Lidl. The combined market share of the three major discounters, Aldi, Lidl and Iceland, is 21.6% in 2026 (</w:t>
      </w:r>
      <w:r>
        <w:rPr/>
        <w:t>Gov UK, 2026a</w:t>
      </w:r>
      <w:r>
        <w:rPr>
          <w:lang w:val="en-IN"/>
        </w:rPr>
        <w:t>). Their growth creates continuous pressure on Tesco's pricing strategy. Economic uncertainty, changing consumer preferences, regulatory intervention and rising expectations around sustainability represent additional threats. Therefore, Tesco's strategic challenge is to use its scale and customer-data capabilities to defend market share without entering a damaging price war.</w:t>
      </w:r>
    </w:p>
    <w:p>
      <w:pPr>
        <w:pStyle w:val="Normal"/>
        <w:rPr>
          <w:b/>
          <w:bCs/>
          <w:lang w:val="en-IN"/>
        </w:rPr>
      </w:pPr>
      <w:r>
        <w:rPr>
          <w:b/>
          <w:bCs/>
          <w:lang w:val="en-IN"/>
        </w:rPr>
        <w:t>2.3 VRIO Analysis</w:t>
      </w:r>
    </w:p>
    <w:p>
      <w:pPr>
        <w:pStyle w:val="Normal"/>
        <w:rPr>
          <w:lang w:val="en-IN"/>
        </w:rPr>
      </w:pPr>
      <w:r>
        <w:rPr>
          <w:lang w:val="en-IN"/>
        </w:rPr>
        <w:t xml:space="preserve">The VRIO framework provides a systematic assessment of Tesco’s key resources and capabilities by examining whether they are </w:t>
      </w:r>
      <w:r>
        <w:rPr>
          <w:b/>
          <w:bCs/>
          <w:lang w:val="en-IN"/>
        </w:rPr>
        <w:t>valuable, rare, costly to imitate and effectively organised</w:t>
      </w:r>
      <w:r>
        <w:rPr>
          <w:lang w:val="en-IN"/>
        </w:rPr>
        <w:t xml:space="preserve"> to exploit their potential. This helps determine the extent to which Tesco’s resources contribute to sustainable competitive advantage.</w:t>
      </w:r>
    </w:p>
    <w:p>
      <w:pPr>
        <w:pStyle w:val="Normal"/>
        <w:rPr>
          <w:b/>
          <w:bCs/>
          <w:lang w:val="en-IN"/>
        </w:rPr>
      </w:pPr>
      <w:r>
        <w:rPr>
          <w:b/>
          <w:bCs/>
          <w:lang w:val="en-IN"/>
        </w:rPr>
        <w:t>Tesco’s Brand Reputation</w:t>
      </w:r>
    </w:p>
    <w:p>
      <w:pPr>
        <w:pStyle w:val="Normal"/>
        <w:rPr>
          <w:lang w:val="en-IN"/>
        </w:rPr>
      </w:pPr>
      <w:r>
        <w:rPr>
          <w:lang w:val="en-IN"/>
        </w:rPr>
        <w:t>Tesco’s established brand is valuable because it strengthens customer recognition, trust and repeat purchasing within the highly competitive UK grocery sector (</w:t>
      </w:r>
      <w:r>
        <w:rPr/>
        <w:t xml:space="preserve">Haji </w:t>
      </w:r>
      <w:r>
        <w:rPr>
          <w:i/>
          <w:iCs/>
        </w:rPr>
        <w:t>et al.,</w:t>
      </w:r>
      <w:r>
        <w:rPr/>
        <w:t xml:space="preserve"> 2025</w:t>
      </w:r>
      <w:r>
        <w:rPr>
          <w:lang w:val="en-IN"/>
        </w:rPr>
        <w:t>). It is relatively rare because Tesco has developed substantial brand recognition and market presence over several decades, although major competitors such as Sainsbury’s and Asda also possess established brands. The resource is relatively difficult to imitate because competitors cannot quickly reproduce Tesco’s accumulated customer relationships and historical reputation. Tesco is also organised to exploit its brand through its extensive store network, online channels, own-brand products and Clubcard ecosystem. Therefore, Tesco’s brand represents an important competitive advantage, although it does not provide complete uniqueness within the supermarket industry.</w:t>
      </w:r>
    </w:p>
    <w:p>
      <w:pPr>
        <w:pStyle w:val="Normal"/>
        <w:rPr>
          <w:b/>
          <w:bCs/>
          <w:lang w:val="en-IN"/>
        </w:rPr>
      </w:pPr>
      <w:r>
        <w:rPr>
          <w:b/>
          <w:bCs/>
          <w:lang w:val="en-IN"/>
        </w:rPr>
        <w:t>Clubcard and Customer Data</w:t>
      </w:r>
    </w:p>
    <w:p>
      <w:pPr>
        <w:pStyle w:val="Normal"/>
        <w:rPr>
          <w:lang w:val="en-IN"/>
        </w:rPr>
      </w:pPr>
      <w:r>
        <w:rPr>
          <w:lang w:val="en-IN"/>
        </w:rPr>
        <w:t>Tesco’s Clubcard capability is valuable because customer purchasing data enables personalised promotions, targeted marketing and improved understanding of consumer behaviour (</w:t>
      </w:r>
      <w:r>
        <w:rPr/>
        <w:t>Kianto, 2021</w:t>
      </w:r>
      <w:r>
        <w:rPr>
          <w:lang w:val="en-IN"/>
        </w:rPr>
        <w:t>). Its large customer base makes this capability relatively rare, particularly when compared with smaller grocery retailers. The accumulated customer data and Tesco’s ability to integrate it across marketing and retail activities are difficult to imitate, as competitors would require considerable time and investment to develop comparable datasets and analytical capabilities. Tesco is strongly organised to exploit this resource through personalised offers, pricing and customer engagement. Consequently, Clubcard represents one of Tesco’s strongest potential sources of sustained competitive advantage.</w:t>
      </w:r>
    </w:p>
    <w:p>
      <w:pPr>
        <w:pStyle w:val="Normal"/>
        <w:rPr>
          <w:b/>
          <w:bCs/>
          <w:lang w:val="en-IN"/>
        </w:rPr>
      </w:pPr>
      <w:r>
        <w:rPr>
          <w:b/>
          <w:bCs/>
          <w:lang w:val="en-IN"/>
        </w:rPr>
        <w:t>Store and Supply-Chain Network</w:t>
      </w:r>
    </w:p>
    <w:p>
      <w:pPr>
        <w:pStyle w:val="Normal"/>
        <w:rPr>
          <w:lang w:val="en-IN"/>
        </w:rPr>
      </w:pPr>
      <w:r>
        <w:rPr>
          <w:lang w:val="en-IN"/>
        </w:rPr>
        <w:t>Tesco’s extensive store and supply-chain network is valuable because it provides accessibility, product availability and support for online fulfilment (</w:t>
      </w:r>
      <w:r>
        <w:rPr/>
        <w:t>Mkansi and Nsakanda, 2021</w:t>
      </w:r>
      <w:r>
        <w:rPr>
          <w:lang w:val="en-IN"/>
        </w:rPr>
        <w:t>). Its national scale is relatively rare, although other major supermarkets possess substantial networks. The network is costly and time-consuming to imitate because establishing comparable locations, logistics infrastructure and supplier relationships require significant investment. Tesco is organised to exploit this resource through supermarkets, convenience stores and online grocery services. Therefore, the network provides a competitive advantage, although its benefits are partly matched by major competitors.</w:t>
      </w:r>
    </w:p>
    <w:p>
      <w:pPr>
        <w:pStyle w:val="Normal"/>
        <w:rPr>
          <w:b/>
          <w:bCs/>
          <w:lang w:val="en-IN"/>
        </w:rPr>
      </w:pPr>
      <w:r>
        <w:rPr>
          <w:b/>
          <w:bCs/>
          <w:lang w:val="en-IN"/>
        </w:rPr>
        <w:t>Digital and Online Capability</w:t>
      </w:r>
    </w:p>
    <w:p>
      <w:pPr>
        <w:pStyle w:val="Normal"/>
        <w:rPr>
          <w:lang w:val="en-IN"/>
        </w:rPr>
      </w:pPr>
      <w:r>
        <w:rPr>
          <w:lang w:val="en-IN"/>
        </w:rPr>
        <w:t>Tesco’s digital capability is valuable because it responds to increasing demand for convenient omnichannel shopping (</w:t>
      </w:r>
      <w:r>
        <w:rPr/>
        <w:t xml:space="preserve">Sheriffdeen </w:t>
      </w:r>
      <w:r>
        <w:rPr>
          <w:i/>
          <w:iCs/>
        </w:rPr>
        <w:t>et al.,</w:t>
      </w:r>
      <w:r>
        <w:rPr/>
        <w:t xml:space="preserve"> 2023</w:t>
      </w:r>
      <w:r>
        <w:rPr>
          <w:lang w:val="en-IN"/>
        </w:rPr>
        <w:t>). However, it is less rare because competitors also operate online grocery platforms. Tesco’s integration of digital services with Clubcard and its physical network is more difficult to imitate, while the organisation is structured to exploit these capabilities through online grocery and rapid delivery. Hence, digital capability provides a competitive advantage, but continuous innovation is required to sustain it.</w:t>
      </w:r>
    </w:p>
    <w:p>
      <w:pPr>
        <w:pStyle w:val="Normal"/>
        <w:rPr>
          <w:lang w:val="en-IN"/>
        </w:rPr>
      </w:pPr>
      <w:r>
        <w:rPr>
          <w:lang w:val="en-IN"/>
        </w:rPr>
        <w:t>The VRIO analysis indicates that Tesco’s strongest strategic advantage arises from the integration of its Clubcard data, brand, physical network and digital capabilities rather than from any single resource.</w:t>
      </w:r>
    </w:p>
    <w:p>
      <w:pPr>
        <w:pStyle w:val="Heading1"/>
        <w:rPr>
          <w:lang w:val="en-IN"/>
        </w:rPr>
      </w:pPr>
      <w:bookmarkStart w:id="5" w:name="_Toc237352511"/>
      <w:r>
        <w:rPr>
          <w:lang w:val="en-IN"/>
        </w:rPr>
        <w:t>3. Comprehensive and Holistic View of Tesco</w:t>
      </w:r>
      <w:bookmarkEnd w:id="5"/>
    </w:p>
    <w:p>
      <w:pPr>
        <w:pStyle w:val="Heading2"/>
        <w:rPr>
          <w:lang w:val="en-IN"/>
        </w:rPr>
      </w:pPr>
      <w:bookmarkStart w:id="6" w:name="_Toc237352512"/>
      <w:r>
        <w:rPr>
          <w:lang w:val="en-IN"/>
        </w:rPr>
        <w:t>3.1 Corporate Social Responsibility and Alignment with Business Objectives</w:t>
      </w:r>
      <w:bookmarkEnd w:id="6"/>
    </w:p>
    <w:p>
      <w:pPr>
        <w:pStyle w:val="Normal"/>
        <w:rPr>
          <w:lang w:val="en-IN"/>
        </w:rPr>
      </w:pPr>
      <w:r>
        <w:rPr>
          <w:lang w:val="en-IN"/>
        </w:rPr>
        <w:t>Tesco’s corporate social responsibility (CSR) strategy is closely connected with its broader purpose of serving customers, communities and the planet (</w:t>
      </w:r>
      <w:r>
        <w:rPr/>
        <w:t>Benghezal and Izadi, 2022</w:t>
      </w:r>
      <w:r>
        <w:rPr>
          <w:lang w:val="en-IN"/>
        </w:rPr>
        <w:t xml:space="preserve">). Rather than treating CSR as a separate philanthropic activity, Tesco increasingly integrates sustainability, health, people and community priorities into its core retail strategy. This is particularly relevant in grocery retail because environmental impacts, food waste, employee welfare and healthier consumption are directly connected with Tesco’s supply chain, customer relationships and operating model. Tesco’s current strategic ambitions include “winning in food”, becoming more connected and personalised to customers, strengthening supplier relationships and achieving long-term business sustainability. </w:t>
      </w:r>
    </w:p>
    <w:p>
      <w:pPr>
        <w:pStyle w:val="Normal"/>
        <w:rPr>
          <w:b/>
          <w:bCs/>
          <w:lang w:val="en-IN"/>
        </w:rPr>
      </w:pPr>
      <w:r>
        <w:rPr>
          <w:b/>
          <w:bCs/>
          <w:lang w:val="en-IN"/>
        </w:rPr>
        <w:t>Environmental Sustainability</w:t>
      </w:r>
    </w:p>
    <w:p>
      <w:pPr>
        <w:pStyle w:val="Normal"/>
        <w:rPr>
          <w:lang w:val="en-IN"/>
        </w:rPr>
      </w:pPr>
      <w:r>
        <w:rPr>
          <w:lang w:val="en-IN"/>
        </w:rPr>
        <w:t>Environmental responsibility is a major component of Tesco’s CSR strategy. Tesco reported a 68% reduction in operational emissions from its 2015/16 baseline, exceeding its previous 60% reduction target (</w:t>
      </w:r>
      <w:r>
        <w:rPr/>
        <w:t>Tesco, 2026c</w:t>
      </w:r>
      <w:r>
        <w:rPr>
          <w:lang w:val="en-IN"/>
        </w:rPr>
        <w:t xml:space="preserve">). It also operates 1,249 electric home-delivery vans in the UK, representing 21% of its fleet. These initiatives demonstrate that environmental objectives are being integrated into operational activities rather than being treated solely as reputational activities. </w:t>
      </w:r>
    </w:p>
    <w:p>
      <w:pPr>
        <w:pStyle w:val="Normal"/>
        <w:rPr>
          <w:lang w:val="en-IN"/>
        </w:rPr>
      </w:pPr>
      <w:r>
        <w:rPr>
          <w:lang w:val="en-IN"/>
        </w:rPr>
        <w:t>Food waste is another important area. Tesco is working towards halving food waste before 2030, while surplus food is redistributed or converted into animal feed (</w:t>
      </w:r>
      <w:r>
        <w:rPr/>
        <w:t>Tesco, 2025a</w:t>
      </w:r>
      <w:r>
        <w:rPr>
          <w:lang w:val="en-IN"/>
        </w:rPr>
        <w:t>). Its 2026 Sustainability Report states that more than 5,000 tonnes of surplus food had been converted into animal feed at a new facility. This creates both social and operational value because reducing waste can lower resource inefficiencies while supporting food security.</w:t>
      </w:r>
    </w:p>
    <w:p>
      <w:pPr>
        <w:pStyle w:val="Normal"/>
        <w:rPr>
          <w:b/>
          <w:bCs/>
          <w:lang w:val="en-IN"/>
        </w:rPr>
      </w:pPr>
      <w:r>
        <w:rPr>
          <w:b/>
          <w:bCs/>
          <w:lang w:val="en-IN"/>
        </w:rPr>
        <w:t>Health and Communities</w:t>
      </w:r>
    </w:p>
    <w:p>
      <w:pPr>
        <w:pStyle w:val="Normal"/>
        <w:rPr>
          <w:lang w:val="en-IN"/>
        </w:rPr>
      </w:pPr>
      <w:r>
        <w:rPr>
          <w:lang w:val="en-IN"/>
        </w:rPr>
        <w:t>Tesco also links CSR with its customer proposition by making healthier food more affordable and accessible. In 2026 report, 65% of food sales in the UK and Republic of Ireland were classified as healthy, while fruit and vegetable sales had increased by 10% since 2022 (Tesco, 2026b). This supports Tesco’s commercial objective of providing value and quality while responding to growing consumer interest in health. Community engagement is similarly connected to Tesco’s purpose. During 2025, customer round-up campaigns raised £3.7 million, while more than £123 million meals were provided to charities, community groups and colleagues across the Group (Tesco, 2025). Such initiatives can strengthen Tesco’s corporate reputation and relationships with local communities.</w:t>
      </w:r>
    </w:p>
    <w:p>
      <w:pPr>
        <w:pStyle w:val="Normal"/>
        <w:rPr>
          <w:lang w:val="en-IN"/>
        </w:rPr>
      </w:pPr>
      <w:r>
        <w:rPr>
          <w:lang w:val="en-IN"/>
        </w:rPr>
        <w:t xml:space="preserve">It has been critically analysed that Tesco’s CSR strategy demonstrates relatively strong alignment with its business objectives. Sustainability can reduce operational inefficiencies, healthier products strengthen customer relevance, and community initiatives reinforce trust and brand reputation. However, CSR also creates financial and operational demands because investment in electric vehicles, sustainable supply chains, healthier products and waste reduction requires resources. Therefore, Tesco must ensure that CSR initiatives generate measurable long-term stakeholder and business value rather than becoming disconnected from commercial performance. This alignment is strengthened by Tesco’s strategic objective of achieving long-term business sustainability alongside customer value and operational efficiency. </w:t>
      </w:r>
    </w:p>
    <w:p>
      <w:pPr>
        <w:pStyle w:val="Heading2"/>
        <w:rPr>
          <w:lang w:val="en-IN"/>
        </w:rPr>
      </w:pPr>
      <w:bookmarkStart w:id="7" w:name="_Toc237352513"/>
      <w:r>
        <w:rPr>
          <w:lang w:val="en-IN"/>
        </w:rPr>
        <w:t>3.2 Balanced Scorecard</w:t>
      </w:r>
      <w:bookmarkEnd w:id="7"/>
    </w:p>
    <w:p>
      <w:pPr>
        <w:pStyle w:val="Normal"/>
        <w:rPr>
          <w:lang w:val="en-IN"/>
        </w:rPr>
      </w:pPr>
      <w:r>
        <w:rPr>
          <w:lang w:val="en-IN"/>
        </w:rPr>
        <w:t xml:space="preserve">The Balanced Scorecard developed by Kaplan and Norton provides a holistic approach to assessing organisational performance through </w:t>
      </w:r>
      <w:r>
        <w:rPr>
          <w:b/>
          <w:bCs/>
          <w:lang w:val="en-IN"/>
        </w:rPr>
        <w:t>financial, customer, internal business process, and learning and growth perspectives</w:t>
      </w:r>
      <w:r>
        <w:rPr>
          <w:lang w:val="en-IN"/>
        </w:rPr>
        <w:t>. For Tesco, these perspectives demonstrate how financial performance can be connected with customer satisfaction, operational capability and employee development.</w:t>
      </w:r>
    </w:p>
    <w:p>
      <w:pPr>
        <w:pStyle w:val="Heading3"/>
        <w:rPr>
          <w:lang w:val="en-IN"/>
        </w:rPr>
      </w:pPr>
      <w:bookmarkStart w:id="8" w:name="_Toc237352514"/>
      <w:r>
        <w:rPr>
          <w:lang w:val="en-IN"/>
        </w:rPr>
        <w:t>3.2.1 Financial Perspective</w:t>
      </w:r>
      <w:bookmarkEnd w:id="8"/>
    </w:p>
    <w:p>
      <w:pPr>
        <w:pStyle w:val="Normal"/>
        <w:rPr>
          <w:lang w:val="en-IN"/>
        </w:rPr>
      </w:pPr>
      <w:r>
        <w:rPr>
          <w:lang w:val="en-IN"/>
        </w:rPr>
        <w:t xml:space="preserve">Tesco’s primary financial objective is to achieve sustainable profitable growth while continuing to invest in customer value. In FY2025/26, Tesco reported </w:t>
      </w:r>
      <w:r>
        <w:rPr>
          <w:b/>
          <w:bCs/>
          <w:lang w:val="en-IN"/>
        </w:rPr>
        <w:t xml:space="preserve">£66.588 billion in sales </w:t>
      </w:r>
      <w:r>
        <w:rPr>
          <w:lang w:val="en-IN"/>
        </w:rPr>
        <w:t>excluding VAT and fuel, adjusted operating profit of £3.152 billion and free cash flow of £1.957 billion (Tesco, 2026b). Key KPIs can therefore include sales growth, adjusted operating profit, free cash flow and return on investment. Tesco's strategic initiatives include its Save to Invest programme, which generated approximately £535 million of savings in 2025/26 and has a new £500 million target for 2026/27. The strategic challenge is to achieve these efficiency gains while continuing to invest in lower prices, quality and service.</w:t>
      </w:r>
    </w:p>
    <w:p>
      <w:pPr>
        <w:pStyle w:val="Heading3"/>
        <w:rPr>
          <w:lang w:val="en-IN"/>
        </w:rPr>
      </w:pPr>
      <w:bookmarkStart w:id="9" w:name="_Toc237352515"/>
      <w:r>
        <w:rPr>
          <w:lang w:val="en-IN"/>
        </w:rPr>
        <w:t>3.2.2 Customer Perspective</w:t>
      </w:r>
      <w:bookmarkEnd w:id="9"/>
    </w:p>
    <w:p>
      <w:pPr>
        <w:pStyle w:val="Normal"/>
        <w:rPr>
          <w:lang w:val="en-IN"/>
        </w:rPr>
      </w:pPr>
      <w:r>
        <w:rPr>
          <w:lang w:val="en-IN"/>
        </w:rPr>
        <w:t>The customer perspective focuses on Tesco’s ability to deliver value, quality, convenience and loyalty. Relevant KPIs include customer satisfaction, Net Promoter Score (NPS), market share, Clubcard penetration and online sales. Tesco reported UK grocery market share of 28.5%, its highest level for more than a decade, while UK online sales increased by 11% to more than £7 billion. Tesco Whoosh sales also increased by 51% to more than £400 million (Tesco, 2026b). Tesco’s initiatives include Clubcard Prices, personalised offers, Aldi Price Match, Everyday Low Prices and investment in online and rapid delivery. These initiatives demonstrate a direct connection between customer objectives and Tesco’s competitive strategy.</w:t>
      </w:r>
    </w:p>
    <w:p>
      <w:pPr>
        <w:pStyle w:val="Heading3"/>
        <w:rPr>
          <w:lang w:val="en-IN"/>
        </w:rPr>
      </w:pPr>
      <w:bookmarkStart w:id="10" w:name="_Toc237352516"/>
      <w:r>
        <w:rPr>
          <w:lang w:val="en-IN"/>
        </w:rPr>
        <w:t>3.2.3 Internal Business Process Perspective</w:t>
      </w:r>
      <w:bookmarkEnd w:id="10"/>
    </w:p>
    <w:p>
      <w:pPr>
        <w:pStyle w:val="Normal"/>
        <w:rPr>
          <w:lang w:val="en-IN"/>
        </w:rPr>
      </w:pPr>
      <w:r>
        <w:rPr>
          <w:lang w:val="en-IN"/>
        </w:rPr>
        <w:t>The internal-process perspective evaluates whether Tesco can efficiently deliver its customer proposition. Important KPIs include supply-chain efficiency, product availability, delivery performance, waste reduction, store productivity and online fulfilment (</w:t>
      </w:r>
      <w:r>
        <w:rPr/>
        <w:t xml:space="preserve">Ekren </w:t>
      </w:r>
      <w:r>
        <w:rPr>
          <w:i/>
          <w:iCs/>
        </w:rPr>
        <w:t>et al.,</w:t>
      </w:r>
      <w:r>
        <w:rPr/>
        <w:t xml:space="preserve"> 2025</w:t>
      </w:r>
      <w:r>
        <w:rPr>
          <w:lang w:val="en-IN"/>
        </w:rPr>
        <w:t>). Tesco has continued investing in its distribution infrastructure, digital systems and supply-chain resilience. Its strategic approach also includes automation and AI, while its sustainability strategy focuses on reducing waste and emissions. These initiatives can improve efficiency while supporting Tesco’s value and sustainability objectives.</w:t>
      </w:r>
    </w:p>
    <w:p>
      <w:pPr>
        <w:pStyle w:val="Heading3"/>
        <w:rPr>
          <w:lang w:val="en-IN"/>
        </w:rPr>
      </w:pPr>
      <w:bookmarkStart w:id="11" w:name="_Toc237352517"/>
      <w:r>
        <w:rPr>
          <w:lang w:val="en-IN"/>
        </w:rPr>
        <w:t>3.2.4 Learning and Growth Perspective</w:t>
      </w:r>
      <w:bookmarkEnd w:id="11"/>
    </w:p>
    <w:p>
      <w:pPr>
        <w:pStyle w:val="Normal"/>
        <w:rPr>
          <w:lang w:val="en-IN"/>
        </w:rPr>
      </w:pPr>
      <w:r>
        <w:rPr>
          <w:lang w:val="en-IN"/>
        </w:rPr>
        <w:t xml:space="preserve">Learning and growth focuses on employees, organisational capabilities, technology and innovation. Relevant KPIs include employee engagement, training participation, flexibility, internal progression and digital capability. Tesco invested an additional £200 million in UK hourly-paid colleagues during 2025/26, delivering a 5.1% above-inflation pay increase (Tesco, 2026). 82% of colleagues reported that they could work flexibly. Tesco also trialled an AI assistant with approximately 280,000 colleagues, demonstrating investment in technological capability and employee productivity. </w:t>
      </w:r>
    </w:p>
    <w:p>
      <w:pPr>
        <w:pStyle w:val="Normal"/>
        <w:rPr>
          <w:lang w:val="en-IN"/>
        </w:rPr>
      </w:pPr>
      <w:r>
        <w:rPr>
          <w:lang w:val="en-IN"/>
        </w:rPr>
        <w:t>The Balanced Scorecard indicates that Tesco’s strategic performance depends on the interaction between financial efficiency, customer loyalty, operational excellence and organisational capability. This holistic perspective supports the argument that Tesco should not pursue short-term cost reduction alone; instead, financial performance should be achieved alongside customer value, sustainable operations and continuous employee and technological development.</w:t>
      </w:r>
    </w:p>
    <w:p>
      <w:pPr>
        <w:pStyle w:val="Heading1"/>
        <w:rPr>
          <w:lang w:val="en-IN"/>
        </w:rPr>
      </w:pPr>
      <w:bookmarkStart w:id="12" w:name="_Toc237352518"/>
      <w:r>
        <w:rPr>
          <w:lang w:val="en-IN"/>
        </w:rPr>
        <w:t>4. Strategic Choices and Implementation</w:t>
      </w:r>
      <w:bookmarkEnd w:id="12"/>
    </w:p>
    <w:p>
      <w:pPr>
        <w:pStyle w:val="Heading2"/>
        <w:rPr>
          <w:lang w:val="en-IN"/>
        </w:rPr>
      </w:pPr>
      <w:bookmarkStart w:id="13" w:name="_Toc237352519"/>
      <w:r>
        <w:rPr>
          <w:lang w:val="en-IN"/>
        </w:rPr>
        <w:t>4.1 Strategic Choices</w:t>
      </w:r>
      <w:bookmarkEnd w:id="13"/>
    </w:p>
    <w:p>
      <w:pPr>
        <w:pStyle w:val="Normal"/>
        <w:rPr>
          <w:lang w:val="en-IN"/>
        </w:rPr>
      </w:pPr>
      <w:r>
        <w:rPr>
          <w:lang w:val="en-IN"/>
        </w:rPr>
        <w:t>Tesco operates in an increasingly competitive UK grocery market where customers expect low prices, high quality, convenience and personalised services. At business level, Tesco can primarily pursue cost leadership, differentiation, or a combination of value-based and differentiation activities. A pure cost-leadership strategy would allow Tesco to compete directly with discount retailers by maintaining low prices and achieving economies of scale (</w:t>
      </w:r>
      <w:r>
        <w:rPr/>
        <w:t>Moon, 2022</w:t>
      </w:r>
      <w:r>
        <w:rPr>
          <w:lang w:val="en-IN"/>
        </w:rPr>
        <w:t>). However, relying exclusively on price would expose Tesco to margin pressure and intensify competition with Aldi and Lidl. A differentiation strategy, in contrast, would allow Tesco to compete through quality, convenience, customer experience, digital capabilities and personalised services. Tesco’s current strategic direction indicates that the organisation is already combining these approaches. Its latest strategy focuses on “winning in food”, meeting more everyday customer needs, becoming more connected and personalised to customers, strengthening supplier relationships and achieving long-term business sustainability.</w:t>
      </w:r>
    </w:p>
    <w:p>
      <w:pPr>
        <w:pStyle w:val="Normal"/>
        <w:rPr>
          <w:lang w:val="en-IN"/>
        </w:rPr>
      </w:pPr>
      <w:r>
        <w:rPr>
          <w:lang w:val="en-IN"/>
        </w:rPr>
        <w:t xml:space="preserve">Consequently, the most appropriate strategic choice is a </w:t>
      </w:r>
      <w:r>
        <w:rPr>
          <w:b/>
          <w:bCs/>
          <w:lang w:val="en-IN"/>
        </w:rPr>
        <w:t>value-based differentiation strategy</w:t>
      </w:r>
      <w:r>
        <w:rPr>
          <w:lang w:val="en-IN"/>
        </w:rPr>
        <w:t>, supported by selective cost leadership. Tesco should continue offering competitive prices but differentiate through quality, Clubcard personalisation, convenience, healthier products, digital services and an extensive omnichannel proposition. This approach is more sustainable than competing solely through lower prices because it allows Tesco to protect customer loyalty while maintaining a broader value proposition.</w:t>
      </w:r>
    </w:p>
    <w:p>
      <w:pPr>
        <w:pStyle w:val="Heading2"/>
        <w:rPr>
          <w:lang w:val="en-IN"/>
        </w:rPr>
      </w:pPr>
      <w:bookmarkStart w:id="14" w:name="_Toc237352520"/>
      <w:r>
        <w:rPr>
          <w:lang w:val="en-IN"/>
        </w:rPr>
        <w:t>4.2 Porter’s Five Forces</w:t>
      </w:r>
      <w:bookmarkEnd w:id="14"/>
    </w:p>
    <w:p>
      <w:pPr>
        <w:pStyle w:val="Normal"/>
        <w:rPr>
          <w:lang w:val="en-IN"/>
        </w:rPr>
      </w:pPr>
      <w:r>
        <w:rPr>
          <w:lang w:val="en-IN"/>
        </w:rPr>
        <w:t>Porter’s Five Forces provides a useful basis for evaluating the attractiveness and competitive intensity of the UK grocery industry.</w:t>
      </w:r>
    </w:p>
    <w:p>
      <w:pPr>
        <w:pStyle w:val="Normal"/>
        <w:rPr>
          <w:lang w:val="en-IN"/>
        </w:rPr>
      </w:pPr>
      <w:r>
        <w:rPr>
          <w:b/>
          <w:bCs/>
          <w:lang w:val="en-IN"/>
        </w:rPr>
        <w:t>Competitive rivalry is high.</w:t>
      </w:r>
      <w:r>
        <w:rPr>
          <w:lang w:val="en-IN"/>
        </w:rPr>
        <w:t xml:space="preserve"> Tesco competes with Sainsbury’s, Asda, Morrisons and rapidly expanding discount retailers including Aldi and Lidl (</w:t>
      </w:r>
      <w:r>
        <w:rPr/>
        <w:t xml:space="preserve">O'Connell </w:t>
      </w:r>
      <w:r>
        <w:rPr>
          <w:i/>
          <w:iCs/>
        </w:rPr>
        <w:t>et al.,</w:t>
      </w:r>
      <w:r>
        <w:rPr/>
        <w:t xml:space="preserve"> 2025</w:t>
      </w:r>
      <w:r>
        <w:rPr>
          <w:lang w:val="en-IN"/>
        </w:rPr>
        <w:t xml:space="preserve">). Tesco’s UK grocery market share reached </w:t>
      </w:r>
      <w:r>
        <w:rPr>
          <w:b/>
          <w:bCs/>
          <w:lang w:val="en-IN"/>
        </w:rPr>
        <w:t>28.5% in 2025/26</w:t>
      </w:r>
      <w:r>
        <w:rPr>
          <w:lang w:val="en-IN"/>
        </w:rPr>
        <w:t>, its highest level for more than a decade, demonstrating strong performance despite intense rivalry. Tesco also increased its Everyday Low-Price range to 3,000 products, maintained more than 10,000 Clubcard Prices and operated Aldi Price Match on more than 600 products. These initiatives demonstrate that price competition remains central to Tesco’s strategy.</w:t>
      </w:r>
    </w:p>
    <w:p>
      <w:pPr>
        <w:pStyle w:val="Normal"/>
        <w:rPr>
          <w:lang w:val="en-IN"/>
        </w:rPr>
      </w:pPr>
      <w:r>
        <w:rPr>
          <w:b/>
          <w:bCs/>
          <w:lang w:val="en-IN"/>
        </w:rPr>
        <w:t>Buyer power is high</w:t>
      </w:r>
      <w:r>
        <w:rPr>
          <w:lang w:val="en-IN"/>
        </w:rPr>
        <w:t xml:space="preserve"> because switching costs between supermarkets are relatively low (</w:t>
      </w:r>
      <w:r>
        <w:rPr/>
        <w:t>Jaravel and O'Connell, 2020</w:t>
      </w:r>
      <w:r>
        <w:rPr>
          <w:lang w:val="en-IN"/>
        </w:rPr>
        <w:t>). Customers can easily compare prices, promotions, product quality and delivery options. Tesco therefore needs to create reasons beyond price for customers to remain loyal. Clubcard is strategically important because it creates personalised value and increases customer engagement.</w:t>
      </w:r>
    </w:p>
    <w:p>
      <w:pPr>
        <w:pStyle w:val="Normal"/>
        <w:rPr>
          <w:lang w:val="en-IN"/>
        </w:rPr>
      </w:pPr>
      <w:r>
        <w:rPr>
          <w:b/>
          <w:bCs/>
          <w:lang w:val="en-IN"/>
        </w:rPr>
        <w:t>Supplier power is moderate.</w:t>
      </w:r>
      <w:r>
        <w:rPr>
          <w:lang w:val="en-IN"/>
        </w:rPr>
        <w:t xml:space="preserve"> Tesco’s substantial purchasing scale gives it significant negotiating power, while its extensive supplier relationships support product availability and competitive pricing (</w:t>
      </w:r>
      <w:r>
        <w:rPr/>
        <w:t>Ed and Fclmi, 2026</w:t>
      </w:r>
      <w:r>
        <w:rPr>
          <w:lang w:val="en-IN"/>
        </w:rPr>
        <w:t>). However, Tesco also needs strong supplier relationships to maintain quality, sustainability and innovation. Its strategic ambition to become the “most strategic partner for suppliers” demonstrates the importance of supplier collaboration.</w:t>
      </w:r>
    </w:p>
    <w:p>
      <w:pPr>
        <w:pStyle w:val="Normal"/>
        <w:rPr>
          <w:lang w:val="en-IN"/>
        </w:rPr>
      </w:pPr>
      <w:r>
        <w:rPr>
          <w:b/>
          <w:bCs/>
          <w:lang w:val="en-IN"/>
        </w:rPr>
        <w:t>The threat of new entrants is relatively low</w:t>
      </w:r>
      <w:r>
        <w:rPr>
          <w:lang w:val="en-IN"/>
        </w:rPr>
        <w:t>, because establishing a national grocery network requires substantial capital, supply-chain infrastructure, technology, property and brand recognition (</w:t>
      </w:r>
      <w:r>
        <w:rPr/>
        <w:t xml:space="preserve">Statham </w:t>
      </w:r>
      <w:r>
        <w:rPr>
          <w:i/>
          <w:iCs/>
        </w:rPr>
        <w:t>et al.,</w:t>
      </w:r>
      <w:r>
        <w:rPr/>
        <w:t xml:space="preserve"> 2024</w:t>
      </w:r>
      <w:r>
        <w:rPr>
          <w:lang w:val="en-IN"/>
        </w:rPr>
        <w:t>). However, digital platforms and specialist food retailers can enter particular segments more easily, creating pressure in selected categories.</w:t>
      </w:r>
    </w:p>
    <w:p>
      <w:pPr>
        <w:pStyle w:val="Normal"/>
        <w:rPr>
          <w:lang w:val="en-IN"/>
        </w:rPr>
      </w:pPr>
      <w:r>
        <w:rPr>
          <w:b/>
          <w:bCs/>
          <w:lang w:val="en-IN"/>
        </w:rPr>
        <w:t>The threat of substitutes is moderate to high.</w:t>
      </w:r>
      <w:r>
        <w:rPr>
          <w:lang w:val="en-IN"/>
        </w:rPr>
        <w:t xml:space="preserve"> Customers can purchase groceries through supermarkets, discount stores, convenience stores, online platforms, specialist retailers and food-delivery services (</w:t>
      </w:r>
      <w:r>
        <w:rPr/>
        <w:t xml:space="preserve">Cummins </w:t>
      </w:r>
      <w:r>
        <w:rPr>
          <w:i/>
          <w:iCs/>
        </w:rPr>
        <w:t>et al.,</w:t>
      </w:r>
      <w:r>
        <w:rPr/>
        <w:t xml:space="preserve"> 2024</w:t>
      </w:r>
      <w:r>
        <w:rPr>
          <w:lang w:val="en-IN"/>
        </w:rPr>
        <w:t>). Tesco must therefore continuously improve convenience and customer experience to prevent customers switching to alternative channels.</w:t>
      </w:r>
    </w:p>
    <w:p>
      <w:pPr>
        <w:pStyle w:val="Normal"/>
        <w:rPr>
          <w:lang w:val="en-IN"/>
        </w:rPr>
      </w:pPr>
      <w:r>
        <w:rPr>
          <w:lang w:val="en-IN"/>
        </w:rPr>
        <w:t xml:space="preserve">Porter’s analysis indicates that Tesco operates in a structurally demanding market. This supports a strategy based on </w:t>
      </w:r>
      <w:r>
        <w:rPr>
          <w:b/>
          <w:bCs/>
          <w:lang w:val="en-IN"/>
        </w:rPr>
        <w:t>strong value combined with differentiation</w:t>
      </w:r>
      <w:r>
        <w:rPr>
          <w:lang w:val="en-IN"/>
        </w:rPr>
        <w:t>, rather than relying exclusively on price.</w:t>
      </w:r>
    </w:p>
    <w:p>
      <w:pPr>
        <w:pStyle w:val="Heading2"/>
        <w:rPr>
          <w:lang w:val="en-IN"/>
        </w:rPr>
      </w:pPr>
      <w:bookmarkStart w:id="15" w:name="_Toc237352521"/>
      <w:r>
        <w:rPr>
          <w:lang w:val="en-IN"/>
        </w:rPr>
        <w:t>4.3 Ansoff Matrix and Growth Direction</w:t>
      </w:r>
      <w:bookmarkEnd w:id="15"/>
    </w:p>
    <w:p>
      <w:pPr>
        <w:pStyle w:val="Normal"/>
        <w:rPr>
          <w:lang w:val="en-IN"/>
        </w:rPr>
      </w:pPr>
      <w:r>
        <w:rPr>
          <w:lang w:val="en-IN"/>
        </w:rPr>
        <w:t xml:space="preserve">Ansoff’s Matrix provides a framework for assessing Tesco’s potential growth options. </w:t>
      </w:r>
      <w:r>
        <w:rPr>
          <w:b/>
          <w:bCs/>
          <w:lang w:val="en-IN"/>
        </w:rPr>
        <w:t>Market penetration</w:t>
      </w:r>
      <w:r>
        <w:rPr>
          <w:lang w:val="en-IN"/>
        </w:rPr>
        <w:t xml:space="preserve"> represents the lowest-risk option because Tesco can increase sales within its existing UK grocery market through stronger customer loyalty, competitive pricing and personalised Clubcard offers. Tesco is already following this direction through Clubcard Prices, Aldi Price Match and Everyday Low Prices.</w:t>
      </w:r>
    </w:p>
    <w:p>
      <w:pPr>
        <w:pStyle w:val="Normal"/>
        <w:rPr>
          <w:lang w:val="en-IN"/>
        </w:rPr>
      </w:pPr>
      <w:r>
        <w:rPr>
          <w:b/>
          <w:bCs/>
          <w:lang w:val="en-IN"/>
        </w:rPr>
        <w:t>Product development</w:t>
      </w:r>
      <w:r>
        <w:rPr>
          <w:lang w:val="en-IN"/>
        </w:rPr>
        <w:t xml:space="preserve"> provides another attractive opportunity. Tesco introduced more than </w:t>
      </w:r>
      <w:r>
        <w:rPr>
          <w:b/>
          <w:bCs/>
          <w:lang w:val="en-IN"/>
        </w:rPr>
        <w:t>2,000 new and improved products during 2025/26</w:t>
      </w:r>
      <w:r>
        <w:rPr>
          <w:lang w:val="en-IN"/>
        </w:rPr>
        <w:t>, including more than 750 Finest products, while Finest sales increased by 15% (Tesco, 2026b). Continued development of healthier, premium and sustainable own-brand products can therefore strengthen differentiation while responding to changing consumer preferences.</w:t>
      </w:r>
    </w:p>
    <w:p>
      <w:pPr>
        <w:pStyle w:val="Normal"/>
        <w:rPr>
          <w:lang w:val="en-IN"/>
        </w:rPr>
      </w:pPr>
      <w:r>
        <w:rPr>
          <w:b/>
          <w:bCs/>
          <w:lang w:val="en-IN"/>
        </w:rPr>
        <w:t>Market development</w:t>
      </w:r>
      <w:r>
        <w:rPr>
          <w:lang w:val="en-IN"/>
        </w:rPr>
        <w:t xml:space="preserve"> can be achieved through additional convenience formats and digital channels. Tesco opened 65 Express stores in the UK during 2025/26, expanding its presence in convenience retail (Tesco, 2026b). Online sales also increased by 11% to more than £7 billion, while Tesco Whoosh sales increased by 51% to more than £400 million.</w:t>
      </w:r>
    </w:p>
    <w:p>
      <w:pPr>
        <w:pStyle w:val="Normal"/>
        <w:rPr>
          <w:lang w:val="en-IN"/>
        </w:rPr>
      </w:pPr>
      <w:r>
        <w:rPr>
          <w:lang w:val="en-IN"/>
        </w:rPr>
        <w:t>Diversification presents greater risk and should therefore receive lower strategic priority than strengthening Tesco’s core grocery proposition. Tesco should first maximise the potential of its existing customer base, food proposition and digital ecosystem.</w:t>
      </w:r>
    </w:p>
    <w:p>
      <w:pPr>
        <w:pStyle w:val="Heading2"/>
        <w:rPr>
          <w:lang w:val="en-IN"/>
        </w:rPr>
      </w:pPr>
      <w:bookmarkStart w:id="16" w:name="_Toc237352522"/>
      <w:r>
        <w:rPr>
          <w:lang w:val="en-IN"/>
        </w:rPr>
        <w:t>4.4 Recommended Strategy</w:t>
      </w:r>
      <w:bookmarkEnd w:id="16"/>
    </w:p>
    <w:p>
      <w:pPr>
        <w:pStyle w:val="Normal"/>
        <w:rPr>
          <w:lang w:val="en-IN"/>
        </w:rPr>
      </w:pPr>
      <w:r>
        <w:rPr>
          <w:lang w:val="en-IN"/>
        </w:rPr>
        <w:t xml:space="preserve">Based on the external analysis, VRIO assessment, Porter’s Five Forces and Ansoff Matrix, Tesco should pursue a </w:t>
      </w:r>
      <w:r>
        <w:rPr>
          <w:b/>
          <w:bCs/>
          <w:lang w:val="en-IN"/>
        </w:rPr>
        <w:t>value-based differentiation strategy supported by digital personalisation and omnichannel growth</w:t>
      </w:r>
      <w:r>
        <w:rPr>
          <w:lang w:val="en-IN"/>
        </w:rPr>
        <w:t>. The strategy should combine competitive pricing with superior customer value rather than attempting to become simply the lowest-price retailer. The strategic rationale is supported by Tesco’s existing capabilities. Its Clubcard ecosystem provides customer insight and personalisation, while its physical store network, online platform and rapid-delivery services provide convenience. The recommended strategy should therefore focus on four priorities: maintaining competitive prices, strengthening own-brand quality and healthier products, expanding personalised digital experiences, and improving convenience through stores and rapid delivery. This would allow Tesco to defend its market share while creating differentiation that is more difficult for competitors to replicate.</w:t>
      </w:r>
    </w:p>
    <w:p>
      <w:pPr>
        <w:pStyle w:val="Heading2"/>
        <w:rPr>
          <w:lang w:val="en-IN"/>
        </w:rPr>
      </w:pPr>
      <w:bookmarkStart w:id="17" w:name="_Toc237352523"/>
      <w:r>
        <w:rPr>
          <w:lang w:val="en-IN"/>
        </w:rPr>
        <w:t>4.5 Implementation Challenges and Mitigation</w:t>
      </w:r>
      <w:bookmarkEnd w:id="17"/>
    </w:p>
    <w:p>
      <w:pPr>
        <w:pStyle w:val="Normal"/>
        <w:rPr>
          <w:lang w:val="en-IN"/>
        </w:rPr>
      </w:pPr>
      <w:r>
        <w:rPr>
          <w:lang w:val="en-IN"/>
        </w:rPr>
        <w:t>Implementation may create several challenges. First, continued price investment could place pressure on profit margins. Tesco should therefore combine price investment with productivity improvements and its existing cost-saving programmes rather than attempting to reduce prices indiscriminately.</w:t>
      </w:r>
    </w:p>
    <w:p>
      <w:pPr>
        <w:pStyle w:val="Normal"/>
        <w:rPr>
          <w:lang w:val="en-IN"/>
        </w:rPr>
      </w:pPr>
      <w:r>
        <w:rPr>
          <w:lang w:val="en-IN"/>
        </w:rPr>
        <w:t>Digital expansion requires continued investment in technology, data infrastructure and cybersecurity (</w:t>
      </w:r>
      <w:r>
        <w:rPr/>
        <w:t xml:space="preserve">Saeed </w:t>
      </w:r>
      <w:r>
        <w:rPr>
          <w:i/>
          <w:iCs/>
        </w:rPr>
        <w:t>et al.,</w:t>
      </w:r>
      <w:r>
        <w:rPr/>
        <w:t xml:space="preserve"> 2023</w:t>
      </w:r>
      <w:r>
        <w:rPr>
          <w:lang w:val="en-IN"/>
        </w:rPr>
        <w:t>). Tesco should implement digital initiatives progressively, using measurable KPIs such as online sales growth, customer retention, Clubcard engagement and delivery performance.</w:t>
      </w:r>
    </w:p>
    <w:p>
      <w:pPr>
        <w:pStyle w:val="Normal"/>
        <w:rPr>
          <w:lang w:val="en-IN"/>
        </w:rPr>
      </w:pPr>
      <w:r>
        <w:rPr>
          <w:lang w:val="en-IN"/>
        </w:rPr>
        <w:t>Competitors are likely to respond aggressively to Tesco’s strategy. Aldi and Lidl may increase price competition, while other supermarkets may replicate personalised promotions and digital services. Tesco should therefore focus on capabilities that are difficult to imitate, particularly the integration of Clubcard data, physical stores, online services and customer relationships.</w:t>
      </w:r>
    </w:p>
    <w:p>
      <w:pPr>
        <w:pStyle w:val="Normal"/>
        <w:rPr>
          <w:lang w:val="en-IN"/>
        </w:rPr>
      </w:pPr>
      <w:r>
        <w:rPr>
          <w:lang w:val="en-IN"/>
        </w:rPr>
        <w:t xml:space="preserve">Sustainability and healthier-product initiatives can increase operational complexity and costs. Tesco should integrate these objectives into its core business processes rather than treating them as separate CSR activities. Its sustainability progress, including a </w:t>
      </w:r>
      <w:r>
        <w:rPr>
          <w:b/>
          <w:bCs/>
          <w:lang w:val="en-IN"/>
        </w:rPr>
        <w:t>68% reduction in operational emissions</w:t>
      </w:r>
      <w:r>
        <w:rPr>
          <w:lang w:val="en-IN"/>
        </w:rPr>
        <w:t xml:space="preserve"> and 65% of UK and ROI food sales classified as healthy, demonstrates that sustainability can be incorporated into its wider competitive proposition.</w:t>
      </w:r>
    </w:p>
    <w:p>
      <w:pPr>
        <w:pStyle w:val="Normal"/>
        <w:rPr>
          <w:lang w:val="en-IN"/>
        </w:rPr>
      </w:pPr>
      <w:r>
        <w:rPr>
          <w:lang w:val="en-IN"/>
        </w:rPr>
        <w:t xml:space="preserve">Overall, Tesco should avoid competing solely on price. A </w:t>
      </w:r>
      <w:r>
        <w:rPr>
          <w:b/>
          <w:bCs/>
          <w:lang w:val="en-IN"/>
        </w:rPr>
        <w:t>value-based differentiation strategy</w:t>
      </w:r>
      <w:r>
        <w:rPr>
          <w:lang w:val="en-IN"/>
        </w:rPr>
        <w:t>, supported by digital personalisation, product innovation and omnichannel convenience, provides a stronger basis for sustainable competitive advantage. It builds upon Tesco’s existing resources while responding directly to high rivalry, strong buyer power and changing customer expectations in the UK grocery market.</w:t>
      </w:r>
    </w:p>
    <w:p>
      <w:pPr>
        <w:pStyle w:val="Heading1"/>
        <w:rPr>
          <w:lang w:val="en-IN"/>
        </w:rPr>
      </w:pPr>
      <w:bookmarkStart w:id="18" w:name="_Toc237352524"/>
      <w:r>
        <w:rPr>
          <w:lang w:val="en-IN"/>
        </w:rPr>
        <w:t>Section 2: Reflective Account Using Kolb’s Experiential Learning Cycle</w:t>
      </w:r>
      <w:bookmarkEnd w:id="18"/>
    </w:p>
    <w:p>
      <w:pPr>
        <w:pStyle w:val="Normal"/>
        <w:rPr>
          <w:lang w:val="en-IN" w:eastAsia="en-IN"/>
        </w:rPr>
      </w:pPr>
      <w:r>
        <w:rPr/>
        <w:drawing>
          <wp:inline distT="0" distB="0" distL="0" distR="0">
            <wp:extent cx="5486400" cy="5486400"/>
            <wp:effectExtent l="0" t="0" r="0" b="0"/>
            <wp:docPr id="3" name="Picture 2" descr="Kolb's Experiential Learning Cycle - Experiential Learning - Toronto  Metropolitan University (TM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Kolb's Experiential Learning Cycle - Experiential Learning - Toronto  Metropolitan University (TMU)"/>
                    <pic:cNvPicPr>
                      <a:picLocks noChangeAspect="1" noChangeArrowheads="1"/>
                    </pic:cNvPicPr>
                  </pic:nvPicPr>
                  <pic:blipFill>
                    <a:blip r:embed="rId4"/>
                    <a:stretch>
                      <a:fillRect/>
                    </a:stretch>
                  </pic:blipFill>
                  <pic:spPr bwMode="auto">
                    <a:xfrm>
                      <a:off x="0" y="0"/>
                      <a:ext cx="5486400" cy="5486400"/>
                    </a:xfrm>
                    <a:prstGeom prst="rect">
                      <a:avLst/>
                    </a:prstGeom>
                    <a:noFill/>
                  </pic:spPr>
                </pic:pic>
              </a:graphicData>
            </a:graphic>
          </wp:inline>
        </w:drawing>
      </w:r>
    </w:p>
    <w:p>
      <w:pPr>
        <w:pStyle w:val="Heading2"/>
        <w:rPr>
          <w:lang w:val="en-IN"/>
        </w:rPr>
      </w:pPr>
      <w:bookmarkStart w:id="19" w:name="_Toc237352525"/>
      <w:r>
        <w:rPr>
          <w:lang w:val="en-IN"/>
        </w:rPr>
        <w:t>2.1 Concrete Experience</w:t>
      </w:r>
      <w:bookmarkEnd w:id="19"/>
    </w:p>
    <w:p>
      <w:pPr>
        <w:pStyle w:val="Normal"/>
        <w:rPr>
          <w:lang w:val="en-IN"/>
        </w:rPr>
      </w:pPr>
      <w:r>
        <w:rPr>
          <w:lang w:val="en-IN"/>
        </w:rPr>
        <w:t>Completing the strategic management analysis of Tesco’s UK grocery operations provided me with a practical experience of applying strategic management theories to a real organisation. Initially, I approached the task as an exercise of collecting information about Tesco and matching that information to familiar frameworks. However, as the analysis developed, I realised that completing a postgraduate strategic management report required considerably more than identifying information and describing frameworks. I had to determine which information was strategically significant, evaluate conflicting pressures and develop a recommendation supported by evidence.</w:t>
      </w:r>
    </w:p>
    <w:p>
      <w:pPr>
        <w:pStyle w:val="Normal"/>
        <w:rPr>
          <w:lang w:val="en-IN"/>
        </w:rPr>
      </w:pPr>
      <w:r>
        <w:rPr>
          <w:lang w:val="en-IN"/>
        </w:rPr>
        <w:t>The application of PESTEL, SWOT and VRIO particularly changed the way I approached the organisation. PESTEL helped me examine how external factors such as economic pressure, technological development, changing consumer expectations and sustainability requirements could influence Tesco. However, I initially found it difficult to distinguish between an external factor and its actual strategic implication. Similarly, while preparing the SWOT analysis, I recognised that simply placing information under strengths, weaknesses, opportunities and threats would produce a descriptive rather than analytical outcome. VRIO further challenged me to consider whether Tesco's resources actually created competitive advantage rather than assuming that every organisational capability represented a strength.</w:t>
      </w:r>
    </w:p>
    <w:p>
      <w:pPr>
        <w:pStyle w:val="Normal"/>
        <w:rPr>
          <w:lang w:val="en-IN"/>
        </w:rPr>
      </w:pPr>
      <w:r>
        <w:rPr>
          <w:lang w:val="en-IN"/>
        </w:rPr>
        <w:t>I also experienced a similar challenge when applying the Balanced Scorecard, Porter’s Five Forces and Ansoff Matrix. These frameworks required me to connect financial performance, customer value, internal processes and organisational capabilities rather than considering them independently.</w:t>
      </w:r>
    </w:p>
    <w:p>
      <w:pPr>
        <w:pStyle w:val="Heading2"/>
        <w:rPr>
          <w:lang w:val="en-IN"/>
        </w:rPr>
      </w:pPr>
      <w:bookmarkStart w:id="20" w:name="_Toc237352526"/>
      <w:r>
        <w:rPr>
          <w:lang w:val="en-IN"/>
        </w:rPr>
        <w:t>2.2 Reflective Observation</w:t>
      </w:r>
      <w:bookmarkEnd w:id="20"/>
    </w:p>
    <w:p>
      <w:pPr>
        <w:pStyle w:val="Normal"/>
        <w:rPr>
          <w:lang w:val="en-IN"/>
        </w:rPr>
      </w:pPr>
      <w:r>
        <w:rPr>
          <w:lang w:val="en-IN"/>
        </w:rPr>
        <w:t xml:space="preserve">Reflecting on the process, I recognise that my initial approach was too focused on </w:t>
      </w:r>
      <w:r>
        <w:rPr>
          <w:b/>
          <w:bCs/>
          <w:lang w:val="en-IN"/>
        </w:rPr>
        <w:t>finding information rather than interpreting it</w:t>
      </w:r>
      <w:r>
        <w:rPr>
          <w:lang w:val="en-IN"/>
        </w:rPr>
        <w:t>. I tended to consider the availability of a source as evidence that the information was useful. During the analysis, however, I realised that credible information only becomes valuable when it helps explain a strategic issue. For example, Tesco's market-share performance was not meaningful simply because it demonstrated that Tesco was successful; it became strategically relevant when considered alongside the intense competition from discount retailers and the need to maintain customer value.</w:t>
      </w:r>
    </w:p>
    <w:p>
      <w:pPr>
        <w:pStyle w:val="Normal"/>
        <w:rPr>
          <w:lang w:val="en-IN"/>
        </w:rPr>
      </w:pPr>
      <w:r>
        <w:rPr>
          <w:lang w:val="en-IN"/>
        </w:rPr>
        <w:t>I also recognised that my first understanding of reflection itself was limited. I previously viewed reflection as describing what had been done and stating what had been learned. Through this assessment, I realised that effective reflection requires questioning my own decisions and identifying weaknesses in my approach. For instance, applying PESTEL without establishing which factors were most influential could have resulted in excessive description. Similarly, treating Clubcard simply as a strength would have been insufficient; applying VRIO required me to question whether its value, rarity, difficulty of imitation and organisational exploitation was strong enough to generate sustained competitive advantage.</w:t>
      </w:r>
    </w:p>
    <w:p>
      <w:pPr>
        <w:pStyle w:val="Normal"/>
        <w:rPr>
          <w:lang w:val="en-IN"/>
        </w:rPr>
      </w:pPr>
      <w:r>
        <w:rPr>
          <w:lang w:val="en-IN"/>
        </w:rPr>
        <w:t>This process also made me more aware of the importance of triangulating information. Company reports provide valuable organisational information, but relying exclusively on the company's own perspective could create a risk of presenting its strategy too positively. Comparing organisational evidence with industry and academic perspectives therefore became important for developing more balanced judgements.</w:t>
      </w:r>
    </w:p>
    <w:p>
      <w:pPr>
        <w:pStyle w:val="Heading2"/>
        <w:rPr>
          <w:lang w:val="en-IN"/>
        </w:rPr>
      </w:pPr>
      <w:bookmarkStart w:id="21" w:name="_Toc237352527"/>
      <w:r>
        <w:rPr>
          <w:lang w:val="en-IN"/>
        </w:rPr>
        <w:t>2.3 Abstract Conceptualisation</w:t>
      </w:r>
      <w:bookmarkEnd w:id="21"/>
    </w:p>
    <w:p>
      <w:pPr>
        <w:pStyle w:val="Normal"/>
        <w:rPr>
          <w:lang w:val="en-IN"/>
        </w:rPr>
      </w:pPr>
      <w:r>
        <w:rPr>
          <w:lang w:val="en-IN"/>
        </w:rPr>
        <w:t xml:space="preserve">The experience changed my understanding of strategic management from a </w:t>
      </w:r>
      <w:r>
        <w:rPr>
          <w:b/>
          <w:bCs/>
          <w:lang w:val="en-IN"/>
        </w:rPr>
        <w:t>framework-driven activity to an evidence-driven process of strategic judgement</w:t>
      </w:r>
      <w:r>
        <w:rPr>
          <w:lang w:val="en-IN"/>
        </w:rPr>
        <w:t>. I learned that frameworks are analytical tools rather than answers in themselves. PESTEL identifies environmental pressures, but managerial judgement is required to determine which pressures are strategically important. VRIO helps evaluate resources, but the outcome depends on the quality of the evidence used to assess whether resources are genuinely difficult to imitate. SWOT is most useful when it synthesises findings rather than repeating earlier analysis.</w:t>
      </w:r>
    </w:p>
    <w:p>
      <w:pPr>
        <w:pStyle w:val="Normal"/>
        <w:rPr>
          <w:lang w:val="en-IN"/>
        </w:rPr>
      </w:pPr>
      <w:r>
        <w:rPr>
          <w:lang w:val="en-IN"/>
        </w:rPr>
        <w:t xml:space="preserve">I also developed a stronger understanding of the relationship between different strategic frameworks. For example, Tesco's Clubcard capability identified through VRIO can be connected to customer power identified through Porter’s Five Forces. Similarly, technological and social changes identified through PESTEL can support an Ansoff-based recommendation involving digital development and customer personalisation. This demonstrated to me that strategic analysis is strongest when frameworks are </w:t>
      </w:r>
      <w:r>
        <w:rPr>
          <w:b/>
          <w:bCs/>
          <w:lang w:val="en-IN"/>
        </w:rPr>
        <w:t>integrated rather than presented as separate sections</w:t>
      </w:r>
      <w:r>
        <w:rPr>
          <w:lang w:val="en-IN"/>
        </w:rPr>
        <w:t>.</w:t>
      </w:r>
    </w:p>
    <w:p>
      <w:pPr>
        <w:pStyle w:val="Normal"/>
        <w:rPr>
          <w:lang w:val="en-IN"/>
        </w:rPr>
      </w:pPr>
      <w:r>
        <w:rPr>
          <w:lang w:val="en-IN"/>
        </w:rPr>
        <w:t>Most importantly, I learned that a recommendation should emerge from the analysis. Instead of selecting a strategy first and attempting to justify it afterwards, I recognised the importance of moving logically from environmental conditions and internal capabilities towards strategic choice. This improved the credibility of the recommendation concerning Tesco's value-based differentiation and omnichannel development.</w:t>
      </w:r>
    </w:p>
    <w:p>
      <w:pPr>
        <w:pStyle w:val="Heading2"/>
        <w:rPr>
          <w:lang w:val="en-IN"/>
        </w:rPr>
      </w:pPr>
      <w:bookmarkStart w:id="22" w:name="_Toc237352528"/>
      <w:r>
        <w:rPr>
          <w:lang w:val="en-IN"/>
        </w:rPr>
        <w:t>2.4 Active Experimentation</w:t>
      </w:r>
      <w:bookmarkEnd w:id="22"/>
    </w:p>
    <w:p>
      <w:pPr>
        <w:pStyle w:val="Normal"/>
        <w:rPr>
          <w:lang w:val="en-IN"/>
        </w:rPr>
      </w:pPr>
      <w:r>
        <w:rPr>
          <w:lang w:val="en-IN"/>
        </w:rPr>
        <w:t xml:space="preserve">As a result of this experience, I will change my approach to future strategic assignments in three specific ways. First, I will establish the </w:t>
      </w:r>
      <w:r>
        <w:rPr>
          <w:b/>
          <w:bCs/>
          <w:lang w:val="en-IN"/>
        </w:rPr>
        <w:t>strategic question before collecting evidence</w:t>
      </w:r>
      <w:r>
        <w:rPr>
          <w:lang w:val="en-IN"/>
        </w:rPr>
        <w:t>. Rather than collecting large amounts of information, I will identify what decision the analysis needs to support and select evidence accordingly.</w:t>
      </w:r>
    </w:p>
    <w:p>
      <w:pPr>
        <w:pStyle w:val="Normal"/>
        <w:rPr>
          <w:lang w:val="en-IN"/>
        </w:rPr>
      </w:pPr>
      <w:r>
        <w:rPr>
          <w:lang w:val="en-IN"/>
        </w:rPr>
        <w:t>Second, I will use frameworks sequentially and critically. I will use PESTEL to identify the most significant external pressures, VRIO to evaluate whether internal resources can respond to them, and SWOT to synthesise the relationship between internal capabilities and external conditions. I will then use strategy frameworks such as Porter’s Five Forces and Ansoff to test potential strategic choices rather than simply describing the models.</w:t>
      </w:r>
    </w:p>
    <w:p>
      <w:pPr>
        <w:pStyle w:val="Normal"/>
        <w:rPr>
          <w:lang w:val="en-IN"/>
        </w:rPr>
      </w:pPr>
      <w:r>
        <w:rPr>
          <w:lang w:val="en-IN"/>
        </w:rPr>
        <w:t>Third, I will strengthen my evidence evaluation by comparing company information with independent industry and academic sources. This will reduce the risk of accepting organisational claims without sufficient critical examination.</w:t>
      </w:r>
    </w:p>
    <w:p>
      <w:pPr>
        <w:pStyle w:val="Normal"/>
        <w:rPr>
          <w:lang w:val="en-IN"/>
        </w:rPr>
      </w:pPr>
      <w:r>
        <w:rPr>
          <w:lang w:val="en-IN"/>
        </w:rPr>
        <w:t xml:space="preserve">Overall, the Tesco assessment has developed my ability to move from </w:t>
      </w:r>
      <w:r>
        <w:rPr>
          <w:b/>
          <w:bCs/>
          <w:lang w:val="en-IN"/>
        </w:rPr>
        <w:t>information collection to evidence-based strategic judgement</w:t>
      </w:r>
      <w:r>
        <w:rPr>
          <w:lang w:val="en-IN"/>
        </w:rPr>
        <w:t>. Kolb’s cycle has helped me recognise that the most valuable learning did not come from simply using strategic models, but from critically evaluating how, when and why those models should be applied. In future assessments and professional strategic analysis, I will therefore place greater emphasis on questioning assumptions, integrating evidence, evaluating alternatives and converting analysis into justified recommendations. This represents a meaningful improvement in my analytical approach rather than simply an increase in theoretical knowledge.</w:t>
      </w:r>
    </w:p>
    <w:p>
      <w:pPr>
        <w:pStyle w:val="Normal"/>
        <w:spacing w:lineRule="auto" w:line="259" w:before="0" w:after="160"/>
        <w:jc w:val="start"/>
        <w:rPr/>
      </w:pPr>
      <w:r>
        <w:rPr/>
      </w:r>
      <w:r>
        <w:br w:type="page"/>
      </w:r>
    </w:p>
    <w:p>
      <w:pPr>
        <w:pStyle w:val="Heading1"/>
        <w:spacing w:before="0" w:after="120"/>
        <w:rPr/>
      </w:pPr>
      <w:bookmarkStart w:id="23" w:name="_Toc237352529"/>
      <w:r>
        <w:rPr/>
        <w:t>REFERENCES</w:t>
      </w:r>
      <w:bookmarkEnd w:id="23"/>
    </w:p>
    <w:p>
      <w:pPr>
        <w:pStyle w:val="Normal"/>
        <w:rPr/>
      </w:pPr>
      <w:r>
        <w:rPr/>
        <w:t>Benghezal, D. and Izadi, J., 2022. Exploring the impact of CSR strategy in food retail sector firms. </w:t>
      </w:r>
      <w:r>
        <w:rPr>
          <w:i/>
          <w:iCs/>
        </w:rPr>
        <w:t>Banking and Accounting</w:t>
      </w:r>
      <w:r>
        <w:rPr/>
        <w:t>.</w:t>
      </w:r>
    </w:p>
    <w:p>
      <w:pPr>
        <w:pStyle w:val="Normal"/>
        <w:rPr/>
      </w:pPr>
      <w:r>
        <w:rPr/>
        <w:t>Cummins, S., Kalbus, A.I., Cornelsen, L., Adams, J., Boyland, E., Burgoine, T., Law, C., de Vocht, F., White, M. and Yau, A., 2024. Social inequalities in the use of online food delivery services and associations with weight status: cross-sectional analysis of survey and consumer data. </w:t>
      </w:r>
      <w:r>
        <w:rPr>
          <w:i/>
          <w:iCs/>
        </w:rPr>
        <w:t>BMJ Public Health</w:t>
      </w:r>
      <w:r>
        <w:rPr/>
        <w:t>, </w:t>
      </w:r>
      <w:r>
        <w:rPr>
          <w:i/>
          <w:iCs/>
        </w:rPr>
        <w:t>2</w:t>
      </w:r>
      <w:r>
        <w:rPr/>
        <w:t>(2).</w:t>
      </w:r>
    </w:p>
    <w:p>
      <w:pPr>
        <w:pStyle w:val="Normal"/>
        <w:rPr/>
      </w:pPr>
      <w:r>
        <w:rPr/>
        <w:t>Dahish, Z., Miah, S.J., Pandit, A. and Roy, S.K., 2025. Enhancing phygital customer experience through generative AI: a social listening method for strategic retail decision-making. </w:t>
      </w:r>
      <w:r>
        <w:rPr>
          <w:i/>
          <w:iCs/>
        </w:rPr>
        <w:t>Journal of Strategic Marketing</w:t>
      </w:r>
      <w:r>
        <w:rPr/>
        <w:t>, pp.1-21.</w:t>
      </w:r>
    </w:p>
    <w:p>
      <w:pPr>
        <w:pStyle w:val="Normal"/>
        <w:rPr/>
      </w:pPr>
      <w:r>
        <w:rPr/>
        <w:t xml:space="preserve">Davey, J., 2022. </w:t>
      </w:r>
      <w:r>
        <w:rPr>
          <w:i/>
          <w:iCs/>
        </w:rPr>
        <w:t>Focus: Loyalty pays off for Tesco as Britons feel the pinch.</w:t>
      </w:r>
      <w:r>
        <w:rPr/>
        <w:t xml:space="preserve"> [online] available at </w:t>
      </w:r>
      <w:hyperlink r:id="rId5">
        <w:r>
          <w:rPr>
            <w:rStyle w:val="Hyperlink"/>
          </w:rPr>
          <w:t>https://www.reuters.com/business/retail-consumer/loyalty-pays-off-tesco-britons-feel-pinch-2022-02-23/</w:t>
        </w:r>
      </w:hyperlink>
    </w:p>
    <w:p>
      <w:pPr>
        <w:pStyle w:val="Normal"/>
        <w:rPr/>
      </w:pPr>
      <w:r>
        <w:rPr/>
        <w:t>ED, D. and FCLMI, F., 2026. Industrial Organization Theory and its Contribution to Decision-Making in Purchasing.</w:t>
      </w:r>
    </w:p>
    <w:p>
      <w:pPr>
        <w:pStyle w:val="Normal"/>
        <w:rPr/>
      </w:pPr>
      <w:r>
        <w:rPr/>
        <w:t>Ekren, B.Y., Perotti, S., Foresti, L. and Prataviera, L., 2025. Enhancing e-grocery order fulfillment: improving product availability, cost, and emissions in last-mile delivery. </w:t>
      </w:r>
      <w:r>
        <w:rPr>
          <w:i/>
          <w:iCs/>
        </w:rPr>
        <w:t>Electronic Commerce Research</w:t>
      </w:r>
      <w:r>
        <w:rPr/>
        <w:t>, </w:t>
      </w:r>
      <w:r>
        <w:rPr>
          <w:i/>
          <w:iCs/>
        </w:rPr>
        <w:t>25</w:t>
      </w:r>
      <w:r>
        <w:rPr/>
        <w:t>(3), pp.2417-2455.</w:t>
      </w:r>
    </w:p>
    <w:p>
      <w:pPr>
        <w:pStyle w:val="Normal"/>
        <w:rPr/>
      </w:pPr>
      <w:r>
        <w:rPr/>
        <w:t xml:space="preserve">Gov UK, 2026. </w:t>
      </w:r>
      <w:r>
        <w:rPr>
          <w:i/>
          <w:iCs/>
        </w:rPr>
        <w:t>Aldi and Lidl should be subject to the same rules as major supermarkets.</w:t>
      </w:r>
      <w:r>
        <w:rPr/>
        <w:t xml:space="preserve"> [online] available at </w:t>
      </w:r>
      <w:hyperlink r:id="rId6">
        <w:r>
          <w:rPr>
            <w:rStyle w:val="Hyperlink"/>
          </w:rPr>
          <w:t>https://www.tescoplc.com/investors/reports-results-and-presentations/financial-performance</w:t>
        </w:r>
      </w:hyperlink>
    </w:p>
    <w:p>
      <w:pPr>
        <w:pStyle w:val="Normal"/>
        <w:rPr/>
      </w:pPr>
      <w:r>
        <w:rPr/>
        <w:t xml:space="preserve">Gov UK, 2026a. </w:t>
      </w:r>
      <w:r>
        <w:rPr>
          <w:i/>
          <w:iCs/>
        </w:rPr>
        <w:t>Food statistics in your pocket.</w:t>
      </w:r>
      <w:r>
        <w:rPr/>
        <w:t xml:space="preserve"> [online] available at </w:t>
      </w:r>
      <w:hyperlink r:id="rId7">
        <w:r>
          <w:rPr>
            <w:rStyle w:val="Hyperlink"/>
          </w:rPr>
          <w:t>https://www.gov.uk/government/statistics/food-statistics-pocketbook/food-statistics-in-your-pocket</w:t>
        </w:r>
      </w:hyperlink>
    </w:p>
    <w:p>
      <w:pPr>
        <w:pStyle w:val="Normal"/>
        <w:rPr/>
      </w:pPr>
      <w:r>
        <w:rPr/>
        <w:t>Haji, I.H.A., Temprano-García, V. and Peluso, A.M., 2025. The impact of perceived availability of consumer data on loyalty in retail channels: a relational exchange perspective. </w:t>
      </w:r>
      <w:r>
        <w:rPr>
          <w:i/>
          <w:iCs/>
        </w:rPr>
        <w:t>European Journal of Marketing</w:t>
      </w:r>
      <w:r>
        <w:rPr/>
        <w:t>, </w:t>
      </w:r>
      <w:r>
        <w:rPr>
          <w:i/>
          <w:iCs/>
        </w:rPr>
        <w:t>59</w:t>
      </w:r>
      <w:r>
        <w:rPr/>
        <w:t>(10), pp.2327-2374.</w:t>
      </w:r>
    </w:p>
    <w:p>
      <w:pPr>
        <w:pStyle w:val="Normal"/>
        <w:rPr/>
      </w:pPr>
      <w:r>
        <w:rPr/>
        <w:t>Ishrat, I., Hasan, M., Farooq, A. and Khan, F.M., 2023. Modelling of consumer challenges and marketing strategies during crisis. </w:t>
      </w:r>
      <w:r>
        <w:rPr>
          <w:i/>
          <w:iCs/>
        </w:rPr>
        <w:t>Qualitative Market Research: An International Journal</w:t>
      </w:r>
      <w:r>
        <w:rPr/>
        <w:t>, </w:t>
      </w:r>
      <w:r>
        <w:rPr>
          <w:i/>
          <w:iCs/>
        </w:rPr>
        <w:t>26</w:t>
      </w:r>
      <w:r>
        <w:rPr/>
        <w:t>(4), pp.285-319.</w:t>
      </w:r>
    </w:p>
    <w:p>
      <w:pPr>
        <w:pStyle w:val="Normal"/>
        <w:rPr/>
      </w:pPr>
      <w:r>
        <w:rPr/>
        <w:t>Jaravel, X. and O'Connell, M., 2020. High‐Frequency Changes in Shopping Behaviours, Promotions and the Measurement of Inflation: Evidence from the Great Lockdown. </w:t>
      </w:r>
      <w:r>
        <w:rPr>
          <w:i/>
          <w:iCs/>
        </w:rPr>
        <w:t>Fiscal Studies</w:t>
      </w:r>
      <w:r>
        <w:rPr/>
        <w:t>, </w:t>
      </w:r>
      <w:r>
        <w:rPr>
          <w:i/>
          <w:iCs/>
        </w:rPr>
        <w:t>41</w:t>
      </w:r>
      <w:r>
        <w:rPr/>
        <w:t>(3), pp.733-755.</w:t>
      </w:r>
    </w:p>
    <w:p>
      <w:pPr>
        <w:pStyle w:val="Normal"/>
        <w:rPr/>
      </w:pPr>
      <w:r>
        <w:rPr/>
        <w:t>Kianto, V., 2021. Customer data utilization in grocery retail.</w:t>
      </w:r>
    </w:p>
    <w:p>
      <w:pPr>
        <w:pStyle w:val="Normal"/>
        <w:rPr/>
      </w:pPr>
      <w:r>
        <w:rPr/>
        <w:t>Korpeoglu, C.G., Körpeoğlu, E. and Cho, S.H., 2020. Supply chain competition: A market game approach. </w:t>
      </w:r>
      <w:r>
        <w:rPr>
          <w:i/>
          <w:iCs/>
        </w:rPr>
        <w:t>Management Science</w:t>
      </w:r>
      <w:r>
        <w:rPr/>
        <w:t>, </w:t>
      </w:r>
      <w:r>
        <w:rPr>
          <w:i/>
          <w:iCs/>
        </w:rPr>
        <w:t>66</w:t>
      </w:r>
      <w:r>
        <w:rPr/>
        <w:t>(12), pp.5648-5664.</w:t>
      </w:r>
    </w:p>
    <w:p>
      <w:pPr>
        <w:pStyle w:val="Normal"/>
        <w:rPr/>
      </w:pPr>
      <w:r>
        <w:rPr/>
        <w:t>Leite, B.T.D.S., 2020. Marks &amp; spencer out of fashion the case of an outdated brick and mortar.</w:t>
      </w:r>
    </w:p>
    <w:p>
      <w:pPr>
        <w:pStyle w:val="Normal"/>
        <w:rPr/>
      </w:pPr>
      <w:r>
        <w:rPr/>
        <w:t>Meng, S., 2024. Operation management of grocery retailer in the uk: a case of tesco. </w:t>
      </w:r>
      <w:r>
        <w:rPr>
          <w:i/>
          <w:iCs/>
        </w:rPr>
        <w:t>Pacific International Journal</w:t>
      </w:r>
      <w:r>
        <w:rPr/>
        <w:t>, </w:t>
      </w:r>
      <w:r>
        <w:rPr>
          <w:i/>
          <w:iCs/>
        </w:rPr>
        <w:t>7</w:t>
      </w:r>
      <w:r>
        <w:rPr/>
        <w:t>(2), pp.136-142.</w:t>
      </w:r>
    </w:p>
    <w:p>
      <w:pPr>
        <w:pStyle w:val="Normal"/>
        <w:rPr/>
      </w:pPr>
      <w:r>
        <w:rPr/>
        <w:t>Mkansi, M. and Nsakanda, A.L., 2021. Leveraging the physical network of stores in e-grocery order fulfilment for sustainable competitive advantage. </w:t>
      </w:r>
      <w:r>
        <w:rPr>
          <w:i/>
          <w:iCs/>
        </w:rPr>
        <w:t>Research in Transportation Economics</w:t>
      </w:r>
      <w:r>
        <w:rPr/>
        <w:t>, </w:t>
      </w:r>
      <w:r>
        <w:rPr>
          <w:i/>
          <w:iCs/>
        </w:rPr>
        <w:t>87</w:t>
      </w:r>
      <w:r>
        <w:rPr/>
        <w:t>, p.100786.</w:t>
      </w:r>
    </w:p>
    <w:p>
      <w:pPr>
        <w:pStyle w:val="Normal"/>
        <w:rPr/>
      </w:pPr>
      <w:r>
        <w:rPr/>
        <w:t>Moon, H.C., 2022. </w:t>
      </w:r>
      <w:r>
        <w:rPr>
          <w:i/>
          <w:iCs/>
        </w:rPr>
        <w:t>Global business strategy: Asian perspective</w:t>
      </w:r>
      <w:r>
        <w:rPr/>
        <w:t>. World Scientific.</w:t>
      </w:r>
    </w:p>
    <w:p>
      <w:pPr>
        <w:pStyle w:val="Normal"/>
        <w:rPr/>
      </w:pPr>
      <w:r>
        <w:rPr/>
        <w:t>O'Connell, M., Smith, H. and Thomassen, Ø., 2025. </w:t>
      </w:r>
      <w:r>
        <w:rPr>
          <w:i/>
          <w:iCs/>
        </w:rPr>
        <w:t>The rise of discounters and its impact on concentration, market power and welfare</w:t>
      </w:r>
      <w:r>
        <w:rPr/>
        <w:t> (No. 25/29). IFS Working Papers.</w:t>
      </w:r>
    </w:p>
    <w:p>
      <w:pPr>
        <w:pStyle w:val="Normal"/>
        <w:rPr/>
      </w:pPr>
      <w:r>
        <w:rPr/>
        <w:t>Olarewaju, T., Dani, S., Obeng-Fosu, C., Olarewaju, T. and Jabbar, A., 2024. The impact of climate action on the financial performance of food, grocery, and supermarket retailers in the UK. </w:t>
      </w:r>
      <w:r>
        <w:rPr>
          <w:i/>
          <w:iCs/>
        </w:rPr>
        <w:t>Sustainability</w:t>
      </w:r>
      <w:r>
        <w:rPr/>
        <w:t>, </w:t>
      </w:r>
      <w:r>
        <w:rPr>
          <w:i/>
          <w:iCs/>
        </w:rPr>
        <w:t>16</w:t>
      </w:r>
      <w:r>
        <w:rPr/>
        <w:t>(5), p.1785.</w:t>
      </w:r>
    </w:p>
    <w:p>
      <w:pPr>
        <w:pStyle w:val="Normal"/>
        <w:rPr/>
      </w:pPr>
      <w:r>
        <w:rPr/>
        <w:t>Saeed, S., Altamimi, S.A., Alkayyal, N.A., Alshehri, E. and Alabbad, D.A., 2023. Digital transformation and cybersecurity challenges for businesses resilience: Issues and recommendations. </w:t>
      </w:r>
      <w:r>
        <w:rPr>
          <w:i/>
          <w:iCs/>
        </w:rPr>
        <w:t>Sensors</w:t>
      </w:r>
      <w:r>
        <w:rPr/>
        <w:t>, </w:t>
      </w:r>
      <w:r>
        <w:rPr>
          <w:i/>
          <w:iCs/>
        </w:rPr>
        <w:t>23</w:t>
      </w:r>
      <w:r>
        <w:rPr/>
        <w:t>(15), p.6666.</w:t>
      </w:r>
    </w:p>
    <w:p>
      <w:pPr>
        <w:pStyle w:val="Normal"/>
        <w:rPr/>
      </w:pPr>
      <w:r>
        <w:rPr/>
        <w:t>Samadzadeh, M., 2024. Investigating Successful E-Commerce and Digital Marketing Strategies for Major Supermarkets in the UK.</w:t>
      </w:r>
    </w:p>
    <w:p>
      <w:pPr>
        <w:pStyle w:val="Normal"/>
        <w:rPr/>
      </w:pPr>
      <w:r>
        <w:rPr/>
        <w:t>Sheriffdeen, K., Iseal, S., Praise, A. and Luz, A., 2023. Mobile Apps and Progressive Web Apps (PWAs) for Grocery Omnichannel Commerce.</w:t>
      </w:r>
    </w:p>
    <w:p>
      <w:pPr>
        <w:pStyle w:val="Normal"/>
        <w:rPr/>
      </w:pPr>
      <w:r>
        <w:rPr/>
        <w:t>Statham, J., Halem, H. and Mansfield, I., 2024. Strengthening the UK’s Food Security: Innovation and investment in the Food Manufacturing Sector.</w:t>
      </w:r>
    </w:p>
    <w:p>
      <w:pPr>
        <w:pStyle w:val="Normal"/>
        <w:rPr/>
      </w:pPr>
      <w:r>
        <w:rPr/>
        <w:t>Sze, T. and Gunasekara, G., 2025. A Privacy Trojan Horse? Consumer Loyalty Programmes in the Grocery Sector and Data Privacy. </w:t>
      </w:r>
      <w:r>
        <w:rPr>
          <w:i/>
          <w:iCs/>
        </w:rPr>
        <w:t>Consumer Loyalty Programmes in the Grocery Sector and Data Privacy (March 31, 2025). The University of Auckland Business School Research Paper Forthcoming</w:t>
      </w:r>
      <w:r>
        <w:rPr/>
        <w:t>.</w:t>
      </w:r>
    </w:p>
    <w:p>
      <w:pPr>
        <w:pStyle w:val="Normal"/>
        <w:rPr/>
      </w:pPr>
      <w:r>
        <w:rPr/>
        <w:t xml:space="preserve">Tesco, 2025. </w:t>
      </w:r>
      <w:r>
        <w:rPr>
          <w:i/>
          <w:iCs/>
        </w:rPr>
        <w:t>Q1 Trading Statement 2025/26</w:t>
      </w:r>
      <w:r>
        <w:rPr/>
        <w:t xml:space="preserve">. [online] available at </w:t>
      </w:r>
      <w:hyperlink r:id="rId8">
        <w:r>
          <w:rPr>
            <w:rStyle w:val="Hyperlink"/>
          </w:rPr>
          <w:t>https://www.tescoplc.com/q1-trading-statement-202526/</w:t>
        </w:r>
      </w:hyperlink>
    </w:p>
    <w:p>
      <w:pPr>
        <w:pStyle w:val="Normal"/>
        <w:rPr/>
      </w:pPr>
      <w:r>
        <w:rPr/>
        <w:t xml:space="preserve">Tesco, 2025a. </w:t>
      </w:r>
      <w:r>
        <w:rPr>
          <w:i/>
          <w:iCs/>
        </w:rPr>
        <w:t>Food waste and redistribution Factsheet 2024.</w:t>
      </w:r>
      <w:r>
        <w:rPr/>
        <w:t xml:space="preserve"> [online] available at </w:t>
      </w:r>
      <w:hyperlink r:id="rId9">
        <w:r>
          <w:rPr>
            <w:rStyle w:val="Hyperlink"/>
          </w:rPr>
          <w:t>https://www.tescoplc.com/food-waste-and-redistribution-factsheet-2024</w:t>
        </w:r>
      </w:hyperlink>
    </w:p>
    <w:p>
      <w:pPr>
        <w:pStyle w:val="Normal"/>
        <w:rPr/>
      </w:pPr>
      <w:r>
        <w:rPr/>
        <w:t xml:space="preserve">Tesco, 2026. </w:t>
      </w:r>
      <w:r>
        <w:rPr>
          <w:i/>
          <w:iCs/>
        </w:rPr>
        <w:t>ABOUT</w:t>
      </w:r>
      <w:r>
        <w:rPr/>
        <w:t xml:space="preserve">. [online] available at </w:t>
      </w:r>
      <w:hyperlink r:id="rId10">
        <w:r>
          <w:rPr>
            <w:rStyle w:val="Hyperlink"/>
          </w:rPr>
          <w:t>https://www.tescoplc.com/about</w:t>
        </w:r>
      </w:hyperlink>
    </w:p>
    <w:p>
      <w:pPr>
        <w:pStyle w:val="Normal"/>
        <w:rPr/>
      </w:pPr>
      <w:r>
        <w:rPr/>
        <w:t xml:space="preserve">Tesco, 2026a. </w:t>
      </w:r>
      <w:r>
        <w:rPr>
          <w:i/>
          <w:iCs/>
        </w:rPr>
        <w:t>Core purpose and values</w:t>
      </w:r>
      <w:r>
        <w:rPr/>
        <w:t xml:space="preserve">. [online] available at </w:t>
      </w:r>
      <w:hyperlink r:id="rId11">
        <w:r>
          <w:rPr>
            <w:rStyle w:val="Hyperlink"/>
          </w:rPr>
          <w:t>https://www.tescoplc.com/about/how-we-do-business/core-purpose-and-values/</w:t>
        </w:r>
      </w:hyperlink>
    </w:p>
    <w:p>
      <w:pPr>
        <w:pStyle w:val="Normal"/>
        <w:rPr/>
      </w:pPr>
      <w:r>
        <w:rPr/>
        <w:t xml:space="preserve">Tesco, 2026b. </w:t>
      </w:r>
      <w:r>
        <w:rPr>
          <w:i/>
          <w:iCs/>
        </w:rPr>
        <w:t>Financial performance</w:t>
      </w:r>
      <w:r>
        <w:rPr/>
        <w:t xml:space="preserve">. [online] available at </w:t>
      </w:r>
      <w:hyperlink r:id="rId12">
        <w:r>
          <w:rPr>
            <w:rStyle w:val="Hyperlink"/>
          </w:rPr>
          <w:t>https://www.tescoplc.com/investors/reports-results-and-presentations/financial-performance</w:t>
        </w:r>
      </w:hyperlink>
    </w:p>
    <w:p>
      <w:pPr>
        <w:pStyle w:val="Normal"/>
        <w:rPr/>
      </w:pPr>
      <w:r>
        <w:rPr/>
        <w:t xml:space="preserve">Tesco, 2026c. </w:t>
      </w:r>
      <w:r>
        <w:rPr>
          <w:i/>
          <w:iCs/>
        </w:rPr>
        <w:t>Climate Change.</w:t>
      </w:r>
      <w:r>
        <w:rPr/>
        <w:t xml:space="preserve"> [online] available at </w:t>
      </w:r>
      <w:hyperlink r:id="rId13">
        <w:r>
          <w:rPr>
            <w:rStyle w:val="Hyperlink"/>
          </w:rPr>
          <w:t>https://www.tescoplc.com/sustainability/planet/protecting-nature/climate-change</w:t>
        </w:r>
      </w:hyperlink>
    </w:p>
    <w:p>
      <w:pPr>
        <w:pStyle w:val="Normal"/>
        <w:rPr/>
      </w:pPr>
      <w:r>
        <w:rPr/>
        <w:t>Wadud, I., 2026. </w:t>
      </w:r>
      <w:r>
        <w:rPr>
          <w:i/>
          <w:iCs/>
        </w:rPr>
        <w:t>Digital Transformation in the UK Retail Sector: A Consideration of the Barriers and Challenges Derived from Consumer Purchasing Behaviour</w:t>
      </w:r>
      <w:r>
        <w:rPr/>
        <w:t> (Doctoral dissertation, Bournemouth University).</w:t>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widowControl/>
        <w:bidi w:val="0"/>
        <w:spacing w:lineRule="auto" w:line="360" w:before="120" w:after="120"/>
        <w:jc w:val="both"/>
        <w:rPr/>
      </w:pPr>
      <w:r>
        <w:rPr/>
      </w:r>
    </w:p>
    <w:sectPr>
      <w:footerReference w:type="even" r:id="rId14"/>
      <w:footerReference w:type="default" r:id="rId15"/>
      <w:footerReference w:type="first" r:id="rId16"/>
      <w:type w:val="nextPage"/>
      <w:pgSz w:w="11906" w:h="16838"/>
      <w:pgMar w:left="1440" w:right="1440" w:gutter="0" w:header="0" w:top="1440" w:footer="708" w:bottom="1440"/>
      <w:pgBorders w:display="allPages" w:offsetFrom="page">
        <w:top w:val="thickThinSmallGap" w:sz="24" w:space="24" w:color="000000"/>
        <w:left w:val="thickThinSmallGap" w:sz="24" w:space="24" w:color="000000"/>
        <w:bottom w:val="thinThickSmallGap" w:sz="24" w:space="24" w:color="000000"/>
        <w:right w:val="thinThickSmallGap" w:sz="24" w:space="24" w:color="000000"/>
      </w:pgBorders>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0" w:characterSet="windows-1252"/>
    <w:family w:val="roman"/>
    <w:pitch w:val="variable"/>
  </w:font>
  <w:font w:name="Aptos">
    <w:charset w:val="00" w:characterSet="windows-1252"/>
    <w:family w:val="roman"/>
    <w:pitch w:val="variable"/>
  </w:font>
  <w:font w:name="Aptos">
    <w:charset w:val="00" w:characterSet="windows-1252"/>
    <w:family w:val="swiss"/>
    <w:pitch w:val="variable"/>
  </w:font>
  <w:font w:name="Aptos Display">
    <w:charset w:val="00" w:characterSet="windows-1252"/>
    <w:family w:val="roman"/>
    <w:pitch w:val="variable"/>
  </w:font>
  <w:font w:name="Liberation Sans">
    <w:altName w:val="Arial"/>
    <w:charset w:val="00" w:characterSet="windows-1252"/>
    <w:family w:val="swiss"/>
    <w:pitch w:val="variable"/>
  </w:font>
  <w:font w:name="Aptos Display">
    <w:charset w:val="00" w:characterSet="windows-1252"/>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id w:val="636621373"/>
      <w:docPartObj>
        <w:docPartGallery w:val="Page Numbers (Bottom of Page)"/>
        <w:docPartUnique w:val="true"/>
      </w:docPartObj>
    </w:sdtPr>
    <w:sdtContent>
      <w:p>
        <w:pPr>
          <w:pStyle w:val="Footer"/>
          <w:rPr/>
        </w:pPr>
        <w:r>
          <w:rPr/>
          <w:fldChar w:fldCharType="begin"/>
        </w:r>
        <w:r>
          <w:rPr/>
          <w:instrText xml:space="preserve"> PAGE </w:instrText>
        </w:r>
        <w:r>
          <w:rPr/>
          <w:fldChar w:fldCharType="separate"/>
        </w:r>
        <w:r>
          <w:rPr/>
          <w:t>23</w:t>
        </w:r>
        <w:r>
          <w:rPr/>
          <w:fldChar w:fldCharType="end"/>
        </w:r>
      </w:p>
    </w:sdtContent>
  </w:sdt>
  <w:p>
    <w:pPr>
      <w:pStyle w:val="Footer"/>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id w:val="636621373"/>
      <w:docPartObj>
        <w:docPartGallery w:val="Page Numbers (Bottom of Page)"/>
        <w:docPartUnique w:val="true"/>
      </w:docPartObj>
    </w:sdtPr>
    <w:sdtContent>
      <w:p>
        <w:pPr>
          <w:pStyle w:val="Footer"/>
          <w:rPr/>
        </w:pPr>
        <w:r>
          <w:rPr/>
          <w:fldChar w:fldCharType="begin"/>
        </w:r>
        <w:r>
          <w:rPr/>
          <w:instrText xml:space="preserve"> PAGE </w:instrText>
        </w:r>
        <w:r>
          <w:rPr/>
          <w:fldChar w:fldCharType="separate"/>
        </w:r>
        <w:r>
          <w:rPr/>
          <w:t>23</w:t>
        </w:r>
        <w:r>
          <w:rPr/>
          <w:fldChar w:fldCharType="end"/>
        </w:r>
      </w:p>
    </w:sdtContent>
  </w:sdt>
  <w:p>
    <w:pPr>
      <w:pStyle w:val="Footer"/>
      <w:rPr/>
    </w:pPr>
    <w:r>
      <w:rPr/>
    </w:r>
  </w:p>
</w:ftr>
</file>

<file path=word/settings.xml><?xml version="1.0" encoding="utf-8"?>
<w:settings xmlns:w="http://schemas.openxmlformats.org/wordprocessingml/2006/main">
  <w:zoom w:percent="80"/>
  <w:defaultTabStop w:val="720"/>
  <w:autoHyphenation w:val="true"/>
  <w:hyphenationZone w:val="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rA0NDA2MDK3sDAyMTJX0lEKTi0uzszPAykwqgUA41/jsSwAAAA="/>
  </w:docVars>
  <w:themeFontLang w:val="en-IN"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Aptos" w:cs="" w:asciiTheme="minorHAnsi" w:cstheme="minorBidi" w:eastAsiaTheme="minorHAnsi" w:hAnsiTheme="minorHAnsi"/>
        <w:sz w:val="22"/>
        <w:szCs w:val="22"/>
        <w:lang w:val="en-IN" w:eastAsia="en-US"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4569f"/>
    <w:pPr>
      <w:widowControl/>
      <w:bidi w:val="0"/>
      <w:spacing w:lineRule="auto" w:line="360" w:before="120" w:after="120"/>
      <w:jc w:val="both"/>
    </w:pPr>
    <w:rPr>
      <w:rFonts w:ascii="Arial" w:hAnsi="Arial" w:eastAsia="Aptos" w:cs="" w:cstheme="minorBidi" w:eastAsiaTheme="minorHAnsi"/>
      <w:color w:val="auto"/>
      <w:kern w:val="0"/>
      <w:sz w:val="24"/>
      <w:szCs w:val="22"/>
      <w:lang w:val="en-GB" w:eastAsia="en-US" w:bidi="ar-SA"/>
    </w:rPr>
  </w:style>
  <w:style w:type="paragraph" w:styleId="Heading1">
    <w:name w:val="heading 1"/>
    <w:basedOn w:val="Normal"/>
    <w:next w:val="Normal"/>
    <w:link w:val="Heading1Char"/>
    <w:autoRedefine/>
    <w:uiPriority w:val="9"/>
    <w:qFormat/>
    <w:rsid w:val="00622888"/>
    <w:pPr>
      <w:keepNext w:val="true"/>
      <w:keepLines/>
      <w:outlineLvl w:val="0"/>
    </w:pPr>
    <w:rPr>
      <w:rFonts w:eastAsia="" w:eastAsiaTheme="majorEastAsia"/>
      <w:b/>
      <w:bCs/>
      <w:color w:themeColor="text1" w:val="000000"/>
      <w:kern w:val="2"/>
      <w:szCs w:val="48"/>
      <w:lang w:eastAsia="en-IN"/>
    </w:rPr>
  </w:style>
  <w:style w:type="paragraph" w:styleId="Heading2">
    <w:name w:val="heading 2"/>
    <w:basedOn w:val="Normal"/>
    <w:next w:val="Normal"/>
    <w:link w:val="Heading2Char"/>
    <w:autoRedefine/>
    <w:uiPriority w:val="9"/>
    <w:unhideWhenUsed/>
    <w:qFormat/>
    <w:rsid w:val="0090602f"/>
    <w:pPr>
      <w:keepNext w:val="true"/>
      <w:keepLines/>
      <w:outlineLvl w:val="1"/>
    </w:pPr>
    <w:rPr>
      <w:rFonts w:eastAsia="" w:cs="" w:cstheme="majorBidi" w:eastAsiaTheme="majorEastAsia"/>
      <w:i/>
      <w:szCs w:val="32"/>
      <w:u w:val="single"/>
    </w:rPr>
  </w:style>
  <w:style w:type="paragraph" w:styleId="Heading3">
    <w:name w:val="heading 3"/>
    <w:basedOn w:val="Normal"/>
    <w:next w:val="Normal"/>
    <w:link w:val="Heading3Char"/>
    <w:uiPriority w:val="9"/>
    <w:unhideWhenUsed/>
    <w:qFormat/>
    <w:rsid w:val="00d345b1"/>
    <w:pPr>
      <w:keepNext w:val="true"/>
      <w:keepLines/>
      <w:outlineLvl w:val="2"/>
    </w:pPr>
    <w:rPr>
      <w:rFonts w:eastAsia="" w:cs="" w:cstheme="majorBidi" w:eastAsiaTheme="majorEastAsia"/>
      <w:i/>
      <w:color w:themeColor="text1" w:val="000000"/>
      <w:szCs w:val="28"/>
    </w:rPr>
  </w:style>
  <w:style w:type="paragraph" w:styleId="Heading4">
    <w:name w:val="heading 4"/>
    <w:basedOn w:val="Normal"/>
    <w:next w:val="Normal"/>
    <w:link w:val="Heading4Char"/>
    <w:uiPriority w:val="9"/>
    <w:semiHidden/>
    <w:unhideWhenUsed/>
    <w:qFormat/>
    <w:rsid w:val="00633ec4"/>
    <w:pPr>
      <w:keepNext w:val="true"/>
      <w:keepLines/>
      <w:spacing w:before="80" w:after="40"/>
      <w:outlineLvl w:val="3"/>
    </w:pPr>
    <w:rPr>
      <w:rFonts w:ascii="Aptos" w:hAnsi="Aptos" w:eastAsia="" w:cs="" w:asciiTheme="minorHAnsi" w:cstheme="majorBidi" w:eastAsiaTheme="majorEastAsia" w:hAnsiTheme="minorHAnsi"/>
      <w:i/>
      <w:iCs/>
      <w:color w:themeColor="accent1" w:themeShade="bf" w:val="0F4761"/>
    </w:rPr>
  </w:style>
  <w:style w:type="paragraph" w:styleId="Heading5">
    <w:name w:val="heading 5"/>
    <w:basedOn w:val="Normal"/>
    <w:next w:val="Normal"/>
    <w:link w:val="Heading5Char"/>
    <w:uiPriority w:val="9"/>
    <w:semiHidden/>
    <w:unhideWhenUsed/>
    <w:qFormat/>
    <w:rsid w:val="00633ec4"/>
    <w:pPr>
      <w:keepNext w:val="true"/>
      <w:keepLines/>
      <w:spacing w:before="80" w:after="40"/>
      <w:outlineLvl w:val="4"/>
    </w:pPr>
    <w:rPr>
      <w:rFonts w:ascii="Aptos" w:hAnsi="Aptos" w:eastAsia="" w:cs="" w:asciiTheme="minorHAnsi" w:cstheme="majorBidi" w:eastAsiaTheme="majorEastAsia" w:hAnsiTheme="minorHAnsi"/>
      <w:color w:themeColor="accent1" w:themeShade="bf" w:val="0F4761"/>
    </w:rPr>
  </w:style>
  <w:style w:type="paragraph" w:styleId="Heading6">
    <w:name w:val="heading 6"/>
    <w:basedOn w:val="Normal"/>
    <w:next w:val="Normal"/>
    <w:link w:val="Heading6Char"/>
    <w:uiPriority w:val="9"/>
    <w:semiHidden/>
    <w:unhideWhenUsed/>
    <w:qFormat/>
    <w:rsid w:val="00633ec4"/>
    <w:pPr>
      <w:keepNext w:val="true"/>
      <w:keepLines/>
      <w:spacing w:before="40" w:after="0"/>
      <w:outlineLvl w:val="5"/>
    </w:pPr>
    <w:rPr>
      <w:rFonts w:ascii="Aptos" w:hAnsi="Aptos" w:eastAsia="" w:cs="" w:asciiTheme="minorHAnsi" w:cstheme="majorBidi" w:eastAsiaTheme="majorEastAsia" w:hAnsiTheme="minorHAnsi"/>
      <w:i/>
      <w:iCs/>
      <w:color w:themeColor="text1" w:themeTint="a6" w:val="595959"/>
    </w:rPr>
  </w:style>
  <w:style w:type="paragraph" w:styleId="Heading7">
    <w:name w:val="heading 7"/>
    <w:basedOn w:val="Normal"/>
    <w:next w:val="Normal"/>
    <w:link w:val="Heading7Char"/>
    <w:uiPriority w:val="9"/>
    <w:semiHidden/>
    <w:unhideWhenUsed/>
    <w:qFormat/>
    <w:rsid w:val="00633ec4"/>
    <w:pPr>
      <w:keepNext w:val="true"/>
      <w:keepLines/>
      <w:spacing w:before="40" w:after="0"/>
      <w:outlineLvl w:val="6"/>
    </w:pPr>
    <w:rPr>
      <w:rFonts w:ascii="Aptos" w:hAnsi="Aptos" w:eastAsia="" w:cs="" w:asciiTheme="minorHAnsi" w:cstheme="majorBidi" w:eastAsiaTheme="majorEastAsia" w:hAnsiTheme="minorHAnsi"/>
      <w:color w:themeColor="text1" w:themeTint="a6" w:val="595959"/>
    </w:rPr>
  </w:style>
  <w:style w:type="paragraph" w:styleId="Heading8">
    <w:name w:val="heading 8"/>
    <w:basedOn w:val="Normal"/>
    <w:next w:val="Normal"/>
    <w:link w:val="Heading8Char"/>
    <w:uiPriority w:val="9"/>
    <w:semiHidden/>
    <w:unhideWhenUsed/>
    <w:qFormat/>
    <w:rsid w:val="00633ec4"/>
    <w:pPr>
      <w:keepNext w:val="true"/>
      <w:keepLines/>
      <w:spacing w:before="0" w:after="0"/>
      <w:outlineLvl w:val="7"/>
    </w:pPr>
    <w:rPr>
      <w:rFonts w:ascii="Aptos" w:hAnsi="Aptos" w:eastAsia="" w:cs="" w:asciiTheme="minorHAnsi" w:cstheme="majorBidi" w:eastAsiaTheme="majorEastAsia" w:hAnsiTheme="minorHAnsi"/>
      <w:i/>
      <w:iCs/>
      <w:color w:themeColor="text1" w:themeTint="d8" w:val="272727"/>
    </w:rPr>
  </w:style>
  <w:style w:type="paragraph" w:styleId="Heading9">
    <w:name w:val="heading 9"/>
    <w:basedOn w:val="Normal"/>
    <w:next w:val="Normal"/>
    <w:link w:val="Heading9Char"/>
    <w:uiPriority w:val="9"/>
    <w:semiHidden/>
    <w:unhideWhenUsed/>
    <w:qFormat/>
    <w:rsid w:val="00633ec4"/>
    <w:pPr>
      <w:keepNext w:val="true"/>
      <w:keepLines/>
      <w:spacing w:before="0" w:after="0"/>
      <w:outlineLvl w:val="8"/>
    </w:pPr>
    <w:rPr>
      <w:rFonts w:ascii="Aptos" w:hAnsi="Aptos" w:eastAsia="" w:cs="" w:asciiTheme="minorHAnsi" w:cstheme="majorBidi" w:eastAsiaTheme="majorEastAsia" w:hAnsiTheme="minorHAnsi"/>
      <w:color w:themeColor="text1" w:themeTint="d8" w:val="272727"/>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622888"/>
    <w:rPr>
      <w:rFonts w:ascii="Times New Roman" w:hAnsi="Times New Roman" w:eastAsia="" w:eastAsiaTheme="majorEastAsia"/>
      <w:b/>
      <w:bCs/>
      <w:color w:themeColor="text1" w:val="000000"/>
      <w:kern w:val="2"/>
      <w:sz w:val="24"/>
      <w:szCs w:val="48"/>
      <w:lang w:val="en-GB" w:eastAsia="en-IN"/>
    </w:rPr>
  </w:style>
  <w:style w:type="character" w:styleId="Heading2Char" w:customStyle="1">
    <w:name w:val="Heading 2 Char"/>
    <w:basedOn w:val="DefaultParagraphFont"/>
    <w:link w:val="Heading2"/>
    <w:uiPriority w:val="9"/>
    <w:qFormat/>
    <w:rsid w:val="0090602f"/>
    <w:rPr>
      <w:rFonts w:ascii="Times New Roman" w:hAnsi="Times New Roman" w:eastAsia="" w:cs="" w:cstheme="majorBidi" w:eastAsiaTheme="majorEastAsia"/>
      <w:i/>
      <w:sz w:val="24"/>
      <w:szCs w:val="32"/>
      <w:u w:val="single"/>
      <w:lang w:val="en-GB"/>
    </w:rPr>
  </w:style>
  <w:style w:type="character" w:styleId="BodyTextChar" w:customStyle="1">
    <w:name w:val="Body Text Char"/>
    <w:basedOn w:val="DefaultParagraphFont"/>
    <w:uiPriority w:val="1"/>
    <w:qFormat/>
    <w:rsid w:val="00c77653"/>
    <w:rPr>
      <w:rFonts w:ascii="Times New Roman" w:hAnsi="Times New Roman" w:eastAsia="Times New Roman" w:cs="Times New Roman"/>
      <w:lang w:val="en-US"/>
    </w:rPr>
  </w:style>
  <w:style w:type="character" w:styleId="Heading3Char" w:customStyle="1">
    <w:name w:val="Heading 3 Char"/>
    <w:basedOn w:val="DefaultParagraphFont"/>
    <w:link w:val="Heading3"/>
    <w:uiPriority w:val="9"/>
    <w:qFormat/>
    <w:rsid w:val="00d345b1"/>
    <w:rPr>
      <w:rFonts w:ascii="Times New Roman" w:hAnsi="Times New Roman" w:eastAsia="" w:cs="" w:cstheme="majorBidi" w:eastAsiaTheme="majorEastAsia"/>
      <w:i/>
      <w:color w:themeColor="text1" w:val="000000"/>
      <w:sz w:val="24"/>
      <w:szCs w:val="28"/>
      <w:lang w:val="en-GB"/>
    </w:rPr>
  </w:style>
  <w:style w:type="character" w:styleId="Heading4Char" w:customStyle="1">
    <w:name w:val="Heading 4 Char"/>
    <w:basedOn w:val="DefaultParagraphFont"/>
    <w:link w:val="Heading4"/>
    <w:uiPriority w:val="9"/>
    <w:semiHidden/>
    <w:qFormat/>
    <w:rsid w:val="00633ec4"/>
    <w:rPr>
      <w:rFonts w:eastAsia="" w:cs="" w:cstheme="majorBidi" w:eastAsiaTheme="majorEastAsia"/>
      <w:i/>
      <w:iCs/>
      <w:color w:themeColor="accent1" w:themeShade="bf" w:val="0F4761"/>
      <w:sz w:val="24"/>
      <w:lang w:val="en-GB"/>
    </w:rPr>
  </w:style>
  <w:style w:type="character" w:styleId="Heading5Char" w:customStyle="1">
    <w:name w:val="Heading 5 Char"/>
    <w:basedOn w:val="DefaultParagraphFont"/>
    <w:link w:val="Heading5"/>
    <w:uiPriority w:val="9"/>
    <w:semiHidden/>
    <w:qFormat/>
    <w:rsid w:val="00633ec4"/>
    <w:rPr>
      <w:rFonts w:eastAsia="" w:cs="" w:cstheme="majorBidi" w:eastAsiaTheme="majorEastAsia"/>
      <w:color w:themeColor="accent1" w:themeShade="bf" w:val="0F4761"/>
      <w:sz w:val="24"/>
      <w:lang w:val="en-GB"/>
    </w:rPr>
  </w:style>
  <w:style w:type="character" w:styleId="Heading6Char" w:customStyle="1">
    <w:name w:val="Heading 6 Char"/>
    <w:basedOn w:val="DefaultParagraphFont"/>
    <w:link w:val="Heading6"/>
    <w:uiPriority w:val="9"/>
    <w:semiHidden/>
    <w:qFormat/>
    <w:rsid w:val="00633ec4"/>
    <w:rPr>
      <w:rFonts w:eastAsia="" w:cs="" w:cstheme="majorBidi" w:eastAsiaTheme="majorEastAsia"/>
      <w:i/>
      <w:iCs/>
      <w:color w:themeColor="text1" w:themeTint="a6" w:val="595959"/>
      <w:sz w:val="24"/>
      <w:lang w:val="en-GB"/>
    </w:rPr>
  </w:style>
  <w:style w:type="character" w:styleId="Heading7Char" w:customStyle="1">
    <w:name w:val="Heading 7 Char"/>
    <w:basedOn w:val="DefaultParagraphFont"/>
    <w:link w:val="Heading7"/>
    <w:uiPriority w:val="9"/>
    <w:semiHidden/>
    <w:qFormat/>
    <w:rsid w:val="00633ec4"/>
    <w:rPr>
      <w:rFonts w:eastAsia="" w:cs="" w:cstheme="majorBidi" w:eastAsiaTheme="majorEastAsia"/>
      <w:color w:themeColor="text1" w:themeTint="a6" w:val="595959"/>
      <w:sz w:val="24"/>
      <w:lang w:val="en-GB"/>
    </w:rPr>
  </w:style>
  <w:style w:type="character" w:styleId="Heading8Char" w:customStyle="1">
    <w:name w:val="Heading 8 Char"/>
    <w:basedOn w:val="DefaultParagraphFont"/>
    <w:link w:val="Heading8"/>
    <w:uiPriority w:val="9"/>
    <w:semiHidden/>
    <w:qFormat/>
    <w:rsid w:val="00633ec4"/>
    <w:rPr>
      <w:rFonts w:eastAsia="" w:cs="" w:cstheme="majorBidi" w:eastAsiaTheme="majorEastAsia"/>
      <w:i/>
      <w:iCs/>
      <w:color w:themeColor="text1" w:themeTint="d8" w:val="272727"/>
      <w:sz w:val="24"/>
      <w:lang w:val="en-GB"/>
    </w:rPr>
  </w:style>
  <w:style w:type="character" w:styleId="Heading9Char" w:customStyle="1">
    <w:name w:val="Heading 9 Char"/>
    <w:basedOn w:val="DefaultParagraphFont"/>
    <w:link w:val="Heading9"/>
    <w:uiPriority w:val="9"/>
    <w:semiHidden/>
    <w:qFormat/>
    <w:rsid w:val="00633ec4"/>
    <w:rPr>
      <w:rFonts w:eastAsia="" w:cs="" w:cstheme="majorBidi" w:eastAsiaTheme="majorEastAsia"/>
      <w:color w:themeColor="text1" w:themeTint="d8" w:val="272727"/>
      <w:sz w:val="24"/>
      <w:lang w:val="en-GB"/>
    </w:rPr>
  </w:style>
  <w:style w:type="character" w:styleId="TitleChar" w:customStyle="1">
    <w:name w:val="Title Char"/>
    <w:basedOn w:val="DefaultParagraphFont"/>
    <w:link w:val="Title"/>
    <w:uiPriority w:val="10"/>
    <w:qFormat/>
    <w:rsid w:val="00633ec4"/>
    <w:rPr>
      <w:rFonts w:ascii="Aptos Display" w:hAnsi="Aptos Display" w:eastAsia="" w:cs="" w:asciiTheme="majorHAnsi" w:cstheme="majorBidi" w:eastAsiaTheme="majorEastAsia" w:hAnsiTheme="majorHAnsi"/>
      <w:spacing w:val="-10"/>
      <w:kern w:val="2"/>
      <w:sz w:val="56"/>
      <w:szCs w:val="56"/>
      <w:lang w:val="en-GB"/>
    </w:rPr>
  </w:style>
  <w:style w:type="character" w:styleId="SubtitleChar" w:customStyle="1">
    <w:name w:val="Subtitle Char"/>
    <w:basedOn w:val="DefaultParagraphFont"/>
    <w:link w:val="Subtitle"/>
    <w:uiPriority w:val="11"/>
    <w:qFormat/>
    <w:rsid w:val="00633ec4"/>
    <w:rPr>
      <w:rFonts w:eastAsia="" w:cs="" w:cstheme="majorBidi" w:eastAsiaTheme="majorEastAsia"/>
      <w:color w:themeColor="text1" w:themeTint="a6" w:val="595959"/>
      <w:spacing w:val="15"/>
      <w:sz w:val="28"/>
      <w:szCs w:val="28"/>
      <w:lang w:val="en-GB"/>
    </w:rPr>
  </w:style>
  <w:style w:type="character" w:styleId="QuoteChar" w:customStyle="1">
    <w:name w:val="Quote Char"/>
    <w:basedOn w:val="DefaultParagraphFont"/>
    <w:link w:val="Quote"/>
    <w:uiPriority w:val="29"/>
    <w:qFormat/>
    <w:rsid w:val="00633ec4"/>
    <w:rPr>
      <w:rFonts w:ascii="Times New Roman" w:hAnsi="Times New Roman"/>
      <w:i/>
      <w:iCs/>
      <w:color w:themeColor="text1" w:themeTint="bf" w:val="404040"/>
      <w:sz w:val="24"/>
      <w:lang w:val="en-GB"/>
    </w:rPr>
  </w:style>
  <w:style w:type="character" w:styleId="IntenseEmphasis">
    <w:name w:val="Intense Emphasis"/>
    <w:basedOn w:val="DefaultParagraphFont"/>
    <w:uiPriority w:val="21"/>
    <w:qFormat/>
    <w:rsid w:val="00633ec4"/>
    <w:rPr>
      <w:i/>
      <w:iCs/>
      <w:color w:themeColor="accent1" w:themeShade="bf" w:val="0F4761"/>
    </w:rPr>
  </w:style>
  <w:style w:type="character" w:styleId="IntenseQuoteChar" w:customStyle="1">
    <w:name w:val="Intense Quote Char"/>
    <w:basedOn w:val="DefaultParagraphFont"/>
    <w:link w:val="IntenseQuote"/>
    <w:uiPriority w:val="30"/>
    <w:qFormat/>
    <w:rsid w:val="00633ec4"/>
    <w:rPr>
      <w:rFonts w:ascii="Times New Roman" w:hAnsi="Times New Roman"/>
      <w:i/>
      <w:iCs/>
      <w:color w:themeColor="accent1" w:themeShade="bf" w:val="0F4761"/>
      <w:sz w:val="24"/>
      <w:lang w:val="en-GB"/>
    </w:rPr>
  </w:style>
  <w:style w:type="character" w:styleId="IntenseReference">
    <w:name w:val="Intense Reference"/>
    <w:basedOn w:val="DefaultParagraphFont"/>
    <w:uiPriority w:val="32"/>
    <w:qFormat/>
    <w:rsid w:val="00633ec4"/>
    <w:rPr>
      <w:b/>
      <w:bCs/>
      <w:smallCaps/>
      <w:color w:themeColor="accent1" w:themeShade="bf" w:val="0F4761"/>
      <w:spacing w:val="5"/>
    </w:rPr>
  </w:style>
  <w:style w:type="character" w:styleId="HeaderChar" w:customStyle="1">
    <w:name w:val="Header Char"/>
    <w:basedOn w:val="DefaultParagraphFont"/>
    <w:link w:val="Header"/>
    <w:uiPriority w:val="99"/>
    <w:qFormat/>
    <w:rsid w:val="00cc64f1"/>
    <w:rPr>
      <w:rFonts w:ascii="Times New Roman" w:hAnsi="Times New Roman"/>
      <w:sz w:val="24"/>
      <w:lang w:val="en-GB"/>
    </w:rPr>
  </w:style>
  <w:style w:type="character" w:styleId="FooterChar" w:customStyle="1">
    <w:name w:val="Footer Char"/>
    <w:basedOn w:val="DefaultParagraphFont"/>
    <w:link w:val="Footer"/>
    <w:uiPriority w:val="99"/>
    <w:qFormat/>
    <w:rsid w:val="00cc64f1"/>
    <w:rPr>
      <w:rFonts w:ascii="Times New Roman" w:hAnsi="Times New Roman"/>
      <w:sz w:val="24"/>
      <w:lang w:val="en-GB"/>
    </w:rPr>
  </w:style>
  <w:style w:type="character" w:styleId="Hyperlink">
    <w:name w:val="Hyperlink"/>
    <w:basedOn w:val="DefaultParagraphFont"/>
    <w:uiPriority w:val="99"/>
    <w:unhideWhenUsed/>
    <w:rsid w:val="00622888"/>
    <w:rPr>
      <w:color w:themeColor="hyperlink" w:val="467886"/>
      <w:u w:val="single"/>
    </w:rPr>
  </w:style>
  <w:style w:type="character" w:styleId="UnresolvedMention">
    <w:name w:val="Unresolved Mention"/>
    <w:basedOn w:val="DefaultParagraphFont"/>
    <w:uiPriority w:val="99"/>
    <w:semiHidden/>
    <w:unhideWhenUsed/>
    <w:qFormat/>
    <w:rsid w:val="003c0680"/>
    <w:rPr>
      <w:color w:val="605E5C"/>
      <w:shd w:fill="E1DFDD" w:val="clear"/>
    </w:rPr>
  </w:style>
  <w:style w:type="character" w:styleId="IndexLink">
    <w:name w:val="Index Link"/>
    <w:qFormat/>
    <w:rPr/>
  </w:style>
  <w:style w:type="paragraph" w:styleId="Heading">
    <w:name w:val="Heading"/>
    <w:basedOn w:val="Normal"/>
    <w:next w:val="BodyText"/>
    <w:qFormat/>
    <w:pPr>
      <w:keepNext w:val="true"/>
      <w:spacing w:before="240" w:after="120"/>
    </w:pPr>
    <w:rPr>
      <w:rFonts w:ascii="Liberation Sans" w:hAnsi="Liberation Sans" w:eastAsia="Microsoft YaHei" w:cs="Lucida Sans"/>
      <w:sz w:val="28"/>
      <w:szCs w:val="28"/>
    </w:rPr>
  </w:style>
  <w:style w:type="paragraph" w:styleId="BodyText">
    <w:name w:val="Body Text"/>
    <w:basedOn w:val="Normal"/>
    <w:link w:val="BodyTextChar"/>
    <w:uiPriority w:val="1"/>
    <w:qFormat/>
    <w:rsid w:val="00c77653"/>
    <w:pPr>
      <w:widowControl w:val="false"/>
    </w:pPr>
    <w:rPr>
      <w:sz w:val="22"/>
      <w:lang w:val="en-US"/>
    </w:rPr>
  </w:style>
  <w:style w:type="paragraph" w:styleId="List">
    <w:name w:val="List"/>
    <w:basedOn w:val="BodyText"/>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Title">
    <w:name w:val="Title"/>
    <w:basedOn w:val="Normal"/>
    <w:next w:val="Normal"/>
    <w:link w:val="TitleChar"/>
    <w:uiPriority w:val="10"/>
    <w:qFormat/>
    <w:rsid w:val="00633ec4"/>
    <w:pPr>
      <w:spacing w:lineRule="auto" w:line="240" w:before="0" w:after="80"/>
      <w:contextualSpacing/>
    </w:pPr>
    <w:rPr>
      <w:rFonts w:ascii="Aptos Display" w:hAnsi="Aptos Display" w:eastAsia="" w:cs="" w:asciiTheme="majorHAnsi" w:cstheme="majorBidi" w:eastAsiaTheme="majorEastAsia" w:hAnsiTheme="majorHAnsi"/>
      <w:spacing w:val="-10"/>
      <w:kern w:val="2"/>
      <w:sz w:val="56"/>
      <w:szCs w:val="56"/>
    </w:rPr>
  </w:style>
  <w:style w:type="paragraph" w:styleId="Subtitle">
    <w:name w:val="Subtitle"/>
    <w:basedOn w:val="Normal"/>
    <w:next w:val="Normal"/>
    <w:link w:val="SubtitleChar"/>
    <w:uiPriority w:val="11"/>
    <w:qFormat/>
    <w:rsid w:val="00633ec4"/>
    <w:pPr>
      <w:spacing w:before="120" w:after="160"/>
    </w:pPr>
    <w:rPr>
      <w:rFonts w:ascii="Aptos" w:hAnsi="Aptos" w:eastAsia="" w:cs="" w:asciiTheme="minorHAnsi" w:cstheme="majorBidi" w:eastAsiaTheme="majorEastAsia" w:hAnsiTheme="minorHAnsi"/>
      <w:color w:themeColor="text1" w:themeTint="a6" w:val="595959"/>
      <w:spacing w:val="15"/>
      <w:sz w:val="28"/>
      <w:szCs w:val="28"/>
    </w:rPr>
  </w:style>
  <w:style w:type="paragraph" w:styleId="Quote">
    <w:name w:val="Quote"/>
    <w:basedOn w:val="Normal"/>
    <w:next w:val="Normal"/>
    <w:link w:val="QuoteChar"/>
    <w:uiPriority w:val="29"/>
    <w:qFormat/>
    <w:rsid w:val="00633ec4"/>
    <w:pPr>
      <w:spacing w:before="160" w:after="160"/>
      <w:jc w:val="center"/>
    </w:pPr>
    <w:rPr>
      <w:i/>
      <w:iCs/>
      <w:color w:themeColor="text1" w:themeTint="bf" w:val="404040"/>
    </w:rPr>
  </w:style>
  <w:style w:type="paragraph" w:styleId="ListParagraph">
    <w:name w:val="List Paragraph"/>
    <w:basedOn w:val="Normal"/>
    <w:uiPriority w:val="34"/>
    <w:qFormat/>
    <w:rsid w:val="00633ec4"/>
    <w:pPr>
      <w:spacing w:before="120" w:after="120"/>
      <w:ind w:start="720"/>
      <w:contextualSpacing/>
    </w:pPr>
    <w:rPr/>
  </w:style>
  <w:style w:type="paragraph" w:styleId="IntenseQuote">
    <w:name w:val="Intense Quote"/>
    <w:basedOn w:val="Normal"/>
    <w:next w:val="Normal"/>
    <w:link w:val="IntenseQuoteChar"/>
    <w:uiPriority w:val="30"/>
    <w:qFormat/>
    <w:rsid w:val="00633ec4"/>
    <w:pPr>
      <w:pBdr>
        <w:top w:val="single" w:sz="4" w:space="10" w:color="0F4761" w:themeColor="accent1" w:themeShade="bf"/>
        <w:bottom w:val="single" w:sz="4" w:space="10" w:color="0F4761" w:themeColor="accent1" w:themeShade="bf"/>
      </w:pBdr>
      <w:spacing w:before="360" w:after="360"/>
      <w:ind w:start="864" w:end="864"/>
      <w:jc w:val="center"/>
    </w:pPr>
    <w:rPr>
      <w:i/>
      <w:iCs/>
      <w:color w:themeColor="accent1" w:themeShade="bf" w:val="0F4761"/>
    </w:rPr>
  </w:style>
  <w:style w:type="paragraph" w:styleId="HeaderandFooter">
    <w:name w:val="Header and Footer"/>
    <w:basedOn w:val="Normal"/>
    <w:qFormat/>
    <w:pPr/>
    <w:rPr/>
  </w:style>
  <w:style w:type="paragraph" w:styleId="Header">
    <w:name w:val="header"/>
    <w:basedOn w:val="Normal"/>
    <w:link w:val="HeaderChar"/>
    <w:uiPriority w:val="99"/>
    <w:unhideWhenUsed/>
    <w:rsid w:val="00cc64f1"/>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cc64f1"/>
    <w:pPr>
      <w:tabs>
        <w:tab w:val="clear" w:pos="720"/>
        <w:tab w:val="center" w:pos="4513" w:leader="none"/>
        <w:tab w:val="right" w:pos="9026" w:leader="none"/>
      </w:tabs>
      <w:spacing w:lineRule="auto" w:line="240" w:before="0" w:after="0"/>
    </w:pPr>
    <w:rPr/>
  </w:style>
  <w:style w:type="paragraph" w:styleId="IndexHeading">
    <w:name w:val="index heading"/>
    <w:basedOn w:val="Heading"/>
    <w:pPr/>
    <w:rPr/>
  </w:style>
  <w:style w:type="paragraph" w:styleId="TOCHeading">
    <w:name w:val="TOC Heading"/>
    <w:basedOn w:val="Heading1"/>
    <w:next w:val="Normal"/>
    <w:uiPriority w:val="39"/>
    <w:unhideWhenUsed/>
    <w:qFormat/>
    <w:rsid w:val="00622888"/>
    <w:pPr>
      <w:spacing w:lineRule="auto" w:line="259" w:before="240" w:after="0"/>
      <w:jc w:val="start"/>
      <w:outlineLvl w:val="9"/>
    </w:pPr>
    <w:rPr>
      <w:rFonts w:ascii="Aptos Display" w:hAnsi="Aptos Display" w:cs="" w:asciiTheme="majorHAnsi" w:cstheme="majorBidi" w:hAnsiTheme="majorHAnsi"/>
      <w:b w:val="false"/>
      <w:bCs w:val="false"/>
      <w:color w:themeColor="accent1" w:themeShade="bf" w:val="0F4761"/>
      <w:kern w:val="0"/>
      <w:sz w:val="32"/>
      <w:szCs w:val="32"/>
      <w:lang w:val="en-US" w:eastAsia="en-US"/>
    </w:rPr>
  </w:style>
  <w:style w:type="paragraph" w:styleId="TOC1">
    <w:name w:val="toc 1"/>
    <w:basedOn w:val="Normal"/>
    <w:next w:val="Normal"/>
    <w:autoRedefine/>
    <w:uiPriority w:val="39"/>
    <w:unhideWhenUsed/>
    <w:rsid w:val="00622888"/>
    <w:pPr>
      <w:spacing w:before="120" w:after="100"/>
    </w:pPr>
    <w:rPr/>
  </w:style>
  <w:style w:type="paragraph" w:styleId="TOC2">
    <w:name w:val="toc 2"/>
    <w:basedOn w:val="Normal"/>
    <w:next w:val="Normal"/>
    <w:autoRedefine/>
    <w:uiPriority w:val="39"/>
    <w:unhideWhenUsed/>
    <w:rsid w:val="00622888"/>
    <w:pPr>
      <w:spacing w:before="120" w:after="100"/>
      <w:ind w:start="240"/>
    </w:pPr>
    <w:rPr/>
  </w:style>
  <w:style w:type="paragraph" w:styleId="TOC3">
    <w:name w:val="toc 3"/>
    <w:basedOn w:val="Normal"/>
    <w:next w:val="Normal"/>
    <w:autoRedefine/>
    <w:uiPriority w:val="39"/>
    <w:unhideWhenUsed/>
    <w:rsid w:val="00622888"/>
    <w:pPr>
      <w:spacing w:before="120" w:after="100"/>
      <w:ind w:start="480"/>
    </w:pPr>
    <w:rPr/>
  </w:style>
  <w:style w:type="paragraph" w:styleId="NoSpacing">
    <w:name w:val="No Spacing"/>
    <w:uiPriority w:val="1"/>
    <w:qFormat/>
    <w:rsid w:val="00174df2"/>
    <w:pPr>
      <w:widowControl/>
      <w:bidi w:val="0"/>
      <w:spacing w:lineRule="auto" w:line="240" w:before="0" w:after="0"/>
      <w:jc w:val="both"/>
    </w:pPr>
    <w:rPr>
      <w:rFonts w:ascii="Times New Roman" w:hAnsi="Times New Roman" w:eastAsia="Aptos" w:cs="" w:cstheme="minorBidi" w:eastAsiaTheme="minorHAnsi"/>
      <w:color w:val="auto"/>
      <w:kern w:val="0"/>
      <w:sz w:val="24"/>
      <w:szCs w:val="22"/>
      <w:lang w:val="en-GB" w:eastAsia="en-US" w:bidi="ar-SA"/>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jpeg"/><Relationship Id="rId4" Type="http://schemas.openxmlformats.org/officeDocument/2006/relationships/image" Target="media/image3.png"/><Relationship Id="rId5" Type="http://schemas.openxmlformats.org/officeDocument/2006/relationships/hyperlink" Target="https://www.reuters.com/business/retail-consumer/loyalty-pays-off-tesco-britons-feel-pinch-2022-02-23/" TargetMode="External"/><Relationship Id="rId6" Type="http://schemas.openxmlformats.org/officeDocument/2006/relationships/hyperlink" Target="https://www.tescoplc.com/investors/reports-results-and-presentations/financial-performance" TargetMode="External"/><Relationship Id="rId7" Type="http://schemas.openxmlformats.org/officeDocument/2006/relationships/hyperlink" Target="https://www.gov.uk/government/statistics/food-statistics-pocketbook/food-statistics-in-your-pocket" TargetMode="External"/><Relationship Id="rId8" Type="http://schemas.openxmlformats.org/officeDocument/2006/relationships/hyperlink" Target="https://www.tescoplc.com/q1-trading-statement-202526/" TargetMode="External"/><Relationship Id="rId9" Type="http://schemas.openxmlformats.org/officeDocument/2006/relationships/hyperlink" Target="https://www.tescoplc.com/food-waste-and-redistribution-factsheet-2024" TargetMode="External"/><Relationship Id="rId10" Type="http://schemas.openxmlformats.org/officeDocument/2006/relationships/hyperlink" Target="https://www.tescoplc.com/about" TargetMode="External"/><Relationship Id="rId11" Type="http://schemas.openxmlformats.org/officeDocument/2006/relationships/hyperlink" Target="https://www.tescoplc.com/about/how-we-do-business/core-purpose-and-values/" TargetMode="External"/><Relationship Id="rId12" Type="http://schemas.openxmlformats.org/officeDocument/2006/relationships/hyperlink" Target="https://www.tescoplc.com/investors/reports-results-and-presentations/financial-performance" TargetMode="External"/><Relationship Id="rId13" Type="http://schemas.openxmlformats.org/officeDocument/2006/relationships/hyperlink" Target="https://www.tescoplc.com/sustainability/planet/protecting-nature/climate-change" TargetMode="External"/><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footer" Target="footer3.xml"/><Relationship Id="rId17" Type="http://schemas.openxmlformats.org/officeDocument/2006/relationships/fontTable" Target="fontTable.xml"/><Relationship Id="rId18" Type="http://schemas.openxmlformats.org/officeDocument/2006/relationships/settings" Target="settings.xml"/><Relationship Id="rId19" Type="http://schemas.openxmlformats.org/officeDocument/2006/relationships/theme" Target="theme/theme1.xml"/><Relationship Id="rId20" Type="http://schemas.openxmlformats.org/officeDocument/2006/relationships/customXml" Target="../customXml/item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pitchFamily="0" charset="1"/>
        <a:ea typeface=""/>
        <a:cs typeface=""/>
      </a:majorFont>
      <a:minorFont>
        <a:latin typeface="Aptos" panose="02110004020202020204" pitchFamily="0" charset="1"/>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l="0" t="0" r="0" b="0"/>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l="0" t="0" r="0" b="0"/>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D2FB84-B0B2-4CE6-8DD0-0B2BCE5E73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Application>LibreOffice/26.2.1.2$Windows_X86_64 LibreOffice_project/620$Build-2</Application>
  <AppVersion>15.0000</AppVersion>
  <Pages>23</Pages>
  <Words>5833</Words>
  <Characters>38636</Characters>
  <CharactersWithSpaces>44307</CharactersWithSpaces>
  <Paragraphs>174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2026-08-11T08:24:00Z</dcterms:created>
  <dc:creator/>
  <dc:description/>
  <dc:language>en-IN</dc:language>
  <cp:lastModifiedBy/>
  <dcterms:modified xsi:type="dcterms:W3CDTF">2026-08-12T04:58:20Z</dcterms:modified>
  <cp:revision>1</cp:revision>
  <dc:subject/>
  <dc:title/>
</cp:coreProperties>
</file>

<file path=docProps/custom.xml><?xml version="1.0" encoding="utf-8"?>
<Properties xmlns="http://schemas.openxmlformats.org/officeDocument/2006/custom-properties" xmlns:vt="http://schemas.openxmlformats.org/officeDocument/2006/docPropsVTypes"/>
</file>