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5CB7B96">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drawing>
          <wp:inline distT="0" distB="0" distL="0" distR="0">
            <wp:extent cx="2353945" cy="2350135"/>
            <wp:effectExtent l="0" t="0" r="635" b="635"/>
            <wp:docPr id="2758929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92965"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53945" cy="2350135"/>
                    </a:xfrm>
                    <a:prstGeom prst="rect">
                      <a:avLst/>
                    </a:prstGeom>
                    <a:noFill/>
                  </pic:spPr>
                </pic:pic>
              </a:graphicData>
            </a:graphic>
          </wp:inline>
        </w:drawing>
      </w:r>
      <w:r>
        <w:rPr>
          <w:rFonts w:ascii="Times New Roman" w:hAnsi="Times New Roman" w:eastAsia="Times New Roman" w:cs="Times New Roman"/>
          <w:b/>
          <w:bCs/>
          <w:color w:val="000000"/>
          <w:sz w:val="32"/>
          <w:szCs w:val="32"/>
        </w:rPr>
        <w:t xml:space="preserve">  </w:t>
      </w:r>
      <w:r>
        <mc:AlternateContent>
          <mc:Choice Requires="wps">
            <w:drawing>
              <wp:inline distT="0" distB="0" distL="0" distR="0">
                <wp:extent cx="309245" cy="309245"/>
                <wp:effectExtent l="0" t="0" r="0" b="0"/>
                <wp:docPr id="45400139" name="Rectangle 2" descr="University Of Wales Trinity Saint David - London Campus London, UK 2026:  Application Fees, Minimum English Proficiency Requirem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Rectangle 2" o:spid="_x0000_s1026" o:spt="1" alt="University Of Wales Trinity Saint David - London Campus London, UK 2026:  Application Fees, Minimum English Proficiency Requirements" style="height:24.35pt;width:24.35pt;" filled="f" stroked="f" coordsize="21600,21600" o:gfxdata="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KAX3s0wAAAAMBAAAPAAAAAAAAAAEAIAAA&#10;ACIAAABkcnMvZG93bnJldi54bWxQSwECFAAUAAAACACHTuJAjqzQpEoCAABYBAAADgAAAAAAAAAB&#10;ACAAAAAiAQAAZHJzL2Uyb0RvYy54bWxQSwUGAAAAAAYABgBZAQAA3gUAAAAA&#10;">
                <v:fill on="f" focussize="0,0"/>
                <v:stroke on="f"/>
                <v:imagedata o:title=""/>
                <o:lock v:ext="edit" aspectratio="t"/>
                <w10:wrap type="none"/>
                <w10:anchorlock/>
              </v:rect>
            </w:pict>
          </mc:Fallback>
        </mc:AlternateContent>
      </w:r>
    </w:p>
    <w:p w14:paraId="38D2C371">
      <w:pPr>
        <w:rPr>
          <w:rFonts w:ascii="Times New Roman" w:hAnsi="Times New Roman" w:eastAsia="Times New Roman" w:cs="Times New Roman"/>
          <w:b/>
          <w:bCs/>
          <w:color w:val="000000"/>
          <w:sz w:val="32"/>
          <w:szCs w:val="32"/>
        </w:rPr>
      </w:pPr>
    </w:p>
    <w:p w14:paraId="1500410E">
      <w:pPr>
        <w:rPr>
          <w:rFonts w:ascii="Times New Roman" w:hAnsi="Times New Roman" w:eastAsia="Times New Roman" w:cs="Times New Roman"/>
          <w:b/>
          <w:bCs/>
          <w:color w:val="000000"/>
          <w:sz w:val="32"/>
          <w:szCs w:val="32"/>
        </w:rPr>
      </w:pPr>
    </w:p>
    <w:p w14:paraId="3EFFB787">
      <w:pPr>
        <w:widowControl/>
        <w:jc w:val="left"/>
      </w:pPr>
      <w:r>
        <w:rPr>
          <w:rFonts w:ascii="Times New Roman" w:hAnsi="Times New Roman" w:eastAsia="Times New Roman" w:cs="Times New Roman"/>
          <w:b/>
          <w:bCs/>
          <w:color w:val="000000"/>
          <w:sz w:val="32"/>
          <w:szCs w:val="32"/>
        </w:rPr>
        <w:t xml:space="preserve">Title: </w:t>
      </w:r>
      <w:r>
        <w:rPr>
          <w:rFonts w:hint="default" w:ascii="Times New Roman" w:hAnsi="Times New Roman" w:eastAsia="宋体" w:cs="Times New Roman"/>
          <w:b/>
          <w:i w:val="0"/>
          <w:caps w:val="0"/>
          <w:color w:val="000000"/>
          <w:spacing w:val="0"/>
          <w:kern w:val="0"/>
          <w:sz w:val="24"/>
          <w:szCs w:val="24"/>
          <w:lang w:val="en-US" w:eastAsia="zh-CN" w:bidi="ar"/>
        </w:rPr>
        <w:t>EXPLORING THE IMPACT OF ARTIFICIAL INTELLIGENCE ON HUMAN RESOURCES</w:t>
      </w:r>
      <w:r>
        <w:rPr>
          <w:rFonts w:hint="default" w:ascii="Times New Roman" w:hAnsi="Times New Roman" w:eastAsia="宋体" w:cs="Times New Roman"/>
          <w:b/>
          <w:i w:val="0"/>
          <w:caps w:val="0"/>
          <w:color w:val="000000"/>
          <w:spacing w:val="0"/>
          <w:kern w:val="0"/>
          <w:sz w:val="24"/>
          <w:szCs w:val="24"/>
          <w:lang w:val="en-US" w:eastAsia="zh-CN" w:bidi="ar"/>
        </w:rPr>
        <w:t>: THE CASE OF DEOITTE IN UK</w:t>
      </w:r>
    </w:p>
    <w:p w14:paraId="4F92B89F">
      <w:pPr>
        <w:rPr>
          <w:rFonts w:ascii="Times New Roman" w:hAnsi="Times New Roman" w:eastAsia="Times New Roman" w:cs="Times New Roman"/>
          <w:b/>
          <w:bCs/>
          <w:color w:val="000000"/>
          <w:sz w:val="32"/>
          <w:szCs w:val="32"/>
        </w:rPr>
      </w:pPr>
    </w:p>
    <w:p w14:paraId="692A9779">
      <w:pPr>
        <w:rPr>
          <w:rFonts w:ascii="Times New Roman" w:hAnsi="Times New Roman" w:eastAsia="Times New Roman" w:cs="Times New Roman"/>
          <w:b/>
          <w:bCs/>
          <w:color w:val="000000"/>
          <w:sz w:val="32"/>
          <w:szCs w:val="32"/>
        </w:rPr>
      </w:pPr>
    </w:p>
    <w:p w14:paraId="09ADE6CA">
      <w:pPr>
        <w:rPr>
          <w:rFonts w:ascii="Times New Roman" w:hAnsi="Times New Roman" w:eastAsia="Times New Roman" w:cs="Times New Roman"/>
          <w:b/>
          <w:bCs/>
          <w:color w:val="000000"/>
          <w:sz w:val="32"/>
          <w:szCs w:val="32"/>
        </w:rPr>
      </w:pPr>
    </w:p>
    <w:p w14:paraId="772A8EBA">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MODULE</w:t>
      </w:r>
      <w:r>
        <w:rPr>
          <w:rFonts w:ascii="Times New Roman" w:hAnsi="Times New Roman" w:eastAsia="Times New Roman" w:cs="Times New Roman"/>
          <w:b/>
          <w:bCs/>
          <w:color w:val="000000"/>
          <w:sz w:val="32"/>
          <w:szCs w:val="32"/>
        </w:rPr>
        <w:t xml:space="preserve"> </w:t>
      </w:r>
      <w:r>
        <w:rPr>
          <w:rFonts w:ascii="Times New Roman" w:hAnsi="Times New Roman" w:eastAsia="Times New Roman" w:cs="Times New Roman"/>
          <w:b/>
          <w:bCs/>
          <w:color w:val="000000"/>
          <w:sz w:val="32"/>
          <w:szCs w:val="32"/>
        </w:rPr>
        <w:t>CODE</w:t>
      </w:r>
      <w:r>
        <w:rPr>
          <w:rFonts w:ascii="Times New Roman" w:hAnsi="Times New Roman" w:eastAsia="Times New Roman" w:cs="Times New Roman"/>
          <w:b/>
          <w:bCs/>
          <w:color w:val="000000"/>
          <w:sz w:val="32"/>
          <w:szCs w:val="32"/>
        </w:rPr>
        <w:t xml:space="preserve"> - </w:t>
      </w:r>
      <w:r>
        <w:rPr>
          <w:rFonts w:ascii="Times New Roman" w:hAnsi="Times New Roman" w:eastAsia="Times New Roman" w:cs="Times New Roman"/>
          <w:b/>
          <w:bCs/>
          <w:color w:val="000000"/>
          <w:sz w:val="32"/>
          <w:szCs w:val="32"/>
        </w:rPr>
        <w:t xml:space="preserve">LCMB7035 </w:t>
      </w:r>
    </w:p>
    <w:p w14:paraId="1B6DA377">
      <w:pPr>
        <w:rPr>
          <w:rFonts w:ascii="Times New Roman" w:hAnsi="Times New Roman" w:eastAsia="Times New Roman" w:cs="Times New Roman"/>
          <w:b/>
          <w:bCs/>
          <w:color w:val="000000"/>
          <w:sz w:val="32"/>
          <w:szCs w:val="32"/>
        </w:rPr>
      </w:pPr>
    </w:p>
    <w:p w14:paraId="5761732A">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 xml:space="preserve">MODULE NAME - DISSERTATION </w:t>
      </w:r>
    </w:p>
    <w:p w14:paraId="6C80E1C7">
      <w:pPr>
        <w:rPr>
          <w:rFonts w:ascii="Times New Roman" w:hAnsi="Times New Roman" w:eastAsia="Times New Roman" w:cs="Times New Roman"/>
          <w:b/>
          <w:bCs/>
          <w:color w:val="000000"/>
          <w:sz w:val="32"/>
          <w:szCs w:val="32"/>
        </w:rPr>
      </w:pPr>
    </w:p>
    <w:p w14:paraId="1707C20D">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NAME - HARSHDEEP SIN</w:t>
      </w:r>
      <w:r>
        <w:rPr>
          <w:rFonts w:ascii="Times New Roman" w:hAnsi="Times New Roman" w:eastAsia="Times New Roman" w:cs="Times New Roman"/>
          <w:b/>
          <w:bCs/>
          <w:color w:val="000000"/>
          <w:sz w:val="32"/>
          <w:szCs w:val="32"/>
        </w:rPr>
        <w:t>GH</w:t>
      </w:r>
    </w:p>
    <w:p w14:paraId="2B617EEC">
      <w:pPr>
        <w:rPr>
          <w:rFonts w:ascii="Times New Roman" w:hAnsi="Times New Roman" w:eastAsia="Times New Roman" w:cs="Times New Roman"/>
          <w:b/>
          <w:bCs/>
          <w:color w:val="000000"/>
          <w:sz w:val="32"/>
          <w:szCs w:val="32"/>
        </w:rPr>
      </w:pPr>
    </w:p>
    <w:p w14:paraId="25D31B4B">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STUDENT NUMBER – 2436567</w:t>
      </w:r>
    </w:p>
    <w:p w14:paraId="1B7F9BEC">
      <w:pPr>
        <w:rPr>
          <w:rFonts w:ascii="Times New Roman" w:hAnsi="Times New Roman" w:eastAsia="Times New Roman" w:cs="Times New Roman"/>
          <w:b/>
          <w:bCs/>
          <w:color w:val="000000"/>
          <w:sz w:val="32"/>
          <w:szCs w:val="32"/>
        </w:rPr>
      </w:pPr>
    </w:p>
    <w:p w14:paraId="039D314A">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SUBMISSION DATE - 25 SEP 2026</w:t>
      </w:r>
    </w:p>
    <w:p w14:paraId="5CEDCCE6">
      <w:pPr>
        <w:rPr>
          <w:rFonts w:ascii="Times New Roman" w:hAnsi="Times New Roman" w:eastAsia="Times New Roman" w:cs="Times New Roman"/>
          <w:b/>
          <w:bCs/>
          <w:color w:val="000000"/>
          <w:sz w:val="32"/>
          <w:szCs w:val="32"/>
        </w:rPr>
      </w:pPr>
    </w:p>
    <w:p w14:paraId="0A71D1ED">
      <w:pPr>
        <w:rPr>
          <w:rFonts w:ascii="Times New Roman" w:hAnsi="Times New Roman" w:eastAsia="Times New Roman" w:cs="Times New Roman"/>
          <w:b/>
          <w:bCs/>
          <w:color w:val="000000"/>
          <w:sz w:val="32"/>
          <w:szCs w:val="32"/>
        </w:rPr>
      </w:pPr>
    </w:p>
    <w:p w14:paraId="48C99254">
      <w:pPr>
        <w:rPr>
          <w:rFonts w:ascii="Times New Roman" w:hAnsi="Times New Roman" w:eastAsia="Times New Roman" w:cs="Times New Roman"/>
          <w:b/>
          <w:bCs/>
          <w:color w:val="000000"/>
          <w:sz w:val="32"/>
          <w:szCs w:val="32"/>
        </w:rPr>
      </w:pPr>
    </w:p>
    <w:p w14:paraId="1A60E978">
      <w:pP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br w:type="page"/>
      </w:r>
    </w:p>
    <w:p w14:paraId="77C2489F">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6B364767">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1C5E2E56">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64244CB7">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5FA00084">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1840A158">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p>
    <w:p w14:paraId="027A7B33">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bCs/>
          <w:color w:val="000000"/>
          <w:sz w:val="32"/>
          <w:szCs w:val="32"/>
        </w:rPr>
      </w:pPr>
      <w:bookmarkStart w:id="225" w:name="_GoBack"/>
      <w:bookmarkEnd w:id="225"/>
    </w:p>
    <w:p w14:paraId="2FD4F8EB">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b/>
          <w:bCs/>
          <w:color w:val="000000"/>
          <w:sz w:val="24"/>
          <w:szCs w:val="24"/>
        </w:rPr>
      </w:pPr>
      <w:r>
        <w:br w:type="page"/>
      </w:r>
    </w:p>
    <w:p w14:paraId="185E1B5A">
      <w:pPr>
        <w:keepNext/>
        <w:keepLines/>
        <w:pBdr>
          <w:top w:val="none" w:color="auto" w:sz="0" w:space="0"/>
          <w:left w:val="none" w:color="auto" w:sz="0" w:space="0"/>
          <w:bottom w:val="none" w:color="auto" w:sz="0" w:space="0"/>
          <w:right w:val="none" w:color="auto" w:sz="0" w:space="0"/>
          <w:between w:val="none" w:color="auto" w:sz="0" w:space="0"/>
        </w:pBdr>
        <w:spacing w:before="480" w:line="36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Table of Contents</w:t>
      </w:r>
    </w:p>
    <w:sdt>
      <w:sdtPr>
        <w:id w:val="1811880307"/>
      </w:sdtPr>
      <w:sdtEndPr>
        <w:rPr>
          <w:rFonts w:ascii="Times New Roman" w:hAnsi="Times New Roman" w:cs="Times New Roman"/>
          <w:sz w:val="24"/>
          <w:szCs w:val="24"/>
        </w:rPr>
      </w:sdtEndPr>
      <w:sdtContent>
        <w:p w14:paraId="6D4C1D37">
          <w:pPr>
            <w:pStyle w:val="14"/>
            <w:tabs>
              <w:tab w:val="right" w:leader="dot" w:pos="9350"/>
            </w:tabs>
            <w:spacing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\u \z \t "Heading 1,1,Heading 2,2,Heading 3,3,"</w:instrText>
          </w:r>
          <w:r>
            <w:rPr>
              <w:rFonts w:ascii="Times New Roman" w:hAnsi="Times New Roman" w:cs="Times New Roman"/>
              <w:sz w:val="24"/>
              <w:szCs w:val="24"/>
            </w:rPr>
            <w:fldChar w:fldCharType="separate"/>
          </w:r>
          <w:r>
            <w:fldChar w:fldCharType="begin"/>
          </w:r>
          <w:r>
            <w:instrText xml:space="preserve"> HYPERLINK \l "_Toc240827620" </w:instrText>
          </w:r>
          <w:r>
            <w:fldChar w:fldCharType="separate"/>
          </w:r>
          <w:r>
            <w:rPr>
              <w:rStyle w:val="25"/>
              <w:rFonts w:ascii="Times New Roman" w:hAnsi="Times New Roman" w:cs="Times New Roman"/>
              <w:sz w:val="24"/>
              <w:szCs w:val="24"/>
            </w:rPr>
            <w:t>Chapter 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C09B8CD">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"_Toc240827621" </w:instrText>
          </w:r>
          <w:r>
            <w:fldChar w:fldCharType="separate"/>
          </w:r>
          <w:r>
            <w:rPr>
              <w:rStyle w:val="25"/>
              <w:rFonts w:ascii="Times New Roman" w:hAnsi="Times New Roman" w:cs="Times New Roman"/>
              <w:sz w:val="24"/>
              <w:szCs w:val="24"/>
            </w:rPr>
            <w:t>1.1 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C0340A7">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"_Toc240827622" </w:instrText>
          </w:r>
          <w:r>
            <w:fldChar w:fldCharType="separate"/>
          </w:r>
          <w:r>
            <w:rPr>
              <w:rStyle w:val="25"/>
              <w:rFonts w:ascii="Times New Roman" w:hAnsi="Times New Roman" w:cs="Times New Roman"/>
              <w:sz w:val="24"/>
              <w:szCs w:val="24"/>
            </w:rPr>
            <w:t>1.2 Problem statement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D418A3">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"_Toc240827623" </w:instrText>
          </w:r>
          <w:r>
            <w:fldChar w:fldCharType="separate"/>
          </w:r>
          <w:r>
            <w:rPr>
              <w:rStyle w:val="25"/>
              <w:rFonts w:ascii="Times New Roman" w:hAnsi="Times New Roman" w:cs="Times New Roman"/>
              <w:sz w:val="24"/>
              <w:szCs w:val="24"/>
            </w:rPr>
            <w:t>1.3 Rationale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C21A7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"_Toc240827624" </w:instrText>
          </w:r>
          <w:r>
            <w:fldChar w:fldCharType="separate"/>
          </w:r>
          <w:r>
            <w:rPr>
              <w:rStyle w:val="25"/>
              <w:rFonts w:ascii="Times New Roman" w:hAnsi="Times New Roman" w:cs="Times New Roman"/>
              <w:sz w:val="24"/>
              <w:szCs w:val="24"/>
            </w:rPr>
            <w:t>1.4 Aim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7E9E6C">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"_Toc240827625" </w:instrText>
          </w:r>
          <w:r>
            <w:fldChar w:fldCharType="separate"/>
          </w:r>
          <w:r>
            <w:rPr>
              <w:rStyle w:val="25"/>
              <w:rFonts w:ascii="Times New Roman" w:hAnsi="Times New Roman" w:cs="Times New Roman"/>
              <w:sz w:val="24"/>
              <w:szCs w:val="24"/>
            </w:rPr>
            <w:t>1.5 Research question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_Toc240827625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B9088D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"_Toc240827626" </w:instrText>
          </w:r>
          <w:r>
            <w:fldChar w:fldCharType="separate"/>
          </w:r>
          <w:r>
            <w:rPr>
              <w:rStyle w:val="25"/>
              <w:rFonts w:ascii="Times New Roman" w:hAnsi="Times New Roman" w:cs="Times New Roman"/>
              <w:sz w:val="24"/>
              <w:szCs w:val="24"/>
            </w:rPr>
            <w:t>1.6 Significance of the research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_Toc240827626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2DED116">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"_Toc240827627" </w:instrText>
          </w:r>
          <w:r>
            <w:fldChar w:fldCharType="separate"/>
          </w:r>
          <w:r>
            <w:rPr>
              <w:rStyle w:val="25"/>
              <w:rFonts w:ascii="Times New Roman" w:hAnsi="Times New Roman" w:cs="Times New Roman"/>
              <w:sz w:val="24"/>
              <w:szCs w:val="24"/>
            </w:rPr>
            <w:t>1.7 Structure of the dissertation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_Toc240827627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908142D">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"_Toc240827628" </w:instrText>
          </w:r>
          <w:r>
            <w:fldChar w:fldCharType="separate"/>
          </w:r>
          <w:r>
            <w:rPr>
              <w:rStyle w:val="25"/>
              <w:rFonts w:ascii="Times New Roman" w:hAnsi="Times New Roman" w:cs="Times New Roman"/>
              <w:sz w:val="24"/>
              <w:szCs w:val="24"/>
            </w:rPr>
            <w:t>1.8 Theoretical outline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5FB04B9">
          <w:pPr>
            <w:pStyle w:val="14"/>
            <w:tabs>
              <w:tab w:val="right" w:leader="dot" w:pos="9350"/>
            </w:tabs>
            <w:spacing w:line="360" w:lineRule="auto"/>
            <w:rPr>
              <w:rFonts w:ascii="Times New Roman" w:hAnsi="Times New Roman" w:cs="Times New Roman"/>
              <w:sz w:val="24"/>
              <w:szCs w:val="24"/>
            </w:rPr>
          </w:pPr>
          <w:r>
            <w:fldChar w:fldCharType="begin"/>
          </w:r>
          <w:r>
            <w:instrText xml:space="preserve"> HYPERLINK \l "_Toc240827629" </w:instrText>
          </w:r>
          <w:r>
            <w:fldChar w:fldCharType="separate"/>
          </w:r>
          <w:r>
            <w:rPr>
              <w:rStyle w:val="25"/>
              <w:rFonts w:ascii="Times New Roman" w:hAnsi="Times New Roman" w:cs="Times New Roman"/>
              <w:sz w:val="24"/>
              <w:szCs w:val="24"/>
            </w:rPr>
            <w:t>Chapter 2: Literature Review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_Toc240827629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F10925">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"_Toc240827630" </w:instrText>
          </w:r>
          <w:r>
            <w:fldChar w:fldCharType="separate"/>
          </w:r>
          <w:r>
            <w:rPr>
              <w:rStyle w:val="25"/>
              <w:rFonts w:ascii="Times New Roman" w:hAnsi="Times New Roman" w:cs="Times New Roman"/>
              <w:sz w:val="24"/>
              <w:szCs w:val="24"/>
            </w:rPr>
            <w:t>2.1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EF8A569">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"_Toc240827631" </w:instrText>
          </w:r>
          <w:r>
            <w:fldChar w:fldCharType="separate"/>
          </w:r>
          <w:r>
            <w:rPr>
              <w:rStyle w:val="25"/>
              <w:rFonts w:ascii="Times New Roman" w:hAnsi="Times New Roman" w:cs="Times New Roman"/>
              <w:sz w:val="24"/>
              <w:szCs w:val="24"/>
            </w:rPr>
            <w:t>2.2 Artificial Intelligence and the Transformation of Human Resource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EE863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"_Toc240827632" </w:instrText>
          </w:r>
          <w:r>
            <w:fldChar w:fldCharType="separate"/>
          </w:r>
          <w:r>
            <w:rPr>
              <w:rStyle w:val="25"/>
              <w:rFonts w:ascii="Times New Roman" w:hAnsi="Times New Roman" w:cs="Times New Roman"/>
              <w:sz w:val="24"/>
              <w:szCs w:val="24"/>
            </w:rPr>
            <w:t>2.2.1 Evolution of AI in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_Toc240827632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0A08483">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"_Toc240827633" </w:instrText>
          </w:r>
          <w:r>
            <w:fldChar w:fldCharType="separate"/>
          </w:r>
          <w:r>
            <w:rPr>
              <w:rStyle w:val="25"/>
              <w:rFonts w:ascii="Times New Roman" w:hAnsi="Times New Roman" w:cs="Times New Roman"/>
              <w:sz w:val="24"/>
              <w:szCs w:val="24"/>
            </w:rPr>
            <w:t>2.2.3 Opportunities and Limitations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_Toc240827633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90871D4">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"_Toc240827634" </w:instrText>
          </w:r>
          <w:r>
            <w:fldChar w:fldCharType="separate"/>
          </w:r>
          <w:r>
            <w:rPr>
              <w:rStyle w:val="25"/>
              <w:rFonts w:ascii="Times New Roman" w:hAnsi="Times New Roman" w:cs="Times New Roman"/>
              <w:sz w:val="24"/>
              <w:szCs w:val="24"/>
            </w:rPr>
            <w:t>2.3.1 AI-supported recruitment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_Toc240827634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4039C7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"_Toc240827635" </w:instrText>
          </w:r>
          <w:r>
            <w:fldChar w:fldCharType="separate"/>
          </w:r>
          <w:r>
            <w:rPr>
              <w:rStyle w:val="25"/>
              <w:rFonts w:ascii="Times New Roman" w:hAnsi="Times New Roman" w:cs="Times New Roman"/>
              <w:sz w:val="24"/>
              <w:szCs w:val="24"/>
            </w:rPr>
            <w:t>2.3.2 Operational benefits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_Toc240827635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977CBD">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"_Toc240827636" </w:instrText>
          </w:r>
          <w:r>
            <w:fldChar w:fldCharType="separate"/>
          </w:r>
          <w:r>
            <w:rPr>
              <w:rStyle w:val="25"/>
              <w:rFonts w:ascii="Times New Roman" w:hAnsi="Times New Roman" w:cs="Times New Roman"/>
              <w:sz w:val="24"/>
              <w:szCs w:val="24"/>
            </w:rPr>
            <w:t>2.3.3 Algorithmic bias and discrimination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_Toc240827636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3995F3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"_Toc240827637" </w:instrText>
          </w:r>
          <w:r>
            <w:fldChar w:fldCharType="separate"/>
          </w:r>
          <w:r>
            <w:rPr>
              <w:rStyle w:val="25"/>
              <w:rFonts w:ascii="Times New Roman" w:hAnsi="Times New Roman" w:cs="Times New Roman"/>
              <w:sz w:val="24"/>
              <w:szCs w:val="24"/>
            </w:rPr>
            <w:t>2.3.4 Transparency and explainability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_Toc240827637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DE7754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"_Toc240827638" </w:instrText>
          </w:r>
          <w:r>
            <w:fldChar w:fldCharType="separate"/>
          </w:r>
          <w:r>
            <w:rPr>
              <w:rStyle w:val="25"/>
              <w:rFonts w:ascii="Times New Roman" w:hAnsi="Times New Roman" w:cs="Times New Roman"/>
              <w:sz w:val="24"/>
              <w:szCs w:val="24"/>
            </w:rPr>
            <w:t>2.3.5 Human oversight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_Toc240827638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8C42ED">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"_Toc240827639" </w:instrText>
          </w:r>
          <w:r>
            <w:fldChar w:fldCharType="separate"/>
          </w:r>
          <w:r>
            <w:rPr>
              <w:rStyle w:val="25"/>
              <w:rFonts w:ascii="Times New Roman" w:hAnsi="Times New Roman" w:cs="Times New Roman"/>
              <w:sz w:val="24"/>
              <w:szCs w:val="24"/>
            </w:rPr>
            <w:t>2.4 AI in Workforce Planning, Staffing and Talent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_Toc240827639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F02ECE">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"_Toc240827640" </w:instrText>
          </w:r>
          <w:r>
            <w:fldChar w:fldCharType="separate"/>
          </w:r>
          <w:r>
            <w:rPr>
              <w:rStyle w:val="25"/>
              <w:rFonts w:ascii="Times New Roman" w:hAnsi="Times New Roman" w:cs="Times New Roman"/>
              <w:sz w:val="24"/>
              <w:szCs w:val="24"/>
            </w:rPr>
            <w:t>2.4.1 Predictive workforce analytics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_Toc240827640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404AD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"_Toc240827641" </w:instrText>
          </w:r>
          <w:r>
            <w:fldChar w:fldCharType="separate"/>
          </w:r>
          <w:r>
            <w:rPr>
              <w:rStyle w:val="25"/>
              <w:rFonts w:ascii="Times New Roman" w:hAnsi="Times New Roman" w:cs="Times New Roman"/>
              <w:sz w:val="24"/>
              <w:szCs w:val="24"/>
            </w:rPr>
            <w:t>2.4.2 AI-based talent matching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_Toc240827641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884B257">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"_Toc240827642" </w:instrText>
          </w:r>
          <w:r>
            <w:fldChar w:fldCharType="separate"/>
          </w:r>
          <w:r>
            <w:rPr>
              <w:rStyle w:val="25"/>
              <w:rFonts w:ascii="Times New Roman" w:hAnsi="Times New Roman" w:cs="Times New Roman"/>
              <w:sz w:val="24"/>
              <w:szCs w:val="24"/>
            </w:rPr>
            <w:t>2.4.3 Performance management and prediction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_Toc240827642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5BA73F8">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"_Toc240827643" </w:instrText>
          </w:r>
          <w:r>
            <w:fldChar w:fldCharType="separate"/>
          </w:r>
          <w:r>
            <w:rPr>
              <w:rStyle w:val="25"/>
              <w:rFonts w:ascii="Times New Roman" w:hAnsi="Times New Roman" w:cs="Times New Roman"/>
              <w:sz w:val="24"/>
              <w:szCs w:val="24"/>
            </w:rPr>
            <w:t>2.4.4 Risks of algorithmic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_Toc240827643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CFFCC0F">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"_Toc240827644" </w:instrText>
          </w:r>
          <w:r>
            <w:fldChar w:fldCharType="separate"/>
          </w:r>
          <w:r>
            <w:rPr>
              <w:rStyle w:val="25"/>
              <w:rFonts w:ascii="Times New Roman" w:hAnsi="Times New Roman" w:cs="Times New Roman"/>
              <w:sz w:val="24"/>
              <w:szCs w:val="24"/>
            </w:rPr>
            <w:t>2.5 AI and Learning and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_Toc240827644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C44228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"_Toc240827645" </w:instrText>
          </w:r>
          <w:r>
            <w:fldChar w:fldCharType="separate"/>
          </w:r>
          <w:r>
            <w:rPr>
              <w:rStyle w:val="25"/>
              <w:rFonts w:ascii="Times New Roman" w:hAnsi="Times New Roman" w:cs="Times New Roman"/>
              <w:sz w:val="24"/>
              <w:szCs w:val="24"/>
            </w:rPr>
            <w:t>2.5.1 Personalised learning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_Toc240827645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CEE89E3">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"_Toc240827646" </w:instrText>
          </w:r>
          <w:r>
            <w:fldChar w:fldCharType="separate"/>
          </w:r>
          <w:r>
            <w:rPr>
              <w:rStyle w:val="25"/>
              <w:rFonts w:ascii="Times New Roman" w:hAnsi="Times New Roman" w:cs="Times New Roman"/>
              <w:sz w:val="24"/>
              <w:szCs w:val="24"/>
            </w:rPr>
            <w:t>2.5.2 Generative AI and employee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_Toc240827646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2C9D5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"_Toc240827647" </w:instrText>
          </w:r>
          <w:r>
            <w:fldChar w:fldCharType="separate"/>
          </w:r>
          <w:r>
            <w:rPr>
              <w:rStyle w:val="25"/>
              <w:rFonts w:ascii="Times New Roman" w:hAnsi="Times New Roman" w:cs="Times New Roman"/>
              <w:sz w:val="24"/>
              <w:szCs w:val="24"/>
            </w:rPr>
            <w:t>2.5.3 Benefits and organisational value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_Toc240827647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89BC35A">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"_Toc240827648" </w:instrText>
          </w:r>
          <w:r>
            <w:fldChar w:fldCharType="separate"/>
          </w:r>
          <w:r>
            <w:rPr>
              <w:rStyle w:val="25"/>
              <w:rFonts w:ascii="Times New Roman" w:hAnsi="Times New Roman" w:cs="Times New Roman"/>
              <w:sz w:val="24"/>
              <w:szCs w:val="24"/>
            </w:rPr>
            <w:t>2.5.4 Limitations and human dimensions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_Toc240827648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AA243DE">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"_Toc240827649" </w:instrText>
          </w:r>
          <w:r>
            <w:fldChar w:fldCharType="separate"/>
          </w:r>
          <w:r>
            <w:rPr>
              <w:rStyle w:val="25"/>
              <w:rFonts w:ascii="Times New Roman" w:hAnsi="Times New Roman" w:cs="Times New Roman"/>
              <w:sz w:val="24"/>
              <w:szCs w:val="24"/>
            </w:rPr>
            <w:t>2.6 Ethical, Legal and Governance Challenges of AI in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_Toc240827649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E124BF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"_Toc240827650" </w:instrText>
          </w:r>
          <w:r>
            <w:fldChar w:fldCharType="separate"/>
          </w:r>
          <w:r>
            <w:rPr>
              <w:rStyle w:val="25"/>
              <w:rFonts w:ascii="Times New Roman" w:hAnsi="Times New Roman" w:cs="Times New Roman"/>
              <w:sz w:val="24"/>
              <w:szCs w:val="24"/>
            </w:rPr>
            <w:t>2.6.1 Algorithmic bias and fairness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_Toc240827650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F995B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"_Toc240827651" </w:instrText>
          </w:r>
          <w:r>
            <w:fldChar w:fldCharType="separate"/>
          </w:r>
          <w:r>
            <w:rPr>
              <w:rStyle w:val="25"/>
              <w:rFonts w:ascii="Times New Roman" w:hAnsi="Times New Roman" w:cs="Times New Roman"/>
              <w:sz w:val="24"/>
              <w:szCs w:val="24"/>
            </w:rPr>
            <w:t>2.6.2 Privacy and employee data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_Toc240827651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7F1ED97">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"_Toc240827652" </w:instrText>
          </w:r>
          <w:r>
            <w:fldChar w:fldCharType="separate"/>
          </w:r>
          <w:r>
            <w:rPr>
              <w:rStyle w:val="25"/>
              <w:rFonts w:ascii="Times New Roman" w:hAnsi="Times New Roman" w:cs="Times New Roman"/>
              <w:sz w:val="24"/>
              <w:szCs w:val="24"/>
            </w:rPr>
            <w:t>2.6.3 Transparency and explainability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_Toc240827652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7349EC9">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"_Toc240827653" </w:instrText>
          </w:r>
          <w:r>
            <w:fldChar w:fldCharType="separate"/>
          </w:r>
          <w:r>
            <w:rPr>
              <w:rStyle w:val="25"/>
              <w:rFonts w:ascii="Times New Roman" w:hAnsi="Times New Roman" w:cs="Times New Roman"/>
              <w:sz w:val="24"/>
              <w:szCs w:val="24"/>
            </w:rPr>
            <w:t>2.6.4 Accountability and governance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_Toc240827653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8BC5245">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"_Toc240827654" </w:instrText>
          </w:r>
          <w:r>
            <w:fldChar w:fldCharType="separate"/>
          </w:r>
          <w:r>
            <w:rPr>
              <w:rStyle w:val="25"/>
              <w:rFonts w:ascii="Times New Roman" w:hAnsi="Times New Roman" w:cs="Times New Roman"/>
              <w:sz w:val="24"/>
              <w:szCs w:val="24"/>
            </w:rPr>
            <w:t>2.6.5 Human autonomy and dignity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_Toc240827654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BAD0552">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"_Toc240827655" </w:instrText>
          </w:r>
          <w:r>
            <w:fldChar w:fldCharType="separate"/>
          </w:r>
          <w:r>
            <w:rPr>
              <w:rStyle w:val="25"/>
              <w:rFonts w:ascii="Times New Roman" w:hAnsi="Times New Roman" w:cs="Times New Roman"/>
              <w:sz w:val="24"/>
              <w:szCs w:val="24"/>
            </w:rPr>
            <w:t>2.6.6 Regulatory implications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_Toc240827655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B1F5F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"_Toc240827656" </w:instrText>
          </w:r>
          <w:r>
            <w:fldChar w:fldCharType="separate"/>
          </w:r>
          <w:r>
            <w:rPr>
              <w:rStyle w:val="25"/>
              <w:rFonts w:ascii="Times New Roman" w:hAnsi="Times New Roman" w:cs="Times New Roman"/>
              <w:sz w:val="24"/>
              <w:szCs w:val="24"/>
            </w:rPr>
            <w:t>2.7 Cultural and Organisational Impacts of AI Adoption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_Toc240827656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3653D6">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"_Toc240827657" </w:instrText>
          </w:r>
          <w:r>
            <w:fldChar w:fldCharType="separate"/>
          </w:r>
          <w:r>
            <w:rPr>
              <w:rStyle w:val="25"/>
              <w:rFonts w:ascii="Times New Roman" w:hAnsi="Times New Roman" w:cs="Times New Roman"/>
              <w:sz w:val="24"/>
              <w:szCs w:val="24"/>
            </w:rPr>
            <w:t>2.7.1 Employee attitudes towards AI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_Toc240827657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C3AEE5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"_Toc240827658" </w:instrText>
          </w:r>
          <w:r>
            <w:fldChar w:fldCharType="separate"/>
          </w:r>
          <w:r>
            <w:rPr>
              <w:rStyle w:val="25"/>
              <w:rFonts w:ascii="Times New Roman" w:hAnsi="Times New Roman" w:cs="Times New Roman"/>
              <w:sz w:val="24"/>
              <w:szCs w:val="24"/>
            </w:rPr>
            <w:t>2.7.2 Organisational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_Toc240827658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BD56E65">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"_Toc240827659" </w:instrText>
          </w:r>
          <w:r>
            <w:fldChar w:fldCharType="separate"/>
          </w:r>
          <w:r>
            <w:rPr>
              <w:rStyle w:val="25"/>
              <w:rFonts w:ascii="Times New Roman" w:hAnsi="Times New Roman" w:cs="Times New Roman"/>
              <w:sz w:val="24"/>
              <w:szCs w:val="24"/>
            </w:rPr>
            <w:t>2.7.3 Changing HR roles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_Toc240827659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5F8F1E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"_Toc240827660" </w:instrText>
          </w:r>
          <w:r>
            <w:fldChar w:fldCharType="separate"/>
          </w:r>
          <w:r>
            <w:rPr>
              <w:rStyle w:val="25"/>
              <w:rFonts w:ascii="Times New Roman" w:hAnsi="Times New Roman" w:cs="Times New Roman"/>
              <w:sz w:val="24"/>
              <w:szCs w:val="24"/>
            </w:rPr>
            <w:t>2.7.4 Change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_Toc240827660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A661E1D">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"_Toc240827661" </w:instrText>
          </w:r>
          <w:r>
            <w:fldChar w:fldCharType="separate"/>
          </w:r>
          <w:r>
            <w:rPr>
              <w:rStyle w:val="25"/>
              <w:rFonts w:ascii="Times New Roman" w:hAnsi="Times New Roman" w:cs="Times New Roman"/>
              <w:sz w:val="24"/>
              <w:szCs w:val="24"/>
            </w:rPr>
            <w:t>2.8 Socio-Technical Systems Theory and AI-Enabled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_Toc240827661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A9E1288">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"_Toc240827662" </w:instrText>
          </w:r>
          <w:r>
            <w:fldChar w:fldCharType="separate"/>
          </w:r>
          <w:r>
            <w:rPr>
              <w:rStyle w:val="25"/>
              <w:rFonts w:ascii="Times New Roman" w:hAnsi="Times New Roman" w:cs="Times New Roman"/>
              <w:sz w:val="24"/>
              <w:szCs w:val="24"/>
            </w:rPr>
            <w:t>2.8.1 Origins and principles of STS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_Toc240827662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D39B6A3">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"_Toc240827663" </w:instrText>
          </w:r>
          <w:r>
            <w:fldChar w:fldCharType="separate"/>
          </w:r>
          <w:r>
            <w:rPr>
              <w:rStyle w:val="25"/>
              <w:rFonts w:ascii="Times New Roman" w:hAnsi="Times New Roman" w:cs="Times New Roman"/>
              <w:sz w:val="24"/>
              <w:szCs w:val="24"/>
            </w:rPr>
            <w:t>2.8.2 Application to AI and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_Toc240827663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A204CC6">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"_Toc240827664" </w:instrText>
          </w:r>
          <w:r>
            <w:fldChar w:fldCharType="separate"/>
          </w:r>
          <w:r>
            <w:rPr>
              <w:rStyle w:val="25"/>
              <w:rFonts w:ascii="Times New Roman" w:hAnsi="Times New Roman" w:cs="Times New Roman"/>
              <w:sz w:val="24"/>
              <w:szCs w:val="24"/>
            </w:rPr>
            <w:t>2.8.3 AI and socio-technical misalignment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_Toc240827664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42E45A9">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"_Toc240827665" </w:instrText>
          </w:r>
          <w:r>
            <w:fldChar w:fldCharType="separate"/>
          </w:r>
          <w:r>
            <w:rPr>
              <w:rStyle w:val="25"/>
              <w:rFonts w:ascii="Times New Roman" w:hAnsi="Times New Roman" w:cs="Times New Roman"/>
              <w:sz w:val="24"/>
              <w:szCs w:val="24"/>
            </w:rPr>
            <w:t>2.8.4 STS as a critical lens for Deloitte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_Toc240827665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E333671">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"_Toc240827666" </w:instrText>
          </w:r>
          <w:r>
            <w:fldChar w:fldCharType="separate"/>
          </w:r>
          <w:r>
            <w:rPr>
              <w:rStyle w:val="25"/>
              <w:rFonts w:ascii="Times New Roman" w:hAnsi="Times New Roman" w:cs="Times New Roman"/>
              <w:sz w:val="24"/>
              <w:szCs w:val="24"/>
            </w:rPr>
            <w:t>2.9 Synthesis and Critical Research Gap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_Toc240827666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DBC62EB">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"_Toc240827667" </w:instrText>
          </w:r>
          <w:r>
            <w:fldChar w:fldCharType="separate"/>
          </w:r>
          <w:r>
            <w:rPr>
              <w:rStyle w:val="25"/>
              <w:rFonts w:ascii="Times New Roman" w:hAnsi="Times New Roman" w:cs="Times New Roman"/>
              <w:sz w:val="24"/>
              <w:szCs w:val="24"/>
            </w:rPr>
            <w:t>2.10 Chapter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_Toc240827667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F2BB15B">
          <w:pPr>
            <w:pStyle w:val="14"/>
            <w:tabs>
              <w:tab w:val="right" w:leader="dot" w:pos="9350"/>
            </w:tabs>
            <w:spacing w:line="360" w:lineRule="auto"/>
            <w:rPr>
              <w:rFonts w:ascii="Times New Roman" w:hAnsi="Times New Roman" w:cs="Times New Roman"/>
              <w:sz w:val="24"/>
              <w:szCs w:val="24"/>
            </w:rPr>
          </w:pPr>
          <w:r>
            <w:fldChar w:fldCharType="begin"/>
          </w:r>
          <w:r>
            <w:instrText xml:space="preserve"> HYPERLINK \l "_Toc240827668" </w:instrText>
          </w:r>
          <w:r>
            <w:fldChar w:fldCharType="separate"/>
          </w:r>
          <w:r>
            <w:rPr>
              <w:rStyle w:val="25"/>
              <w:rFonts w:ascii="Times New Roman" w:hAnsi="Times New Roman" w:cs="Times New Roman"/>
              <w:sz w:val="24"/>
              <w:szCs w:val="24"/>
            </w:rPr>
            <w:t>Chapter 3: Research Methodology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_Toc240827668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3FBDAF">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"_Toc240827669" </w:instrText>
          </w:r>
          <w:r>
            <w:fldChar w:fldCharType="separate"/>
          </w:r>
          <w:r>
            <w:rPr>
              <w:rStyle w:val="25"/>
              <w:rFonts w:ascii="Times New Roman" w:hAnsi="Times New Roman" w:cs="Times New Roman"/>
              <w:sz w:val="24"/>
              <w:szCs w:val="24"/>
            </w:rPr>
            <w:t>3.1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_Toc240827669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5CC34E">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"_Toc240827670" </w:instrText>
          </w:r>
          <w:r>
            <w:fldChar w:fldCharType="separate"/>
          </w:r>
          <w:r>
            <w:rPr>
              <w:rStyle w:val="25"/>
              <w:rFonts w:ascii="Times New Roman" w:hAnsi="Times New Roman" w:cs="Times New Roman"/>
              <w:sz w:val="24"/>
              <w:szCs w:val="24"/>
            </w:rPr>
            <w:t>3.2 Research Philosophy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_Toc240827670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3BD7448">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"_Toc240827671" </w:instrText>
          </w:r>
          <w:r>
            <w:fldChar w:fldCharType="separate"/>
          </w:r>
          <w:r>
            <w:rPr>
              <w:rStyle w:val="25"/>
              <w:rFonts w:ascii="Times New Roman" w:hAnsi="Times New Roman" w:cs="Times New Roman"/>
              <w:sz w:val="24"/>
              <w:szCs w:val="24"/>
            </w:rPr>
            <w:t>3.3 Research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_Toc240827671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22CC0C">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"_Toc240827672" </w:instrText>
          </w:r>
          <w:r>
            <w:fldChar w:fldCharType="separate"/>
          </w:r>
          <w:r>
            <w:rPr>
              <w:rStyle w:val="25"/>
              <w:rFonts w:ascii="Times New Roman" w:hAnsi="Times New Roman" w:cs="Times New Roman"/>
              <w:sz w:val="24"/>
              <w:szCs w:val="24"/>
            </w:rPr>
            <w:t>3.4 Research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_Toc240827672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FFA8C52">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"_Toc240827673" </w:instrText>
          </w:r>
          <w:r>
            <w:fldChar w:fldCharType="separate"/>
          </w:r>
          <w:r>
            <w:rPr>
              <w:rStyle w:val="25"/>
              <w:rFonts w:ascii="Times New Roman" w:hAnsi="Times New Roman" w:cs="Times New Roman"/>
              <w:sz w:val="24"/>
              <w:szCs w:val="24"/>
            </w:rPr>
            <w:t>3.5 Data Collection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_Toc240827673 \h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E62D2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"_Toc240827674" </w:instrText>
          </w:r>
          <w:r>
            <w:fldChar w:fldCharType="separate"/>
          </w:r>
          <w:r>
            <w:rPr>
              <w:rStyle w:val="25"/>
              <w:rFonts w:ascii="Times New Roman" w:hAnsi="Times New Roman" w:cs="Times New Roman"/>
              <w:sz w:val="24"/>
              <w:szCs w:val="24"/>
            </w:rPr>
            <w:t>3.5.1 Academic Sources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_Toc240827674 \h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E60469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"_Toc240827675" </w:instrText>
          </w:r>
          <w:r>
            <w:fldChar w:fldCharType="separate"/>
          </w:r>
          <w:r>
            <w:rPr>
              <w:rStyle w:val="25"/>
              <w:rFonts w:ascii="Times New Roman" w:hAnsi="Times New Roman" w:cs="Times New Roman"/>
              <w:sz w:val="24"/>
              <w:szCs w:val="24"/>
            </w:rPr>
            <w:t>3.5.2 Deloitte Organisational Sources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_Toc240827675 \h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817CAD">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"_Toc240827676" </w:instrText>
          </w:r>
          <w:r>
            <w:fldChar w:fldCharType="separate"/>
          </w:r>
          <w:r>
            <w:rPr>
              <w:rStyle w:val="25"/>
              <w:rFonts w:ascii="Times New Roman" w:hAnsi="Times New Roman" w:cs="Times New Roman"/>
              <w:sz w:val="24"/>
              <w:szCs w:val="24"/>
            </w:rPr>
            <w:t>3.5.3 Regulatory and Institutional Sources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_Toc240827676 \h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898E6EA">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"_Toc240827677" </w:instrText>
          </w:r>
          <w:r>
            <w:fldChar w:fldCharType="separate"/>
          </w:r>
          <w:r>
            <w:rPr>
              <w:rStyle w:val="25"/>
              <w:rFonts w:ascii="Times New Roman" w:hAnsi="Times New Roman" w:cs="Times New Roman"/>
              <w:sz w:val="24"/>
              <w:szCs w:val="24"/>
            </w:rPr>
            <w:t>3.5.4 Industry Sources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_Toc240827677 \h </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CDF98C5">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"_Toc240827678" </w:instrText>
          </w:r>
          <w:r>
            <w:fldChar w:fldCharType="separate"/>
          </w:r>
          <w:r>
            <w:rPr>
              <w:rStyle w:val="25"/>
              <w:rFonts w:ascii="Times New Roman" w:hAnsi="Times New Roman" w:cs="Times New Roman"/>
              <w:sz w:val="24"/>
              <w:szCs w:val="24"/>
            </w:rPr>
            <w:t>3.6 Search Strategy and Keywords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_Toc240827678 \h </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8F4777C">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"_Toc240827679" </w:instrText>
          </w:r>
          <w:r>
            <w:fldChar w:fldCharType="separate"/>
          </w:r>
          <w:r>
            <w:rPr>
              <w:rStyle w:val="25"/>
              <w:rFonts w:ascii="Times New Roman" w:hAnsi="Times New Roman" w:cs="Times New Roman"/>
              <w:sz w:val="24"/>
              <w:szCs w:val="24"/>
            </w:rPr>
            <w:t>3.7 Inclusion and Exclusion Criteria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_Toc240827679 \h </w:instrText>
          </w:r>
          <w:r>
            <w:rPr>
              <w:rFonts w:ascii="Times New Roman" w:hAnsi="Times New Roman" w:cs="Times New Roman"/>
              <w:sz w:val="24"/>
              <w:szCs w:val="24"/>
            </w:rPr>
            <w:fldChar w:fldCharType="separate"/>
          </w:r>
          <w:r>
            <w:rPr>
              <w:rFonts w:ascii="Times New Roman" w:hAnsi="Times New Roman" w:cs="Times New Roman"/>
              <w:sz w:val="24"/>
              <w:szCs w:val="24"/>
            </w:rPr>
            <w:t>30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598B98B">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"_Toc240827680" </w:instrText>
          </w:r>
          <w:r>
            <w:fldChar w:fldCharType="separate"/>
          </w:r>
          <w:r>
            <w:rPr>
              <w:rStyle w:val="25"/>
              <w:rFonts w:ascii="Times New Roman" w:hAnsi="Times New Roman" w:cs="Times New Roman"/>
              <w:sz w:val="24"/>
              <w:szCs w:val="24"/>
            </w:rPr>
            <w:t>3.8 Data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_Toc240827680 \h </w:instrText>
          </w:r>
          <w:r>
            <w:rPr>
              <w:rFonts w:ascii="Times New Roman" w:hAnsi="Times New Roman" w:cs="Times New Roman"/>
              <w:sz w:val="24"/>
              <w:szCs w:val="24"/>
            </w:rPr>
            <w:fldChar w:fldCharType="separate"/>
          </w:r>
          <w:r>
            <w:rPr>
              <w:rFonts w:ascii="Times New Roman" w:hAnsi="Times New Roman" w:cs="Times New Roman"/>
              <w:sz w:val="24"/>
              <w:szCs w:val="24"/>
            </w:rPr>
            <w:t>31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F13001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"_Toc240827681" </w:instrText>
          </w:r>
          <w:r>
            <w:fldChar w:fldCharType="separate"/>
          </w:r>
          <w:r>
            <w:rPr>
              <w:rStyle w:val="25"/>
              <w:rFonts w:ascii="Times New Roman" w:hAnsi="Times New Roman" w:cs="Times New Roman"/>
              <w:sz w:val="24"/>
              <w:szCs w:val="24"/>
            </w:rPr>
            <w:t>3.8.1 Phase 1: Familiarisation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_Toc240827681 \h </w:instrText>
          </w:r>
          <w:r>
            <w:rPr>
              <w:rFonts w:ascii="Times New Roman" w:hAnsi="Times New Roman" w:cs="Times New Roman"/>
              <w:sz w:val="24"/>
              <w:szCs w:val="24"/>
            </w:rPr>
            <w:fldChar w:fldCharType="separate"/>
          </w:r>
          <w:r>
            <w:rPr>
              <w:rFonts w:ascii="Times New Roman" w:hAnsi="Times New Roman" w:cs="Times New Roman"/>
              <w:sz w:val="24"/>
              <w:szCs w:val="24"/>
            </w:rPr>
            <w:t>31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F7FA42">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"_Toc240827682" </w:instrText>
          </w:r>
          <w:r>
            <w:fldChar w:fldCharType="separate"/>
          </w:r>
          <w:r>
            <w:rPr>
              <w:rStyle w:val="25"/>
              <w:rFonts w:ascii="Times New Roman" w:hAnsi="Times New Roman" w:cs="Times New Roman"/>
              <w:sz w:val="24"/>
              <w:szCs w:val="24"/>
            </w:rPr>
            <w:t>3.8.2 Phase 2: Generating Initial Codes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_Toc240827682 \h </w:instrText>
          </w:r>
          <w:r>
            <w:rPr>
              <w:rFonts w:ascii="Times New Roman" w:hAnsi="Times New Roman" w:cs="Times New Roman"/>
              <w:sz w:val="24"/>
              <w:szCs w:val="24"/>
            </w:rPr>
            <w:fldChar w:fldCharType="separate"/>
          </w:r>
          <w:r>
            <w:rPr>
              <w:rFonts w:ascii="Times New Roman" w:hAnsi="Times New Roman" w:cs="Times New Roman"/>
              <w:sz w:val="24"/>
              <w:szCs w:val="24"/>
            </w:rPr>
            <w:t>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2485F69">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"_Toc240827683" </w:instrText>
          </w:r>
          <w:r>
            <w:fldChar w:fldCharType="separate"/>
          </w:r>
          <w:r>
            <w:rPr>
              <w:rStyle w:val="25"/>
              <w:rFonts w:ascii="Times New Roman" w:hAnsi="Times New Roman" w:cs="Times New Roman"/>
              <w:sz w:val="24"/>
              <w:szCs w:val="24"/>
            </w:rPr>
            <w:t>3.8.3 Phase 3: Searching for Themes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_Toc240827683 \h </w:instrText>
          </w:r>
          <w:r>
            <w:rPr>
              <w:rFonts w:ascii="Times New Roman" w:hAnsi="Times New Roman" w:cs="Times New Roman"/>
              <w:sz w:val="24"/>
              <w:szCs w:val="24"/>
            </w:rPr>
            <w:fldChar w:fldCharType="separate"/>
          </w:r>
          <w:r>
            <w:rPr>
              <w:rFonts w:ascii="Times New Roman" w:hAnsi="Times New Roman" w:cs="Times New Roman"/>
              <w:sz w:val="24"/>
              <w:szCs w:val="24"/>
            </w:rPr>
            <w:t>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D812A24">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"_Toc240827684" </w:instrText>
          </w:r>
          <w:r>
            <w:fldChar w:fldCharType="separate"/>
          </w:r>
          <w:r>
            <w:rPr>
              <w:rStyle w:val="25"/>
              <w:rFonts w:ascii="Times New Roman" w:hAnsi="Times New Roman" w:cs="Times New Roman"/>
              <w:sz w:val="24"/>
              <w:szCs w:val="24"/>
            </w:rPr>
            <w:t>3.8.4 Phase 4: Reviewing Themes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_Toc240827684 \h </w:instrText>
          </w:r>
          <w:r>
            <w:rPr>
              <w:rFonts w:ascii="Times New Roman" w:hAnsi="Times New Roman" w:cs="Times New Roman"/>
              <w:sz w:val="24"/>
              <w:szCs w:val="24"/>
            </w:rPr>
            <w:fldChar w:fldCharType="separate"/>
          </w:r>
          <w:r>
            <w:rPr>
              <w:rFonts w:ascii="Times New Roman" w:hAnsi="Times New Roman" w:cs="Times New Roman"/>
              <w:sz w:val="24"/>
              <w:szCs w:val="24"/>
            </w:rPr>
            <w:t>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F3A8F9A">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"_Toc240827685" </w:instrText>
          </w:r>
          <w:r>
            <w:fldChar w:fldCharType="separate"/>
          </w:r>
          <w:r>
            <w:rPr>
              <w:rStyle w:val="25"/>
              <w:rFonts w:ascii="Times New Roman" w:hAnsi="Times New Roman" w:cs="Times New Roman"/>
              <w:sz w:val="24"/>
              <w:szCs w:val="24"/>
            </w:rPr>
            <w:t>3.8.5 Phase 5: Defining and Naming Themes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_Toc240827685 \h </w:instrText>
          </w:r>
          <w:r>
            <w:rPr>
              <w:rFonts w:ascii="Times New Roman" w:hAnsi="Times New Roman" w:cs="Times New Roman"/>
              <w:sz w:val="24"/>
              <w:szCs w:val="24"/>
            </w:rPr>
            <w:fldChar w:fldCharType="separate"/>
          </w:r>
          <w:r>
            <w:rPr>
              <w:rFonts w:ascii="Times New Roman" w:hAnsi="Times New Roman" w:cs="Times New Roman"/>
              <w:sz w:val="24"/>
              <w:szCs w:val="24"/>
            </w:rPr>
            <w:t>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4A3EFB2">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"_Toc240827686" </w:instrText>
          </w:r>
          <w:r>
            <w:fldChar w:fldCharType="separate"/>
          </w:r>
          <w:r>
            <w:rPr>
              <w:rStyle w:val="25"/>
              <w:rFonts w:ascii="Times New Roman" w:hAnsi="Times New Roman" w:cs="Times New Roman"/>
              <w:sz w:val="24"/>
              <w:szCs w:val="24"/>
            </w:rPr>
            <w:t>3.8.6 Phase 6: Producing the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_Toc240827686 \h </w:instrText>
          </w:r>
          <w:r>
            <w:rPr>
              <w:rFonts w:ascii="Times New Roman" w:hAnsi="Times New Roman" w:cs="Times New Roman"/>
              <w:sz w:val="24"/>
              <w:szCs w:val="24"/>
            </w:rPr>
            <w:fldChar w:fldCharType="separate"/>
          </w:r>
          <w:r>
            <w:rPr>
              <w:rFonts w:ascii="Times New Roman" w:hAnsi="Times New Roman" w:cs="Times New Roman"/>
              <w:sz w:val="24"/>
              <w:szCs w:val="24"/>
            </w:rPr>
            <w:t>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02F56F4">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"_Toc240827687" </w:instrText>
          </w:r>
          <w:r>
            <w:fldChar w:fldCharType="separate"/>
          </w:r>
          <w:r>
            <w:rPr>
              <w:rStyle w:val="25"/>
              <w:rFonts w:ascii="Times New Roman" w:hAnsi="Times New Roman" w:cs="Times New Roman"/>
              <w:sz w:val="24"/>
              <w:szCs w:val="24"/>
            </w:rPr>
            <w:t>3.9 Application of the Socio-Technical Systems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_Toc240827687 \h </w:instrText>
          </w:r>
          <w:r>
            <w:rPr>
              <w:rFonts w:ascii="Times New Roman" w:hAnsi="Times New Roman" w:cs="Times New Roman"/>
              <w:sz w:val="24"/>
              <w:szCs w:val="24"/>
            </w:rPr>
            <w:fldChar w:fldCharType="separate"/>
          </w:r>
          <w:r>
            <w:rPr>
              <w:rFonts w:ascii="Times New Roman" w:hAnsi="Times New Roman" w:cs="Times New Roman"/>
              <w:sz w:val="24"/>
              <w:szCs w:val="24"/>
            </w:rPr>
            <w:t>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27BFEF">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"_Toc240827688" </w:instrText>
          </w:r>
          <w:r>
            <w:fldChar w:fldCharType="separate"/>
          </w:r>
          <w:r>
            <w:rPr>
              <w:rStyle w:val="25"/>
              <w:rFonts w:ascii="Times New Roman" w:hAnsi="Times New Roman" w:cs="Times New Roman"/>
              <w:sz w:val="24"/>
              <w:szCs w:val="24"/>
            </w:rPr>
            <w:t>3.10 Reliability and Validity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_Toc240827688 \h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6FAFFE0">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"_Toc240827689" </w:instrText>
          </w:r>
          <w:r>
            <w:fldChar w:fldCharType="separate"/>
          </w:r>
          <w:r>
            <w:rPr>
              <w:rStyle w:val="25"/>
              <w:rFonts w:ascii="Times New Roman" w:hAnsi="Times New Roman" w:cs="Times New Roman"/>
              <w:sz w:val="24"/>
              <w:szCs w:val="24"/>
            </w:rPr>
            <w:t>3.11 Ethical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_Toc240827689 \h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6371C3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"_Toc240827690" </w:instrText>
          </w:r>
          <w:r>
            <w:fldChar w:fldCharType="separate"/>
          </w:r>
          <w:r>
            <w:rPr>
              <w:rStyle w:val="25"/>
              <w:rFonts w:ascii="Times New Roman" w:hAnsi="Times New Roman" w:cs="Times New Roman"/>
              <w:sz w:val="24"/>
              <w:szCs w:val="24"/>
            </w:rPr>
            <w:t>3.12 Methodological Limitations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_Toc240827690 \h </w:instrText>
          </w:r>
          <w:r>
            <w:rPr>
              <w:rFonts w:ascii="Times New Roman" w:hAnsi="Times New Roman" w:cs="Times New Roman"/>
              <w:sz w:val="24"/>
              <w:szCs w:val="24"/>
            </w:rPr>
            <w:fldChar w:fldCharType="separate"/>
          </w:r>
          <w:r>
            <w:rPr>
              <w:rFonts w:ascii="Times New Roman" w:hAnsi="Times New Roman" w:cs="Times New Roman"/>
              <w:sz w:val="24"/>
              <w:szCs w:val="24"/>
            </w:rPr>
            <w:t>35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B42AD9E">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"_Toc240827691" </w:instrText>
          </w:r>
          <w:r>
            <w:fldChar w:fldCharType="separate"/>
          </w:r>
          <w:r>
            <w:rPr>
              <w:rStyle w:val="25"/>
              <w:rFonts w:ascii="Times New Roman" w:hAnsi="Times New Roman" w:cs="Times New Roman"/>
              <w:sz w:val="24"/>
              <w:szCs w:val="24"/>
            </w:rPr>
            <w:t>3.13 Chapter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_Toc240827691 \h </w:instrText>
          </w:r>
          <w:r>
            <w:rPr>
              <w:rFonts w:ascii="Times New Roman" w:hAnsi="Times New Roman" w:cs="Times New Roman"/>
              <w:sz w:val="24"/>
              <w:szCs w:val="24"/>
            </w:rPr>
            <w:fldChar w:fldCharType="separate"/>
          </w:r>
          <w:r>
            <w:rPr>
              <w:rFonts w:ascii="Times New Roman" w:hAnsi="Times New Roman" w:cs="Times New Roman"/>
              <w:sz w:val="24"/>
              <w:szCs w:val="24"/>
            </w:rPr>
            <w:t>35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80B6A5B">
          <w:pPr>
            <w:pStyle w:val="14"/>
            <w:tabs>
              <w:tab w:val="right" w:leader="dot" w:pos="9350"/>
            </w:tabs>
            <w:spacing w:line="360" w:lineRule="auto"/>
            <w:rPr>
              <w:rFonts w:ascii="Times New Roman" w:hAnsi="Times New Roman" w:cs="Times New Roman"/>
              <w:sz w:val="24"/>
              <w:szCs w:val="24"/>
            </w:rPr>
          </w:pPr>
          <w:r>
            <w:fldChar w:fldCharType="begin"/>
          </w:r>
          <w:r>
            <w:instrText xml:space="preserve"> HYPERLINK \l "_Toc240827692" </w:instrText>
          </w:r>
          <w:r>
            <w:fldChar w:fldCharType="separate"/>
          </w:r>
          <w:r>
            <w:rPr>
              <w:rStyle w:val="25"/>
              <w:rFonts w:ascii="Times New Roman" w:hAnsi="Times New Roman" w:cs="Times New Roman"/>
              <w:sz w:val="24"/>
              <w:szCs w:val="24"/>
            </w:rPr>
            <w:t>CHAPTER 4: FINDINGS AND THEMATIC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_Toc240827692 \h </w:instrText>
          </w:r>
          <w:r>
            <w:rPr>
              <w:rFonts w:ascii="Times New Roman" w:hAnsi="Times New Roman" w:cs="Times New Roman"/>
              <w:sz w:val="24"/>
              <w:szCs w:val="24"/>
            </w:rPr>
            <w:fldChar w:fldCharType="separate"/>
          </w:r>
          <w:r>
            <w:rPr>
              <w:rFonts w:ascii="Times New Roman" w:hAnsi="Times New Roman" w:cs="Times New Roman"/>
              <w:sz w:val="24"/>
              <w:szCs w:val="24"/>
            </w:rPr>
            <w:t>36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8FBE45F">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"_Toc240827693" </w:instrText>
          </w:r>
          <w:r>
            <w:fldChar w:fldCharType="separate"/>
          </w:r>
          <w:r>
            <w:rPr>
              <w:rStyle w:val="25"/>
              <w:rFonts w:ascii="Times New Roman" w:hAnsi="Times New Roman" w:cs="Times New Roman"/>
              <w:sz w:val="24"/>
              <w:szCs w:val="24"/>
            </w:rPr>
            <w:t>4.1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_Toc240827693 \h </w:instrText>
          </w:r>
          <w:r>
            <w:rPr>
              <w:rFonts w:ascii="Times New Roman" w:hAnsi="Times New Roman" w:cs="Times New Roman"/>
              <w:sz w:val="24"/>
              <w:szCs w:val="24"/>
            </w:rPr>
            <w:fldChar w:fldCharType="separate"/>
          </w:r>
          <w:r>
            <w:rPr>
              <w:rFonts w:ascii="Times New Roman" w:hAnsi="Times New Roman" w:cs="Times New Roman"/>
              <w:sz w:val="24"/>
              <w:szCs w:val="24"/>
            </w:rPr>
            <w:t>36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74FD02">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"_Toc240827694" </w:instrText>
          </w:r>
          <w:r>
            <w:fldChar w:fldCharType="separate"/>
          </w:r>
          <w:r>
            <w:rPr>
              <w:rStyle w:val="25"/>
              <w:rFonts w:ascii="Times New Roman" w:hAnsi="Times New Roman" w:cs="Times New Roman"/>
              <w:sz w:val="24"/>
              <w:szCs w:val="24"/>
            </w:rPr>
            <w:t>4.2 Overview of the Secondary Evidence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_Toc240827694 \h </w:instrText>
          </w:r>
          <w:r>
            <w:rPr>
              <w:rFonts w:ascii="Times New Roman" w:hAnsi="Times New Roman" w:cs="Times New Roman"/>
              <w:sz w:val="24"/>
              <w:szCs w:val="24"/>
            </w:rPr>
            <w:fldChar w:fldCharType="separate"/>
          </w:r>
          <w:r>
            <w:rPr>
              <w:rFonts w:ascii="Times New Roman" w:hAnsi="Times New Roman" w:cs="Times New Roman"/>
              <w:sz w:val="24"/>
              <w:szCs w:val="24"/>
            </w:rPr>
            <w:t>36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D1B102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"_Toc240827695" </w:instrText>
          </w:r>
          <w:r>
            <w:fldChar w:fldCharType="separate"/>
          </w:r>
          <w:r>
            <w:rPr>
              <w:rStyle w:val="25"/>
              <w:rFonts w:ascii="Times New Roman" w:hAnsi="Times New Roman" w:cs="Times New Roman"/>
              <w:sz w:val="24"/>
              <w:szCs w:val="24"/>
            </w:rPr>
            <w:t>4.3 Theme 1: AI-Driven Operational Efficiency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_Toc240827695 \h </w:instrText>
          </w:r>
          <w:r>
            <w:rPr>
              <w:rFonts w:ascii="Times New Roman" w:hAnsi="Times New Roman" w:cs="Times New Roman"/>
              <w:sz w:val="24"/>
              <w:szCs w:val="24"/>
            </w:rPr>
            <w:fldChar w:fldCharType="separate"/>
          </w:r>
          <w:r>
            <w:rPr>
              <w:rFonts w:ascii="Times New Roman" w:hAnsi="Times New Roman" w:cs="Times New Roman"/>
              <w:sz w:val="24"/>
              <w:szCs w:val="24"/>
            </w:rPr>
            <w:t>40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247FE5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"_Toc240827696" </w:instrText>
          </w:r>
          <w:r>
            <w:fldChar w:fldCharType="separate"/>
          </w:r>
          <w:r>
            <w:rPr>
              <w:rStyle w:val="25"/>
              <w:rFonts w:ascii="Times New Roman" w:hAnsi="Times New Roman" w:cs="Times New Roman"/>
              <w:sz w:val="24"/>
              <w:szCs w:val="24"/>
            </w:rPr>
            <w:t>4.3.1 Recruitment efficiency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_Toc240827696 \h </w:instrText>
          </w:r>
          <w:r>
            <w:rPr>
              <w:rFonts w:ascii="Times New Roman" w:hAnsi="Times New Roman" w:cs="Times New Roman"/>
              <w:sz w:val="24"/>
              <w:szCs w:val="24"/>
            </w:rPr>
            <w:fldChar w:fldCharType="separate"/>
          </w:r>
          <w:r>
            <w:rPr>
              <w:rFonts w:ascii="Times New Roman" w:hAnsi="Times New Roman" w:cs="Times New Roman"/>
              <w:sz w:val="24"/>
              <w:szCs w:val="24"/>
            </w:rPr>
            <w:t>40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EF421F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"_Toc240827697" </w:instrText>
          </w:r>
          <w:r>
            <w:fldChar w:fldCharType="separate"/>
          </w:r>
          <w:r>
            <w:rPr>
              <w:rStyle w:val="25"/>
              <w:rFonts w:ascii="Times New Roman" w:hAnsi="Times New Roman" w:cs="Times New Roman"/>
              <w:sz w:val="24"/>
              <w:szCs w:val="24"/>
            </w:rPr>
            <w:t>4.3.2 Workforce efficiency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_Toc240827697 \h </w:instrText>
          </w:r>
          <w:r>
            <w:rPr>
              <w:rFonts w:ascii="Times New Roman" w:hAnsi="Times New Roman" w:cs="Times New Roman"/>
              <w:sz w:val="24"/>
              <w:szCs w:val="24"/>
            </w:rPr>
            <w:fldChar w:fldCharType="separate"/>
          </w:r>
          <w:r>
            <w:rPr>
              <w:rFonts w:ascii="Times New Roman" w:hAnsi="Times New Roman" w:cs="Times New Roman"/>
              <w:sz w:val="24"/>
              <w:szCs w:val="24"/>
            </w:rPr>
            <w:t>41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6C912C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"_Toc240827698" </w:instrText>
          </w:r>
          <w:r>
            <w:fldChar w:fldCharType="separate"/>
          </w:r>
          <w:r>
            <w:rPr>
              <w:rStyle w:val="25"/>
              <w:rFonts w:ascii="Times New Roman" w:hAnsi="Times New Roman" w:cs="Times New Roman"/>
              <w:sz w:val="24"/>
              <w:szCs w:val="24"/>
            </w:rPr>
            <w:t>4.3.3 L&amp;D efficiency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_Toc240827698 \h </w:instrText>
          </w:r>
          <w:r>
            <w:rPr>
              <w:rFonts w:ascii="Times New Roman" w:hAnsi="Times New Roman" w:cs="Times New Roman"/>
              <w:sz w:val="24"/>
              <w:szCs w:val="24"/>
            </w:rPr>
            <w:fldChar w:fldCharType="separate"/>
          </w:r>
          <w:r>
            <w:rPr>
              <w:rFonts w:ascii="Times New Roman" w:hAnsi="Times New Roman" w:cs="Times New Roman"/>
              <w:sz w:val="24"/>
              <w:szCs w:val="24"/>
            </w:rPr>
            <w:t>41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AE2E9C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"_Toc240827699" </w:instrText>
          </w:r>
          <w:r>
            <w:fldChar w:fldCharType="separate"/>
          </w:r>
          <w:r>
            <w:rPr>
              <w:rStyle w:val="25"/>
              <w:rFonts w:ascii="Times New Roman" w:hAnsi="Times New Roman" w:cs="Times New Roman"/>
              <w:sz w:val="24"/>
              <w:szCs w:val="24"/>
            </w:rPr>
            <w:t>4.3.4 Contradictory evidence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_Toc240827699 \h </w:instrText>
          </w:r>
          <w:r>
            <w:rPr>
              <w:rFonts w:ascii="Times New Roman" w:hAnsi="Times New Roman" w:cs="Times New Roman"/>
              <w:sz w:val="24"/>
              <w:szCs w:val="24"/>
            </w:rPr>
            <w:fldChar w:fldCharType="separate"/>
          </w:r>
          <w:r>
            <w:rPr>
              <w:rFonts w:ascii="Times New Roman" w:hAnsi="Times New Roman" w:cs="Times New Roman"/>
              <w:sz w:val="24"/>
              <w:szCs w:val="24"/>
            </w:rPr>
            <w:t>41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3091E6">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"_Toc240827700" </w:instrText>
          </w:r>
          <w:r>
            <w:fldChar w:fldCharType="separate"/>
          </w:r>
          <w:r>
            <w:rPr>
              <w:rStyle w:val="25"/>
              <w:rFonts w:ascii="Times New Roman" w:hAnsi="Times New Roman" w:cs="Times New Roman"/>
              <w:sz w:val="24"/>
              <w:szCs w:val="24"/>
            </w:rPr>
            <w:t>4.4 Theme 2: Algorithmic Bias, Fairness and Transparency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_Toc240827700 \h </w:instrText>
          </w:r>
          <w:r>
            <w:rPr>
              <w:rFonts w:ascii="Times New Roman" w:hAnsi="Times New Roman" w:cs="Times New Roman"/>
              <w:sz w:val="24"/>
              <w:szCs w:val="24"/>
            </w:rPr>
            <w:fldChar w:fldCharType="separate"/>
          </w:r>
          <w:r>
            <w:rPr>
              <w:rFonts w:ascii="Times New Roman" w:hAnsi="Times New Roman" w:cs="Times New Roman"/>
              <w:sz w:val="24"/>
              <w:szCs w:val="24"/>
            </w:rPr>
            <w:t>42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85A0D61">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"_Toc240827701" </w:instrText>
          </w:r>
          <w:r>
            <w:fldChar w:fldCharType="separate"/>
          </w:r>
          <w:r>
            <w:rPr>
              <w:rStyle w:val="25"/>
              <w:rFonts w:ascii="Times New Roman" w:hAnsi="Times New Roman" w:cs="Times New Roman"/>
              <w:sz w:val="24"/>
              <w:szCs w:val="24"/>
            </w:rPr>
            <w:t>4.4.1 Bias in Recruitment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_Toc240827701 \h </w:instrText>
          </w:r>
          <w:r>
            <w:rPr>
              <w:rFonts w:ascii="Times New Roman" w:hAnsi="Times New Roman" w:cs="Times New Roman"/>
              <w:sz w:val="24"/>
              <w:szCs w:val="24"/>
            </w:rPr>
            <w:fldChar w:fldCharType="separate"/>
          </w:r>
          <w:r>
            <w:rPr>
              <w:rFonts w:ascii="Times New Roman" w:hAnsi="Times New Roman" w:cs="Times New Roman"/>
              <w:sz w:val="24"/>
              <w:szCs w:val="24"/>
            </w:rPr>
            <w:t>42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C02093">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"_Toc240827702" </w:instrText>
          </w:r>
          <w:r>
            <w:fldChar w:fldCharType="separate"/>
          </w:r>
          <w:r>
            <w:rPr>
              <w:rStyle w:val="25"/>
              <w:rFonts w:ascii="Times New Roman" w:hAnsi="Times New Roman" w:cs="Times New Roman"/>
              <w:sz w:val="24"/>
              <w:szCs w:val="24"/>
            </w:rPr>
            <w:t>4.4.2 Fairness of AI Decisions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_Toc240827702 \h </w:instrText>
          </w:r>
          <w:r>
            <w:rPr>
              <w:rFonts w:ascii="Times New Roman" w:hAnsi="Times New Roman" w:cs="Times New Roman"/>
              <w:sz w:val="24"/>
              <w:szCs w:val="24"/>
            </w:rPr>
            <w:fldChar w:fldCharType="separate"/>
          </w:r>
          <w:r>
            <w:rPr>
              <w:rFonts w:ascii="Times New Roman" w:hAnsi="Times New Roman" w:cs="Times New Roman"/>
              <w:sz w:val="24"/>
              <w:szCs w:val="24"/>
            </w:rPr>
            <w:t>42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2AE752E">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"_Toc240827703" </w:instrText>
          </w:r>
          <w:r>
            <w:fldChar w:fldCharType="separate"/>
          </w:r>
          <w:r>
            <w:rPr>
              <w:rStyle w:val="25"/>
              <w:rFonts w:ascii="Times New Roman" w:hAnsi="Times New Roman" w:cs="Times New Roman"/>
              <w:sz w:val="24"/>
              <w:szCs w:val="24"/>
            </w:rPr>
            <w:t>4.4.3 Transparency and Explainability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_Toc240827703 \h </w:instrText>
          </w:r>
          <w:r>
            <w:rPr>
              <w:rFonts w:ascii="Times New Roman" w:hAnsi="Times New Roman" w:cs="Times New Roman"/>
              <w:sz w:val="24"/>
              <w:szCs w:val="24"/>
            </w:rPr>
            <w:fldChar w:fldCharType="separate"/>
          </w:r>
          <w:r>
            <w:rPr>
              <w:rFonts w:ascii="Times New Roman" w:hAnsi="Times New Roman" w:cs="Times New Roman"/>
              <w:sz w:val="24"/>
              <w:szCs w:val="24"/>
            </w:rPr>
            <w:t>43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D22E04">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"_Toc240827704" </w:instrText>
          </w:r>
          <w:r>
            <w:fldChar w:fldCharType="separate"/>
          </w:r>
          <w:r>
            <w:rPr>
              <w:rStyle w:val="25"/>
              <w:rFonts w:ascii="Times New Roman" w:hAnsi="Times New Roman" w:cs="Times New Roman"/>
              <w:sz w:val="24"/>
              <w:szCs w:val="24"/>
            </w:rPr>
            <w:t>4.4.4 Deloitte-Specific Implications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_Toc240827704 \h </w:instrText>
          </w:r>
          <w:r>
            <w:rPr>
              <w:rFonts w:ascii="Times New Roman" w:hAnsi="Times New Roman" w:cs="Times New Roman"/>
              <w:sz w:val="24"/>
              <w:szCs w:val="24"/>
            </w:rPr>
            <w:fldChar w:fldCharType="separate"/>
          </w:r>
          <w:r>
            <w:rPr>
              <w:rFonts w:ascii="Times New Roman" w:hAnsi="Times New Roman" w:cs="Times New Roman"/>
              <w:sz w:val="24"/>
              <w:szCs w:val="24"/>
            </w:rPr>
            <w:t>43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F3C3429">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"_Toc240827705" </w:instrText>
          </w:r>
          <w:r>
            <w:fldChar w:fldCharType="separate"/>
          </w:r>
          <w:r>
            <w:rPr>
              <w:rStyle w:val="25"/>
              <w:rFonts w:ascii="Times New Roman" w:hAnsi="Times New Roman" w:cs="Times New Roman"/>
              <w:sz w:val="24"/>
              <w:szCs w:val="24"/>
            </w:rPr>
            <w:t>4.4.5 Regulatory Implications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_Toc240827705 \h </w:instrText>
          </w:r>
          <w:r>
            <w:rPr>
              <w:rFonts w:ascii="Times New Roman" w:hAnsi="Times New Roman" w:cs="Times New Roman"/>
              <w:sz w:val="24"/>
              <w:szCs w:val="24"/>
            </w:rPr>
            <w:fldChar w:fldCharType="separate"/>
          </w:r>
          <w:r>
            <w:rPr>
              <w:rFonts w:ascii="Times New Roman" w:hAnsi="Times New Roman" w:cs="Times New Roman"/>
              <w:sz w:val="24"/>
              <w:szCs w:val="24"/>
            </w:rPr>
            <w:t>43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A9C12A">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"_Toc240827706" </w:instrText>
          </w:r>
          <w:r>
            <w:fldChar w:fldCharType="separate"/>
          </w:r>
          <w:r>
            <w:rPr>
              <w:rStyle w:val="25"/>
              <w:rFonts w:ascii="Times New Roman" w:hAnsi="Times New Roman" w:cs="Times New Roman"/>
              <w:sz w:val="24"/>
              <w:szCs w:val="24"/>
            </w:rPr>
            <w:t>4.5 Theme 3: AI-Enabled Workforce Planning and Talent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_Toc240827706 \h </w:instrText>
          </w:r>
          <w:r>
            <w:rPr>
              <w:rFonts w:ascii="Times New Roman" w:hAnsi="Times New Roman" w:cs="Times New Roman"/>
              <w:sz w:val="24"/>
              <w:szCs w:val="24"/>
            </w:rPr>
            <w:fldChar w:fldCharType="separate"/>
          </w:r>
          <w:r>
            <w:rPr>
              <w:rFonts w:ascii="Times New Roman" w:hAnsi="Times New Roman" w:cs="Times New Roman"/>
              <w:sz w:val="24"/>
              <w:szCs w:val="24"/>
            </w:rPr>
            <w:t>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26451E9">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"_Toc240827707" </w:instrText>
          </w:r>
          <w:r>
            <w:fldChar w:fldCharType="separate"/>
          </w:r>
          <w:r>
            <w:rPr>
              <w:rStyle w:val="25"/>
              <w:rFonts w:ascii="Times New Roman" w:hAnsi="Times New Roman" w:cs="Times New Roman"/>
              <w:sz w:val="24"/>
              <w:szCs w:val="24"/>
            </w:rPr>
            <w:t>4.5.1 Predictive Workforce Planning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_Toc240827707 \h </w:instrText>
          </w:r>
          <w:r>
            <w:rPr>
              <w:rFonts w:ascii="Times New Roman" w:hAnsi="Times New Roman" w:cs="Times New Roman"/>
              <w:sz w:val="24"/>
              <w:szCs w:val="24"/>
            </w:rPr>
            <w:fldChar w:fldCharType="separate"/>
          </w:r>
          <w:r>
            <w:rPr>
              <w:rFonts w:ascii="Times New Roman" w:hAnsi="Times New Roman" w:cs="Times New Roman"/>
              <w:sz w:val="24"/>
              <w:szCs w:val="24"/>
            </w:rPr>
            <w:t>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DA70F77">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"_Toc240827708" </w:instrText>
          </w:r>
          <w:r>
            <w:fldChar w:fldCharType="separate"/>
          </w:r>
          <w:r>
            <w:rPr>
              <w:rStyle w:val="25"/>
              <w:rFonts w:ascii="Times New Roman" w:hAnsi="Times New Roman" w:cs="Times New Roman"/>
              <w:sz w:val="24"/>
              <w:szCs w:val="24"/>
            </w:rPr>
            <w:t>4.5.2 AI-Based Talent Matching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_Toc240827708 \h </w:instrText>
          </w:r>
          <w:r>
            <w:rPr>
              <w:rFonts w:ascii="Times New Roman" w:hAnsi="Times New Roman" w:cs="Times New Roman"/>
              <w:sz w:val="24"/>
              <w:szCs w:val="24"/>
            </w:rPr>
            <w:fldChar w:fldCharType="separate"/>
          </w:r>
          <w:r>
            <w:rPr>
              <w:rFonts w:ascii="Times New Roman" w:hAnsi="Times New Roman" w:cs="Times New Roman"/>
              <w:sz w:val="24"/>
              <w:szCs w:val="24"/>
            </w:rPr>
            <w:t>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D092E6F">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"_Toc240827709" </w:instrText>
          </w:r>
          <w:r>
            <w:fldChar w:fldCharType="separate"/>
          </w:r>
          <w:r>
            <w:rPr>
              <w:rStyle w:val="25"/>
              <w:rFonts w:ascii="Times New Roman" w:hAnsi="Times New Roman" w:cs="Times New Roman"/>
              <w:sz w:val="24"/>
              <w:szCs w:val="24"/>
            </w:rPr>
            <w:t>4.5.3 Project Staffing and Skills Allocation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_Toc240827709 \h </w:instrText>
          </w:r>
          <w:r>
            <w:rPr>
              <w:rFonts w:ascii="Times New Roman" w:hAnsi="Times New Roman" w:cs="Times New Roman"/>
              <w:sz w:val="24"/>
              <w:szCs w:val="24"/>
            </w:rPr>
            <w:fldChar w:fldCharType="separate"/>
          </w:r>
          <w:r>
            <w:rPr>
              <w:rFonts w:ascii="Times New Roman" w:hAnsi="Times New Roman" w:cs="Times New Roman"/>
              <w:sz w:val="24"/>
              <w:szCs w:val="24"/>
            </w:rPr>
            <w:t>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4473FE1">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"_Toc240827710" </w:instrText>
          </w:r>
          <w:r>
            <w:fldChar w:fldCharType="separate"/>
          </w:r>
          <w:r>
            <w:rPr>
              <w:rStyle w:val="25"/>
              <w:rFonts w:ascii="Times New Roman" w:hAnsi="Times New Roman" w:cs="Times New Roman"/>
              <w:sz w:val="24"/>
              <w:szCs w:val="24"/>
            </w:rPr>
            <w:t>4.5.4 Performance Prediction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_Toc240827710 \h </w:instrText>
          </w:r>
          <w:r>
            <w:rPr>
              <w:rFonts w:ascii="Times New Roman" w:hAnsi="Times New Roman" w:cs="Times New Roman"/>
              <w:sz w:val="24"/>
              <w:szCs w:val="24"/>
            </w:rPr>
            <w:fldChar w:fldCharType="separate"/>
          </w:r>
          <w:r>
            <w:rPr>
              <w:rFonts w:ascii="Times New Roman" w:hAnsi="Times New Roman" w:cs="Times New Roman"/>
              <w:sz w:val="24"/>
              <w:szCs w:val="24"/>
            </w:rPr>
            <w:t>45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C6A4F6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"_Toc240827711" </w:instrText>
          </w:r>
          <w:r>
            <w:fldChar w:fldCharType="separate"/>
          </w:r>
          <w:r>
            <w:rPr>
              <w:rStyle w:val="25"/>
              <w:rFonts w:ascii="Times New Roman" w:hAnsi="Times New Roman" w:cs="Times New Roman"/>
              <w:sz w:val="24"/>
              <w:szCs w:val="24"/>
            </w:rPr>
            <w:t>4.5.5 Limitations of Algorithmic Allocation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_Toc240827711 \h </w:instrText>
          </w:r>
          <w:r>
            <w:rPr>
              <w:rFonts w:ascii="Times New Roman" w:hAnsi="Times New Roman" w:cs="Times New Roman"/>
              <w:sz w:val="24"/>
              <w:szCs w:val="24"/>
            </w:rPr>
            <w:fldChar w:fldCharType="separate"/>
          </w:r>
          <w:r>
            <w:rPr>
              <w:rFonts w:ascii="Times New Roman" w:hAnsi="Times New Roman" w:cs="Times New Roman"/>
              <w:sz w:val="24"/>
              <w:szCs w:val="24"/>
            </w:rPr>
            <w:t>45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5756395">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"_Toc240827712" </w:instrText>
          </w:r>
          <w:r>
            <w:fldChar w:fldCharType="separate"/>
          </w:r>
          <w:r>
            <w:rPr>
              <w:rStyle w:val="25"/>
              <w:rFonts w:ascii="Times New Roman" w:hAnsi="Times New Roman" w:cs="Times New Roman"/>
              <w:sz w:val="24"/>
              <w:szCs w:val="24"/>
            </w:rPr>
            <w:t>4.6 Theme 4: Human-AI Collaboration, Autonomy and Trust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_Toc240827712 \h </w:instrText>
          </w:r>
          <w:r>
            <w:rPr>
              <w:rFonts w:ascii="Times New Roman" w:hAnsi="Times New Roman" w:cs="Times New Roman"/>
              <w:sz w:val="24"/>
              <w:szCs w:val="24"/>
            </w:rPr>
            <w:fldChar w:fldCharType="separate"/>
          </w:r>
          <w:r>
            <w:rPr>
              <w:rFonts w:ascii="Times New Roman" w:hAnsi="Times New Roman" w:cs="Times New Roman"/>
              <w:sz w:val="24"/>
              <w:szCs w:val="24"/>
            </w:rPr>
            <w:t>46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7A2F4E">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"_Toc240827713" </w:instrText>
          </w:r>
          <w:r>
            <w:fldChar w:fldCharType="separate"/>
          </w:r>
          <w:r>
            <w:rPr>
              <w:rStyle w:val="25"/>
              <w:rFonts w:ascii="Times New Roman" w:hAnsi="Times New Roman" w:cs="Times New Roman"/>
              <w:sz w:val="24"/>
              <w:szCs w:val="24"/>
            </w:rPr>
            <w:t>4.6.1 Human-AI Decision-Making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_Toc240827713 \h </w:instrText>
          </w:r>
          <w:r>
            <w:rPr>
              <w:rFonts w:ascii="Times New Roman" w:hAnsi="Times New Roman" w:cs="Times New Roman"/>
              <w:sz w:val="24"/>
              <w:szCs w:val="24"/>
            </w:rPr>
            <w:fldChar w:fldCharType="separate"/>
          </w:r>
          <w:r>
            <w:rPr>
              <w:rFonts w:ascii="Times New Roman" w:hAnsi="Times New Roman" w:cs="Times New Roman"/>
              <w:sz w:val="24"/>
              <w:szCs w:val="24"/>
            </w:rPr>
            <w:t>46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175BDE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"_Toc240827714" </w:instrText>
          </w:r>
          <w:r>
            <w:fldChar w:fldCharType="separate"/>
          </w:r>
          <w:r>
            <w:rPr>
              <w:rStyle w:val="25"/>
              <w:rFonts w:ascii="Times New Roman" w:hAnsi="Times New Roman" w:cs="Times New Roman"/>
              <w:sz w:val="24"/>
              <w:szCs w:val="24"/>
            </w:rPr>
            <w:t>4.6.2 Managerial Judgement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_Toc240827714 \h </w:instrText>
          </w:r>
          <w:r>
            <w:rPr>
              <w:rFonts w:ascii="Times New Roman" w:hAnsi="Times New Roman" w:cs="Times New Roman"/>
              <w:sz w:val="24"/>
              <w:szCs w:val="24"/>
            </w:rPr>
            <w:fldChar w:fldCharType="separate"/>
          </w:r>
          <w:r>
            <w:rPr>
              <w:rFonts w:ascii="Times New Roman" w:hAnsi="Times New Roman" w:cs="Times New Roman"/>
              <w:sz w:val="24"/>
              <w:szCs w:val="24"/>
            </w:rPr>
            <w:t>46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D03C08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"_Toc240827715" </w:instrText>
          </w:r>
          <w:r>
            <w:fldChar w:fldCharType="separate"/>
          </w:r>
          <w:r>
            <w:rPr>
              <w:rStyle w:val="25"/>
              <w:rFonts w:ascii="Times New Roman" w:hAnsi="Times New Roman" w:cs="Times New Roman"/>
              <w:sz w:val="24"/>
              <w:szCs w:val="24"/>
            </w:rPr>
            <w:t>4.6.3 Employee Autonomy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_Toc240827715 \h </w:instrText>
          </w:r>
          <w:r>
            <w:rPr>
              <w:rFonts w:ascii="Times New Roman" w:hAnsi="Times New Roman" w:cs="Times New Roman"/>
              <w:sz w:val="24"/>
              <w:szCs w:val="24"/>
            </w:rPr>
            <w:fldChar w:fldCharType="separate"/>
          </w:r>
          <w:r>
            <w:rPr>
              <w:rFonts w:ascii="Times New Roman" w:hAnsi="Times New Roman" w:cs="Times New Roman"/>
              <w:sz w:val="24"/>
              <w:szCs w:val="24"/>
            </w:rPr>
            <w:t>47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FCF06E">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"_Toc240827716" </w:instrText>
          </w:r>
          <w:r>
            <w:fldChar w:fldCharType="separate"/>
          </w:r>
          <w:r>
            <w:rPr>
              <w:rStyle w:val="25"/>
              <w:rFonts w:ascii="Times New Roman" w:hAnsi="Times New Roman" w:cs="Times New Roman"/>
              <w:sz w:val="24"/>
              <w:szCs w:val="24"/>
            </w:rPr>
            <w:t>4.6.4 Trust in AI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_Toc240827716 \h </w:instrText>
          </w:r>
          <w:r>
            <w:rPr>
              <w:rFonts w:ascii="Times New Roman" w:hAnsi="Times New Roman" w:cs="Times New Roman"/>
              <w:sz w:val="24"/>
              <w:szCs w:val="24"/>
            </w:rPr>
            <w:fldChar w:fldCharType="separate"/>
          </w:r>
          <w:r>
            <w:rPr>
              <w:rFonts w:ascii="Times New Roman" w:hAnsi="Times New Roman" w:cs="Times New Roman"/>
              <w:sz w:val="24"/>
              <w:szCs w:val="24"/>
            </w:rPr>
            <w:t>47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A05E3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"_Toc240827717" </w:instrText>
          </w:r>
          <w:r>
            <w:fldChar w:fldCharType="separate"/>
          </w:r>
          <w:r>
            <w:rPr>
              <w:rStyle w:val="25"/>
              <w:rFonts w:ascii="Times New Roman" w:hAnsi="Times New Roman" w:cs="Times New Roman"/>
              <w:sz w:val="24"/>
              <w:szCs w:val="24"/>
            </w:rPr>
            <w:t>4.6.5 Human Oversight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_Toc240827717 \h </w:instrText>
          </w:r>
          <w:r>
            <w:rPr>
              <w:rFonts w:ascii="Times New Roman" w:hAnsi="Times New Roman" w:cs="Times New Roman"/>
              <w:sz w:val="24"/>
              <w:szCs w:val="24"/>
            </w:rPr>
            <w:fldChar w:fldCharType="separate"/>
          </w:r>
          <w:r>
            <w:rPr>
              <w:rFonts w:ascii="Times New Roman" w:hAnsi="Times New Roman" w:cs="Times New Roman"/>
              <w:sz w:val="24"/>
              <w:szCs w:val="24"/>
            </w:rPr>
            <w:t>47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84C1F6E">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"_Toc240827718" </w:instrText>
          </w:r>
          <w:r>
            <w:fldChar w:fldCharType="separate"/>
          </w:r>
          <w:r>
            <w:rPr>
              <w:rStyle w:val="25"/>
              <w:rFonts w:ascii="Times New Roman" w:hAnsi="Times New Roman" w:cs="Times New Roman"/>
              <w:sz w:val="24"/>
              <w:szCs w:val="24"/>
            </w:rPr>
            <w:t>4.7 Theme 5: AI-Enabled Learning and Changing HR Roles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_Toc240827718 \h </w:instrText>
          </w:r>
          <w:r>
            <w:rPr>
              <w:rFonts w:ascii="Times New Roman" w:hAnsi="Times New Roman" w:cs="Times New Roman"/>
              <w:sz w:val="24"/>
              <w:szCs w:val="24"/>
            </w:rPr>
            <w:fldChar w:fldCharType="separate"/>
          </w:r>
          <w:r>
            <w:rPr>
              <w:rFonts w:ascii="Times New Roman" w:hAnsi="Times New Roman" w:cs="Times New Roman"/>
              <w:sz w:val="24"/>
              <w:szCs w:val="24"/>
            </w:rPr>
            <w:t>48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B5E8D9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"_Toc240827719" </w:instrText>
          </w:r>
          <w:r>
            <w:fldChar w:fldCharType="separate"/>
          </w:r>
          <w:r>
            <w:rPr>
              <w:rStyle w:val="25"/>
              <w:rFonts w:ascii="Times New Roman" w:hAnsi="Times New Roman" w:cs="Times New Roman"/>
              <w:sz w:val="24"/>
              <w:szCs w:val="24"/>
            </w:rPr>
            <w:t>4.7.1 Personalised L&amp;D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_Toc240827719 \h </w:instrText>
          </w:r>
          <w:r>
            <w:rPr>
              <w:rFonts w:ascii="Times New Roman" w:hAnsi="Times New Roman" w:cs="Times New Roman"/>
              <w:sz w:val="24"/>
              <w:szCs w:val="24"/>
            </w:rPr>
            <w:fldChar w:fldCharType="separate"/>
          </w:r>
          <w:r>
            <w:rPr>
              <w:rFonts w:ascii="Times New Roman" w:hAnsi="Times New Roman" w:cs="Times New Roman"/>
              <w:sz w:val="24"/>
              <w:szCs w:val="24"/>
            </w:rPr>
            <w:t>48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569958B">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"_Toc240827720" </w:instrText>
          </w:r>
          <w:r>
            <w:fldChar w:fldCharType="separate"/>
          </w:r>
          <w:r>
            <w:rPr>
              <w:rStyle w:val="25"/>
              <w:rFonts w:ascii="Times New Roman" w:hAnsi="Times New Roman" w:cs="Times New Roman"/>
              <w:sz w:val="24"/>
              <w:szCs w:val="24"/>
            </w:rPr>
            <w:t>4.7.2 Generative AI for Employee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_Toc240827720 \h </w:instrText>
          </w:r>
          <w:r>
            <w:rPr>
              <w:rFonts w:ascii="Times New Roman" w:hAnsi="Times New Roman" w:cs="Times New Roman"/>
              <w:sz w:val="24"/>
              <w:szCs w:val="24"/>
            </w:rPr>
            <w:fldChar w:fldCharType="separate"/>
          </w:r>
          <w:r>
            <w:rPr>
              <w:rFonts w:ascii="Times New Roman" w:hAnsi="Times New Roman" w:cs="Times New Roman"/>
              <w:sz w:val="24"/>
              <w:szCs w:val="24"/>
            </w:rPr>
            <w:t>49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E9AD33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"_Toc240827721" </w:instrText>
          </w:r>
          <w:r>
            <w:fldChar w:fldCharType="separate"/>
          </w:r>
          <w:r>
            <w:rPr>
              <w:rStyle w:val="25"/>
              <w:rFonts w:ascii="Times New Roman" w:hAnsi="Times New Roman" w:cs="Times New Roman"/>
              <w:sz w:val="24"/>
              <w:szCs w:val="24"/>
            </w:rPr>
            <w:t>4.7.3 AI Skills and Digital Literacy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_Toc240827721 \h </w:instrText>
          </w:r>
          <w:r>
            <w:rPr>
              <w:rFonts w:ascii="Times New Roman" w:hAnsi="Times New Roman" w:cs="Times New Roman"/>
              <w:sz w:val="24"/>
              <w:szCs w:val="24"/>
            </w:rPr>
            <w:fldChar w:fldCharType="separate"/>
          </w:r>
          <w:r>
            <w:rPr>
              <w:rFonts w:ascii="Times New Roman" w:hAnsi="Times New Roman" w:cs="Times New Roman"/>
              <w:sz w:val="24"/>
              <w:szCs w:val="24"/>
            </w:rPr>
            <w:t>49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4A66131">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"_Toc240827722" </w:instrText>
          </w:r>
          <w:r>
            <w:fldChar w:fldCharType="separate"/>
          </w:r>
          <w:r>
            <w:rPr>
              <w:rStyle w:val="25"/>
              <w:rFonts w:ascii="Times New Roman" w:hAnsi="Times New Roman" w:cs="Times New Roman"/>
              <w:sz w:val="24"/>
              <w:szCs w:val="24"/>
            </w:rPr>
            <w:t>4.7.4 Transformation of HR Roles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_Toc240827722 \h </w:instrText>
          </w:r>
          <w:r>
            <w:rPr>
              <w:rFonts w:ascii="Times New Roman" w:hAnsi="Times New Roman" w:cs="Times New Roman"/>
              <w:sz w:val="24"/>
              <w:szCs w:val="24"/>
            </w:rPr>
            <w:fldChar w:fldCharType="separate"/>
          </w:r>
          <w:r>
            <w:rPr>
              <w:rFonts w:ascii="Times New Roman" w:hAnsi="Times New Roman" w:cs="Times New Roman"/>
              <w:sz w:val="24"/>
              <w:szCs w:val="24"/>
            </w:rPr>
            <w:t>49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DEB57B6">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"_Toc240827723" </w:instrText>
          </w:r>
          <w:r>
            <w:fldChar w:fldCharType="separate"/>
          </w:r>
          <w:r>
            <w:rPr>
              <w:rStyle w:val="25"/>
              <w:rFonts w:ascii="Times New Roman" w:hAnsi="Times New Roman" w:cs="Times New Roman"/>
              <w:sz w:val="24"/>
              <w:szCs w:val="24"/>
            </w:rPr>
            <w:t>4.7.5 Human Mentoring and Tacit Knowledge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_Toc240827723 \h </w:instrText>
          </w:r>
          <w:r>
            <w:rPr>
              <w:rFonts w:ascii="Times New Roman" w:hAnsi="Times New Roman" w:cs="Times New Roman"/>
              <w:sz w:val="24"/>
              <w:szCs w:val="24"/>
            </w:rPr>
            <w:fldChar w:fldCharType="separate"/>
          </w:r>
          <w:r>
            <w:rPr>
              <w:rFonts w:ascii="Times New Roman" w:hAnsi="Times New Roman" w:cs="Times New Roman"/>
              <w:sz w:val="24"/>
              <w:szCs w:val="24"/>
            </w:rPr>
            <w:t>50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890C2D2">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"_Toc240827724" </w:instrText>
          </w:r>
          <w:r>
            <w:fldChar w:fldCharType="separate"/>
          </w:r>
          <w:r>
            <w:rPr>
              <w:rStyle w:val="25"/>
              <w:rFonts w:ascii="Times New Roman" w:hAnsi="Times New Roman" w:cs="Times New Roman"/>
              <w:sz w:val="24"/>
              <w:szCs w:val="24"/>
            </w:rPr>
            <w:t>4.8 Theme 6: Socio-Technical Alignment and Governance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_Toc240827724 \h </w:instrText>
          </w:r>
          <w:r>
            <w:rPr>
              <w:rFonts w:ascii="Times New Roman" w:hAnsi="Times New Roman" w:cs="Times New Roman"/>
              <w:sz w:val="24"/>
              <w:szCs w:val="24"/>
            </w:rPr>
            <w:fldChar w:fldCharType="separate"/>
          </w:r>
          <w:r>
            <w:rPr>
              <w:rFonts w:ascii="Times New Roman" w:hAnsi="Times New Roman" w:cs="Times New Roman"/>
              <w:sz w:val="24"/>
              <w:szCs w:val="24"/>
            </w:rPr>
            <w:t>50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48EED18">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"_Toc240827725" </w:instrText>
          </w:r>
          <w:r>
            <w:fldChar w:fldCharType="separate"/>
          </w:r>
          <w:r>
            <w:rPr>
              <w:rStyle w:val="25"/>
              <w:rFonts w:ascii="Times New Roman" w:hAnsi="Times New Roman" w:cs="Times New Roman"/>
              <w:sz w:val="24"/>
              <w:szCs w:val="24"/>
            </w:rPr>
            <w:t>4.8.1 Governance and Risk Control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_Toc240827725 \h </w:instrText>
          </w:r>
          <w:r>
            <w:rPr>
              <w:rFonts w:ascii="Times New Roman" w:hAnsi="Times New Roman" w:cs="Times New Roman"/>
              <w:sz w:val="24"/>
              <w:szCs w:val="24"/>
            </w:rPr>
            <w:fldChar w:fldCharType="separate"/>
          </w:r>
          <w:r>
            <w:rPr>
              <w:rFonts w:ascii="Times New Roman" w:hAnsi="Times New Roman" w:cs="Times New Roman"/>
              <w:sz w:val="24"/>
              <w:szCs w:val="24"/>
            </w:rPr>
            <w:t>50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2AA6D5">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"_Toc240827726" </w:instrText>
          </w:r>
          <w:r>
            <w:fldChar w:fldCharType="separate"/>
          </w:r>
          <w:r>
            <w:rPr>
              <w:rStyle w:val="25"/>
              <w:rFonts w:ascii="Times New Roman" w:hAnsi="Times New Roman" w:cs="Times New Roman"/>
              <w:sz w:val="24"/>
              <w:szCs w:val="24"/>
            </w:rPr>
            <w:t>4.8.2 Human Accountability and Decision-Making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_Toc240827726 \h </w:instrText>
          </w:r>
          <w:r>
            <w:rPr>
              <w:rFonts w:ascii="Times New Roman" w:hAnsi="Times New Roman" w:cs="Times New Roman"/>
              <w:sz w:val="24"/>
              <w:szCs w:val="24"/>
            </w:rPr>
            <w:fldChar w:fldCharType="separate"/>
          </w:r>
          <w:r>
            <w:rPr>
              <w:rFonts w:ascii="Times New Roman" w:hAnsi="Times New Roman" w:cs="Times New Roman"/>
              <w:sz w:val="24"/>
              <w:szCs w:val="24"/>
            </w:rPr>
            <w:t>50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14F0F8C">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"_Toc240827727" </w:instrText>
          </w:r>
          <w:r>
            <w:fldChar w:fldCharType="separate"/>
          </w:r>
          <w:r>
            <w:rPr>
              <w:rStyle w:val="25"/>
              <w:rFonts w:ascii="Times New Roman" w:hAnsi="Times New Roman" w:cs="Times New Roman"/>
              <w:sz w:val="24"/>
              <w:szCs w:val="24"/>
            </w:rPr>
            <w:t>4.8.3 Organisational Readiness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_Toc240827727 \h </w:instrText>
          </w:r>
          <w:r>
            <w:rPr>
              <w:rFonts w:ascii="Times New Roman" w:hAnsi="Times New Roman" w:cs="Times New Roman"/>
              <w:sz w:val="24"/>
              <w:szCs w:val="24"/>
            </w:rPr>
            <w:fldChar w:fldCharType="separate"/>
          </w:r>
          <w:r>
            <w:rPr>
              <w:rFonts w:ascii="Times New Roman" w:hAnsi="Times New Roman" w:cs="Times New Roman"/>
              <w:sz w:val="24"/>
              <w:szCs w:val="24"/>
            </w:rPr>
            <w:t>51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114435A">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"_Toc240827728" </w:instrText>
          </w:r>
          <w:r>
            <w:fldChar w:fldCharType="separate"/>
          </w:r>
          <w:r>
            <w:rPr>
              <w:rStyle w:val="25"/>
              <w:rFonts w:ascii="Times New Roman" w:hAnsi="Times New Roman" w:cs="Times New Roman"/>
              <w:sz w:val="24"/>
              <w:szCs w:val="24"/>
            </w:rPr>
            <w:t>4.8.4 Evidence of Alignment and Misalignment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_Toc240827728 \h </w:instrText>
          </w:r>
          <w:r>
            <w:rPr>
              <w:rFonts w:ascii="Times New Roman" w:hAnsi="Times New Roman" w:cs="Times New Roman"/>
              <w:sz w:val="24"/>
              <w:szCs w:val="24"/>
            </w:rPr>
            <w:fldChar w:fldCharType="separate"/>
          </w:r>
          <w:r>
            <w:rPr>
              <w:rFonts w:ascii="Times New Roman" w:hAnsi="Times New Roman" w:cs="Times New Roman"/>
              <w:sz w:val="24"/>
              <w:szCs w:val="24"/>
            </w:rPr>
            <w:t>51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168B733">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"_Toc240827729" </w:instrText>
          </w:r>
          <w:r>
            <w:fldChar w:fldCharType="separate"/>
          </w:r>
          <w:r>
            <w:rPr>
              <w:rStyle w:val="25"/>
              <w:rFonts w:ascii="Times New Roman" w:hAnsi="Times New Roman" w:cs="Times New Roman"/>
              <w:sz w:val="24"/>
              <w:szCs w:val="24"/>
            </w:rPr>
            <w:t>4.9 Cross-Theme Synthesis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_Toc240827729 \h </w:instrText>
          </w:r>
          <w:r>
            <w:rPr>
              <w:rFonts w:ascii="Times New Roman" w:hAnsi="Times New Roman" w:cs="Times New Roman"/>
              <w:sz w:val="24"/>
              <w:szCs w:val="24"/>
            </w:rPr>
            <w:fldChar w:fldCharType="separate"/>
          </w:r>
          <w:r>
            <w:rPr>
              <w:rFonts w:ascii="Times New Roman" w:hAnsi="Times New Roman" w:cs="Times New Roman"/>
              <w:sz w:val="24"/>
              <w:szCs w:val="24"/>
            </w:rPr>
            <w:t>51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4901C2">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"_Toc240827730" </w:instrText>
          </w:r>
          <w:r>
            <w:fldChar w:fldCharType="separate"/>
          </w:r>
          <w:r>
            <w:rPr>
              <w:rStyle w:val="25"/>
              <w:rFonts w:ascii="Times New Roman" w:hAnsi="Times New Roman" w:cs="Times New Roman"/>
              <w:sz w:val="24"/>
              <w:szCs w:val="24"/>
            </w:rPr>
            <w:t>4.10 Chapter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_Toc240827730 \h </w:instrText>
          </w:r>
          <w:r>
            <w:rPr>
              <w:rFonts w:ascii="Times New Roman" w:hAnsi="Times New Roman" w:cs="Times New Roman"/>
              <w:sz w:val="24"/>
              <w:szCs w:val="24"/>
            </w:rPr>
            <w:fldChar w:fldCharType="separate"/>
          </w:r>
          <w:r>
            <w:rPr>
              <w:rFonts w:ascii="Times New Roman" w:hAnsi="Times New Roman" w:cs="Times New Roman"/>
              <w:sz w:val="24"/>
              <w:szCs w:val="24"/>
            </w:rPr>
            <w:t>52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D54E56">
          <w:pPr>
            <w:pStyle w:val="14"/>
            <w:tabs>
              <w:tab w:val="right" w:leader="dot" w:pos="9350"/>
            </w:tabs>
            <w:spacing w:line="360" w:lineRule="auto"/>
            <w:rPr>
              <w:rFonts w:ascii="Times New Roman" w:hAnsi="Times New Roman" w:cs="Times New Roman"/>
              <w:sz w:val="24"/>
              <w:szCs w:val="24"/>
            </w:rPr>
          </w:pPr>
          <w:r>
            <w:fldChar w:fldCharType="begin"/>
          </w:r>
          <w:r>
            <w:instrText xml:space="preserve"> HYPERLINK \l "_Toc240827731" </w:instrText>
          </w:r>
          <w:r>
            <w:fldChar w:fldCharType="separate"/>
          </w:r>
          <w:r>
            <w:rPr>
              <w:rStyle w:val="25"/>
              <w:rFonts w:ascii="Times New Roman" w:hAnsi="Times New Roman" w:cs="Times New Roman"/>
              <w:sz w:val="24"/>
              <w:szCs w:val="24"/>
            </w:rPr>
            <w:t>Chapter 6: Conclusion and 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_Toc240827731 \h </w:instrText>
          </w:r>
          <w:r>
            <w:rPr>
              <w:rFonts w:ascii="Times New Roman" w:hAnsi="Times New Roman" w:cs="Times New Roman"/>
              <w:sz w:val="24"/>
              <w:szCs w:val="24"/>
            </w:rPr>
            <w:fldChar w:fldCharType="separate"/>
          </w:r>
          <w:r>
            <w:rPr>
              <w:rFonts w:ascii="Times New Roman" w:hAnsi="Times New Roman" w:cs="Times New Roman"/>
              <w:sz w:val="24"/>
              <w:szCs w:val="24"/>
            </w:rPr>
            <w:t>53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22B1170">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"_Toc240827732" </w:instrText>
          </w:r>
          <w:r>
            <w:fldChar w:fldCharType="separate"/>
          </w:r>
          <w:r>
            <w:rPr>
              <w:rStyle w:val="25"/>
              <w:rFonts w:ascii="Times New Roman" w:hAnsi="Times New Roman" w:cs="Times New Roman"/>
              <w:sz w:val="24"/>
              <w:szCs w:val="24"/>
            </w:rPr>
            <w:t>6.1 Summary of Key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_Toc240827732 \h </w:instrText>
          </w:r>
          <w:r>
            <w:rPr>
              <w:rFonts w:ascii="Times New Roman" w:hAnsi="Times New Roman" w:cs="Times New Roman"/>
              <w:sz w:val="24"/>
              <w:szCs w:val="24"/>
            </w:rPr>
            <w:fldChar w:fldCharType="separate"/>
          </w:r>
          <w:r>
            <w:rPr>
              <w:rFonts w:ascii="Times New Roman" w:hAnsi="Times New Roman" w:cs="Times New Roman"/>
              <w:sz w:val="24"/>
              <w:szCs w:val="24"/>
            </w:rPr>
            <w:t>53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48A125">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"_Toc240827733" </w:instrText>
          </w:r>
          <w:r>
            <w:fldChar w:fldCharType="separate"/>
          </w:r>
          <w:r>
            <w:rPr>
              <w:rStyle w:val="25"/>
              <w:rFonts w:ascii="Times New Roman" w:hAnsi="Times New Roman" w:cs="Times New Roman"/>
              <w:sz w:val="24"/>
              <w:szCs w:val="24"/>
            </w:rPr>
            <w:t>6.2 Answer to the Research Question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_Toc240827733 \h </w:instrText>
          </w:r>
          <w:r>
            <w:rPr>
              <w:rFonts w:ascii="Times New Roman" w:hAnsi="Times New Roman" w:cs="Times New Roman"/>
              <w:sz w:val="24"/>
              <w:szCs w:val="24"/>
            </w:rPr>
            <w:fldChar w:fldCharType="separate"/>
          </w:r>
          <w:r>
            <w:rPr>
              <w:rFonts w:ascii="Times New Roman" w:hAnsi="Times New Roman" w:cs="Times New Roman"/>
              <w:sz w:val="24"/>
              <w:szCs w:val="24"/>
            </w:rPr>
            <w:t>53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25AEFC6">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"_Toc240827734" </w:instrText>
          </w:r>
          <w:r>
            <w:fldChar w:fldCharType="separate"/>
          </w:r>
          <w:r>
            <w:rPr>
              <w:rStyle w:val="25"/>
              <w:rFonts w:ascii="Times New Roman" w:hAnsi="Times New Roman" w:cs="Times New Roman"/>
              <w:sz w:val="24"/>
              <w:szCs w:val="24"/>
            </w:rPr>
            <w:t>6.4 Achievement of Research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_Toc240827734 \h </w:instrText>
          </w:r>
          <w:r>
            <w:rPr>
              <w:rFonts w:ascii="Times New Roman" w:hAnsi="Times New Roman" w:cs="Times New Roman"/>
              <w:sz w:val="24"/>
              <w:szCs w:val="24"/>
            </w:rPr>
            <w:fldChar w:fldCharType="separate"/>
          </w:r>
          <w:r>
            <w:rPr>
              <w:rFonts w:ascii="Times New Roman" w:hAnsi="Times New Roman" w:cs="Times New Roman"/>
              <w:sz w:val="24"/>
              <w:szCs w:val="24"/>
            </w:rPr>
            <w:t>54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5AD358D">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"_Toc240827735" </w:instrText>
          </w:r>
          <w:r>
            <w:fldChar w:fldCharType="separate"/>
          </w:r>
          <w:r>
            <w:rPr>
              <w:rStyle w:val="25"/>
              <w:rFonts w:ascii="Times New Roman" w:hAnsi="Times New Roman" w:cs="Times New Roman"/>
              <w:sz w:val="24"/>
              <w:szCs w:val="24"/>
            </w:rPr>
            <w:t>6.4.1 Establish Human-in-the-Loop HR Decision-Making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_Toc240827735 \h </w:instrText>
          </w:r>
          <w:r>
            <w:rPr>
              <w:rFonts w:ascii="Times New Roman" w:hAnsi="Times New Roman" w:cs="Times New Roman"/>
              <w:sz w:val="24"/>
              <w:szCs w:val="24"/>
            </w:rPr>
            <w:fldChar w:fldCharType="separate"/>
          </w:r>
          <w:r>
            <w:rPr>
              <w:rFonts w:ascii="Times New Roman" w:hAnsi="Times New Roman" w:cs="Times New Roman"/>
              <w:sz w:val="24"/>
              <w:szCs w:val="24"/>
            </w:rPr>
            <w:t>54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0EC4C07">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"_Toc240827736" </w:instrText>
          </w:r>
          <w:r>
            <w:fldChar w:fldCharType="separate"/>
          </w:r>
          <w:r>
            <w:rPr>
              <w:rStyle w:val="25"/>
              <w:rFonts w:ascii="Times New Roman" w:hAnsi="Times New Roman" w:cs="Times New Roman"/>
              <w:sz w:val="24"/>
              <w:szCs w:val="24"/>
            </w:rPr>
            <w:t>6.4.2 Strengthen AI Governance and Accountability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_Toc240827736 \h </w:instrText>
          </w:r>
          <w:r>
            <w:rPr>
              <w:rFonts w:ascii="Times New Roman" w:hAnsi="Times New Roman" w:cs="Times New Roman"/>
              <w:sz w:val="24"/>
              <w:szCs w:val="24"/>
            </w:rPr>
            <w:fldChar w:fldCharType="separate"/>
          </w:r>
          <w:r>
            <w:rPr>
              <w:rFonts w:ascii="Times New Roman" w:hAnsi="Times New Roman" w:cs="Times New Roman"/>
              <w:sz w:val="24"/>
              <w:szCs w:val="24"/>
            </w:rPr>
            <w:t>54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42D5F04">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"_Toc240827737" </w:instrText>
          </w:r>
          <w:r>
            <w:fldChar w:fldCharType="separate"/>
          </w:r>
          <w:r>
            <w:rPr>
              <w:rStyle w:val="25"/>
              <w:rFonts w:ascii="Times New Roman" w:hAnsi="Times New Roman" w:cs="Times New Roman"/>
              <w:sz w:val="24"/>
              <w:szCs w:val="24"/>
            </w:rPr>
            <w:t>6.4.3 Introduce Regular Algorithmic Bias and Fairness Audits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_Toc240827737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BA2F850">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"_Toc240827738" </w:instrText>
          </w:r>
          <w:r>
            <w:fldChar w:fldCharType="separate"/>
          </w:r>
          <w:r>
            <w:rPr>
              <w:rStyle w:val="25"/>
              <w:rFonts w:ascii="Times New Roman" w:hAnsi="Times New Roman" w:cs="Times New Roman"/>
              <w:sz w:val="24"/>
              <w:szCs w:val="24"/>
            </w:rPr>
            <w:t>6.4.4 Improve Transparency and Explainability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_Toc240827738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61D096D">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"_Toc240827739" </w:instrText>
          </w:r>
          <w:r>
            <w:fldChar w:fldCharType="separate"/>
          </w:r>
          <w:r>
            <w:rPr>
              <w:rStyle w:val="25"/>
              <w:rFonts w:ascii="Times New Roman" w:hAnsi="Times New Roman" w:cs="Times New Roman"/>
              <w:sz w:val="24"/>
              <w:szCs w:val="24"/>
            </w:rPr>
            <w:t>6.4.5 Protect Employee Privacy and Autonomy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_Toc240827739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2FF77E3">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"_Toc240827740" </w:instrText>
          </w:r>
          <w:r>
            <w:fldChar w:fldCharType="separate"/>
          </w:r>
          <w:r>
            <w:rPr>
              <w:rStyle w:val="25"/>
              <w:rFonts w:ascii="Times New Roman" w:hAnsi="Times New Roman" w:cs="Times New Roman"/>
              <w:sz w:val="24"/>
              <w:szCs w:val="24"/>
            </w:rPr>
            <w:t>6.4.6 Invest in AI Skills and HR Digital Literacy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_Toc240827740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DA6F86A">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"_Toc240827741" </w:instrText>
          </w:r>
          <w:r>
            <w:fldChar w:fldCharType="separate"/>
          </w:r>
          <w:r>
            <w:rPr>
              <w:rStyle w:val="25"/>
              <w:rFonts w:ascii="Times New Roman" w:hAnsi="Times New Roman" w:cs="Times New Roman"/>
              <w:sz w:val="24"/>
              <w:szCs w:val="24"/>
            </w:rPr>
            <w:t>6.4.7 Preserve Human Mentoring and Professional Judgement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_Toc240827741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994AFC9">
          <w:pPr>
            <w:pStyle w:val="16"/>
            <w:tabs>
              <w:tab w:val="right" w:leader="dot" w:pos="9350"/>
            </w:tabs>
            <w:spacing w:line="360" w:lineRule="auto"/>
            <w:rPr>
              <w:rFonts w:ascii="Times New Roman" w:hAnsi="Times New Roman" w:cs="Times New Roman"/>
              <w:sz w:val="24"/>
              <w:szCs w:val="24"/>
            </w:rPr>
          </w:pPr>
          <w:r>
            <w:fldChar w:fldCharType="begin"/>
          </w:r>
          <w:r>
            <w:instrText xml:space="preserve"> HYPERLINK \l "_Toc240827742" </w:instrText>
          </w:r>
          <w:r>
            <w:fldChar w:fldCharType="separate"/>
          </w:r>
          <w:r>
            <w:rPr>
              <w:rStyle w:val="25"/>
              <w:rFonts w:ascii="Times New Roman" w:hAnsi="Times New Roman" w:cs="Times New Roman"/>
              <w:sz w:val="24"/>
              <w:szCs w:val="24"/>
            </w:rPr>
            <w:t>6.4.8 Implement AI Through a Socio-Technical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_Toc240827742 \h </w:instrText>
          </w:r>
          <w:r>
            <w:rPr>
              <w:rFonts w:ascii="Times New Roman" w:hAnsi="Times New Roman" w:cs="Times New Roman"/>
              <w:sz w:val="24"/>
              <w:szCs w:val="24"/>
            </w:rPr>
            <w:fldChar w:fldCharType="separate"/>
          </w:r>
          <w:r>
            <w:rPr>
              <w:rFonts w:ascii="Times New Roman" w:hAnsi="Times New Roman" w:cs="Times New Roman"/>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828821E">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"_Toc240827743" </w:instrText>
          </w:r>
          <w:r>
            <w:fldChar w:fldCharType="separate"/>
          </w:r>
          <w:r>
            <w:rPr>
              <w:rStyle w:val="25"/>
              <w:rFonts w:ascii="Times New Roman" w:hAnsi="Times New Roman" w:cs="Times New Roman"/>
              <w:sz w:val="24"/>
              <w:szCs w:val="24"/>
            </w:rPr>
            <w:t>6.5 Proposed Human-Centric AI Framework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_Toc240827743 \h </w:instrText>
          </w:r>
          <w:r>
            <w:rPr>
              <w:rFonts w:ascii="Times New Roman" w:hAnsi="Times New Roman" w:cs="Times New Roman"/>
              <w:sz w:val="24"/>
              <w:szCs w:val="24"/>
            </w:rPr>
            <w:fldChar w:fldCharType="separate"/>
          </w:r>
          <w:r>
            <w:rPr>
              <w:rFonts w:ascii="Times New Roman" w:hAnsi="Times New Roman" w:cs="Times New Roman"/>
              <w:sz w:val="24"/>
              <w:szCs w:val="24"/>
            </w:rPr>
            <w:t>56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5149968">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"_Toc240827744" </w:instrText>
          </w:r>
          <w:r>
            <w:fldChar w:fldCharType="separate"/>
          </w:r>
          <w:r>
            <w:rPr>
              <w:rStyle w:val="25"/>
              <w:rFonts w:ascii="Times New Roman" w:hAnsi="Times New Roman" w:cs="Times New Roman"/>
              <w:sz w:val="24"/>
              <w:szCs w:val="24"/>
            </w:rPr>
            <w:t>6.6 Theoretical Contribution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_Toc240827744 \h </w:instrText>
          </w:r>
          <w:r>
            <w:rPr>
              <w:rFonts w:ascii="Times New Roman" w:hAnsi="Times New Roman" w:cs="Times New Roman"/>
              <w:sz w:val="24"/>
              <w:szCs w:val="24"/>
            </w:rPr>
            <w:fldChar w:fldCharType="separate"/>
          </w:r>
          <w:r>
            <w:rPr>
              <w:rFonts w:ascii="Times New Roman" w:hAnsi="Times New Roman" w:cs="Times New Roman"/>
              <w:sz w:val="24"/>
              <w:szCs w:val="24"/>
            </w:rPr>
            <w:t>56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24E02D3">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"_Toc240827745" </w:instrText>
          </w:r>
          <w:r>
            <w:fldChar w:fldCharType="separate"/>
          </w:r>
          <w:r>
            <w:rPr>
              <w:rStyle w:val="25"/>
              <w:rFonts w:ascii="Times New Roman" w:hAnsi="Times New Roman" w:cs="Times New Roman"/>
              <w:sz w:val="24"/>
              <w:szCs w:val="24"/>
            </w:rPr>
            <w:t>6.7 Practical Implications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_Toc240827745 \h </w:instrText>
          </w:r>
          <w:r>
            <w:rPr>
              <w:rFonts w:ascii="Times New Roman" w:hAnsi="Times New Roman" w:cs="Times New Roman"/>
              <w:sz w:val="24"/>
              <w:szCs w:val="24"/>
            </w:rPr>
            <w:fldChar w:fldCharType="separate"/>
          </w:r>
          <w:r>
            <w:rPr>
              <w:rFonts w:ascii="Times New Roman" w:hAnsi="Times New Roman" w:cs="Times New Roman"/>
              <w:sz w:val="24"/>
              <w:szCs w:val="24"/>
            </w:rPr>
            <w:t>56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5CF1C89">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"_Toc240827746" </w:instrText>
          </w:r>
          <w:r>
            <w:fldChar w:fldCharType="separate"/>
          </w:r>
          <w:r>
            <w:rPr>
              <w:rStyle w:val="25"/>
              <w:rFonts w:ascii="Times New Roman" w:hAnsi="Times New Roman" w:cs="Times New Roman"/>
              <w:sz w:val="24"/>
              <w:szCs w:val="24"/>
            </w:rPr>
            <w:t>6.8 Limitations of the Research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_Toc240827746 \h </w:instrText>
          </w:r>
          <w:r>
            <w:rPr>
              <w:rFonts w:ascii="Times New Roman" w:hAnsi="Times New Roman" w:cs="Times New Roman"/>
              <w:sz w:val="24"/>
              <w:szCs w:val="24"/>
            </w:rPr>
            <w:fldChar w:fldCharType="separate"/>
          </w:r>
          <w:r>
            <w:rPr>
              <w:rFonts w:ascii="Times New Roman" w:hAnsi="Times New Roman" w:cs="Times New Roman"/>
              <w:sz w:val="24"/>
              <w:szCs w:val="24"/>
            </w:rPr>
            <w:t>57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86A357">
          <w:pPr>
            <w:pStyle w:val="15"/>
            <w:tabs>
              <w:tab w:val="right" w:leader="dot" w:pos="9350"/>
            </w:tabs>
            <w:spacing w:line="360" w:lineRule="auto"/>
            <w:rPr>
              <w:rFonts w:ascii="Times New Roman" w:hAnsi="Times New Roman" w:cs="Times New Roman"/>
              <w:sz w:val="24"/>
              <w:szCs w:val="24"/>
            </w:rPr>
          </w:pPr>
          <w:r>
            <w:fldChar w:fldCharType="begin"/>
          </w:r>
          <w:r>
            <w:instrText xml:space="preserve"> HYPERLINK \l "_Toc240827747" </w:instrText>
          </w:r>
          <w:r>
            <w:fldChar w:fldCharType="separate"/>
          </w:r>
          <w:r>
            <w:rPr>
              <w:rStyle w:val="25"/>
              <w:rFonts w:ascii="Times New Roman" w:hAnsi="Times New Roman" w:cs="Times New Roman"/>
              <w:sz w:val="24"/>
              <w:szCs w:val="24"/>
            </w:rPr>
            <w:t>6.9 Recommendations for Future Research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_Toc240827747 \h </w:instrText>
          </w:r>
          <w:r>
            <w:rPr>
              <w:rFonts w:ascii="Times New Roman" w:hAnsi="Times New Roman" w:cs="Times New Roman"/>
              <w:sz w:val="24"/>
              <w:szCs w:val="24"/>
            </w:rPr>
            <w:fldChar w:fldCharType="separate"/>
          </w:r>
          <w:r>
            <w:rPr>
              <w:rFonts w:ascii="Times New Roman" w:hAnsi="Times New Roman" w:cs="Times New Roman"/>
              <w:sz w:val="24"/>
              <w:szCs w:val="24"/>
            </w:rPr>
            <w:t>57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93505D8">
          <w:pPr>
            <w:pStyle w:val="14"/>
            <w:tabs>
              <w:tab w:val="right" w:leader="dot" w:pos="9350"/>
            </w:tabs>
            <w:spacing w:line="360" w:lineRule="auto"/>
            <w:rPr>
              <w:rFonts w:ascii="Times New Roman" w:hAnsi="Times New Roman" w:cs="Times New Roman"/>
              <w:sz w:val="24"/>
              <w:szCs w:val="24"/>
            </w:rPr>
          </w:pPr>
          <w:r>
            <w:fldChar w:fldCharType="begin"/>
          </w:r>
          <w:r>
            <w:instrText xml:space="preserve"> HYPERLINK \l "_Toc240827748" </w:instrText>
          </w:r>
          <w:r>
            <w:fldChar w:fldCharType="separate"/>
          </w:r>
          <w:r>
            <w:rPr>
              <w:rStyle w:val="25"/>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_Toc240827748 \h </w:instrText>
          </w:r>
          <w:r>
            <w:rPr>
              <w:rFonts w:ascii="Times New Roman" w:hAnsi="Times New Roman" w:cs="Times New Roman"/>
              <w:sz w:val="24"/>
              <w:szCs w:val="24"/>
            </w:rPr>
            <w:fldChar w:fldCharType="separate"/>
          </w:r>
          <w:r>
            <w:rPr>
              <w:rFonts w:ascii="Times New Roman" w:hAnsi="Times New Roman" w:cs="Times New Roman"/>
              <w:sz w:val="24"/>
              <w:szCs w:val="24"/>
            </w:rPr>
            <w:t>58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22DDCA7">
          <w:pPr>
            <w:spacing w:line="360" w:lineRule="auto"/>
            <w:jc w:val="both"/>
            <w:rPr>
              <w:rFonts w:ascii="Times New Roman" w:hAnsi="Times New Roman" w:eastAsia="Times New Roman" w:cs="Times New Roman"/>
              <w:sz w:val="24"/>
              <w:szCs w:val="24"/>
            </w:rPr>
          </w:pPr>
          <w:r>
            <w:rPr>
              <w:rFonts w:ascii="Times New Roman" w:hAnsi="Times New Roman" w:cs="Times New Roman"/>
              <w:sz w:val="24"/>
              <w:szCs w:val="24"/>
            </w:rPr>
            <w:fldChar w:fldCharType="end"/>
          </w:r>
        </w:p>
      </w:sdtContent>
    </w:sdt>
    <w:p w14:paraId="5476BA73">
      <w:pPr>
        <w:spacing w:line="360" w:lineRule="auto"/>
        <w:jc w:val="both"/>
        <w:rPr>
          <w:rFonts w:ascii="Times New Roman" w:hAnsi="Times New Roman" w:eastAsia="Times New Roman" w:cs="Times New Roman"/>
          <w:b/>
          <w:bCs/>
          <w:sz w:val="24"/>
          <w:szCs w:val="24"/>
        </w:rPr>
      </w:pPr>
    </w:p>
    <w:p w14:paraId="6B8295B4">
      <w:pPr>
        <w:rPr>
          <w:rFonts w:ascii="Times New Roman" w:hAnsi="Times New Roman" w:eastAsia="Times New Roman" w:cs="Times New Roman"/>
          <w:b/>
          <w:bCs/>
          <w:color w:val="000000"/>
          <w:sz w:val="28"/>
          <w:szCs w:val="28"/>
        </w:rPr>
      </w:pPr>
      <w:bookmarkStart w:id="0" w:name="_Toc240827620"/>
      <w:r>
        <w:br w:type="page"/>
      </w:r>
    </w:p>
    <w:p w14:paraId="69DBA810">
      <w:pPr>
        <w:pStyle w:val="2"/>
        <w:rPr>
          <w:color w:val="121212"/>
        </w:rPr>
      </w:pPr>
      <w:r>
        <w:t xml:space="preserve">Chapter 1: </w:t>
      </w:r>
      <w:r>
        <w:rPr>
          <w:color w:val="121212"/>
        </w:rPr>
        <w:t>Introduction</w:t>
      </w:r>
      <w:bookmarkEnd w:id="0"/>
    </w:p>
    <w:p w14:paraId="2ACB694C">
      <w:pPr>
        <w:pStyle w:val="3"/>
        <w:rPr>
          <w:color w:val="121212"/>
        </w:rPr>
      </w:pPr>
      <w:bookmarkStart w:id="1" w:name="_Toc240827621"/>
      <w:r>
        <w:rPr>
          <w:color w:val="121212"/>
        </w:rPr>
        <w:t>1.1 Background</w:t>
      </w:r>
      <w:bookmarkEnd w:id="1"/>
      <w:r>
        <w:rPr>
          <w:color w:val="121212"/>
        </w:rPr>
        <w:t xml:space="preserve"> </w:t>
      </w:r>
    </w:p>
    <w:p w14:paraId="5893494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Artificial Intelligence (AI) has ushered in a new era of Human Resource Management (HRM), making it more strategic than ever before. As organizations embrace the potential of Generative AI, Predictive Analytics, and machine learning, more and more are automating talent acquisition, dynamic staffing allocation, and the development of individual Learning and Development (L&amp;D) programs (Nawaz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According to Benabou, 2024, high-knowledge environments like professional services, human capital are the greatest source of the competitive edge. HR applications powered by AI provide valuable efficiency benefits, such as speeding up the screening process for prospective employees, minimizing time-to-hire, pinpointing skill gaps, and customizing up skilling programs for existing staff (Madanchian, 2024).</w:t>
      </w:r>
    </w:p>
    <w:p w14:paraId="256ED2E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But this fast-paced digital landscape also has complexities in terms of operations, culture and ethics. Relying too heavily on algorithmic decision-making can perpetuate algorithmic bias, generate unclear hiring processes, and undermine employee trust (Klaassen, 2024). Beyond that, according to, Gupta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there can be a clash between human and algorithmic approaches in HR even as they adapt to the growing importance of AI in talent management. In addition, HR departments have to deal with the balance between algorithm and human methods, which can introduce friction into the organization's culture as departments adjust to the evolving scenarios of AI-driven talent management (Khatoon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Such tensions can be especially pronounced within large professional services firms, like Deloitte, that serve both as internal adopters of cutting-edge HR technology and as its developers. </w:t>
      </w:r>
    </w:p>
    <w:p w14:paraId="279DC4E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 key test of large enterprises' ability to manage digital transformation comes in their HR ecosystem as they test and refine AI capabilities such as predictive analytics for staffing and personalised learning platforms (Amayreh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As per Li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2023, there is a significant body of theory on the potential of AI in business, such as its potential to improve efficiency, automate processes, support decision-making and enhance organisational performance. However, a critical discussion on their actual use in professional services firms in the secondary, empirical sense is missing. Thematic analysis of academic articles coupled with Deloitte publications, industry reports and appropriate regulatory guidance, with the application of Socio-Technical systems (STS) theory to identify how achieving efficiency through AI technology can be linked to human-centred talent management. The Study offers a strategic plan that balances technological efficiency with employee needs, ethical concerns, and effective human oversight, informed by these findings.</w:t>
      </w:r>
    </w:p>
    <w:p w14:paraId="6A97BBB7">
      <w:pPr>
        <w:pStyle w:val="3"/>
        <w:rPr>
          <w:color w:val="121212"/>
        </w:rPr>
      </w:pPr>
      <w:bookmarkStart w:id="2" w:name="_Toc240827622"/>
      <w:r>
        <w:rPr>
          <w:color w:val="121212"/>
        </w:rPr>
        <w:t>1.2 Problem statement</w:t>
      </w:r>
      <w:bookmarkEnd w:id="2"/>
      <w:r>
        <w:rPr>
          <w:color w:val="121212"/>
        </w:rPr>
        <w:t xml:space="preserve"> </w:t>
      </w:r>
    </w:p>
    <w:p w14:paraId="5A09479A">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According to, Nawaz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where human capital is the major asset of competitive prowess, such as in many professional services, excessive automation, based on algorithmic structures, may introduce unrecognized socio-technical biases, lack transparency in decision making and even drive away prospective candidates and existing employees. Traditional HR systems, built for human resource management, are not designed to deal with the multifaceted challenges of generative AI (Chowdhury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Predictive talent analytics, such as managing complexities in governance, cultural differences, and accountability issues are other issues in the same segment (Al-Naemi and Botella-Carrubi, 2026).</w:t>
      </w:r>
    </w:p>
    <w:p w14:paraId="310CBCE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What is happening is this strategic disconnect, especially at big professional services companies such as Deloitte. As a leading consultant for digital HR transformation, as well as a global employer with millions of employees, Deloitte lives with friction between digital and algorithmic efficiency and human resource engagement (Deloitte, 2025). Although automated technology streamlines candidate selection, streamlines resource allocation, and creates customized learning experiences for applicants, it also places the firm at risk of legal, cultural, and ethical issues (Biliavska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2022). The business culture of Deloitte and its employer brand are under threat due to algorithmic bias in hiring, black-box skill matching in project staffing, and the loss of human empathy in learning and development (Chaudhary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w:t>
      </w:r>
    </w:p>
    <w:p w14:paraId="50B7E194">
      <w:pPr>
        <w:pStyle w:val="3"/>
        <w:rPr>
          <w:color w:val="121212"/>
        </w:rPr>
      </w:pPr>
      <w:bookmarkStart w:id="3" w:name="_Toc240827623"/>
      <w:r>
        <w:rPr>
          <w:color w:val="121212"/>
        </w:rPr>
        <w:t>1.3 Rationale</w:t>
      </w:r>
      <w:bookmarkEnd w:id="3"/>
      <w:r>
        <w:rPr>
          <w:color w:val="121212"/>
        </w:rPr>
        <w:t xml:space="preserve"> </w:t>
      </w:r>
    </w:p>
    <w:p w14:paraId="3955C7AD">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research aims to reflect on the structural and ethical issues that stem from the swift incorporation of Artificial Intelligence (AI) technology into Human Resource Management (HRM). Today, emerging studies seem to show that AI has become a standard and effective feature in human resource functions, such as recruitment, performance management, and talent management, among others (Ncube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The incorporation of generative AI, predictive analytics, and automated HR technologies in professional services organizations brings opportunities for efficiency, but also challenges cases of fairness, transparency, employee autonomy, and human oversight. Thus, this research explores these opportunities and challenges in the context of Deloitte UK with secondary academic and industry evidence being gathered to evaluate the extent to which AI can be integrated with human-centred HRM practices.</w:t>
      </w:r>
    </w:p>
    <w:p w14:paraId="2ADA1AAE">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In the realm of industry conversation, AI is often touted as the solution to speed up processes, cut recruitment expenses, and precisely matches talent with client projects (Mishra and Mishra, 2025). But in reality, there's much less evidence on the field about what comes next. </w:t>
      </w:r>
    </w:p>
    <w:p w14:paraId="0C3E4F1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phenomenon studied in the context of Deloitte offers a very unique research context. Deloitte is one of the world's biggest professional services networks, and as such has a dual role: it is a trusted adviser to help their corporate clients navigate digital HR transformation, and they are using AI tools across their own vast internal workforces (Abbasi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The study looks at the disconnect between the academic discourse on AI and the implications for HRM in Deloitte UK. It draws on secondary academic research, information from Deloitte's hosting of the Global Human Capital Trends reports, research into industry challenges around AI and workforce transformation, and the guidance of the UK Information Commissioner's Office (ICO) on regulation. These are the sources that contain evidence of workplace's use of AI, employee skills in line with AI adoption, employee recruitment, learning and development, data protection, and ethical issues. Data is used for thematic analysis and interpreted through Socio-Technical Systems (STS) theory to evaluate the ability to integrate AI-induced efficiency with human-centred HRM practices.</w:t>
      </w:r>
    </w:p>
    <w:p w14:paraId="4D6D02F1">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value of this study is its practical applications. The research helps to pinpoint its main ethical dangers, cultural resistance factors, and governance limitations in the implementation of AI, and proposes a strategic and balanced framework for the professional services sector . Socio-Technical Systems (STS) theory framework provides HR leaders, policymakers, and corporate strategists with tangible actionable steps to take advantage of AI automation and ensure the avoidance of algorithmic biases, nurturing trust and human-centric talent stewardship in the digital age of business (Murugesan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2023).</w:t>
      </w:r>
    </w:p>
    <w:p w14:paraId="6A16AC5E">
      <w:pPr>
        <w:pStyle w:val="3"/>
        <w:rPr>
          <w:color w:val="121212"/>
        </w:rPr>
      </w:pPr>
      <w:bookmarkStart w:id="4" w:name="_Toc240827624"/>
      <w:r>
        <w:rPr>
          <w:color w:val="121212"/>
        </w:rPr>
        <w:t>1.4 Aim and objectives</w:t>
      </w:r>
      <w:bookmarkEnd w:id="4"/>
      <w:r>
        <w:rPr>
          <w:color w:val="121212"/>
        </w:rPr>
        <w:t xml:space="preserve"> </w:t>
      </w:r>
    </w:p>
    <w:p w14:paraId="02DF83AB">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aim of this research is to critically evaluate the operational, cultural, and ethical impacts of integrating AI into Deloitte’s recruitment, staffing, and L&amp;D processes using secondary academic and industry data.</w:t>
      </w:r>
    </w:p>
    <w:p w14:paraId="53CAF1B7">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b/>
          <w:bCs/>
          <w:i/>
          <w:iCs/>
          <w:color w:val="121212"/>
          <w:sz w:val="24"/>
          <w:szCs w:val="24"/>
        </w:rPr>
      </w:pPr>
      <w:r>
        <w:rPr>
          <w:rFonts w:ascii="Times New Roman" w:hAnsi="Times New Roman" w:eastAsia="Times New Roman" w:cs="Times New Roman"/>
          <w:b/>
          <w:bCs/>
          <w:i/>
          <w:iCs/>
          <w:color w:val="121212"/>
          <w:sz w:val="24"/>
          <w:szCs w:val="24"/>
        </w:rPr>
        <w:t xml:space="preserve">Objectives </w:t>
      </w:r>
    </w:p>
    <w:p w14:paraId="2BA7D4F9">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To assess the strategic and practical effects of AI technology on Deloitte’s hiring, staffing, and training procedures.</w:t>
      </w:r>
    </w:p>
    <w:p w14:paraId="60A2169E">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To determine the main ethical, cultural, and organizational obstacles to AI adoption in Deloitte’s HR ecosystem.</w:t>
      </w:r>
    </w:p>
    <w:p w14:paraId="454A9426">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To provide a strategy framework for the professional services industry that strikes a balance between human-centric talent management and automated AI efficiency.</w:t>
      </w:r>
    </w:p>
    <w:p w14:paraId="59224D18">
      <w:pPr>
        <w:pStyle w:val="3"/>
        <w:rPr>
          <w:color w:val="121212"/>
        </w:rPr>
      </w:pPr>
      <w:bookmarkStart w:id="5" w:name="_Toc240827625"/>
      <w:r>
        <w:rPr>
          <w:color w:val="121212"/>
        </w:rPr>
        <w:t>1.5 Research question</w:t>
      </w:r>
      <w:bookmarkEnd w:id="5"/>
      <w:r>
        <w:rPr>
          <w:color w:val="121212"/>
        </w:rPr>
        <w:t xml:space="preserve"> </w:t>
      </w:r>
    </w:p>
    <w:p w14:paraId="13F48303">
      <w:pPr>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color w:val="121212"/>
          <w:sz w:val="24"/>
          <w:szCs w:val="24"/>
        </w:rPr>
      </w:pPr>
      <w:r>
        <w:rPr>
          <w:rFonts w:ascii="Times New Roman" w:hAnsi="Times New Roman" w:eastAsia="Times New Roman" w:cs="Times New Roman"/>
          <w:color w:val="121212"/>
          <w:sz w:val="24"/>
          <w:szCs w:val="24"/>
        </w:rPr>
        <w:t>How does Artificial Intelligence influence Human Resource Management practices, and what are the opportunities, challenges, and future implications of AI adoption in organisations?</w:t>
      </w:r>
    </w:p>
    <w:p w14:paraId="2652D62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b/>
          <w:bCs/>
          <w:color w:val="121212"/>
          <w:sz w:val="24"/>
          <w:szCs w:val="24"/>
        </w:rPr>
      </w:pPr>
      <w:r>
        <w:rPr>
          <w:rFonts w:ascii="Times New Roman" w:hAnsi="Times New Roman" w:eastAsia="Times New Roman" w:cs="Times New Roman"/>
          <w:b/>
          <w:bCs/>
          <w:color w:val="121212"/>
          <w:sz w:val="24"/>
          <w:szCs w:val="24"/>
        </w:rPr>
        <w:t xml:space="preserve">Sub research questions </w:t>
      </w:r>
    </w:p>
    <w:p w14:paraId="52EE0AEE">
      <w:pPr>
        <w:numPr>
          <w:ilvl w:val="0"/>
          <w:numId w:val="3"/>
        </w:num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 does AI influence Deloitte UK’s recruitment, staffing and learning and development practices?</w:t>
      </w:r>
    </w:p>
    <w:p w14:paraId="11261CDD">
      <w:pPr>
        <w:numPr>
          <w:ilvl w:val="0"/>
          <w:numId w:val="3"/>
        </w:num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 can AI benefit Deloitte UK's HR practices in terms of efficiency and effectiveness?</w:t>
      </w:r>
    </w:p>
    <w:p w14:paraId="7E2DF9F0">
      <w:pPr>
        <w:numPr>
          <w:ilvl w:val="0"/>
          <w:numId w:val="3"/>
        </w:num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What ethical, cultural and organisational issues could emerge if AI is used in Deloitte UK's HR system?</w:t>
      </w:r>
    </w:p>
    <w:p w14:paraId="44DA5A1B">
      <w:pPr>
        <w:numPr>
          <w:ilvl w:val="0"/>
          <w:numId w:val="3"/>
        </w:num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 can Deloitte UK and other professional services organisations balance AI-driven efficiency with human-centric talent management in the future?</w:t>
      </w:r>
    </w:p>
    <w:p w14:paraId="07BFA9A2">
      <w:pPr>
        <w:pStyle w:val="3"/>
        <w:rPr>
          <w:color w:val="121212"/>
        </w:rPr>
      </w:pPr>
      <w:bookmarkStart w:id="6" w:name="_Toc240827626"/>
      <w:r>
        <w:rPr>
          <w:color w:val="121212"/>
        </w:rPr>
        <w:t>1.6 Significance of the research</w:t>
      </w:r>
      <w:bookmarkEnd w:id="6"/>
      <w:r>
        <w:rPr>
          <w:color w:val="121212"/>
        </w:rPr>
        <w:t xml:space="preserve"> </w:t>
      </w:r>
    </w:p>
    <w:p w14:paraId="5EDB6DF0">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main contribution of this research is in its ability to help fill the critical link between the theoretical discussion on corporate adoption of Artificial Intelligence (AI) and the real-world experience of implementing Human Resource Management (HRM) in a knowledge-based field. The research also has contributions in the field of academic literature, specifically from the perspective of the socio-technical systems, considering the interaction of algorithm-driven efficiencies with organizational culture, transparency and employee trust. Realistically, the study has value for HR managers, corporate executives, and industry policymakers in their digital transformation journey (Amayreh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The study frames ethical dilemmas related to algorithms, including the potential for bias in hiring, the importance of tackling “cultural debt” in cultures that are technologically driven, and the need for a balanced, strategic approach. Finally, this structure enables professional services firms to optimize the automated operational efficiency, while maintaining talent management, equity and long-term organization stability. </w:t>
      </w:r>
    </w:p>
    <w:p w14:paraId="231571F9">
      <w:pPr>
        <w:pStyle w:val="3"/>
        <w:rPr>
          <w:color w:val="121212"/>
        </w:rPr>
      </w:pPr>
      <w:bookmarkStart w:id="7" w:name="_Toc240827627"/>
      <w:r>
        <w:rPr>
          <w:color w:val="121212"/>
        </w:rPr>
        <w:t>1.7 Structure of the dissertation</w:t>
      </w:r>
      <w:bookmarkEnd w:id="7"/>
      <w:r>
        <w:rPr>
          <w:color w:val="121212"/>
        </w:rPr>
        <w:t xml:space="preserve"> </w:t>
      </w:r>
    </w:p>
    <w:p w14:paraId="08C21283">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dissertation is divided into six consecutive chapters which examine the effects of Artificial Intelligence (AI) on Deloitte's Human Resource Management (HRM) from a critical point of view. Chapter 1 (Introduction) provides a foundation for the remainder of the project, including background, problem statement, problems for research, rationale, and significance. The Literature Review (Chapter 2) examines the current research and practice on AI usage in recruitment, staffing, L&amp;D and algorithmic ethics. The qualitative secondary case study design, source selection criteria and thematic analytical framework are explained in Chapter 3 (Research Methodology). Chapter 4 (Data Analysis) provides empirical data from Deloitte corporate data and industry reports. Within the confines of socio-technical theory, Chapter 5 (Discussion) brings these results to light in order to discuss the operational efficiency, cultural friction, and ethical risks. Finally, Chapter 6 (Conclusion) brings together the main findings and discusses the limitations of this research while recommending a proactive, human-centric framework of AI for PSS companies. </w:t>
      </w:r>
    </w:p>
    <w:p w14:paraId="184CCFC8">
      <w:pPr>
        <w:pStyle w:val="3"/>
        <w:rPr>
          <w:color w:val="121212"/>
        </w:rPr>
      </w:pPr>
      <w:bookmarkStart w:id="8" w:name="_Toc240827628"/>
      <w:r>
        <w:rPr>
          <w:color w:val="121212"/>
        </w:rPr>
        <w:t>1.8 Theoretical outline</w:t>
      </w:r>
      <w:bookmarkEnd w:id="8"/>
      <w:r>
        <w:rPr>
          <w:color w:val="121212"/>
        </w:rPr>
        <w:t xml:space="preserve"> </w:t>
      </w:r>
    </w:p>
    <w:p w14:paraId="55CBFB3B">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main theory of this research is the Socio-technical Systems (STS) Theory as developed by Trist and Bamforth, 1951 and continued by Bostrom and Heinen, 1977. STS theory proposes that an organization's best performance occurs when the two subsystems, the technical one (processes, software and tools) and the social one (people, culture, values and relationships), are optimized together.</w:t>
      </w:r>
    </w:p>
    <w:p w14:paraId="0D71DC8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By applying STS theory to Deloitte's HR ecosystem, we can gain a more comprehensive perspective on the interactions between these human and AI-driven tools and processes. STS theory adds an analytical lens for understanding how AI tools including automated screeners, predictive staffing engines and adaptive L&amp;D platforms interact with human talent management processes. While AI can certainly be considered as a technological enhancement, STS theory posits that the automation of HR functions has a direct impact on roles, workplace culture, trust, and ethics (Ang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As the technical subsystem becomes more efficient and faster, while the social subsystem (including the reduction in algorithmic bias, the continuity of management empathy, and the definition of the governance structure) remains unchanged, the consequence is problems to the detriment of the working atmosphere and employee engagement. In summary, STS theory can serve as a theoretical basis for analyzing the ability of Deloitte to balance the approach of algorithmic automation and workforce management that is more geared towards humans.</w:t>
      </w:r>
    </w:p>
    <w:p w14:paraId="6425F591">
      <w:pPr>
        <w:spacing w:line="360" w:lineRule="auto"/>
        <w:rPr>
          <w:rFonts w:ascii="Times New Roman" w:hAnsi="Times New Roman" w:eastAsia="Times New Roman" w:cs="Times New Roman"/>
          <w:color w:val="121212"/>
          <w:sz w:val="24"/>
          <w:szCs w:val="24"/>
        </w:rPr>
      </w:pPr>
      <w:r>
        <w:rPr>
          <w:color w:val="121212"/>
        </w:rPr>
        <w:br w:type="page"/>
      </w:r>
    </w:p>
    <w:p w14:paraId="1F4AA34E">
      <w:pPr>
        <w:pStyle w:val="2"/>
        <w:rPr>
          <w:color w:val="121212"/>
        </w:rPr>
      </w:pPr>
      <w:bookmarkStart w:id="9" w:name="_Toc240827629"/>
      <w:r>
        <w:rPr>
          <w:color w:val="121212"/>
        </w:rPr>
        <w:t>Chapter 2: Literature Review</w:t>
      </w:r>
      <w:bookmarkEnd w:id="9"/>
    </w:p>
    <w:p w14:paraId="0D67A2D5">
      <w:pPr>
        <w:pStyle w:val="3"/>
        <w:rPr>
          <w:color w:val="121212"/>
        </w:rPr>
      </w:pPr>
      <w:bookmarkStart w:id="10" w:name="_Toc240827630"/>
      <w:r>
        <w:rPr>
          <w:color w:val="121212"/>
        </w:rPr>
        <w:t>2.1 Introduction</w:t>
      </w:r>
      <w:bookmarkEnd w:id="10"/>
    </w:p>
    <w:p w14:paraId="5BDE816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Artificial Intelligence (AI) is revolutionising Human Resource Management (HRM), transforming it from traditional administrative tasks to predictive, automated and decision-making practices (Khan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 xml:space="preserve">2023). In recruitment, workforce and talent management, and Learning and Development (L&amp;D), AI can sift through a vast amount of data and assist with increasingly complex work with people (Vishvapujita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2025). As AI becomes more prevalent in the workplace, however, it has also provoked discussion about algorithmic bias, human autonomy, privacy, interpretability, trust and the need for human judgment. The problems are especially significant in organisations like Deloitte, with highly skilled staff members and knowledge-based activities. </w:t>
      </w:r>
    </w:p>
    <w:p w14:paraId="0216EC7E">
      <w:pPr>
        <w:pStyle w:val="3"/>
        <w:rPr>
          <w:color w:val="121212"/>
        </w:rPr>
      </w:pPr>
      <w:bookmarkStart w:id="11" w:name="_Toc240827631"/>
      <w:r>
        <w:rPr>
          <w:color w:val="121212"/>
        </w:rPr>
        <w:t>2.2 Artificial Intelligence and the Transformation of Human Resource Management</w:t>
      </w:r>
      <w:bookmarkEnd w:id="11"/>
    </w:p>
    <w:p w14:paraId="447B475C">
      <w:pPr>
        <w:pStyle w:val="4"/>
        <w:rPr>
          <w:color w:val="121212"/>
        </w:rPr>
      </w:pPr>
      <w:bookmarkStart w:id="12" w:name="_Toc240827632"/>
      <w:r>
        <w:rPr>
          <w:color w:val="121212"/>
        </w:rPr>
        <w:t>2.2.1 Evolution of AI in HRM</w:t>
      </w:r>
      <w:bookmarkEnd w:id="12"/>
    </w:p>
    <w:p w14:paraId="486D66FF">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AI in HRM has transformed from traditional HR practices to a digital, and increasingly algorithmic, approach to decision-making (Rodgers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 xml:space="preserve">2023). Previous e-HRM systems focused primarily on digitising employee records and processes, but AI tools like machine learning, predictive analytics, NLP, and generative AI are now increasingly used to analyse information and inform HR decisions (Khattak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 xml:space="preserve">2025). Nawaz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2024, examining 274 IT employees in Chennai, found that accuracy, computing power and personalisation significantly influenced time-saving and cost reduction, whereas automation and real-time experience did not have significant effects. This causes people to question the notion of efficiency through automation.</w:t>
      </w:r>
    </w:p>
    <w:p w14:paraId="2815159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Notably, Ncube,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 xml:space="preserve">2025 outline recruitment, performance assessment, and talent management as key AI applications such as CV screening and interview scheduling. But their review shows few examples of quantitative organisational evidence to corroborate the numerous efficiency benefits claimed. This is a contrast to the techno-optimism surrounding artificial intelligence in HRM. Contextual judgement is challenging to express algorithmically given that HR decision-making entails complex human behaviour and relatively small datasets (Cappelli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2019). </w:t>
      </w:r>
    </w:p>
    <w:p w14:paraId="4BE8EF6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b/>
          <w:bCs/>
          <w:color w:val="121212"/>
          <w:sz w:val="24"/>
          <w:szCs w:val="24"/>
        </w:rPr>
        <w:t>2.2.2 Strategic Role of AI in HRM</w:t>
      </w:r>
    </w:p>
    <w:p w14:paraId="423453AD">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AI is becoming more of a strategic tool besides being a technical solution to help with staffing, skills mapping, talent decisions, employee development. Li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2023 aimed to identify evidences of HR processes and performance changes. It is, however, only within the context of the profession that generalisation is possible in the professional-service sector.</w:t>
      </w:r>
    </w:p>
    <w:p w14:paraId="6C7ADBD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picture is more positive at a more general level. Deloitte's 2024 Global Human Capital Trends (GHT) report on Humanizing automation drew on data collected from over 14,000 people in 95 countries. It reveals that over 73% identified balancing technological innovation with human capabilities as an important concern, while only 9% said that organisations are making significant progress (Deloitte, 2024). The divide indicates that while there is an awareness of the strategic value of AI, integration is not necessarily easy. Furthermore, the Deloitte evidence is consultancy evidence and thus, caution must be used when interpreting its findings as proof independent of AI's organisational effectiveness.</w:t>
      </w:r>
    </w:p>
    <w:p w14:paraId="40512964">
      <w:pPr>
        <w:pStyle w:val="4"/>
        <w:rPr>
          <w:color w:val="121212"/>
        </w:rPr>
      </w:pPr>
      <w:bookmarkStart w:id="13" w:name="_Toc240827633"/>
      <w:r>
        <w:rPr>
          <w:color w:val="121212"/>
        </w:rPr>
        <w:t>2.2.3 Opportunities and Limitations</w:t>
      </w:r>
      <w:bookmarkEnd w:id="13"/>
    </w:p>
    <w:p w14:paraId="04ADAA1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According to Ncube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2025, recruitment software can process up to 75% of the candidate pool, providing significant processing efficiency. But lowering the volume of candidates is not synonymous with enhancing the quality of candidates recruited; being too aggressive can end up removing potential candidates.</w:t>
      </w:r>
    </w:p>
    <w:p w14:paraId="1562CFC8">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Furthermore, when applying historical HR data to make predictions, Starke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2022</w:t>
      </w:r>
      <w:r>
        <w:rPr>
          <w:i/>
          <w:color w:val="121212"/>
        </w:rPr>
        <w:t xml:space="preserve"> </w:t>
      </w:r>
      <w:r>
        <w:rPr>
          <w:rFonts w:ascii="Times New Roman" w:hAnsi="Times New Roman" w:eastAsia="Times New Roman" w:cs="Times New Roman"/>
          <w:color w:val="121212"/>
          <w:sz w:val="24"/>
          <w:szCs w:val="24"/>
        </w:rPr>
        <w:t>suggest that it may perpetuate current organisational preferences and inequities. On the other hand, there is subjectivity and inconsistency among human decision makers. Thus, there is no literature that suggests a cut-and-dry "human vs. AI" separation. Rather, the actual problem is one of data quality, algorithm design, and oversight and transparency. AI can help boost processing power but needs to be backed up by judgment and other organizational safeguards if it is to have value (Varatharajan, 2025).</w:t>
      </w:r>
    </w:p>
    <w:p w14:paraId="0AC9F191">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b/>
          <w:bCs/>
          <w:color w:val="121212"/>
          <w:sz w:val="24"/>
          <w:szCs w:val="24"/>
        </w:rPr>
        <w:t>2.3 AI in Recruitment and Talent Acquisition</w:t>
      </w:r>
    </w:p>
    <w:p w14:paraId="00450D37">
      <w:pPr>
        <w:pStyle w:val="4"/>
        <w:rPr>
          <w:color w:val="121212"/>
        </w:rPr>
      </w:pPr>
      <w:bookmarkStart w:id="14" w:name="_Toc240827634"/>
      <w:r>
        <w:rPr>
          <w:color w:val="121212"/>
        </w:rPr>
        <w:t>2.3.1 AI-supported recruitment</w:t>
      </w:r>
      <w:bookmarkEnd w:id="14"/>
    </w:p>
    <w:p w14:paraId="741899A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In recent research of González Morales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2026, AI recruitment has been treated as a process and not a single technology, encompassing the stages of candidate sourcing, CV screening, candidate matching, chatbots, and automated assessment.</w:t>
      </w:r>
      <w:r>
        <w:rPr>
          <w:rStyle w:val="24"/>
          <w:rFonts w:ascii="Times New Roman" w:hAnsi="Times New Roman" w:eastAsia="Times New Roman" w:cs="Times New Roman"/>
          <w:color w:val="121212"/>
          <w:sz w:val="24"/>
          <w:szCs w:val="24"/>
        </w:rPr>
        <w:t xml:space="preserve"> But Fabris </w:t>
      </w:r>
      <w:r>
        <w:rPr>
          <w:rStyle w:val="24"/>
          <w:rFonts w:ascii="Times New Roman" w:hAnsi="Times New Roman" w:eastAsia="Times New Roman" w:cs="Times New Roman"/>
          <w:i/>
          <w:color w:val="121212"/>
          <w:sz w:val="24"/>
          <w:szCs w:val="24"/>
        </w:rPr>
        <w:t>et al.</w:t>
      </w:r>
      <w:r>
        <w:rPr>
          <w:rStyle w:val="24"/>
          <w:rFonts w:ascii="Times New Roman" w:hAnsi="Times New Roman" w:eastAsia="Times New Roman" w:cs="Times New Roman"/>
          <w:color w:val="121212"/>
          <w:sz w:val="24"/>
          <w:szCs w:val="24"/>
        </w:rPr>
        <w:t xml:space="preserve"> 2024 point out two competing visions, one is that AI could supplant or exacerbate inaccurate human judgements and the other is that AI could exacerbate or introduce new difficulties around decision-making bias and inequality. H</w:t>
      </w:r>
      <w:r>
        <w:rPr>
          <w:rFonts w:ascii="Times New Roman" w:hAnsi="Times New Roman" w:eastAsia="Times New Roman" w:cs="Times New Roman"/>
          <w:color w:val="121212"/>
          <w:sz w:val="24"/>
          <w:szCs w:val="24"/>
        </w:rPr>
        <w:t>owever, technological consistency should not be taken for granted and is not necessarily the same as recruitment validity.</w:t>
      </w:r>
    </w:p>
    <w:p w14:paraId="6ECC3925">
      <w:pPr>
        <w:pStyle w:val="4"/>
        <w:rPr>
          <w:color w:val="121212"/>
        </w:rPr>
      </w:pPr>
      <w:bookmarkStart w:id="15" w:name="_Toc240827635"/>
      <w:r>
        <w:rPr>
          <w:color w:val="121212"/>
        </w:rPr>
        <w:t>2.3.2 Operational benefits</w:t>
      </w:r>
      <w:bookmarkEnd w:id="15"/>
    </w:p>
    <w:p w14:paraId="2BB92A9E">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primary claim for the use of AI in recruitment is that it can handle a vastly higher number of applications than a human recruiter. Automated screening can cut down on time spent, speed up the shortlisting process, and help match candidates with jobs (Starke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 xml:space="preserve">2022). But there is a difference between processing efficiency and quality of selections as expressed in the literature. An adverse selection rate of 70% is efficient, but it is not proof that the remaining 30% are (on average) superior candidates. Fabris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thus suggest that the efficiency measure should be considered in a context of the effectiveness of the algorithmic hiring itself.</w:t>
      </w:r>
    </w:p>
    <w:p w14:paraId="79A4B1B5">
      <w:pPr>
        <w:pStyle w:val="4"/>
        <w:rPr>
          <w:color w:val="121212"/>
        </w:rPr>
      </w:pPr>
      <w:bookmarkStart w:id="16" w:name="_Toc240827636"/>
      <w:r>
        <w:rPr>
          <w:color w:val="121212"/>
        </w:rPr>
        <w:t>2.3.3 Algorithmic bias and discrimination</w:t>
      </w:r>
      <w:bookmarkEnd w:id="16"/>
    </w:p>
    <w:p w14:paraId="3E426371">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best criticism is related to training data and proxy variables. In an algorithm, patterns are learned from historical data, as noted by Chen, 2023, which continues to be a concern as there is a lack of awareness of a disparate impact of gender, racial, and other forms of discrimination. An organization does not want to be accused of discriminating, and a seemingly neutral factor like prior job, work location or education level can be a proxy for an attribute with which the organization might be tricked.</w:t>
      </w:r>
    </w:p>
    <w:p w14:paraId="13EDB51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It would also be very easy to believe that the human recruiters are free of prejudice. However, the issue of whether algorithmic hiring is more or less biased than traditional human hiring remains unstated by Fabris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2024. This makes it crucial to point out the contrast here: AI can replicate historical discrimination, while human recruitment can be able to replicate it via intuition, stereotypes and inconsistent judgment. </w:t>
      </w:r>
    </w:p>
    <w:p w14:paraId="21497220">
      <w:pPr>
        <w:pStyle w:val="4"/>
        <w:rPr>
          <w:color w:val="121212"/>
        </w:rPr>
      </w:pPr>
      <w:bookmarkStart w:id="17" w:name="_Toc240827637"/>
      <w:r>
        <w:rPr>
          <w:color w:val="121212"/>
        </w:rPr>
        <w:t>2.3.4 Transparency and explainability</w:t>
      </w:r>
      <w:bookmarkEnd w:id="17"/>
    </w:p>
    <w:p w14:paraId="19ABFAA3">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results, published by Ochmann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2024, suggest that fairness perceptions do not just translate into applicants' acceptance of algorithmic recruiting as the fairest form of recruitment. They discovered that procedural, distributive, interpersonal and informational justice are significant in terms of applicants' perceptions of fairness. Likewise, in four studies, Lavanchy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2023 concluded that applicants felt algorithm-driven hiring was less fair than either human-only or human-assisted algorithmic processes. These results contradict the belief that the objective nature of algorithms leads to the trust of the candidate.</w:t>
      </w:r>
    </w:p>
    <w:p w14:paraId="75BAFDDA">
      <w:pPr>
        <w:pStyle w:val="4"/>
        <w:rPr>
          <w:color w:val="121212"/>
        </w:rPr>
      </w:pPr>
      <w:bookmarkStart w:id="18" w:name="_Toc240827638"/>
      <w:r>
        <w:rPr>
          <w:color w:val="121212"/>
        </w:rPr>
        <w:t>2.3.5 Human oversight</w:t>
      </w:r>
      <w:bookmarkEnd w:id="18"/>
    </w:p>
    <w:p w14:paraId="21A98EB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Existing evidence increasingly suggests the need for humans to work alongside and combine information from AI, rather than using AI alone to make decisions. However, Peng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2022 identified that high-performing models were in theory able to impact human decisions on hiring and that human-AI combinations did not necessarily lead to more fair outcomes in hiring decisions, with some models also amplifying bias. Hence, there is a need for it to be viewed in conjunction with humans in making challenging recommendations, interpreting the contextual information and maintaining accountability. However, subjective bias can be re-introduced by too much human involvement. The literature therefore justifies a scalable hybrid strategy, where AI assistance is complemented by the choice for relevant judgment and decision making by recruiters.</w:t>
      </w:r>
    </w:p>
    <w:p w14:paraId="00D468A2">
      <w:pPr>
        <w:pStyle w:val="3"/>
        <w:rPr>
          <w:color w:val="121212"/>
        </w:rPr>
      </w:pPr>
      <w:bookmarkStart w:id="19" w:name="_Toc240827639"/>
      <w:r>
        <w:rPr>
          <w:color w:val="121212"/>
        </w:rPr>
        <w:t>2.4 AI in Workforce Planning, Staffing and Talent Management</w:t>
      </w:r>
      <w:bookmarkEnd w:id="19"/>
    </w:p>
    <w:p w14:paraId="6FBECF23">
      <w:pPr>
        <w:pStyle w:val="4"/>
        <w:rPr>
          <w:color w:val="121212"/>
        </w:rPr>
      </w:pPr>
      <w:bookmarkStart w:id="20" w:name="_Toc240827640"/>
      <w:r>
        <w:rPr>
          <w:color w:val="121212"/>
        </w:rPr>
        <w:t>2.4.1 Predictive workforce analytics</w:t>
      </w:r>
      <w:bookmarkEnd w:id="20"/>
    </w:p>
    <w:p w14:paraId="061D6C14">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AI has evolved the role of workforce planning from reporting to forecasting, using data on employees and organisations to predict outcomes and guide decisions. Platforms like predictive analytics can help HR teams make better forecasts, according to Margherita 2022, who summarizes HR analytics research and says they are able to find patterns in turnover, skills, and the demand for labour. The accuracy of such systems, however, relies critically on the accuracy and pertinence of other historical data. It is a big issue as workforce requirements may alter after restructuring, technology shift or evolving client requirements; therefore, the past workforce pattern may not be accurate to forecast future staffing needs.</w:t>
      </w:r>
    </w:p>
    <w:p w14:paraId="31C7EBBF">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limitation is different from the more positive one of AI becoming the solution to allocating workers more efficiently. According to Ncube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2025, workforce analytics and talent management are among the critical features of AI in HR, as employees' data can be analyzed on a scale that HR managers would not be able to do by themselves.</w:t>
      </w:r>
    </w:p>
    <w:p w14:paraId="5DABC5DE">
      <w:pPr>
        <w:pStyle w:val="4"/>
        <w:rPr>
          <w:color w:val="121212"/>
        </w:rPr>
      </w:pPr>
      <w:bookmarkStart w:id="21" w:name="_Toc240827641"/>
      <w:r>
        <w:rPr>
          <w:color w:val="121212"/>
        </w:rPr>
        <w:t>2.4.2 AI-based talent matching</w:t>
      </w:r>
      <w:bookmarkEnd w:id="21"/>
    </w:p>
    <w:p w14:paraId="21D2BA6E">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Professional services businesses, where staff can be assigned to work on a project based on experience, technical skill and availability, are especially apt for AI talent matching. AI may find suitable employee matches more quickly than traditional managerial matching. Deloitte's 2024 Global Human Capital Trends reveal that 74% of respondents identified skills of their workers as being an important or very important part of their organisation's performance, but only 17% felt their organisation was awesome or very good at understanding what skills their workforce has. The gap is a reflection of the possible added value of skills-based analytics.</w:t>
      </w:r>
    </w:p>
    <w:p w14:paraId="2C46CD34">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However, while skills can be easily assessed-based, criteria may fail to account for softer qualities of personnel such as interpersonal compatibility, client relationships, career goals, and team dynamics. Therefore, while an algorithm can take the best advantage of a technical match, it might not deliver an optimal human or organisational match. This is a significant conflict between algorithms and managerial context knowledge.</w:t>
      </w:r>
    </w:p>
    <w:p w14:paraId="333B030E">
      <w:pPr>
        <w:pStyle w:val="4"/>
        <w:rPr>
          <w:color w:val="121212"/>
        </w:rPr>
      </w:pPr>
      <w:bookmarkStart w:id="22" w:name="_Toc240827642"/>
      <w:r>
        <w:rPr>
          <w:color w:val="121212"/>
        </w:rPr>
        <w:t>2.4.3 Performance management and prediction</w:t>
      </w:r>
      <w:bookmarkEnd w:id="22"/>
    </w:p>
    <w:p w14:paraId="79F10EA4">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Furthermore, AI has helped in the adoption of real-time employee-performance monitoring. Algorithms can be used to analyse productivity indicators, project outcomes, employee attendance and other workforce data to detect patterns of performance or anticipate employee attrition. Such analytics can reinforce evidence-based HR decision-making by moving beyond a single-judgement approach and towards predictive indicators (Margherita, 2022).</w:t>
      </w:r>
    </w:p>
    <w:p w14:paraId="2FCBB2A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However, Meijerink and Bondarouk 2021 suggest that algorithmic HR systems could also render employees as measurable data objects, thereby reducing the attention for the manager to parameters that the algorithm can measure. This is a problem when performance is based on creativity, collaboration, or professional judgement, which may not be easily quantified. Therefore, predictive performance management can pose the risk of standardizing measures of performance and eliminating the richness meaning associated with it.</w:t>
      </w:r>
    </w:p>
    <w:p w14:paraId="34906025">
      <w:pPr>
        <w:pStyle w:val="4"/>
        <w:rPr>
          <w:color w:val="121212"/>
        </w:rPr>
      </w:pPr>
      <w:bookmarkStart w:id="23" w:name="_Toc240827643"/>
      <w:r>
        <w:rPr>
          <w:color w:val="121212"/>
        </w:rPr>
        <w:t>2.4.4 Risks of algorithmic management</w:t>
      </w:r>
      <w:bookmarkEnd w:id="23"/>
    </w:p>
    <w:p w14:paraId="21C531E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Algorithmic management is therefore recognized as an important socio-organisational risk (LISA) in the literature. Kellogg,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2020 suggest that algorithms may serve as a new way of managerial control to give a job, assess performance and control the employee. While they acknowledge some efficiencies can be realised, they also stress that algorithmic controls can deepen levels of surveillance, and limit employee autonomy.</w:t>
      </w:r>
    </w:p>
    <w:p w14:paraId="25172E53">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Meijerink and Bondarouk, 2021 also suggest that employees have a negative attitude towards systems if it is difficult to understand and contest decisions that are made about them. An error in prediction, their assessment of performance or project allocation, for example, may then have disproportionate effects, triggering a vicious circle of disadvantage.</w:t>
      </w:r>
    </w:p>
    <w:p w14:paraId="0558F8B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Thus, it has been presented, and a definite contradiction, the most of a contradiction. However, the more that algorithmic allocation takes the place of context-specific managerial judgment, the less people will be supervised, and workforce planning will become faster, more scalable and evidence-based with the benefit of AI. </w:t>
      </w:r>
    </w:p>
    <w:p w14:paraId="414AB17D">
      <w:pPr>
        <w:pStyle w:val="3"/>
        <w:rPr>
          <w:color w:val="121212"/>
        </w:rPr>
      </w:pPr>
      <w:bookmarkStart w:id="24" w:name="_Toc240827644"/>
      <w:r>
        <w:rPr>
          <w:color w:val="121212"/>
        </w:rPr>
        <w:t>2.5 AI and Learning and Development</w:t>
      </w:r>
      <w:bookmarkEnd w:id="24"/>
    </w:p>
    <w:p w14:paraId="6987F1E8">
      <w:pPr>
        <w:pStyle w:val="4"/>
        <w:rPr>
          <w:color w:val="121212"/>
        </w:rPr>
      </w:pPr>
      <w:bookmarkStart w:id="25" w:name="_Toc240827645"/>
      <w:r>
        <w:rPr>
          <w:color w:val="121212"/>
        </w:rPr>
        <w:t>2.5.1 Personalised learning</w:t>
      </w:r>
      <w:bookmarkEnd w:id="25"/>
    </w:p>
    <w:p w14:paraId="1F5847E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AI has now disrupted Learning and Development (L&amp;D) from the one-size-fits-all approach to customised and personalised training with data. AI systems can process skill sets, performance and learning patterns to pinpoint skill deficits and suggest personal learning journeys for employees. Amayreh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2025 have discussed the relation between AI and employee self-competence and how competency gaps can be diagnosed and rectified with the help of AI personalisation. This comes with the assumption that the capacity of employees can be reasonably deduced based on the data available in an organisation. Fit based on the majority of skills acquired through training, scores on assessment or job history can fail to include tacit knowledge, interpersonal skill and experience utilized by the manager, which are not easily measured in systems.</w:t>
      </w:r>
    </w:p>
    <w:p w14:paraId="18CAE44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contrasts with the argument that adaptive learning has learning support effects that continually shape the learning content so that it better aligns with the individual. Instead of offering everyone the same resources, AI can offer them resources based on their identified weaknesses. Personalisation however should not be equated with learning effectiveness as more relevant content is indicative of personalisation, but not learning success or workplace performance.</w:t>
      </w:r>
    </w:p>
    <w:p w14:paraId="3AA4213B">
      <w:pPr>
        <w:pStyle w:val="4"/>
        <w:rPr>
          <w:color w:val="121212"/>
        </w:rPr>
      </w:pPr>
      <w:bookmarkStart w:id="26" w:name="_Toc240827646"/>
      <w:r>
        <w:rPr>
          <w:color w:val="121212"/>
        </w:rPr>
        <w:t>2.5.2 Generative AI and employee development</w:t>
      </w:r>
      <w:bookmarkEnd w:id="26"/>
    </w:p>
    <w:p w14:paraId="459B9911">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Generative AI has broadened this conversation by allowing employees to engage with AI tutors, create learning resources, get immediate explanations, and get automated feedback. Generative AI is also emerging as an important context in workforce capability building, as businesses think about how to reimagine work and skills, according to Deloitte's 2024 Global Human Capital Trends report. This applies especially to professional services companies, where staff need to keep their technical and analytical skills upgraded at all times.</w:t>
      </w:r>
    </w:p>
    <w:p w14:paraId="7D4C09B3">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However, there are concerns around the quality of learning content provided by AI in the literature. AI can generate seemingly authoritative and well-written content but still churn out inaccurate information. Thus, scheduling product content creation can involve a compromise between scaling up and quality control. Where learning entails professional judgement or technically sensitive knowledge, human subject-matter experts have continued to play an important role.</w:t>
      </w:r>
    </w:p>
    <w:p w14:paraId="691D00C6">
      <w:pPr>
        <w:pStyle w:val="4"/>
        <w:rPr>
          <w:color w:val="121212"/>
        </w:rPr>
      </w:pPr>
      <w:bookmarkStart w:id="27" w:name="_Toc240827647"/>
      <w:r>
        <w:rPr>
          <w:color w:val="121212"/>
        </w:rPr>
        <w:t>2.5.3 Benefits and organisational value</w:t>
      </w:r>
      <w:bookmarkEnd w:id="27"/>
    </w:p>
    <w:p w14:paraId="18B3A9BD">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Scalability is the most compelling organisation reason for AI learning and development. Unlike a traditional training course which involves trainers, fixed-time sessions and fairly uniform learning material, AI could offer learning support around the clock to many geographically distributed employees. This could lower the cost of providing personalised learning and enable organisations to sense the need of new skills earlier.</w:t>
      </w:r>
    </w:p>
    <w:p w14:paraId="3F836A2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But scalability doesn't necessarily mean effectiveness. They can receive what seems very personal to them online but then need mentoring, discussion and practical experience in order to apply that knowledge. Thus, AI could play a more effective role as a learning support tool than as a replacement for human learning.</w:t>
      </w:r>
    </w:p>
    <w:p w14:paraId="2F8C9112">
      <w:pPr>
        <w:pStyle w:val="4"/>
        <w:rPr>
          <w:color w:val="121212"/>
        </w:rPr>
      </w:pPr>
      <w:bookmarkStart w:id="28" w:name="_Toc240827648"/>
      <w:r>
        <w:rPr>
          <w:color w:val="121212"/>
        </w:rPr>
        <w:t>2.5.4 Limitations and human dimensions</w:t>
      </w:r>
      <w:bookmarkEnd w:id="28"/>
    </w:p>
    <w:p w14:paraId="3EA621C7">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literature thus reveals a conflict between individualisation by AI and the development of the human beings. Overreliance on AI can limit (displace) opportunities for peer learning, coaching and professional socialisation, and non-uniform access to digital tools can introduce disparities in learning opportunities. This matters for Deloitte's knowledge-based deep professional services environment, as employee development is not just about learning intrinsic skills, but also articulating them, applying judgment and facing clients. AI can pinpoint skills deficits and provide customizable learning, though human mentorship will still be required when skills rely on tacit knowledge, interpersonal interactions, and other vital areas.</w:t>
      </w:r>
    </w:p>
    <w:p w14:paraId="066A98A7">
      <w:pPr>
        <w:pStyle w:val="3"/>
        <w:rPr>
          <w:color w:val="121212"/>
        </w:rPr>
      </w:pPr>
      <w:bookmarkStart w:id="29" w:name="_Toc240827649"/>
      <w:r>
        <w:rPr>
          <w:color w:val="121212"/>
        </w:rPr>
        <w:t>2.6 Ethical, Legal and Governance Challenges of AI in HRM</w:t>
      </w:r>
      <w:bookmarkEnd w:id="29"/>
    </w:p>
    <w:p w14:paraId="426EEB7A">
      <w:pPr>
        <w:pStyle w:val="4"/>
        <w:rPr>
          <w:color w:val="121212"/>
        </w:rPr>
      </w:pPr>
      <w:bookmarkStart w:id="30" w:name="_Toc240827650"/>
      <w:r>
        <w:rPr>
          <w:color w:val="121212"/>
        </w:rPr>
        <w:t>2.6.1 Algorithmic bias and fairness</w:t>
      </w:r>
      <w:bookmarkEnd w:id="30"/>
    </w:p>
    <w:p w14:paraId="344C72A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One of the most debated topics on algorithmic bias is its impact on HRM.The role of algorithmic bias in HRM is one of the most venerable topics of debate. Compared to human recruiters, argues Fabris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2024, AI certainly is not more discriminatory than its training data and the manner in which the models are designed and implemented. This challenges the notion that judgement can be completely eliminated to render fairer recruitment. On the other hand, it has been suggested that historical employment data can reinforce inequality as patterns are taken up by algorithms when forming the decisions of previous organisations (Chen, 2023). The key difference is therefore between the elimination of the subjectivity of one single person and the institutional bias that is the product of mass production. While an algorithm can use the same criteria for all candidates, the criteria themselves and the underlying data can be discriminatory against certain minorities. Accordingly, the EU AI Act classifies employment AI, along with recruitment and worker-management systems, as medium-risk or high-risk, due to the possibility of affecting the employment opportunities or workers' rights.</w:t>
      </w:r>
    </w:p>
    <w:p w14:paraId="73D62CA7">
      <w:pPr>
        <w:pStyle w:val="3"/>
        <w:rPr>
          <w:color w:val="121212"/>
        </w:rPr>
      </w:pPr>
      <w:bookmarkStart w:id="31" w:name="_Toc240827651"/>
      <w:r>
        <w:rPr>
          <w:color w:val="121212"/>
        </w:rPr>
        <w:t>2.6.2 Privacy and employee data</w:t>
      </w:r>
      <w:bookmarkEnd w:id="31"/>
    </w:p>
    <w:p w14:paraId="7A7BFC4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AI likewise can collect and analyze a higher amount of personal information for HR departments. Meijerink and Bondarouk, 2021 maintain that algorithmic HR systems can make employee monitoring more intensive by turning behavior and performance into something that is continuously measurable. More data availability can also facilitate workplace planning and address training gaps. It is not the problem of gathering data but whether the benefit to the organisation outweighs the intrusion for the employees. The Information Commissioner's Office, the UK's data protection watchdog, states that fairness, transparency, accuracy, security and data minimisation are crucial considerations for businesses that utilises AI and personal information.</w:t>
      </w:r>
    </w:p>
    <w:p w14:paraId="018A0225">
      <w:pPr>
        <w:pStyle w:val="3"/>
        <w:rPr>
          <w:color w:val="121212"/>
        </w:rPr>
      </w:pPr>
      <w:bookmarkStart w:id="32" w:name="_Toc240827652"/>
      <w:r>
        <w:rPr>
          <w:color w:val="121212"/>
        </w:rPr>
        <w:t>2.6.3 Transparency and explainability</w:t>
      </w:r>
      <w:bookmarkEnd w:id="32"/>
    </w:p>
    <w:p w14:paraId="2680EA88">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Another challenge arises is explaining algorithmic decisions. According to Pant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xml:space="preserve"> 2023, which polled 100 AI practitioners, privacy and security were two of the most commonly known ethical principles, while technology-related and human-related challenges were still major obstacles to ethical AI implementation. This implies that moral consciousness is not necessarily linked to good governance. An AI-generated recommendation then may be given to a recruitment candidate or employee without them knowing what factors were used. Explainability is therefore critical not only for transparency purposes, but also to allow the individual to question potentially wrong decisions.</w:t>
      </w:r>
    </w:p>
    <w:p w14:paraId="3AB239E0">
      <w:pPr>
        <w:pStyle w:val="3"/>
        <w:rPr>
          <w:color w:val="121212"/>
        </w:rPr>
      </w:pPr>
      <w:bookmarkStart w:id="33" w:name="_Toc240827653"/>
      <w:r>
        <w:rPr>
          <w:color w:val="121212"/>
        </w:rPr>
        <w:t>2.6.4 Accountability and governance</w:t>
      </w:r>
      <w:bookmarkEnd w:id="33"/>
    </w:p>
    <w:p w14:paraId="62631CE1">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Filtering becomes more challenging when HR decisions relate to an organisation, HR managers and external technology providers. A single algorithm doesn't imply an automatic transfer of the end-user's duty to the software supplier. The ICO's AI guidance stresses organisational responsibility and the importance of conducting risk assessments and mitigation at every stage of adopting AI. This is a radically different view than a merely technical governance-based approach, where governance is reduced to a compliance exercise. Accountability must not be removed from those responsible for approving and implementing AI recommendations for HRM.</w:t>
      </w:r>
    </w:p>
    <w:p w14:paraId="0F57C573">
      <w:pPr>
        <w:pStyle w:val="3"/>
        <w:rPr>
          <w:color w:val="121212"/>
        </w:rPr>
      </w:pPr>
      <w:bookmarkStart w:id="34" w:name="_Toc240827654"/>
      <w:r>
        <w:rPr>
          <w:color w:val="121212"/>
        </w:rPr>
        <w:t>2.6.5 Human autonomy and dignity</w:t>
      </w:r>
      <w:bookmarkEnd w:id="34"/>
    </w:p>
    <w:p w14:paraId="353E7ADC">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Algorithmic management could be another threat to employee autonomy. In their framework, Kellogg, Valentine and Christin, 2020 propose that algorithms may be part of a system of ‘managing work' through decisions of work allocation, evaluation and employee behaviour. Discarding algorithms doesn't necessarily mean fairer management since humans could also make inconsistent or ridden with bias judgments. Therefore, meaningful human oversight is a stronger position, in which managers have the knowledge, influence and independence to scrutinize the suggestions from AI and approve them as well.</w:t>
      </w:r>
    </w:p>
    <w:p w14:paraId="38FC1899">
      <w:pPr>
        <w:pStyle w:val="4"/>
        <w:rPr>
          <w:color w:val="121212"/>
        </w:rPr>
      </w:pPr>
      <w:bookmarkStart w:id="35" w:name="_Toc240827655"/>
      <w:r>
        <w:rPr>
          <w:color w:val="121212"/>
        </w:rPr>
        <w:t>2.6.6 Regulatory implications</w:t>
      </w:r>
      <w:bookmarkEnd w:id="35"/>
    </w:p>
    <w:p w14:paraId="3A4874C8">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These concerns are reflected more and more in the legislation. The EU AI Act lists six areas as high-risk that are covered by AI principles such as risk management, data quality, transparency and human oversight, which include recruitment, promotion, termination, task allocation and monitoring of workers. In the UK, HR fast-tracks machine learning deployment do not cast off existing data protection and equality requirements, including the ICO's guidance on fairness and automated decision making. This is a governance problem for a multi-national firm operating in professional services like Deloitte goes far beyond technological performance. Efficient Application of AI is therefore possible only when the performance of the algorithm is informed by the legal compliance requirements and employee rights, plus human accountability.</w:t>
      </w:r>
    </w:p>
    <w:p w14:paraId="08B4F646">
      <w:pPr>
        <w:pStyle w:val="3"/>
        <w:rPr>
          <w:color w:val="121212"/>
        </w:rPr>
      </w:pPr>
      <w:bookmarkStart w:id="36" w:name="_Toc240827656"/>
      <w:r>
        <w:rPr>
          <w:color w:val="121212"/>
        </w:rPr>
        <w:t>2.7 Cultural and Organisational Impacts of AI Adoption</w:t>
      </w:r>
      <w:bookmarkEnd w:id="36"/>
    </w:p>
    <w:p w14:paraId="21589833">
      <w:pPr>
        <w:pStyle w:val="4"/>
        <w:rPr>
          <w:color w:val="121212"/>
        </w:rPr>
      </w:pPr>
      <w:bookmarkStart w:id="37" w:name="_Toc240827657"/>
      <w:r>
        <w:rPr>
          <w:color w:val="121212"/>
        </w:rPr>
        <w:t>2.7.1 Employee attitudes towards AI</w:t>
      </w:r>
      <w:bookmarkEnd w:id="37"/>
    </w:p>
    <w:p w14:paraId="5ED39BE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reaction of staff to AI is driven by what employees think of the impact of AI rather than by the technology itself. However, algorithmic systems have the potential to facilitate more managerial control, which could lead to employee resistance if they believe that AI is being utilized as a surveillance tool rather than as a supportive tool, as argued by Kellogg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2020. On the other hand, AI can be embraced when the employees see some kind of usefulness and development opportunities. This leaves a huge tension between the augmentation power of AI and the threat of jobs and autonomy to humans. For instance, while some workers may be pleased with automatic office tasks, others might not appreciate systems determining productivity or evaluating work allocation.</w:t>
      </w:r>
    </w:p>
    <w:p w14:paraId="77115378">
      <w:pPr>
        <w:pStyle w:val="4"/>
        <w:rPr>
          <w:color w:val="121212"/>
        </w:rPr>
      </w:pPr>
      <w:bookmarkStart w:id="38" w:name="_Toc240827658"/>
      <w:r>
        <w:rPr>
          <w:color w:val="121212"/>
        </w:rPr>
        <w:t>2.7.2 Organisational culture</w:t>
      </w:r>
      <w:bookmarkEnd w:id="38"/>
    </w:p>
    <w:p w14:paraId="6EBC1F4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Adopting AI can then redefine the way employees and managers interact. Meijerink and Bondarouk, 2021 state that algorithmic HRM can change a work standard from interpersonal judgement to data-driven processes. This can reduce the variety of interactions, but could decrease employee confidence if they feel that managers are permanently bent on formal procedures rather than awareness of the individual situation. The cultural impact goes both ways, as AI can generate better-informed, more collaborative information, whereas over-reliance on algorithmic supervision could lead to a lack of psychological safety, prompting staff to behave along different measures for the algorithm rather than for the company.</w:t>
      </w:r>
    </w:p>
    <w:p w14:paraId="4208A3DC">
      <w:pPr>
        <w:pStyle w:val="4"/>
        <w:rPr>
          <w:color w:val="121212"/>
        </w:rPr>
      </w:pPr>
      <w:bookmarkStart w:id="39" w:name="_Toc240827659"/>
      <w:r>
        <w:rPr>
          <w:color w:val="121212"/>
        </w:rPr>
        <w:t>2.7.3 Changing HR roles</w:t>
      </w:r>
      <w:bookmarkEnd w:id="39"/>
    </w:p>
    <w:p w14:paraId="60830A4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Artificial Intelligence is being increasingly introduced as an agent for transformation and not replacement of HR. Ncube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color w:val="121212"/>
          <w:sz w:val="24"/>
          <w:szCs w:val="24"/>
        </w:rPr>
        <w:t>. 2025 spoke of some of the jobs being automated, which in turn will provide an opportunity for HR to perform more strategic duties. This shift, however, comes with readymade skills which went beyond what HR was traditionally concerned about: data literacy, artificial intelligence skills, digital judgement and ethical decision making. However, the shift from administrative HR to human-AI collaboration is not seamless and requires investment in retraining HR to critically interpr</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gorithmic results, rather than simply act on them based on an automated output.</w:t>
      </w:r>
    </w:p>
    <w:p w14:paraId="1E2D6FED">
      <w:pPr>
        <w:pStyle w:val="4"/>
        <w:rPr>
          <w:color w:val="121212"/>
        </w:rPr>
      </w:pPr>
      <w:bookmarkStart w:id="40" w:name="_Toc240827660"/>
      <w:r>
        <w:rPr>
          <w:color w:val="121212"/>
        </w:rPr>
        <w:t>2.7.4 Change management</w:t>
      </w:r>
      <w:bookmarkEnd w:id="40"/>
    </w:p>
    <w:p w14:paraId="502BAAC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means that adopting the technology is not enough, it requires organizational change. While most organisations spot a future with new technological demands, this signals that just 9% are very effective at preparing their workers for it, according to Deloitte’s 2024 Global Human Capital Trends. This is a gap that ALERT shows between awareness of the importance of AI and building organisational readiness. A combination of AI training, communication, employee participation and human mentoring is necessary for Deloitte where professional-services work relies heavily on expertise, teamwork and client relationships. </w:t>
      </w:r>
    </w:p>
    <w:p w14:paraId="36440377">
      <w:pPr>
        <w:pStyle w:val="3"/>
        <w:rPr>
          <w:color w:val="121212"/>
        </w:rPr>
      </w:pPr>
      <w:bookmarkStart w:id="41" w:name="_Toc240827661"/>
      <w:r>
        <w:rPr>
          <w:color w:val="121212"/>
        </w:rPr>
        <w:t>2.8 Socio-Technical Systems Theory and AI-Enabled HRM</w:t>
      </w:r>
      <w:bookmarkEnd w:id="41"/>
    </w:p>
    <w:p w14:paraId="6A45BE46">
      <w:pPr>
        <w:pStyle w:val="4"/>
        <w:rPr>
          <w:color w:val="121212"/>
        </w:rPr>
      </w:pPr>
      <w:bookmarkStart w:id="42" w:name="_Toc240827662"/>
      <w:r>
        <w:rPr>
          <w:color w:val="121212"/>
        </w:rPr>
        <w:t>2.8.1 Origins and principles of STS Theory</w:t>
      </w:r>
      <w:bookmarkEnd w:id="42"/>
    </w:p>
    <w:p w14:paraId="10A17FA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Socio-Technical Systems (STS) theory is an excellent basis for studying the impact of AI on HRM because it views organisational performance as resulting from the interaction between technical and social systems, not just the technical system. The approach was first developed by Trist and Bamforth,1951, who examined coal mining tasks and had shown that technological changes could have an impact on existing social relationships and task organization. Bostrom and Heinen,1977 later expanded the view to information systems and pointed out that systems which were technically effective, but ignored organisational and human requirements, could fail. The central principle is therefore joint optimisation such as technological systems and social arrangements should be designed to function together.</w:t>
      </w:r>
    </w:p>
    <w:p w14:paraId="1EAB5661">
      <w:pPr>
        <w:spacing w:line="360" w:lineRule="auto"/>
        <w:jc w:val="center"/>
        <w:rPr>
          <w:rFonts w:ascii="Times New Roman" w:hAnsi="Times New Roman" w:eastAsia="Times New Roman" w:cs="Times New Roman"/>
          <w:color w:val="121212"/>
          <w:sz w:val="24"/>
          <w:szCs w:val="24"/>
        </w:rPr>
      </w:pPr>
      <w:r>
        <w:rPr>
          <w:color w:val="121212"/>
        </w:rPr>
        <w:drawing>
          <wp:inline distT="0" distB="0" distL="0" distR="0">
            <wp:extent cx="3199765" cy="2753995"/>
            <wp:effectExtent l="0" t="0" r="0" b="0"/>
            <wp:docPr id="1" name="image3.png" descr="Sociotechnical Theory - Psych Safety"/>
            <wp:cNvGraphicFramePr/>
            <a:graphic xmlns:a="http://schemas.openxmlformats.org/drawingml/2006/main">
              <a:graphicData uri="http://schemas.openxmlformats.org/drawingml/2006/picture">
                <pic:pic xmlns:pic="http://schemas.openxmlformats.org/drawingml/2006/picture">
                  <pic:nvPicPr>
                    <pic:cNvPr id="1" name="image3.png" descr="Sociotechnical Theory - Psych Safety"/>
                    <pic:cNvPicPr preferRelativeResize="0"/>
                  </pic:nvPicPr>
                  <pic:blipFill>
                    <a:blip r:embed="rId6"/>
                    <a:srcRect/>
                    <a:stretch>
                      <a:fillRect/>
                    </a:stretch>
                  </pic:blipFill>
                  <pic:spPr>
                    <a:xfrm>
                      <a:off x="0" y="0"/>
                      <a:ext cx="3200198" cy="2754617"/>
                    </a:xfrm>
                    <a:prstGeom prst="rect">
                      <a:avLst/>
                    </a:prstGeom>
                  </pic:spPr>
                </pic:pic>
              </a:graphicData>
            </a:graphic>
          </wp:inline>
        </w:drawing>
      </w:r>
    </w:p>
    <w:p w14:paraId="2E1D94DE">
      <w:pPr>
        <w:spacing w:line="360" w:lineRule="auto"/>
        <w:jc w:val="center"/>
        <w:rPr>
          <w:rFonts w:ascii="Times New Roman" w:hAnsi="Times New Roman" w:eastAsia="Times New Roman" w:cs="Times New Roman"/>
          <w:b/>
          <w:bCs/>
          <w:color w:val="121212"/>
          <w:sz w:val="24"/>
          <w:szCs w:val="24"/>
        </w:rPr>
      </w:pPr>
      <w:r>
        <w:rPr>
          <w:rFonts w:ascii="Times New Roman" w:hAnsi="Times New Roman" w:eastAsia="Times New Roman" w:cs="Times New Roman"/>
          <w:b/>
          <w:bCs/>
          <w:color w:val="121212"/>
          <w:sz w:val="24"/>
          <w:szCs w:val="24"/>
        </w:rPr>
        <w:t>Figure: Socio-Technical Systems Theory</w:t>
      </w:r>
    </w:p>
    <w:p w14:paraId="3FE4C305">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(Source: Trist and Bamforth,1951)</w:t>
      </w:r>
    </w:p>
    <w:p w14:paraId="461A5D66">
      <w:pPr>
        <w:pStyle w:val="4"/>
        <w:rPr>
          <w:color w:val="121212"/>
        </w:rPr>
      </w:pPr>
      <w:bookmarkStart w:id="43" w:name="_Toc240827663"/>
      <w:r>
        <w:rPr>
          <w:color w:val="121212"/>
        </w:rPr>
        <w:t>2.8.2 Application to AI and HRM</w:t>
      </w:r>
      <w:bookmarkEnd w:id="43"/>
    </w:p>
    <w:p w14:paraId="7C7DEFF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Applied to HRM, the technical subsystem has AI recruitment tools, predictive staffing analytics and automated recruitment solutions, generally generative AI and digital learning platforms, and the social subsystem, including HR professionals, managers, employees, trust and values. Recent STS studies, such as Ang, Sankaran and Liu, 2025 have further highlighted the need to design intelligent work systems with human and technological elements simultaneously taken into account. This applies especially to the case of AI, which might zone in on the most trained employee for a task but managers might have documented context knowledge about things like client relationship and career aspirations or team fit that an algorithm doesn't have.</w:t>
      </w:r>
    </w:p>
    <w:p w14:paraId="066ABAE2">
      <w:pPr>
        <w:pStyle w:val="4"/>
        <w:rPr>
          <w:color w:val="121212"/>
        </w:rPr>
      </w:pPr>
      <w:bookmarkStart w:id="44" w:name="_Toc240827664"/>
      <w:r>
        <w:rPr>
          <w:color w:val="121212"/>
        </w:rPr>
        <w:t>2.8.3 AI and socio-technical misalignment</w:t>
      </w:r>
      <w:bookmarkEnd w:id="44"/>
    </w:p>
    <w:p w14:paraId="47902AC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literature indicates that issues arise when the technical subsystem grows at a rate faster than the social subsystem. Recruitment algorithms, for instance, can be highly sophisticated, enhancing processing speeds but HR may not be able to assess algorithmic bias. Likewise, predictive staffing can help increase allocation efficiency, but if suggestions are regarded as management decisions rather than inputs, it can lead to decreased employee autonomy. Algorithmic decision-making in relation to human agency is also mentioned by Meijerink and Bondarouk, 2021. So technological optimisation is only viable if there is a parallel other kind of optimisation, namely the optimisation of skill, governance and trust.</w:t>
      </w:r>
    </w:p>
    <w:p w14:paraId="00C5AA07">
      <w:pPr>
        <w:pStyle w:val="4"/>
        <w:rPr>
          <w:color w:val="121212"/>
        </w:rPr>
      </w:pPr>
      <w:bookmarkStart w:id="45" w:name="_Toc240827665"/>
      <w:r>
        <w:rPr>
          <w:color w:val="121212"/>
        </w:rPr>
        <w:t>2.8.4 STS as a critical lens for Deloitte</w:t>
      </w:r>
      <w:bookmarkEnd w:id="45"/>
    </w:p>
    <w:p w14:paraId="3A18759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Deloitte is ideal for STS because of its AI-powered HR ecosystem, which integrates technology with highly knowledge-intensive manpower. In addition to employee trust, professional judgement, organisational culture and ethical governance, the framework also enables the assessment of recruitment automation, AI-based hiring processes and personalised employee learning and development. Instead of posing the question of whether AI can enhance HR efficiency, STS allows this study to investigate if technological efficiency can be optimally created with human efficiency. It thus directly contributes to addressing the research question, by providing a rationale for the necessity of fitting human oversight, human organisational ability and governance with the capability of the algorithms, in order to make AI work successfully.</w:t>
      </w:r>
    </w:p>
    <w:p w14:paraId="5763A0F5">
      <w:pPr>
        <w:pStyle w:val="3"/>
        <w:rPr>
          <w:color w:val="121212"/>
        </w:rPr>
      </w:pPr>
      <w:bookmarkStart w:id="46" w:name="_Toc240827666"/>
      <w:r>
        <w:rPr>
          <w:color w:val="121212"/>
        </w:rPr>
        <w:t>2.9 Synthesis and Critical Research Gap</w:t>
      </w:r>
      <w:bookmarkEnd w:id="46"/>
    </w:p>
    <w:p w14:paraId="2422B56A">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Research has already demonstrated that AI can boost HR workloads, assist in recruitment, and enhance staff growth and development. Some argue that algorithmic consistency leads to more fairness; others say automation has the potential to enhance employee experience; and some question the accuracy of AI predictions, saying it can't replace managerial judgment. </w:t>
      </w:r>
    </w:p>
    <w:p w14:paraId="6296784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There is a much less good spread of organisation-specific evidence in the large professional services organisations, especially on operational, ethical and cultural consequences. There is also limited prior work that explores the help relationships between human and AI systems, a question that STS theory could help answer. The gaps are bridged by the secondary case study of Deloitte, their journey with AI focusing on recruitment, staffing and L&amp;D practices, along with critically analyzing the fine balance between technology efficiency and human-centred talent management.</w:t>
      </w:r>
    </w:p>
    <w:p w14:paraId="419019CC">
      <w:pPr>
        <w:pStyle w:val="3"/>
        <w:rPr>
          <w:color w:val="121212"/>
        </w:rPr>
      </w:pPr>
      <w:bookmarkStart w:id="47" w:name="_Toc240827667"/>
      <w:r>
        <w:rPr>
          <w:color w:val="121212"/>
        </w:rPr>
        <w:t>2.10 Chapter summary</w:t>
      </w:r>
      <w:bookmarkEnd w:id="47"/>
    </w:p>
    <w:p w14:paraId="503A8C30">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Recent literature shows how AI is reshaping HRM processes such as automated recruitment, predictive workforce planning, staffing, personalised L&amp;D, and data-driven decision making. These developments raise many serious algorithmic bias, privacy, transparency, employee resistance, trust and governance concerns, though. In addition, the evidence also demonstrates that technological efficiencies do not necessarily lead to better human outcomes. Thus, STS theory offers a suitable framework to analyse the potential for joint optimisation of both AI-driven efficiency and HRM that is human-focused, instead of placing the use of AI ahead of the employee.</w:t>
      </w:r>
    </w:p>
    <w:p w14:paraId="7120E88C">
      <w:pPr>
        <w:spacing w:line="360" w:lineRule="auto"/>
        <w:rPr>
          <w:rFonts w:ascii="Times New Roman" w:hAnsi="Times New Roman" w:eastAsia="Times New Roman" w:cs="Times New Roman"/>
          <w:color w:val="121212"/>
          <w:sz w:val="24"/>
          <w:szCs w:val="24"/>
        </w:rPr>
      </w:pPr>
      <w:r>
        <w:rPr>
          <w:color w:val="121212"/>
        </w:rPr>
        <w:br w:type="page"/>
      </w:r>
    </w:p>
    <w:p w14:paraId="16863E45">
      <w:pPr>
        <w:pStyle w:val="2"/>
        <w:rPr>
          <w:color w:val="121212"/>
          <w:sz w:val="24"/>
          <w:szCs w:val="24"/>
        </w:rPr>
      </w:pPr>
      <w:bookmarkStart w:id="48" w:name="_Toc240827668"/>
      <w:r>
        <w:rPr>
          <w:color w:val="121212"/>
        </w:rPr>
        <w:t>Chapter 3: Research Methodology</w:t>
      </w:r>
      <w:bookmarkEnd w:id="48"/>
    </w:p>
    <w:p w14:paraId="370F96D6">
      <w:pPr>
        <w:pStyle w:val="3"/>
        <w:rPr>
          <w:color w:val="121212"/>
        </w:rPr>
      </w:pPr>
      <w:bookmarkStart w:id="49" w:name="_Toc240827669"/>
      <w:r>
        <w:rPr>
          <w:color w:val="121212"/>
        </w:rPr>
        <w:t>3.1 Introduction</w:t>
      </w:r>
      <w:bookmarkEnd w:id="49"/>
    </w:p>
    <w:p w14:paraId="6C1A6B4D">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methodology used for investigating the influence of AI in HRM at Deloitte is explained in this chapter. It analyses the research philosophy, research approach and qualitative secondary research design adopted for the study. It also analyzes the secondary data sources, search and selection criteria, thematic analysis methodology and the use of the STS Theory. The chapter concludes with research reliability and validity, ethical issues and methodological constraints.</w:t>
      </w:r>
    </w:p>
    <w:p w14:paraId="4C9367D3">
      <w:pPr>
        <w:pStyle w:val="3"/>
        <w:rPr>
          <w:color w:val="121212"/>
        </w:rPr>
      </w:pPr>
      <w:bookmarkStart w:id="50" w:name="_Toc240827670"/>
      <w:r>
        <w:rPr>
          <w:color w:val="121212"/>
        </w:rPr>
        <w:t>3.2 Research Philosophy</w:t>
      </w:r>
      <w:bookmarkEnd w:id="50"/>
    </w:p>
    <w:p w14:paraId="4E02F76C">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Interpretivism is used as a research philosophy in this dissertation. Interpretivism is a position which holds that organisations have a reality that exists beyond the mere object, but are defined by the meaning, experience and interactions of people (Sanchez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2023). Thus it is appropriate to consider the use of AI in Human Resource Management (HRM) where the power of technology requires not only seeing in terms of technical aspects, but in terms of how it is used by employees, HR professionals and managers.</w:t>
      </w:r>
    </w:p>
    <w:p w14:paraId="62DAC80B">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4572000" cy="2362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7"/>
                    <a:srcRect/>
                    <a:stretch>
                      <a:fillRect/>
                    </a:stretch>
                  </pic:blipFill>
                  <pic:spPr>
                    <a:xfrm>
                      <a:off x="0" y="0"/>
                      <a:ext cx="4572000" cy="2362200"/>
                    </a:xfrm>
                    <a:prstGeom prst="rect">
                      <a:avLst/>
                    </a:prstGeom>
                  </pic:spPr>
                </pic:pic>
              </a:graphicData>
            </a:graphic>
          </wp:inline>
        </w:drawing>
      </w:r>
    </w:p>
    <w:p w14:paraId="7E3937B7">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b/>
          <w:bCs/>
          <w:color w:val="121212"/>
          <w:sz w:val="24"/>
          <w:szCs w:val="24"/>
        </w:rPr>
        <w:t>Figure 3.2.1: Interpretivism research philosophy </w:t>
      </w:r>
    </w:p>
    <w:p w14:paraId="741B72FE">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(Source: Sanchez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2023)</w:t>
      </w:r>
    </w:p>
    <w:p w14:paraId="5C1782DE">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choice of interpretivism is made due to the investigation of the application of AI in the recruitment process, staffing their workforce, and Learning and Development (L&amp;D) in Deloitte, as well as the consequences for operations, ethics, and culture. For instance, while automated recruitment can improve the speed of CV screening, it may be integrated in the organisations only when applicants and HR professionals feel algorithmic decisions are fair, transparent and explainable (Sim</w:t>
      </w:r>
      <w:r>
        <w:rPr>
          <w:rFonts w:ascii="Times New Roman" w:hAnsi="Times New Roman" w:eastAsia="Times New Roman" w:cs="Times New Roman"/>
          <w:i/>
          <w:iCs/>
          <w:color w:val="121212"/>
          <w:sz w:val="24"/>
          <w:szCs w:val="24"/>
        </w:rPr>
        <w:t xml:space="preserve"> et al. </w:t>
      </w:r>
      <w:r>
        <w:rPr>
          <w:rFonts w:ascii="Times New Roman" w:hAnsi="Times New Roman" w:eastAsia="Times New Roman" w:cs="Times New Roman"/>
          <w:color w:val="121212"/>
          <w:sz w:val="24"/>
          <w:szCs w:val="24"/>
        </w:rPr>
        <w:t>2024). In the same way, talent matching through AI can determine workers based on their abilities and on-hand availability, while managerial discretion may factor in relationships with clients, professional goals, and the mix of people and dynamics among team members. Such activities are social and contextual representativeness which can't be captured entirely by just numbers.</w:t>
      </w:r>
    </w:p>
    <w:p w14:paraId="0D045D9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 positivist philosophy would not be more appropriate, since it focuses on measuring things objectively and quantifying how they relate, e.g. recruitment time, productivity or turnover. These measures would help determine if an outcome shifted but fail to provide much detail about the motivational factors driving employees' trust in, resistance to, or doubt of AI-driven decisions. Although quantitative and qualitative approaches might be combined (Pragmatism), this dissertation does not gather primary quantitative data but rather interprets the existing academic, organisational and regulatory evidence.</w:t>
      </w:r>
    </w:p>
    <w:p w14:paraId="7B86FC49">
      <w:pPr>
        <w:pStyle w:val="3"/>
        <w:rPr>
          <w:color w:val="121212"/>
        </w:rPr>
      </w:pPr>
      <w:bookmarkStart w:id="51" w:name="_Toc240827671"/>
      <w:r>
        <w:rPr>
          <w:color w:val="121212"/>
        </w:rPr>
        <w:t>3.3 Research Approach</w:t>
      </w:r>
      <w:bookmarkEnd w:id="51"/>
    </w:p>
    <w:p w14:paraId="0489709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research method used in this dissertation is inductive (empiric). In an inductive approach, evidence is examined systematically and taken as the basis for developing interpretations that move from the evidence to the broader level. It is especially fitting for this study as the research itself was not meant to test a hypothesis beforehand regarding the statistic abilities of whether Artificial Intelligence (AI) aids Human Resource Management (HRM) (Ngwangwama, 2023). Instead, it investigates how AI is changing Deloitte's recruitment, workforce staffing and Learning and Development (L&amp;D) activities and what operational, ethical and cultural consequences emerge from this change.</w:t>
      </w:r>
    </w:p>
    <w:p w14:paraId="27B0EBE8">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5730875" cy="4064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8"/>
                    <a:srcRect/>
                    <a:stretch>
                      <a:fillRect/>
                    </a:stretch>
                  </pic:blipFill>
                  <pic:spPr>
                    <a:xfrm>
                      <a:off x="0" y="0"/>
                      <a:ext cx="5731200" cy="4064000"/>
                    </a:xfrm>
                    <a:prstGeom prst="rect">
                      <a:avLst/>
                    </a:prstGeom>
                  </pic:spPr>
                </pic:pic>
              </a:graphicData>
            </a:graphic>
          </wp:inline>
        </w:drawing>
      </w:r>
    </w:p>
    <w:p w14:paraId="4956ECB6">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b/>
          <w:bCs/>
          <w:color w:val="121212"/>
          <w:sz w:val="24"/>
          <w:szCs w:val="24"/>
        </w:rPr>
        <w:t>Figure 3.3.1: Inductive research approach steps </w:t>
      </w:r>
    </w:p>
    <w:p w14:paraId="26C3DC42">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(Source: Ngwangwama, 2023)</w:t>
      </w:r>
    </w:p>
    <w:p w14:paraId="42E59729">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selected secondary information sources such as peer-reviewed research papers, publications by the Deloitte, Industry reports and regulatory guidance are used in the inductive approach. In analysis, one doesn't assume that things will look a certain way, one finds them instead (Singh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2025). For example, evidence concerning automated CV screening, recruitment efficiency and scalability can be compared to evidence concerning algorithmic bias, discriminatory outcomes and transparency. Likewise, the literature on AI‐based skills matching and predictive workforce planning can be reviewed together with questions of autonomy of the employees, managerial judgement, and algorithmic control. Findings from the study of AI supported personalised L&amp;D can also be contrasted to those of human mentoring and professional development and employee trust. This helps the study to determine consistent discoveries and differences throughout sources.</w:t>
      </w:r>
    </w:p>
    <w:p w14:paraId="7CE4C8CC">
      <w:pPr>
        <w:pStyle w:val="3"/>
        <w:rPr>
          <w:color w:val="121212"/>
        </w:rPr>
      </w:pPr>
      <w:bookmarkStart w:id="52" w:name="_Toc240827672"/>
      <w:r>
        <w:rPr>
          <w:color w:val="121212"/>
        </w:rPr>
        <w:t>3.4 Research Design</w:t>
      </w:r>
      <w:bookmarkEnd w:id="52"/>
    </w:p>
    <w:p w14:paraId="6FF8303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research design used in this study is a qualitative |secondary research which is focused on the case of Deloitte. This design is chosen because the study is looking for ways to critically analyze the impact of AI on recruitment, staffing of the workforce and Learning and Development (L&amp;D) within Deloitte, as well as the implications of its operational, ethical and cultural integration. The research question must be interpreted by understanding intricate organisational processes and human judgment, as well as considering ethical implications that can only be partially addressed numerically (Cheong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2023). Hence, a qualitative design enables an examination of the evidence related to employee trust, algorithmic fairness, managerial oversight, and organisational culture and human-AI interaction, in addition to reported efficiency gains.</w:t>
      </w:r>
    </w:p>
    <w:p w14:paraId="1F5DD23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study is specifically a secondary study because it doesn't involve primary data from Deloitte employees and HR managers and candidates themselves. The analysis, however, is based on evidence from accepted, peer-reviewed academic research; publicly available, Deloitte reports and publications; industry research and official regulatory and governmental sources. This design is suitable for the study, as the research problem has already been documented in the literature, and organisational reports, too. It can also be used to compare evidence obtained from various source types. For instance, academic studies on algorithmic bias can be compared with Deloitte's assertions on human-centred AI, and the regulatory perspectives on fairness, transparency and human oversight.</w:t>
      </w:r>
    </w:p>
    <w:p w14:paraId="6D558E8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Since Deloitte's business model hinges heavily on knowledge-intensive professional employees, the recruitment, allocation of skills, workforce management and ongoing development of employees is of intrinsic strategic significance to the organization. Its multinational scale also makes AI-enabled HRM relevant to issues of standardisation, governance and cultural differences (Kelly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2024). Moreover, the published human-capital research by Deloitte offers substantial organisation-specific evidence to consider the link between AI and workforce skills and human performance.</w:t>
      </w:r>
    </w:p>
    <w:p w14:paraId="064973AA">
      <w:pPr>
        <w:pStyle w:val="3"/>
        <w:rPr>
          <w:color w:val="121212"/>
        </w:rPr>
      </w:pPr>
      <w:bookmarkStart w:id="53" w:name="_Toc240827673"/>
      <w:r>
        <w:rPr>
          <w:color w:val="121212"/>
        </w:rPr>
        <w:t>3.5 Data Collection</w:t>
      </w:r>
      <w:bookmarkEnd w:id="53"/>
    </w:p>
    <w:p w14:paraId="4AE6F13C">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Due to the nature of the study, in-depth analysis and discussion of an existing body of organisational and academic evidence, the use of secondary data collection is adopted in this dissertation (Li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2023). The data consist of published academic research and publicly available organisational, regulatory and industry documents relevant to AI-enabled Human Resource Management (HRM). The sources were chosen to represent the key areas of the dissertation with respect to ethics and culture, operations and the influence on HR in recruitment, workforce staffing and Learning and Development (L&amp;D).</w:t>
      </w:r>
    </w:p>
    <w:p w14:paraId="18C178A5">
      <w:pPr>
        <w:pStyle w:val="4"/>
        <w:rPr>
          <w:color w:val="121212"/>
        </w:rPr>
      </w:pPr>
      <w:bookmarkStart w:id="54" w:name="_Toc240827674"/>
      <w:r>
        <w:rPr>
          <w:color w:val="121212"/>
        </w:rPr>
        <w:t>3.5.1 Academic Sources</w:t>
      </w:r>
      <w:bookmarkEnd w:id="54"/>
    </w:p>
    <w:p w14:paraId="513E105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Peer-reviewed academically produced literature is the main evidence source. A literature search was conducted on Scopus, Web of Science, ScienceDirect, Google Scholar and university library databases by using combinations of terms related to AI, HRM and the themes of the study. The academic sources are chosen since they contain theoretical and empirical evidence which have been independently reviewed. AI-supported recruitment and CV screening, algorithmic bias and discrimination, predictive workforce analytics, AI-based talent matching, Algorithm based performance management, Personalised learning, Employee autonomy, Transparency, Trust and Human oversight are all topics addressed in the literature. Cappelli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2019 is relevant to the limits of artificial intelligence in HR decisions, as is Kellogg, Valentine and Christin, 2020 for HR algorithmic management and HR control. </w:t>
      </w:r>
    </w:p>
    <w:p w14:paraId="550658A9">
      <w:pPr>
        <w:pStyle w:val="4"/>
        <w:rPr>
          <w:color w:val="121212"/>
        </w:rPr>
      </w:pPr>
      <w:bookmarkStart w:id="55" w:name="_Toc240827675"/>
      <w:r>
        <w:rPr>
          <w:color w:val="121212"/>
        </w:rPr>
        <w:t>3.5.2 Deloitte Organisational Sources</w:t>
      </w:r>
      <w:bookmarkEnd w:id="55"/>
    </w:p>
    <w:p w14:paraId="6F8430E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case-specific evidence comprises Deloitte's published organisational publications. The primary source are the Global Human Capital Trends research and reports by Deloitte, including the 2024 report, which explores human performance, technology, workforce skills, and technology and human capabilities. Any of the Deloitte's publications on AI adoption, human capital, workforce skills, digital transformation or the future of work which explicitly bear relevance to the research objectives are considered. These sources have been chosen for offering evidence of Deloitte's official stance on AI and HR transformation, as published publicly.</w:t>
      </w:r>
    </w:p>
    <w:p w14:paraId="3D55AC4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But here, Deloitte is looked down upon. It reflects the organization's research and business point of view and can therefore highlight the advantages or strategic benefits of AI. Therefore, detailed claims concerning the effectiveness of AI technology are not deemed to be objective evidence of a Deloitte's own results, but are backed by independent academic and regulatory research.</w:t>
      </w:r>
    </w:p>
    <w:p w14:paraId="1ABF9C14">
      <w:pPr>
        <w:pStyle w:val="4"/>
        <w:rPr>
          <w:color w:val="121212"/>
        </w:rPr>
      </w:pPr>
      <w:bookmarkStart w:id="56" w:name="_Toc240827676"/>
      <w:r>
        <w:rPr>
          <w:color w:val="121212"/>
        </w:rPr>
        <w:t>3.5.3 Regulatory and Institutional Sources</w:t>
      </w:r>
      <w:bookmarkEnd w:id="56"/>
    </w:p>
    <w:p w14:paraId="43D3752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Some regulatory evidence is provided to assess the legal and governance challenges of the use of AI in HRM. The study uses guidance from the UK Information Commissioner's Office (ICO) concerning AI, data protection, fairness, transparency, accuracy, security and data minimisation. The new EU AI Act (Regulation (EU) 2024/1689) also applies, since AI systems deployed in recruitment, staff management and administration, promotion, allocation of tasks or monitoring by employees may raise issues concerning their rights regarding work (Shaddiq and Irpan, 2023). These sources act as authoritative benchmarks to which Deloitte's hypothetical implementation of AI-driven HR practices can be compared.</w:t>
      </w:r>
    </w:p>
    <w:p w14:paraId="2241EA07">
      <w:pPr>
        <w:pStyle w:val="4"/>
        <w:rPr>
          <w:color w:val="121212"/>
        </w:rPr>
      </w:pPr>
      <w:bookmarkStart w:id="57" w:name="_Toc240827677"/>
      <w:r>
        <w:rPr>
          <w:color w:val="121212"/>
        </w:rPr>
        <w:t>3.5.4 Industry Sources</w:t>
      </w:r>
      <w:bookmarkEnd w:id="57"/>
    </w:p>
    <w:p w14:paraId="55BBE35C">
      <w:pPr>
        <w:spacing w:line="360" w:lineRule="auto"/>
        <w:rPr>
          <w:rFonts w:ascii="Times New Roman" w:hAnsi="Times New Roman" w:eastAsia="Times New Roman" w:cs="Times New Roman"/>
          <w:color w:val="121212"/>
          <w:sz w:val="24"/>
          <w:szCs w:val="24"/>
        </w:rPr>
      </w:pPr>
    </w:p>
    <w:p w14:paraId="240E31F1">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Academic based research is reinforced, not replaced, by evidence from industry. The reports on AI adoption, HR technology, skills-based organisations and professional services employment offer up-to-date insights into the business landscape within which Deloitte operates. They are especially valuable to determine if problems from academic research also appear as real problems in professional practice.</w:t>
      </w:r>
    </w:p>
    <w:p w14:paraId="4F9EA525">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These four categories of evidence together offer an evidence triangulation. Academic research offers independent and critical evidence, Deloitte publications offer organisation specific evidence, regulatory sources offer legal and Governance expectations and industry reports provide sector context. This mix makes sense because nothing is more complete than combining insights from multiple sources on AI-supported HRM practices as a whole at Deloitte. It also allows that study to detect agreements and disagreements between what Deloitte said in public and objective evidence, thus bolstering the findings of the thematic analysis.</w:t>
      </w:r>
    </w:p>
    <w:p w14:paraId="143257EF">
      <w:pPr>
        <w:pStyle w:val="3"/>
        <w:rPr>
          <w:color w:val="121212"/>
        </w:rPr>
      </w:pPr>
      <w:bookmarkStart w:id="58" w:name="_Toc240827678"/>
      <w:r>
        <w:rPr>
          <w:color w:val="121212"/>
        </w:rPr>
        <w:t>3.6 Search Strategy and Keywords</w:t>
      </w:r>
      <w:bookmarkEnd w:id="58"/>
    </w:p>
    <w:p w14:paraId="6A6416FB">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 search strategy was adopted using a structured approach to identify secondary evidence relevant directly to the research question and objectives. The search was directed at evidence related to applications of AI in HRM, with a particular focus on recruitment, workforce staffing and Learning and Development (L&amp;D), and related implications of operational, ethical, and cultural aspects (Rajashekar and Jain, 2024). Academic literature was searched through Web of Science, ScienceDirect and Google Scholar. Diverse searches were also made for material on Deloitte publications and various regulatory documents.</w:t>
      </w:r>
    </w:p>
    <w:p w14:paraId="1CD28D01">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search terms were grouped into three concept groupings. The first stakeholder group spoke about the technology dimension – “artificial intelligence”, “generative AI”, “machine learning” and “AI-enabled HR”. The second was HRM, encompassing HRM, “recruitment”, “talent acquisition”, “workforce planning”, “talent management” and “learning and development”. The third was the impact dimension, which included “algorithmic bias”, “employee autonomy”, “privacy”, “transparency”, “employee trust”, “organisational culture” and “AI governance”. By bringing all these concepts together the possibility of finding literature that was not related to HRM through AI was reduced.</w:t>
      </w:r>
    </w:p>
    <w:p w14:paraId="54780F77">
      <w:pPr>
        <w:spacing w:before="240" w:after="240" w:line="360" w:lineRule="auto"/>
        <w:jc w:val="both"/>
        <w:rPr>
          <w:rFonts w:ascii="Times New Roman" w:hAnsi="Times New Roman" w:eastAsia="Times New Roman" w:cs="Times New Roman"/>
          <w:color w:val="121212"/>
          <w:sz w:val="24"/>
          <w:szCs w:val="24"/>
        </w:rPr>
      </w:pPr>
    </w:p>
    <w:p w14:paraId="1CF63999">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Boolean AND operator was used to combine different concepts or to focus the results on articles that included both, and OR was employed when different words within one concept are synonymous, for example: “artificial intelligence” OR “generative AI”. Specific phrases like “human resource management” were included in quotation marks to increase the accuracy of the search.</w:t>
      </w:r>
    </w:p>
    <w:p w14:paraId="2D0C759B">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 search strategy was developed with a view to the goals of the dissertation, rather than general searches around the field of AI. This helped to ensure evidence collected was directly relevant to the later thematic analysis of AI in recruitment and staffing, AI in L&amp;D, ethical challenges and AI and organisational culture/human oversight and case-specific evidence for the Deloitte focus with searches of AI, HRM and Deloitte.</w:t>
      </w:r>
    </w:p>
    <w:p w14:paraId="520878AD">
      <w:pPr>
        <w:pStyle w:val="3"/>
        <w:rPr>
          <w:color w:val="121212"/>
        </w:rPr>
      </w:pPr>
      <w:bookmarkStart w:id="59" w:name="_Toc240827679"/>
      <w:r>
        <w:rPr>
          <w:color w:val="121212"/>
        </w:rPr>
        <w:t>3.7 Inclusion and Exclusion Criteria</w:t>
      </w:r>
      <w:bookmarkEnd w:id="59"/>
    </w:p>
    <w:p w14:paraId="2A0A559F">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Selections of secondary sources for analysis follow predefined inclusion/exclusion criteria. The primary publication window is 2020-2026 corresponding with the bursting of AI-driven HRM, including when it comes to machine learning, predictive workforce analytics, and then the newer generative AI. The sources were identified when they could have directly addressed AI in HRM and at least one of the three main areas of HR (AI-supported recruitment and talent acquisition, workforce planning, staffing and talent management, and Learning and Development (L&amp;D)) (Diefenhardt </w:t>
      </w:r>
      <w:r>
        <w:rPr>
          <w:rFonts w:ascii="Times New Roman" w:hAnsi="Times New Roman" w:eastAsia="Times New Roman" w:cs="Times New Roman"/>
          <w:i/>
          <w:iCs/>
          <w:color w:val="121212"/>
          <w:sz w:val="24"/>
          <w:szCs w:val="24"/>
        </w:rPr>
        <w:t>et al.</w:t>
      </w:r>
      <w:r>
        <w:rPr>
          <w:rFonts w:ascii="Times New Roman" w:hAnsi="Times New Roman" w:eastAsia="Times New Roman" w:cs="Times New Roman"/>
          <w:i/>
          <w:iCs/>
          <w:color w:val="121212"/>
        </w:rPr>
        <w:t xml:space="preserve"> </w:t>
      </w:r>
      <w:r>
        <w:rPr>
          <w:rFonts w:ascii="Times New Roman" w:hAnsi="Times New Roman" w:eastAsia="Times New Roman" w:cs="Times New Roman"/>
          <w:color w:val="121212"/>
        </w:rPr>
        <w:t>2025</w:t>
      </w:r>
      <w:r>
        <w:rPr>
          <w:rFonts w:ascii="Times New Roman" w:hAnsi="Times New Roman" w:eastAsia="Times New Roman" w:cs="Times New Roman"/>
          <w:color w:val="121212"/>
          <w:sz w:val="24"/>
          <w:szCs w:val="24"/>
        </w:rPr>
        <w:t>). The authors also included studies to review related consequences such as algorithmic bias, transparency and explainability, employee privacy and autonomy, trust, organizational culture, human oversight and AI governance that directly align with the review goals.</w:t>
      </w:r>
    </w:p>
    <w:p w14:paraId="69838741">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Peer reviewed journal articles and reputable academic journals were preferred that were clearly stating the purpose of the research, basis and theory used, methodology, and findings. Where relevant, sources that included information about AI applications in large, knowledge-intensive or professional services organisations were prioritised as a result of the contextual relevance of Deloitte (Ravi, 2025). Evidence had to connect to the question of research, also go beyond the technical aspect of AI.</w:t>
      </w:r>
    </w:p>
    <w:p w14:paraId="75E8C84A">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An exception to the 2020-2026 period was made for only seminal theoretical sources that were essential to developing the study's theoretical base. These include the following: Trist and Bamforth, 1951 and Bostrom and Heinen, 1977 for the Socio-Technical Systems (STS) Theory. As such, these sources were not included in the contemporary evidence on the use of AI, but rather as theoretical foundations. The paper of Cappelli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2019 was only used because of its immediate foundational role when necessary for research on the impact of AI on HRM.</w:t>
      </w:r>
    </w:p>
    <w:p w14:paraId="7E58AC80">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Sources were rejected if they lacked academic or institutional authority, contained little information needed for critical evaluation, rehearsed an opinion without supporting evidence, reiterated something from another publication, or related to an issue other than HRM. The study did not include non-English sources due to its limited scope to English-language evidence.</w:t>
      </w:r>
    </w:p>
    <w:p w14:paraId="2ADEA0D0">
      <w:pPr>
        <w:pStyle w:val="3"/>
        <w:rPr>
          <w:color w:val="121212"/>
        </w:rPr>
      </w:pPr>
      <w:bookmarkStart w:id="60" w:name="_Toc240827680"/>
      <w:r>
        <w:rPr>
          <w:color w:val="121212"/>
        </w:rPr>
        <w:t>3.8 Data Analysis</w:t>
      </w:r>
      <w:bookmarkEnd w:id="60"/>
    </w:p>
    <w:p w14:paraId="39CC1E36">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Thematic analysis was used for analysing the secondary evidence following Braun and Clarke’s, 2006 six phases. This approach was chosen due to the fact that the dissertation investigates various aspects of HRM with AI in various types of sources, and not a statistical relation. Capable of recognising rules and variations within evidence on Deloitte's recruiting and workforce planning and staffing, L&amp;D and the ensuing operational, ethical, and cultural implications of AI. The analysis was systematic and sufficiently flexible to allow for discovery of findings that were not anticipated.</w:t>
      </w:r>
    </w:p>
    <w:p w14:paraId="66AFBE81">
      <w:pPr>
        <w:spacing w:line="360" w:lineRule="auto"/>
        <w:rPr>
          <w:rFonts w:ascii="Times New Roman" w:hAnsi="Times New Roman" w:eastAsia="Times New Roman" w:cs="Times New Roman"/>
          <w:color w:val="121212"/>
          <w:sz w:val="24"/>
          <w:szCs w:val="24"/>
        </w:rPr>
      </w:pPr>
    </w:p>
    <w:p w14:paraId="7F2C403D">
      <w:pPr>
        <w:pStyle w:val="4"/>
        <w:rPr>
          <w:color w:val="121212"/>
        </w:rPr>
      </w:pPr>
      <w:bookmarkStart w:id="61" w:name="_Toc240827681"/>
      <w:r>
        <w:rPr>
          <w:color w:val="121212"/>
        </w:rPr>
        <w:t>3.8.1 Phase 1: Familiarisation</w:t>
      </w:r>
      <w:bookmarkEnd w:id="61"/>
    </w:p>
    <w:p w14:paraId="5FA95B25">
      <w:pPr>
        <w:spacing w:line="360" w:lineRule="auto"/>
        <w:rPr>
          <w:rFonts w:ascii="Times New Roman" w:hAnsi="Times New Roman" w:eastAsia="Times New Roman" w:cs="Times New Roman"/>
          <w:color w:val="121212"/>
          <w:sz w:val="24"/>
          <w:szCs w:val="24"/>
        </w:rPr>
      </w:pPr>
    </w:p>
    <w:p w14:paraId="7F1A855C">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First, academic studies and publications by Deloitte, as well as reports and documents from legislators and industry, were read a number of times. Particular focus was placed on evidence related to screening, recruitment automation, skills matching, predictive workforce analytics, personalised learning, efficiency, algorithmic bias and discrimination, privacy, transparency, surveillance, employee autonomy, trust, resistance and human oversight (Thomas, 2024). Findings and recurring arguments linked to the topic were noted for comparison between the sources.</w:t>
      </w:r>
    </w:p>
    <w:p w14:paraId="377B2258">
      <w:pPr>
        <w:spacing w:line="360" w:lineRule="auto"/>
        <w:jc w:val="center"/>
        <w:rPr>
          <w:rFonts w:ascii="Times New Roman" w:hAnsi="Times New Roman" w:eastAsia="Times New Roman" w:cs="Times New Roman"/>
          <w:color w:val="121212"/>
          <w:sz w:val="24"/>
          <w:szCs w:val="24"/>
        </w:rPr>
      </w:pPr>
    </w:p>
    <w:p w14:paraId="09E150A1">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5730875" cy="2120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9"/>
                    <a:srcRect/>
                    <a:stretch>
                      <a:fillRect/>
                    </a:stretch>
                  </pic:blipFill>
                  <pic:spPr>
                    <a:xfrm>
                      <a:off x="0" y="0"/>
                      <a:ext cx="5731200" cy="2120900"/>
                    </a:xfrm>
                    <a:prstGeom prst="rect">
                      <a:avLst/>
                    </a:prstGeom>
                  </pic:spPr>
                </pic:pic>
              </a:graphicData>
            </a:graphic>
          </wp:inline>
        </w:drawing>
      </w:r>
      <w:r>
        <w:rPr>
          <w:rFonts w:ascii="Times New Roman" w:hAnsi="Times New Roman" w:eastAsia="Times New Roman" w:cs="Times New Roman"/>
          <w:b/>
          <w:bCs/>
          <w:color w:val="121212"/>
          <w:sz w:val="24"/>
          <w:szCs w:val="24"/>
        </w:rPr>
        <w:t>Figure 3.8.1: Steps of thematic analysis </w:t>
      </w:r>
    </w:p>
    <w:p w14:paraId="23DEEEFB">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(Source: Thomas, 2024)</w:t>
      </w:r>
    </w:p>
    <w:p w14:paraId="3A82D964">
      <w:pPr>
        <w:pStyle w:val="4"/>
        <w:rPr>
          <w:color w:val="121212"/>
        </w:rPr>
      </w:pPr>
      <w:bookmarkStart w:id="62" w:name="_Toc240827682"/>
      <w:r>
        <w:rPr>
          <w:color w:val="121212"/>
        </w:rPr>
        <w:t>3.8.2 Phase 2: Generating Initial Codes</w:t>
      </w:r>
      <w:bookmarkEnd w:id="62"/>
    </w:p>
    <w:p w14:paraId="48DAB2BC">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Subsequent 'meaningful concepts' were then coded with preliminary 'codes' to the findings in the secondary evidence. These ranged from automation, reduction in time, efficiency, scalability, AI screening, skills matching, predictive analytics, algorithmic bias, past datasets, discrimination, privacy, transparency and surveillance as well as employee autonomy, human oversight, employee trust, resistance and AI skills and personalised learning (Kakar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2023). Coding was coded to highlight the significance of the findings reported and not to just indicate word frequency.</w:t>
      </w:r>
    </w:p>
    <w:p w14:paraId="0907B53C">
      <w:pPr>
        <w:spacing w:line="360" w:lineRule="auto"/>
        <w:rPr>
          <w:rFonts w:ascii="Times New Roman" w:hAnsi="Times New Roman" w:eastAsia="Times New Roman" w:cs="Times New Roman"/>
          <w:color w:val="121212"/>
          <w:sz w:val="24"/>
          <w:szCs w:val="24"/>
        </w:rPr>
      </w:pPr>
    </w:p>
    <w:p w14:paraId="07C07799">
      <w:pPr>
        <w:pStyle w:val="4"/>
        <w:rPr>
          <w:color w:val="121212"/>
        </w:rPr>
      </w:pPr>
      <w:bookmarkStart w:id="63" w:name="_Toc240827683"/>
      <w:r>
        <w:rPr>
          <w:color w:val="121212"/>
        </w:rPr>
        <w:t>3.8.3 Phase 3: Searching for Themes</w:t>
      </w:r>
      <w:bookmarkEnd w:id="63"/>
    </w:p>
    <w:p w14:paraId="7DB8CFEA">
      <w:pPr>
        <w:spacing w:line="360" w:lineRule="auto"/>
        <w:rPr>
          <w:rFonts w:ascii="Times New Roman" w:hAnsi="Times New Roman" w:eastAsia="Times New Roman" w:cs="Times New Roman"/>
          <w:color w:val="121212"/>
          <w:sz w:val="24"/>
          <w:szCs w:val="24"/>
        </w:rPr>
      </w:pPr>
    </w:p>
    <w:p w14:paraId="360D5213">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codes were then aggregated into larger themes. For instance, automation, efficiency, reduction in time and scalability were combined in the creation of the category of operational efficiency through AI. Likewise, algorithmic bias, historical data, discrimination and fairness were combined into algorithmic fairness and ethical risk (Lochmiller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2026). Through this process, individual findings from multiple sources could be linked to broader patterns which had relevance to the objectives of that research.</w:t>
      </w:r>
    </w:p>
    <w:p w14:paraId="3812655D">
      <w:pPr>
        <w:spacing w:line="360" w:lineRule="auto"/>
        <w:rPr>
          <w:rFonts w:ascii="Times New Roman" w:hAnsi="Times New Roman" w:eastAsia="Times New Roman" w:cs="Times New Roman"/>
          <w:color w:val="121212"/>
          <w:sz w:val="24"/>
          <w:szCs w:val="24"/>
        </w:rPr>
      </w:pPr>
    </w:p>
    <w:p w14:paraId="34C77F0C">
      <w:pPr>
        <w:pStyle w:val="4"/>
        <w:rPr>
          <w:color w:val="121212"/>
        </w:rPr>
      </w:pPr>
      <w:bookmarkStart w:id="64" w:name="_Toc240827684"/>
      <w:r>
        <w:rPr>
          <w:color w:val="121212"/>
        </w:rPr>
        <w:t>3.8.4 Phase 4: Reviewing Themes</w:t>
      </w:r>
      <w:bookmarkEnd w:id="64"/>
    </w:p>
    <w:p w14:paraId="6461B62A">
      <w:pPr>
        <w:spacing w:line="360" w:lineRule="auto"/>
        <w:rPr>
          <w:rFonts w:ascii="Times New Roman" w:hAnsi="Times New Roman" w:eastAsia="Times New Roman" w:cs="Times New Roman"/>
          <w:color w:val="121212"/>
          <w:sz w:val="24"/>
          <w:szCs w:val="24"/>
        </w:rPr>
      </w:pPr>
    </w:p>
    <w:p w14:paraId="13965C0D">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Any emerging themes were substantiated by referring to the original evidence, and were shown to be substantially supported, internally coherent and distinct. Deliberate efforts have been made to not discard contradictory findings. When weighing evidence about whether AI can enhance recruitment consistency against evidence of higher discrimination from historical data, for instance, the benefits and risks must both be compared.</w:t>
      </w:r>
    </w:p>
    <w:p w14:paraId="0A561CB1">
      <w:pPr>
        <w:spacing w:line="360" w:lineRule="auto"/>
        <w:rPr>
          <w:rFonts w:ascii="Times New Roman" w:hAnsi="Times New Roman" w:eastAsia="Times New Roman" w:cs="Times New Roman"/>
          <w:color w:val="121212"/>
          <w:sz w:val="24"/>
          <w:szCs w:val="24"/>
        </w:rPr>
      </w:pPr>
    </w:p>
    <w:p w14:paraId="24976E18">
      <w:pPr>
        <w:pStyle w:val="4"/>
        <w:rPr>
          <w:color w:val="121212"/>
        </w:rPr>
      </w:pPr>
      <w:bookmarkStart w:id="65" w:name="_Toc240827685"/>
      <w:r>
        <w:rPr>
          <w:color w:val="121212"/>
        </w:rPr>
        <w:t>3.8.5 Phase 5: Defining and Naming Themes</w:t>
      </w:r>
      <w:bookmarkEnd w:id="65"/>
    </w:p>
    <w:p w14:paraId="6067669C">
      <w:pPr>
        <w:spacing w:line="360" w:lineRule="auto"/>
        <w:rPr>
          <w:rFonts w:ascii="Times New Roman" w:hAnsi="Times New Roman" w:eastAsia="Times New Roman" w:cs="Times New Roman"/>
          <w:color w:val="121212"/>
          <w:sz w:val="24"/>
          <w:szCs w:val="24"/>
        </w:rPr>
      </w:pPr>
    </w:p>
    <w:p w14:paraId="79D84AFB">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themes were finalized into six themes: (1) AI-driven operational efficiency; (2) algorithmic bias, fairness and transparency; (3) AI-enabled workforce planning and talent management; (4) human-AI collaboration, autonomy and trust; (5) AI-enabled learning and changing HR roles; and (6) socio-technical alignment and governance.</w:t>
      </w:r>
    </w:p>
    <w:p w14:paraId="79C176FE">
      <w:pPr>
        <w:pStyle w:val="4"/>
        <w:rPr>
          <w:color w:val="121212"/>
        </w:rPr>
      </w:pPr>
      <w:bookmarkStart w:id="66" w:name="_Toc240827686"/>
      <w:r>
        <w:rPr>
          <w:color w:val="121212"/>
        </w:rPr>
        <w:t>3.8.6 Phase 6: Producing the Analysis</w:t>
      </w:r>
      <w:bookmarkEnd w:id="66"/>
    </w:p>
    <w:p w14:paraId="0DFED933">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final themes will organize Chapter 4, in which the results of the secondary sources will be analyzed and by means of synthesis compared and combined. The findings will then be interpreted in Chapter 5 with reference to STS Theory with a consideration of the extent to which Deloitte's technological capabilities match human judgement, employees' autonomy, organisational culture, trust and governance. This is secondary research and the analysis is identifying patterns across the published evidence, concepts and findings not coding interviews or participant responses.</w:t>
      </w:r>
    </w:p>
    <w:p w14:paraId="04DF34CD">
      <w:pPr>
        <w:pStyle w:val="3"/>
        <w:rPr>
          <w:color w:val="121212"/>
        </w:rPr>
      </w:pPr>
      <w:bookmarkStart w:id="67" w:name="_Toc240827687"/>
      <w:r>
        <w:rPr>
          <w:color w:val="121212"/>
        </w:rPr>
        <w:t>3.9 Application of the Socio-Technical Systems Theory</w:t>
      </w:r>
      <w:bookmarkEnd w:id="67"/>
    </w:p>
    <w:p w14:paraId="01F94397">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Socio-Technical Systems (STS) Theory represents the main theoretical interpretative lens to understand the relationship between AI technology and human-centred HRM. The theory of Trist and Bamforth, 1951 and later expanded by Bostrom and Heinen, 1977 claims that organizational effectiveness requires the co-ordination between technical and social subsystems, not just optimization of technology.</w:t>
      </w:r>
    </w:p>
    <w:p w14:paraId="52A2A44A">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technical subsystem in this study entails the technologies of HR which may be leveraged and are powered by AI, such as automated CV screening and recruitment systems, predictive workforce analytics, AI-powered talent matching, and generative AI and personalised L&amp;D platforms. These technologies are analyzed together with their usefulness to enhance processing speed, skill identification, workforce allocation, personalization and scalability.</w:t>
      </w:r>
    </w:p>
    <w:p w14:paraId="448579B6">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social subsystem includes HR professionals, managers and employees along with organisational culture, employee trust, autonomy, professional judgement, and workplace relations (Konovalova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2022). These are all factors to take into account for the reason that the suggestions made by AI have a prospective impact on recruitment, assignments, measurements, and progression.</w:t>
      </w:r>
    </w:p>
    <w:p w14:paraId="4F9B08E4">
      <w:pP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Therefore, the analysis is based on the idea of a joint optimisation, the aspiration being to enhance AI-driven HR efficiency without compromising the social system. The increased efficiency and uniformity of project staffing using AI, for instance, can also lead to a decrease in employee autonomy, trust and management discretion. STS therefore allows the dissertation to evaluate if Deloitte's HRM through the lens of AI is an integration of humans and AI or if it is a form of technological optimisation without adequate social alignment</w:t>
      </w:r>
    </w:p>
    <w:p w14:paraId="09B10180">
      <w:pPr>
        <w:pStyle w:val="3"/>
        <w:rPr>
          <w:color w:val="121212"/>
        </w:rPr>
      </w:pPr>
      <w:bookmarkStart w:id="68" w:name="_Toc240827688"/>
      <w:r>
        <w:rPr>
          <w:color w:val="121212"/>
        </w:rPr>
        <w:t>3.10 Reliability and Validity</w:t>
      </w:r>
      <w:bookmarkEnd w:id="68"/>
      <w:r>
        <w:rPr>
          <w:color w:val="121212"/>
        </w:rPr>
        <w:t> </w:t>
      </w:r>
    </w:p>
    <w:p w14:paraId="669349D7">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In this qualitative secondary study type, reliability is maintained by consistency and transparency of the research process. The academic, Deloitte, regulatory and industry evidence were treated identically in terms of search concepts, publication period, inclusion/exclusion and source-selection. Thematic analysis is the use of Braun and Clarke’s six phases also offers a systematic approach for identifying and categorizing concepts that occur repeatedly.</w:t>
      </w:r>
    </w:p>
    <w:p w14:paraId="3B849BBE">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Validity is supported by the triangulation of sources, comparing research by several independent, peer-reviewed sources with Deloitte publications, regulatory guidance and industry evidence. This helps to minimize bias and helps to differentiate information that is in conflict. Validity is also enlisted by directly linking themes with the research objectives and research question (Koturanova and Shapa, 2025). The study is based on publicly available secondary evidence, however, it is unable to substantiate the assumptions that the implementation of HR practices internally at Deloitte and its impacts of the effects of AI are complete.</w:t>
      </w:r>
    </w:p>
    <w:p w14:paraId="69578B4F">
      <w:pPr>
        <w:pStyle w:val="3"/>
        <w:rPr>
          <w:color w:val="121212"/>
        </w:rPr>
      </w:pPr>
      <w:bookmarkStart w:id="69" w:name="_Toc240827689"/>
      <w:r>
        <w:rPr>
          <w:color w:val="121212"/>
        </w:rPr>
        <w:t>3.11 Ethical Considerations</w:t>
      </w:r>
      <w:bookmarkEnd w:id="69"/>
    </w:p>
    <w:p w14:paraId="5E8833E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As this dissertation uses secondary research only, no human participants are recruited and no interviews, questionnaires or personal participant data are collected. As such, the risks of informed consent, subject matter confidentiality, and actual psychological or social injury are confined. However, ethics is still important in the research process. Sources are referenced in an appropriate way (using Harvard style), plagiarism and manipulation of evidence are avoided (Khurana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2025). Contradictory findings are presented instead of being removed so as to support balanced interpretation. A special and particular attention is paid to Deloitte evidence: claims made by the company are clearly separated from the findings drawn by the Deloitte itself and the use of publicly accessible information does not constitute Deloitte's confidential HR findings.</w:t>
      </w:r>
    </w:p>
    <w:p w14:paraId="2A3B4B4E">
      <w:pPr>
        <w:pStyle w:val="3"/>
        <w:rPr>
          <w:color w:val="121212"/>
        </w:rPr>
      </w:pPr>
      <w:bookmarkStart w:id="70" w:name="_Toc240827690"/>
      <w:r>
        <w:rPr>
          <w:color w:val="121212"/>
        </w:rPr>
        <w:t>3.12 Methodological Limitations</w:t>
      </w:r>
      <w:bookmarkEnd w:id="70"/>
    </w:p>
    <w:p w14:paraId="3FC4BFE2">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first problem with using secondary data is that the researcher does not have the opportunity to ask questions to follow up the data or receive information that was not published. Secondly, the limited access of public to Deloitte's internal HR systems and experience makes it narrowly possible to draw organisation specific conclusions about employee experience and AI decision making (Sony </w:t>
      </w:r>
      <w:r>
        <w:rPr>
          <w:rFonts w:ascii="Times New Roman" w:hAnsi="Times New Roman" w:eastAsia="Times New Roman" w:cs="Times New Roman"/>
          <w:i/>
          <w:iCs/>
          <w:color w:val="121212"/>
          <w:sz w:val="24"/>
          <w:szCs w:val="24"/>
        </w:rPr>
        <w:t xml:space="preserve">et al. </w:t>
      </w:r>
      <w:r>
        <w:rPr>
          <w:rFonts w:ascii="Times New Roman" w:hAnsi="Times New Roman" w:eastAsia="Times New Roman" w:cs="Times New Roman"/>
          <w:color w:val="121212"/>
          <w:sz w:val="24"/>
          <w:szCs w:val="24"/>
        </w:rPr>
        <w:t>2025). Thirdly, publication bias may bias the types of studies that are more conspicuous than the ones that are of limited or insignificant effect. Fourth, the conclusions that derive from these findings might not be applicable in the future as AI technologies and laws are rapidly changing. Lastly, the case context restricts generalisability because the outcomes of a very large professional-services firm may not extend as readily to SMEs or other industries.</w:t>
      </w:r>
    </w:p>
    <w:p w14:paraId="7A02250D">
      <w:pPr>
        <w:pStyle w:val="3"/>
        <w:rPr>
          <w:color w:val="121212"/>
        </w:rPr>
      </w:pPr>
      <w:bookmarkStart w:id="71" w:name="_Toc240827691"/>
      <w:r>
        <w:rPr>
          <w:color w:val="121212"/>
        </w:rPr>
        <w:t>3.13 Chapter Summary</w:t>
      </w:r>
      <w:bookmarkEnd w:id="71"/>
    </w:p>
    <w:p w14:paraId="3F546FC4">
      <w:pP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chapter provided a methodological basis with interpretivist philosophy, inductive approach and qualitative secondary case-study design which focused on Deloitte. It explained on the evidence search and selection process, thematic analysis and STS analytical lens, reliability and validity and ethical considerations and limitations. The results of the secondary evidence is presented in Chapter 4.</w:t>
      </w:r>
    </w:p>
    <w:p w14:paraId="2550786A">
      <w:pP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br w:type="page"/>
      </w:r>
    </w:p>
    <w:p w14:paraId="1B28358E">
      <w:pPr>
        <w:pStyle w:val="2"/>
        <w:rPr>
          <w:color w:val="121212"/>
        </w:rPr>
      </w:pPr>
      <w:bookmarkStart w:id="72" w:name="_Toc240827692"/>
      <w:bookmarkStart w:id="73" w:name="_Toc240033962"/>
      <w:r>
        <w:rPr>
          <w:color w:val="121212"/>
        </w:rPr>
        <w:t>CHAPTER 4: FINDINGS AND THEMATIC ANALYSIS</w:t>
      </w:r>
      <w:bookmarkEnd w:id="72"/>
      <w:bookmarkEnd w:id="73"/>
    </w:p>
    <w:p w14:paraId="709B4127">
      <w:pPr>
        <w:spacing w:line="360" w:lineRule="auto"/>
        <w:rPr>
          <w:rFonts w:ascii="Times New Roman" w:hAnsi="Times New Roman" w:eastAsia="Times New Roman" w:cs="Times New Roman"/>
          <w:color w:val="121212"/>
          <w:sz w:val="24"/>
          <w:szCs w:val="24"/>
        </w:rPr>
      </w:pPr>
    </w:p>
    <w:p w14:paraId="0F1F7AB2">
      <w:pPr>
        <w:pStyle w:val="3"/>
        <w:rPr>
          <w:color w:val="121212"/>
        </w:rPr>
      </w:pPr>
      <w:bookmarkStart w:id="74" w:name="_jz850vvd100d" w:colFirst="0" w:colLast="0"/>
      <w:bookmarkEnd w:id="74"/>
      <w:bookmarkStart w:id="75" w:name="_Toc240827693"/>
      <w:bookmarkStart w:id="76" w:name="_Toc240033963"/>
      <w:r>
        <w:rPr>
          <w:color w:val="121212"/>
        </w:rPr>
        <w:t>4.1 Introduction</w:t>
      </w:r>
      <w:bookmarkEnd w:id="75"/>
      <w:bookmarkEnd w:id="76"/>
    </w:p>
    <w:p w14:paraId="45B2A627">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secondary evidence analysis of the influence of Artificial Intelligence (AI) on Human Resource Management (HRM) at Deloitte will be presented in this chapter. The analysis exclusively focuses on three areas of HRM identified during the research objective which were recruitment, staffing of workforce in HRM and Learning and Development (L&amp;D) and discusses the ethical and cultural implications along with operational consequences of using AI. Sources of evidence analysed include academic research papers, Deloitte publications, regulatory and institutional sources, and industry relevant evidence. The findings have been analysed and clustered according to themes to highlight commonalities, points of convergence and points of conflict between the evidence.</w:t>
      </w:r>
    </w:p>
    <w:p w14:paraId="719CF570">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Six themes emerged from the analysis: AI-driven operational efficiency, algorithmic bias, transparency, AI-enabled workforce planning and talent management, human-AI collaboration, autonomy and trust, AI-enabled learning and changing HR roles, and socio-technical alignment and governance. The rest of the chapter follows in terms of the theme structure. Evidence reporting and synthesis is the focus of the chapter, and deeper interpretation using Socio-Technical Systems Theory and the comparison to the substantive literature in Chapter 5.</w:t>
      </w:r>
    </w:p>
    <w:p w14:paraId="2D80D0A3">
      <w:pPr>
        <w:pStyle w:val="3"/>
        <w:rPr>
          <w:color w:val="121212"/>
        </w:rPr>
      </w:pPr>
      <w:bookmarkStart w:id="77" w:name="_mk79ee76tcvy" w:colFirst="0" w:colLast="0"/>
      <w:bookmarkEnd w:id="77"/>
      <w:bookmarkStart w:id="78" w:name="_Toc240827694"/>
      <w:bookmarkStart w:id="79" w:name="_Toc240033964"/>
      <w:r>
        <w:rPr>
          <w:color w:val="121212"/>
        </w:rPr>
        <w:t>4.2 Overview of the Secondary Evidence</w:t>
      </w:r>
      <w:bookmarkEnd w:id="78"/>
      <w:bookmarkEnd w:id="79"/>
    </w:p>
    <w:p w14:paraId="41D0B5F0">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chapter's findings are derived from a structured body of secondary data that have been carefully selected to cover the impact of artificial intelligence (AI) on the efficiency of human resource management (HRM), employee planning, recruitment, learning and development, and decision making. These are ten peer-reviewed academic research publications from 2024-2025, and are the core evidence. The examples are systematic and scoping reviews, empirical research, grounded-theory research and risk-focused analysis, to provide different forms of evidence, not relying on a single research method. For instance,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synthesized 43 peer-reviewed articles and Bositkhanova and Dadaboyev, 2025 reviewed 13 articles out of 1,132 records after using the PRISMA guidelines. This gives an overall knowledge in the evidence base and the findings can be compared for consistency and disagreement.</w:t>
      </w:r>
    </w:p>
    <w:p w14:paraId="7EE07EEB">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quantitative evidence gives a numerical aspect to the qualitative and review evidence. For example Nawaz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used SPSS and AMOS in their study to explore relationships between AI characteristics with time-saving and cost reduction for 274 IT employees in Chennai. Other examples come from practitioner insights, such as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who interviewed 39 HR specialists and AI creators regarding human supervision and dealing with bias. The evidence base, therefore, draws on a range of organisational experiences, empirical research and the findings of the previous research.</w:t>
      </w:r>
    </w:p>
    <w:p w14:paraId="0571E932">
      <w:pPr>
        <w:spacing w:line="360" w:lineRule="auto"/>
        <w:rPr>
          <w:rFonts w:ascii="Times New Roman" w:hAnsi="Times New Roman" w:eastAsia="Times New Roman" w:cs="Times New Roman"/>
          <w:color w:val="121212"/>
          <w:sz w:val="24"/>
          <w:szCs w:val="24"/>
        </w:rPr>
      </w:pPr>
    </w:p>
    <w:p w14:paraId="7E0BE553">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In addition to academic evidence, Deloitte's Human Capital Trends 2025 offers industry/consultancy evidence drawn from nearly 10,000 business and HR leaders in 93 countries, thereby enabling the academic evidence to be evaluated against the broader trends in organisations. Additionally, regulatory considerations are important since employment-related AI tools, such as recruitment or workforce-management systems, are increasingly becoming more governed, transparent, and human-oversight driven.</w:t>
      </w:r>
    </w:p>
    <w:p w14:paraId="296989E7">
      <w:pPr>
        <w:spacing w:line="360" w:lineRule="auto"/>
        <w:rPr>
          <w:rFonts w:ascii="Times New Roman" w:hAnsi="Times New Roman" w:eastAsia="Times New Roman" w:cs="Times New Roman"/>
          <w:color w:val="121212"/>
          <w:sz w:val="24"/>
          <w:szCs w:val="24"/>
        </w:rPr>
      </w:pPr>
    </w:p>
    <w:p w14:paraId="50DC3A5C">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5762625" cy="482917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referRelativeResize="0"/>
                  </pic:nvPicPr>
                  <pic:blipFill>
                    <a:blip r:embed="rId10"/>
                    <a:srcRect/>
                    <a:stretch>
                      <a:fillRect/>
                    </a:stretch>
                  </pic:blipFill>
                  <pic:spPr>
                    <a:xfrm>
                      <a:off x="0" y="0"/>
                      <a:ext cx="5762625" cy="4829175"/>
                    </a:xfrm>
                    <a:prstGeom prst="rect">
                      <a:avLst/>
                    </a:prstGeom>
                  </pic:spPr>
                </pic:pic>
              </a:graphicData>
            </a:graphic>
          </wp:inline>
        </w:drawing>
      </w:r>
    </w:p>
    <w:p w14:paraId="2BB7B44A">
      <w:pPr>
        <w:spacing w:line="360" w:lineRule="auto"/>
        <w:rPr>
          <w:rFonts w:ascii="Times New Roman" w:hAnsi="Times New Roman" w:eastAsia="Times New Roman" w:cs="Times New Roman"/>
          <w:b/>
          <w:bCs/>
          <w:color w:val="121212"/>
          <w:sz w:val="24"/>
          <w:szCs w:val="24"/>
        </w:rPr>
      </w:pPr>
      <w:r>
        <w:rPr>
          <w:rFonts w:ascii="Times New Roman" w:hAnsi="Times New Roman" w:eastAsia="Times New Roman" w:cs="Times New Roman"/>
          <w:b/>
          <w:bCs/>
          <w:color w:val="121212"/>
          <w:sz w:val="24"/>
          <w:szCs w:val="24"/>
        </w:rPr>
        <w:drawing>
          <wp:inline distT="114300" distB="114300" distL="114300" distR="114300">
            <wp:extent cx="5791200" cy="38862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referRelativeResize="0"/>
                  </pic:nvPicPr>
                  <pic:blipFill>
                    <a:blip r:embed="rId11"/>
                    <a:srcRect/>
                    <a:stretch>
                      <a:fillRect/>
                    </a:stretch>
                  </pic:blipFill>
                  <pic:spPr>
                    <a:xfrm>
                      <a:off x="0" y="0"/>
                      <a:ext cx="5791200" cy="3886200"/>
                    </a:xfrm>
                    <a:prstGeom prst="rect">
                      <a:avLst/>
                    </a:prstGeom>
                  </pic:spPr>
                </pic:pic>
              </a:graphicData>
            </a:graphic>
          </wp:inline>
        </w:drawing>
      </w:r>
    </w:p>
    <w:p w14:paraId="418C3EB1">
      <w:pPr>
        <w:spacing w:line="360" w:lineRule="auto"/>
        <w:jc w:val="center"/>
        <w:rPr>
          <w:color w:val="121212"/>
        </w:rPr>
      </w:pPr>
      <w:bookmarkStart w:id="80" w:name="_k10ttygxwgme" w:colFirst="0" w:colLast="0"/>
      <w:bookmarkEnd w:id="80"/>
      <w:r>
        <w:rPr>
          <w:color w:val="121212"/>
        </w:rPr>
        <w:drawing>
          <wp:inline distT="114300" distB="114300" distL="114300" distR="114300">
            <wp:extent cx="4638675" cy="51816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12"/>
                    <a:srcRect/>
                    <a:stretch>
                      <a:fillRect/>
                    </a:stretch>
                  </pic:blipFill>
                  <pic:spPr>
                    <a:xfrm>
                      <a:off x="0" y="0"/>
                      <a:ext cx="4638675" cy="5181600"/>
                    </a:xfrm>
                    <a:prstGeom prst="rect">
                      <a:avLst/>
                    </a:prstGeom>
                  </pic:spPr>
                </pic:pic>
              </a:graphicData>
            </a:graphic>
          </wp:inline>
        </w:drawing>
      </w:r>
      <w:r>
        <w:rPr>
          <w:color w:val="121212"/>
        </w:rPr>
        <w:br w:type="textWrapping"/>
      </w:r>
    </w:p>
    <w:p w14:paraId="3C4DF4E7">
      <w:pPr>
        <w:pStyle w:val="3"/>
        <w:rPr>
          <w:color w:val="121212"/>
        </w:rPr>
      </w:pPr>
      <w:bookmarkStart w:id="81" w:name="_Toc240033965"/>
      <w:bookmarkStart w:id="82" w:name="_Toc240827695"/>
      <w:r>
        <w:rPr>
          <w:color w:val="121212"/>
        </w:rPr>
        <w:t>4.3 Theme 1: AI-Driven Operational Efficiency</w:t>
      </w:r>
      <w:bookmarkEnd w:id="81"/>
      <w:bookmarkEnd w:id="82"/>
    </w:p>
    <w:p w14:paraId="15B90B47">
      <w:pPr>
        <w:spacing w:line="360" w:lineRule="auto"/>
        <w:rPr>
          <w:rFonts w:ascii="Times New Roman" w:hAnsi="Times New Roman" w:eastAsia="Times New Roman" w:cs="Times New Roman"/>
          <w:color w:val="121212"/>
          <w:sz w:val="24"/>
          <w:szCs w:val="24"/>
        </w:rPr>
      </w:pPr>
    </w:p>
    <w:p w14:paraId="76F24F99">
      <w:pPr>
        <w:pStyle w:val="4"/>
        <w:rPr>
          <w:color w:val="121212"/>
        </w:rPr>
      </w:pPr>
      <w:bookmarkStart w:id="83" w:name="_p9hz8sfntokn" w:colFirst="0" w:colLast="0"/>
      <w:bookmarkEnd w:id="83"/>
      <w:bookmarkStart w:id="84" w:name="_Toc240827696"/>
      <w:bookmarkStart w:id="85" w:name="_Toc240033966"/>
      <w:r>
        <w:rPr>
          <w:color w:val="121212"/>
        </w:rPr>
        <w:t>4.3.1 Recruitment efficiency</w:t>
      </w:r>
      <w:bookmarkEnd w:id="84"/>
      <w:bookmarkEnd w:id="85"/>
    </w:p>
    <w:p w14:paraId="48E4923F">
      <w:pPr>
        <w:spacing w:line="360" w:lineRule="auto"/>
        <w:rPr>
          <w:rFonts w:ascii="Times New Roman" w:hAnsi="Times New Roman" w:eastAsia="Times New Roman" w:cs="Times New Roman"/>
          <w:color w:val="121212"/>
          <w:sz w:val="24"/>
          <w:szCs w:val="24"/>
        </w:rPr>
      </w:pPr>
    </w:p>
    <w:p w14:paraId="03CB69DC">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Recruitment consistently emerges as top of the list for HR practices where AI is well suited to automate.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based on a scoping review of 43 peer-reviewed studies, report that AI can automatically filter and rank CVs, schedule interviews and respond to candidates through chatbots. This can lower repetitive admin tasks, as well as giving HR personnel time to focus on more valuable activities. Bastida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also identify recruitment as a space for AI to shift HR from automation to augmentation, alongside some barriers to implementation such as resistance, technostress and algorithmic bias. Based on their systematic review, the researchers Ncube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2025 state that AI can improve hiring efficiency and effectiveness, but point out that effective and quantifiable metrics of these benefits have not been widely documented in the literature.</w:t>
      </w:r>
    </w:p>
    <w:p w14:paraId="2DA8D0C6">
      <w:pPr>
        <w:spacing w:line="360" w:lineRule="auto"/>
        <w:rPr>
          <w:rFonts w:ascii="Times New Roman" w:hAnsi="Times New Roman" w:eastAsia="Times New Roman" w:cs="Times New Roman"/>
          <w:color w:val="121212"/>
          <w:sz w:val="24"/>
          <w:szCs w:val="24"/>
        </w:rPr>
      </w:pPr>
    </w:p>
    <w:p w14:paraId="405E0A15">
      <w:pPr>
        <w:pStyle w:val="4"/>
        <w:rPr>
          <w:color w:val="121212"/>
        </w:rPr>
      </w:pPr>
      <w:bookmarkStart w:id="86" w:name="_72g1aion8d2" w:colFirst="0" w:colLast="0"/>
      <w:bookmarkEnd w:id="86"/>
      <w:bookmarkStart w:id="87" w:name="_Toc240033967"/>
      <w:bookmarkStart w:id="88" w:name="_Toc240827697"/>
      <w:r>
        <w:rPr>
          <w:color w:val="121212"/>
        </w:rPr>
        <w:t>4.3.2 Workforce efficiency</w:t>
      </w:r>
      <w:bookmarkEnd w:id="87"/>
      <w:bookmarkEnd w:id="88"/>
    </w:p>
    <w:p w14:paraId="72B58C69">
      <w:pPr>
        <w:spacing w:line="360" w:lineRule="auto"/>
        <w:rPr>
          <w:rFonts w:ascii="Times New Roman" w:hAnsi="Times New Roman" w:eastAsia="Times New Roman" w:cs="Times New Roman"/>
          <w:color w:val="121212"/>
          <w:sz w:val="24"/>
          <w:szCs w:val="24"/>
        </w:rPr>
      </w:pPr>
    </w:p>
    <w:p w14:paraId="39D88E9B">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AI is especially useful in situations where HR decisions must be made using constantly growing data sets. In 2025, Botiskhanova and Dadaboyev analyzed 13 peer-reviewed studies and concluded that AI can more accurately predict staffing needs, pinpoint skill deficits and forecast employee attrition, shifting HR practices from the passive to the proactive. According to their review, predictive analytics at Google and Walmart was linked to a 20% drop in turnover, and instances included IBM and Procter and Gamble that saw a 30% rise in internal hires over the course of three years. According to the same review, a neural network workforce-forecasting app cut workforce expenses by 6.5% and processing time went from 90 to 60 minutes, a 33.3% improvement. These signs indicate that AI can boost the effectiveness of work crews by aligning supply with the predicted demand of the organisation.</w:t>
      </w:r>
    </w:p>
    <w:p w14:paraId="43E3B0E4">
      <w:pPr>
        <w:pStyle w:val="4"/>
        <w:rPr>
          <w:color w:val="121212"/>
        </w:rPr>
      </w:pPr>
      <w:bookmarkStart w:id="89" w:name="_ibbx04p1hlkr" w:colFirst="0" w:colLast="0"/>
      <w:bookmarkEnd w:id="89"/>
      <w:bookmarkStart w:id="90" w:name="_Toc240827698"/>
      <w:bookmarkStart w:id="91" w:name="_Toc240033968"/>
      <w:r>
        <w:rPr>
          <w:color w:val="121212"/>
        </w:rPr>
        <w:t>4.3.3 L&amp;D efficiency</w:t>
      </w:r>
      <w:bookmarkEnd w:id="90"/>
      <w:bookmarkEnd w:id="91"/>
    </w:p>
    <w:p w14:paraId="1105F9D7">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AI also enables the L&amp;D functions in automated needs analysis, training scheduling, matching of trainers to learners and customised learning. In their paper,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list personalised training and scalable coaching as possibilities for AI, while Ncube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list more personalised training and development as a possibility. The evidence therefore indicates that AI could make L&amp;D more scalable, as the algorithms can help create personalized learning recommendations without even requiring HR teams to design every intervention.</w:t>
      </w:r>
    </w:p>
    <w:p w14:paraId="2D4E6CDF">
      <w:pPr>
        <w:pStyle w:val="4"/>
        <w:rPr>
          <w:color w:val="121212"/>
        </w:rPr>
      </w:pPr>
      <w:bookmarkStart w:id="92" w:name="_wfrun01xpawx" w:colFirst="0" w:colLast="0"/>
      <w:bookmarkEnd w:id="92"/>
      <w:bookmarkStart w:id="93" w:name="_Toc240827699"/>
      <w:bookmarkStart w:id="94" w:name="_Toc240033969"/>
      <w:r>
        <w:rPr>
          <w:color w:val="121212"/>
        </w:rPr>
        <w:t>4.3.4 Contradictory evidence</w:t>
      </w:r>
      <w:bookmarkEnd w:id="93"/>
      <w:bookmarkEnd w:id="94"/>
    </w:p>
    <w:p w14:paraId="34B37098">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Although, the evidence tells of the weaknesses of assuming that automation equals better HR results. An interesting outcome from research on 274 IT workers in Chennai found that accuracy, automation, and real-time experience proved to have significant positive implications for time-saving and cost reduction, but not all AI capabilities equally. Moreover, three out of the 13 studies reviewed by Bositkhanova and Dadaboyev, 2025 were qualitative, and many studies that claim to make efficiency improvements rely on concepts and separate organisational examples without reliable empirical assessment. This warning is supported by the findings of an analysis conducted by Jiang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2025 through the Delphi process, which identified task automation as a relatively lower-rated risk while privacy, cyber security, ethical concerns and trust were consistently ranked as more critical risks. Therefore, the discernment from the ten-sources evidence base is not just the HR is faster with AI. Instead, AI seems to be achieving the highest level of efficiency when it is paired with reliable and precise data, foresight and appropriate human supervision. The researchers Fenwick, Molnar and Frangos then conclude that AI would bring efficiencies in systems and processes, and HR would be tasked with embedding the human and tech power.</w:t>
      </w:r>
    </w:p>
    <w:p w14:paraId="62F338EE">
      <w:pPr>
        <w:pStyle w:val="3"/>
        <w:rPr>
          <w:color w:val="121212"/>
        </w:rPr>
      </w:pPr>
      <w:bookmarkStart w:id="95" w:name="_7cbavap23172" w:colFirst="0" w:colLast="0"/>
      <w:bookmarkEnd w:id="95"/>
      <w:bookmarkStart w:id="96" w:name="_Toc240033970"/>
      <w:bookmarkStart w:id="97" w:name="_Toc240827700"/>
      <w:r>
        <w:rPr>
          <w:color w:val="121212"/>
        </w:rPr>
        <w:t>4.4 Theme 2: Algorithmic Bias, Fairness and Transparency</w:t>
      </w:r>
      <w:bookmarkEnd w:id="96"/>
      <w:bookmarkEnd w:id="97"/>
    </w:p>
    <w:p w14:paraId="27DBE7C4">
      <w:pPr>
        <w:pStyle w:val="4"/>
        <w:rPr>
          <w:color w:val="121212"/>
        </w:rPr>
      </w:pPr>
      <w:bookmarkStart w:id="98" w:name="_v2to5qxm7x74" w:colFirst="0" w:colLast="0"/>
      <w:bookmarkEnd w:id="98"/>
      <w:bookmarkStart w:id="99" w:name="_Toc240033971"/>
      <w:bookmarkStart w:id="100" w:name="_Toc240827701"/>
      <w:r>
        <w:rPr>
          <w:color w:val="121212"/>
        </w:rPr>
        <w:t>4.4.1 Bias in Recruitment</w:t>
      </w:r>
      <w:bookmarkEnd w:id="99"/>
      <w:bookmarkEnd w:id="100"/>
    </w:p>
    <w:p w14:paraId="3A5713DC">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Sony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highlight three ways AI-HRM systems might perpetuate discrimination such as biased datasets, transparent decision making processes and exclusionary job selection criteria. The study particularly points to disproportionate impacts on women, racial minorities, trans, queer, and disabled people. It's important to note that discrimination doesn't always involve the explicit inclusion of the algorithm's protected characteristics. Historical inequalities can also be perpetuated in the form of supposedly objective selection criteria, such as for gender or ethnicity, socio-economic status.</w:t>
      </w:r>
    </w:p>
    <w:p w14:paraId="39A1A79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 grounded-theory study was conducted by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which included 39 HR professionals and AI developers, offering more direct evidence. The study concluded that good AI recruitment will demand an HR professional's technical skills as well as people-focused judgment. More importantly, in its recruitment example it was reported that it took assertiveness and clarity to bestow on candidate communications as key measures, and thus retained the reserved candidates despite their effective communication skills. The organisation then developed it further based on the input received from the latest recruits. This proves that algorithmic consistency can preserve an inappropriate recruitment criterion if it is not critically reviewed by a human user.</w:t>
      </w:r>
    </w:p>
    <w:p w14:paraId="09A7A022">
      <w:pPr>
        <w:pStyle w:val="4"/>
        <w:rPr>
          <w:color w:val="121212"/>
        </w:rPr>
      </w:pPr>
      <w:bookmarkStart w:id="101" w:name="_ywaoow2dq6t8" w:colFirst="0" w:colLast="0"/>
      <w:bookmarkEnd w:id="101"/>
      <w:bookmarkStart w:id="102" w:name="_Toc240033972"/>
      <w:bookmarkStart w:id="103" w:name="_Toc240827702"/>
      <w:r>
        <w:rPr>
          <w:color w:val="121212"/>
        </w:rPr>
        <w:t>4.4.2 Fairness of AI Decisions</w:t>
      </w:r>
      <w:bookmarkEnd w:id="102"/>
      <w:bookmarkEnd w:id="103"/>
    </w:p>
    <w:p w14:paraId="7EB6DC04">
      <w:pPr>
        <w:spacing w:line="360" w:lineRule="auto"/>
        <w:rPr>
          <w:rFonts w:ascii="Times New Roman" w:hAnsi="Times New Roman" w:eastAsia="Times New Roman" w:cs="Times New Roman"/>
          <w:color w:val="121212"/>
          <w:sz w:val="24"/>
          <w:szCs w:val="24"/>
        </w:rPr>
      </w:pPr>
    </w:p>
    <w:p w14:paraId="482370F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evidence actually came to differentiate consistency from fairness. AI can help automate CV screening and ranking, which can save human time, effort and reduce human subjectivity, says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However, using the identical algorithmic rule cannot ensure an equitable result when applied to all candidates.</w:t>
      </w:r>
    </w:p>
    <w:p w14:paraId="12B1F37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concern is particularly evident in Kekez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which systematically reviewed 64 publications on AI-related bias and discrimination in HRM. Even the academic evidence base has conceptual limitations, with the review revealing the absence of clear definition of bias and discrimination by more than half of the papers. The review also identified an imbalance in research emphasis on discrimination on the basis of skin-tone/race, and gender. Therefore, it is important to keep in mind that although AI makes claims to objectivity in impending HR decisions, the definitions, and assessment of fairness are inconsistent across research.</w:t>
      </w:r>
    </w:p>
    <w:p w14:paraId="4FD63BD4">
      <w:pPr>
        <w:pStyle w:val="4"/>
        <w:rPr>
          <w:color w:val="121212"/>
        </w:rPr>
      </w:pPr>
      <w:bookmarkStart w:id="104" w:name="_21zqcynwbkep" w:colFirst="0" w:colLast="0"/>
      <w:bookmarkEnd w:id="104"/>
      <w:bookmarkStart w:id="105" w:name="_Toc240827703"/>
      <w:bookmarkStart w:id="106" w:name="_Toc240033973"/>
      <w:r>
        <w:rPr>
          <w:color w:val="121212"/>
        </w:rPr>
        <w:t>4.4.3 Transparency and Explainability</w:t>
      </w:r>
      <w:bookmarkEnd w:id="105"/>
      <w:bookmarkEnd w:id="106"/>
    </w:p>
    <w:p w14:paraId="68C209CE">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Another issue is transparency, as candidates and HR also might not be able to see how an AI system comes up with a specific recommendation. Further relevant evidence includes the findings of the Delphi-based risk analysis by Jiang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which allocated ethical issues, privacy/cybersecurity and trust in the “red zone”, elevating these risks as high priority for GenAI adoption in HR. In the study, the focus is accordingly shifted toward explainability and fairness frameworks and bias auditing.</w:t>
      </w:r>
    </w:p>
    <w:p w14:paraId="76FF2336">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Therefore, the practical result is it is hard to argue against a rejection, a ranking or performance assessment for having no explanation. Similarly, Fenwick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highlights the need to keep increasing the synergy between humans and machines, rather than considering AI as an independent decision-maker.</w:t>
      </w:r>
    </w:p>
    <w:p w14:paraId="34F6C6BA">
      <w:pPr>
        <w:pStyle w:val="4"/>
        <w:rPr>
          <w:color w:val="121212"/>
        </w:rPr>
      </w:pPr>
      <w:bookmarkStart w:id="107" w:name="_hcppuyh4uf49" w:colFirst="0" w:colLast="0"/>
      <w:bookmarkEnd w:id="107"/>
      <w:bookmarkStart w:id="108" w:name="_Toc240033974"/>
      <w:bookmarkStart w:id="109" w:name="_Toc240827704"/>
      <w:r>
        <w:rPr>
          <w:color w:val="121212"/>
        </w:rPr>
        <w:t>4.4.4 Deloitte-Specific Implications</w:t>
      </w:r>
      <w:bookmarkEnd w:id="108"/>
      <w:bookmarkEnd w:id="109"/>
    </w:p>
    <w:p w14:paraId="7A32AE00">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Deloitte 2025 Human Capital Trends Evidence tallies with this human-centred view. Its survey covered nearly 10,000 business and HR leaders across 93 countries, but only 6% of workers believed their organisation was making great progress in creating value from AI. The margin of difference matters because it suggests that the value of AI by the organisation may not mirror the employee's value, creating an opportunity to align the two. However, with a professional-services organisation like Deloitte, AI should help guide professional judgment, accountability and trust among employees, and not just increase automated processing.</w:t>
      </w:r>
    </w:p>
    <w:p w14:paraId="054A2D71">
      <w:pPr>
        <w:pStyle w:val="4"/>
        <w:rPr>
          <w:color w:val="121212"/>
        </w:rPr>
      </w:pPr>
      <w:bookmarkStart w:id="110" w:name="_vadn7or5dn6d" w:colFirst="0" w:colLast="0"/>
      <w:bookmarkEnd w:id="110"/>
      <w:bookmarkStart w:id="111" w:name="_Toc240033975"/>
      <w:bookmarkStart w:id="112" w:name="_Toc240827705"/>
      <w:r>
        <w:rPr>
          <w:color w:val="121212"/>
        </w:rPr>
        <w:t>4.4.5 Regulatory Implications</w:t>
      </w:r>
      <w:bookmarkEnd w:id="111"/>
      <w:bookmarkEnd w:id="112"/>
    </w:p>
    <w:p w14:paraId="09BDE9D9">
      <w:pPr>
        <w:spacing w:line="360" w:lineRule="auto"/>
        <w:rPr>
          <w:rFonts w:ascii="Times New Roman" w:hAnsi="Times New Roman" w:eastAsia="Times New Roman" w:cs="Times New Roman"/>
          <w:color w:val="121212"/>
          <w:sz w:val="24"/>
          <w:szCs w:val="24"/>
        </w:rPr>
      </w:pPr>
    </w:p>
    <w:p w14:paraId="55C0DA3C">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results align with the EU AI Act direction regarding AI applications in job recruitment selection as high-risk, which has recently generated significant attention in the regulatory landscape. The connection to this study is simple: access to employment, fairness, transparency and risk management with human controls are our necessary protectors when it comes to the use of AI. They are regulatory safeguards which align with the evidence that human oversight needs to be meaningful when making AI decisions. The full legal implications are discussed in Chapter 5.</w:t>
      </w:r>
    </w:p>
    <w:p w14:paraId="628116AC">
      <w:pPr>
        <w:pStyle w:val="3"/>
        <w:rPr>
          <w:color w:val="121212"/>
        </w:rPr>
      </w:pPr>
      <w:bookmarkStart w:id="113" w:name="_rj3c9dbyr41b" w:colFirst="0" w:colLast="0"/>
      <w:bookmarkEnd w:id="113"/>
      <w:bookmarkStart w:id="114" w:name="_Toc240827706"/>
      <w:bookmarkStart w:id="115" w:name="_Toc240033976"/>
      <w:r>
        <w:rPr>
          <w:color w:val="121212"/>
        </w:rPr>
        <w:t>4.5 Theme 3: AI-Enabled Workforce Planning and Talent Management</w:t>
      </w:r>
      <w:bookmarkEnd w:id="114"/>
      <w:bookmarkEnd w:id="115"/>
    </w:p>
    <w:p w14:paraId="0D4FAD63">
      <w:pPr>
        <w:pStyle w:val="4"/>
        <w:rPr>
          <w:color w:val="121212"/>
        </w:rPr>
      </w:pPr>
      <w:bookmarkStart w:id="116" w:name="_s1w8mqgphmnn" w:colFirst="0" w:colLast="0"/>
      <w:bookmarkEnd w:id="116"/>
      <w:bookmarkStart w:id="117" w:name="_Toc240033977"/>
      <w:bookmarkStart w:id="118" w:name="_Toc240827707"/>
      <w:r>
        <w:rPr>
          <w:color w:val="121212"/>
        </w:rPr>
        <w:t>4.5.1 Predictive Workforce Planning</w:t>
      </w:r>
      <w:bookmarkEnd w:id="117"/>
      <w:bookmarkEnd w:id="118"/>
    </w:p>
    <w:p w14:paraId="44BB6DD4">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most specific evidence is given in the PRISMA-based literature search by Bositkhanova and Dadaboyev, 2025, who initially identified 1,132 records and reduced that number to 13 studies. The synthesis reports that AI can aid in workload and forecasting and can help identify skills gaps, staffing predictions, and turnover forecast. It is significant to note that in such an example of a workload-forecasting review, a hybrid model saved workforce costs by 6.5% and also saved 33.3% in processing time, reducing it from 90 to 60 minutes. The strategic HR planning model based on deep neural networks obtained the maximum test accuracy of 89.54%. The results highlight the possibility of transitioning from reactive staffing to anticipating labour needs with data through the action of predictive systems (Bositkhanova and Dadaboyev, 2025).</w:t>
      </w:r>
    </w:p>
    <w:p w14:paraId="65714710">
      <w:pPr>
        <w:pStyle w:val="4"/>
        <w:rPr>
          <w:color w:val="121212"/>
        </w:rPr>
      </w:pPr>
      <w:bookmarkStart w:id="119" w:name="_q2o6eusf1jse" w:colFirst="0" w:colLast="0"/>
      <w:bookmarkEnd w:id="119"/>
      <w:bookmarkStart w:id="120" w:name="_Toc240827708"/>
      <w:bookmarkStart w:id="121" w:name="_Toc240033978"/>
      <w:r>
        <w:rPr>
          <w:color w:val="121212"/>
        </w:rPr>
        <w:t>4.5.2 AI-Based Talent Matching</w:t>
      </w:r>
      <w:bookmarkEnd w:id="120"/>
      <w:bookmarkEnd w:id="121"/>
    </w:p>
    <w:p w14:paraId="45C023F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Additionally, AI can be used to assist in talent management, which involves matching employees' skills to organizational needs. The Deloitte 2025 Human Capital Trends dramatically underscores the shift from traditional job-based decisions towards those based on skills and aptitude towards talent. In a recent study, its research revealed that 66% of managers and executives felt most of the people they hired recently were not fully prepared, and lack of experience grew to be the most common deficiency. Moreover, 73% of executives and 72% of workers say organisations should be more active in engaging workers to gain experience. The results make a compelling case for using AI to back up skills inventories and internal talent matching systems, as skills are what companies truly require, not just job titles or work history.</w:t>
      </w:r>
    </w:p>
    <w:p w14:paraId="77310EA0">
      <w:pPr>
        <w:pStyle w:val="4"/>
        <w:rPr>
          <w:color w:val="121212"/>
        </w:rPr>
      </w:pPr>
      <w:bookmarkStart w:id="122" w:name="_d6ufjuek5jy2" w:colFirst="0" w:colLast="0"/>
      <w:bookmarkEnd w:id="122"/>
      <w:bookmarkStart w:id="123" w:name="_Toc240827709"/>
      <w:bookmarkStart w:id="124" w:name="_Toc240033979"/>
      <w:r>
        <w:rPr>
          <w:color w:val="121212"/>
        </w:rPr>
        <w:t>4.5.3 Project Staffing and Skills Allocation</w:t>
      </w:r>
      <w:bookmarkEnd w:id="123"/>
      <w:bookmarkEnd w:id="124"/>
    </w:p>
    <w:p w14:paraId="300B040A">
      <w:pPr>
        <w:spacing w:line="360" w:lineRule="auto"/>
        <w:rPr>
          <w:rFonts w:ascii="Times New Roman" w:hAnsi="Times New Roman" w:eastAsia="Times New Roman" w:cs="Times New Roman"/>
          <w:color w:val="121212"/>
          <w:sz w:val="24"/>
          <w:szCs w:val="24"/>
        </w:rPr>
      </w:pPr>
    </w:p>
    <w:p w14:paraId="31A6CD79">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is especially pertinent when talking about Deloitte, since professional-services jobs demand teams to be put together as project demands evolve. AI-driven skills matching may be able to match employee skills and experiences, availability, and project needs to find internal team members who can perform the tasks quickly. This skills-based thrust is backed up by Deloitte's evidence, and the Deloitte report also reveals that 74% of workers, managers and executives surveyed rated human capabilities as very or critically important. Thus, AI might be most beneficial for matching at the initial screening level, and managers could decide if a worker's experience, communication and client fit are appropriate and needed for the project.</w:t>
      </w:r>
    </w:p>
    <w:p w14:paraId="67256CA0">
      <w:pPr>
        <w:pStyle w:val="4"/>
        <w:rPr>
          <w:color w:val="121212"/>
        </w:rPr>
      </w:pPr>
      <w:bookmarkStart w:id="125" w:name="_1ll0ldknvjq9" w:colFirst="0" w:colLast="0"/>
      <w:bookmarkEnd w:id="125"/>
      <w:bookmarkStart w:id="126" w:name="_Toc240827710"/>
      <w:bookmarkStart w:id="127" w:name="_Toc240033980"/>
      <w:r>
        <w:rPr>
          <w:color w:val="121212"/>
        </w:rPr>
        <w:t>4.5.4 Performance Prediction</w:t>
      </w:r>
      <w:bookmarkEnd w:id="126"/>
      <w:bookmarkEnd w:id="127"/>
    </w:p>
    <w:p w14:paraId="21C535E1">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Predictive analytics is not just for staffing, it can also be for performance and retention.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describes how AI can predict employee turnover plans and parts of employee performance, and Ncube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shows the possibility of improved predictive accuracy and objectivity in performance appraisal, as well as more personalised employee development. Ncube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however, also documents one aspect that has been lacking in the literature: the magnitude of many touted benefits is lacking in concrete quantitative measures.</w:t>
      </w:r>
    </w:p>
    <w:p w14:paraId="25B0C6F7">
      <w:pPr>
        <w:pStyle w:val="4"/>
        <w:rPr>
          <w:color w:val="121212"/>
        </w:rPr>
      </w:pPr>
      <w:bookmarkStart w:id="128" w:name="_b7qb5qx6rwtn" w:colFirst="0" w:colLast="0"/>
      <w:bookmarkEnd w:id="128"/>
      <w:bookmarkStart w:id="129" w:name="_Toc240033981"/>
      <w:bookmarkStart w:id="130" w:name="_Toc240827711"/>
      <w:r>
        <w:rPr>
          <w:color w:val="121212"/>
        </w:rPr>
        <w:t>4.5.5 Limitations of Algorithmic Allocation</w:t>
      </w:r>
      <w:bookmarkEnd w:id="129"/>
      <w:bookmarkEnd w:id="130"/>
    </w:p>
    <w:p w14:paraId="09CDBD7D">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It is also evident that algorithmic allocation cannot be looked upon as an independent staffing solution and therefore the evidence does not support that. AI can only detect a technically appropriate candidate, it cannot always assess client interactions, team dynamics, employee goals, unrehearsed internal information or the insight of a real-world seasoned manager. This issue aligns with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's 2025 study involving 39 HR professionals and AI developers, highlighting the ongoing significance of HR judgment in deciding on the usage of AI. Deloitte further finds that 52% of leaders find deepening collaboration between humans and machines a very or crucial element. Thus, workforce planning through AI seems to be best suited in its applications as a tool that expands and quickens the decision-making possibilities for managers rather than dictating the allocation of talent.</w:t>
      </w:r>
    </w:p>
    <w:p w14:paraId="34EB0A06">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4676775" cy="364807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9" name="image8.png"/>
                    <pic:cNvPicPr preferRelativeResize="0"/>
                  </pic:nvPicPr>
                  <pic:blipFill>
                    <a:blip r:embed="rId13"/>
                    <a:srcRect/>
                    <a:stretch>
                      <a:fillRect/>
                    </a:stretch>
                  </pic:blipFill>
                  <pic:spPr>
                    <a:xfrm>
                      <a:off x="0" y="0"/>
                      <a:ext cx="4676775" cy="3648075"/>
                    </a:xfrm>
                    <a:prstGeom prst="rect">
                      <a:avLst/>
                    </a:prstGeom>
                  </pic:spPr>
                </pic:pic>
              </a:graphicData>
            </a:graphic>
          </wp:inline>
        </w:drawing>
      </w:r>
    </w:p>
    <w:p w14:paraId="37EC6910">
      <w:pPr>
        <w:pStyle w:val="3"/>
        <w:rPr>
          <w:color w:val="121212"/>
        </w:rPr>
      </w:pPr>
      <w:bookmarkStart w:id="131" w:name="_70a2dp4hw9bi" w:colFirst="0" w:colLast="0"/>
      <w:bookmarkEnd w:id="131"/>
      <w:bookmarkStart w:id="132" w:name="_Toc240827712"/>
      <w:bookmarkStart w:id="133" w:name="_Toc240033982"/>
      <w:r>
        <w:rPr>
          <w:color w:val="121212"/>
        </w:rPr>
        <w:t>4.6 Theme 4: Human-AI Collaboration, Autonomy and Trust</w:t>
      </w:r>
      <w:bookmarkEnd w:id="132"/>
      <w:bookmarkEnd w:id="133"/>
    </w:p>
    <w:p w14:paraId="03875F56">
      <w:pPr>
        <w:pStyle w:val="4"/>
        <w:rPr>
          <w:color w:val="121212"/>
        </w:rPr>
      </w:pPr>
      <w:bookmarkStart w:id="134" w:name="_jpbz49wgm9so" w:colFirst="0" w:colLast="0"/>
      <w:bookmarkEnd w:id="134"/>
      <w:bookmarkStart w:id="135" w:name="_Toc240033983"/>
      <w:bookmarkStart w:id="136" w:name="_Toc240827713"/>
      <w:r>
        <w:rPr>
          <w:color w:val="121212"/>
        </w:rPr>
        <w:t>4.6.1 Human-AI Decision-Making</w:t>
      </w:r>
      <w:bookmarkEnd w:id="135"/>
      <w:bookmarkEnd w:id="136"/>
    </w:p>
    <w:p w14:paraId="7B611585">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highlights the various possibilities of AI in automating HR processes, optimizing HR data, and augmenting human capabilities, through a scoping review of 43 peer-reviewed articles. This indicates a complementary and not a substitute relationship. AI can handle vast amounts of employee data and provide suggestions, and HR can apply context and understanding to determine if the suggestions are suitable. Likewise, Fenwick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views AI-HRM development as moving from an automation based to human-machine relations-based model. Accordingly, the evidence shows that the quality of decisions depends partly on the quality of the algorithmic output as well as the way in which the algorithmic output is applied to the management action.</w:t>
      </w:r>
    </w:p>
    <w:p w14:paraId="568380C2">
      <w:pPr>
        <w:pStyle w:val="4"/>
        <w:rPr>
          <w:color w:val="121212"/>
        </w:rPr>
      </w:pPr>
      <w:bookmarkStart w:id="137" w:name="_mgveufo619bp" w:colFirst="0" w:colLast="0"/>
      <w:bookmarkEnd w:id="137"/>
      <w:bookmarkStart w:id="138" w:name="_Toc240827714"/>
      <w:bookmarkStart w:id="139" w:name="_Toc240033984"/>
      <w:r>
        <w:rPr>
          <w:color w:val="121212"/>
        </w:rPr>
        <w:t>4.6.2 Managerial Judgement</w:t>
      </w:r>
      <w:bookmarkEnd w:id="138"/>
      <w:bookmarkEnd w:id="139"/>
    </w:p>
    <w:p w14:paraId="0DEF6C9E">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is especially in-line with Deloitte's 2025 evidence on the importance of the manager. According to Deloitte, 73% of organisations understand how vital it is to reinvent the function of managers, but just 7% currently report high levels of progress in this area. Managers are also spending nearly 40% of their time solving acute issues and other administrative matters, and less than 13% developing people. These are signs that AI can take off some of the burden, enabling managers to give more time to coaching, judgment, and employee development. The danger with giving in to automation is that it can decrease or affect exactly what Deloitte has called increasingly important interpersonal traits in managers.</w:t>
      </w:r>
    </w:p>
    <w:p w14:paraId="3526B095">
      <w:pPr>
        <w:pStyle w:val="4"/>
        <w:rPr>
          <w:color w:val="121212"/>
        </w:rPr>
      </w:pPr>
      <w:bookmarkStart w:id="140" w:name="_qzn2ui73f5os" w:colFirst="0" w:colLast="0"/>
      <w:bookmarkEnd w:id="140"/>
      <w:bookmarkStart w:id="141" w:name="_Toc240033985"/>
      <w:bookmarkStart w:id="142" w:name="_Toc240827715"/>
      <w:r>
        <w:rPr>
          <w:color w:val="121212"/>
        </w:rPr>
        <w:t>4.6.3 Employee Autonomy</w:t>
      </w:r>
      <w:bookmarkEnd w:id="141"/>
      <w:bookmarkEnd w:id="142"/>
    </w:p>
    <w:p w14:paraId="28510D09">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evidence also poses issues around employee autonomy within AI-led directions and supervision of work. 54% of employees and top managers report confusion over who works with technology versus employees, says Deloitte. For the part about employees and machines working together, its research into human-machine collaboration suggests that if AI systems make too many of the decisions, it may limit employees' choice. This indicates that sometimes the sacrifice of autonomy may be necessary for increased efficiency when employees are given limited possibilities to challenge or suggest changes to algorithmic recommendations. For human involvement to be meaningfully human, employees need to maintain some agency and judgment regarding the impact of AI on their work.</w:t>
      </w:r>
    </w:p>
    <w:p w14:paraId="486DE1FE">
      <w:pPr>
        <w:pStyle w:val="4"/>
        <w:rPr>
          <w:color w:val="121212"/>
        </w:rPr>
      </w:pPr>
      <w:bookmarkStart w:id="143" w:name="_oi47hehnfaoz" w:colFirst="0" w:colLast="0"/>
      <w:bookmarkEnd w:id="143"/>
      <w:bookmarkStart w:id="144" w:name="_Toc240827716"/>
      <w:bookmarkStart w:id="145" w:name="_Toc240033986"/>
      <w:r>
        <w:rPr>
          <w:color w:val="121212"/>
        </w:rPr>
        <w:t>4.6.4 Trust in AI</w:t>
      </w:r>
      <w:bookmarkEnd w:id="144"/>
      <w:bookmarkEnd w:id="145"/>
    </w:p>
    <w:p w14:paraId="3A83B14E">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Effective collaboration isn't a prerequisite for trust, but rather something that emerges as a condition when adopting AI. Despite the significant investment organisations were making in AI, Deloitte discovered that only 6% of employees felt their organization was advancing great strides in generating value from AI. Additionally, 52% of leaders referred to as the necessity to become deeper human-machine collaborators as very or significantly vital. The strategic value employers place on collaboration and the value employees feel they have seen from it demonstrates that technological implementation is not enough for the construction of trust. One area that stands out for Deloitte in terms of workforce trust is transparency regarding the use of artificial intelligence (AI) in reshaping jobs and career paths.</w:t>
      </w:r>
    </w:p>
    <w:p w14:paraId="6935C39E">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study by Jiang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offers further evidence regarding the implementation of HR risk analysis by identifying trust, ethical issues and privacy and cybersecurity as risks of high priority for these HR applications. HR professionals must be aware of the capabilities of an AI system and how the recommendations can impact the business, as well as their weaknesses and potential threats.</w:t>
      </w:r>
    </w:p>
    <w:p w14:paraId="4E9E6CC6">
      <w:pPr>
        <w:pStyle w:val="4"/>
        <w:rPr>
          <w:color w:val="121212"/>
        </w:rPr>
      </w:pPr>
      <w:bookmarkStart w:id="146" w:name="_hhg8l613i6qt" w:colFirst="0" w:colLast="0"/>
      <w:bookmarkEnd w:id="146"/>
      <w:bookmarkStart w:id="147" w:name="_Toc240033987"/>
      <w:bookmarkStart w:id="148" w:name="_Toc240827717"/>
      <w:r>
        <w:rPr>
          <w:color w:val="121212"/>
        </w:rPr>
        <w:t>4.6.5 Human Oversight</w:t>
      </w:r>
      <w:bookmarkEnd w:id="147"/>
      <w:bookmarkEnd w:id="148"/>
    </w:p>
    <w:p w14:paraId="2EBFC2BF">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The most compelling evidence for interventions by humans is found in the grounded theory analysis of only 39 HR professionals and AI developers by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The study highlights the importance of HR professionals possessing technical expertise and soft skills when deciding on the extent that AI can be utilized in recruitment. This reinforces the paradigm of human-in-the-loop, where predictive tools detect patterns or provide suggestions, and HR then sifts through and challenges the results.</w:t>
      </w:r>
    </w:p>
    <w:p w14:paraId="0D9ED28F">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bottom line is that the evidence points towards a consensus on how AI can augment human judgment, but not replace it. While AI can streamline administrative tasks, mine data about the workforce and speed up decision-making, managers and HR professionals are still required to understand and draw context and ethical assessments, build relationships with employees and ensure accountability. Collaboration with AI is therefore the model that best suits a professional services firm like Deloitte, where their managers will receive assistance from AI without losing control of key decisions.</w:t>
      </w:r>
    </w:p>
    <w:p w14:paraId="21008221">
      <w:pPr>
        <w:spacing w:line="360" w:lineRule="auto"/>
        <w:jc w:val="center"/>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drawing>
          <wp:inline distT="114300" distB="114300" distL="114300" distR="114300">
            <wp:extent cx="4791075" cy="355282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8" name="image9.png"/>
                    <pic:cNvPicPr preferRelativeResize="0"/>
                  </pic:nvPicPr>
                  <pic:blipFill>
                    <a:blip r:embed="rId14"/>
                    <a:srcRect/>
                    <a:stretch>
                      <a:fillRect/>
                    </a:stretch>
                  </pic:blipFill>
                  <pic:spPr>
                    <a:xfrm>
                      <a:off x="0" y="0"/>
                      <a:ext cx="4791075" cy="3552825"/>
                    </a:xfrm>
                    <a:prstGeom prst="rect">
                      <a:avLst/>
                    </a:prstGeom>
                  </pic:spPr>
                </pic:pic>
              </a:graphicData>
            </a:graphic>
          </wp:inline>
        </w:drawing>
      </w:r>
    </w:p>
    <w:p w14:paraId="2B8CFF16">
      <w:pPr>
        <w:pStyle w:val="3"/>
        <w:rPr>
          <w:color w:val="121212"/>
        </w:rPr>
      </w:pPr>
      <w:bookmarkStart w:id="149" w:name="_gjehh9jdao1j" w:colFirst="0" w:colLast="0"/>
      <w:bookmarkEnd w:id="149"/>
      <w:bookmarkStart w:id="150" w:name="_Toc240033988"/>
      <w:bookmarkStart w:id="151" w:name="_Toc240827718"/>
      <w:r>
        <w:rPr>
          <w:color w:val="121212"/>
        </w:rPr>
        <w:t>4.7 Theme 5: AI-Enabled Learning and Changing HR Roles</w:t>
      </w:r>
      <w:bookmarkEnd w:id="150"/>
      <w:bookmarkEnd w:id="151"/>
    </w:p>
    <w:p w14:paraId="5B22B353">
      <w:pPr>
        <w:pStyle w:val="4"/>
        <w:rPr>
          <w:color w:val="121212"/>
        </w:rPr>
      </w:pPr>
      <w:bookmarkStart w:id="152" w:name="_94vfhk1h4nyw" w:colFirst="0" w:colLast="0"/>
      <w:bookmarkEnd w:id="152"/>
      <w:bookmarkStart w:id="153" w:name="_Toc240033989"/>
      <w:bookmarkStart w:id="154" w:name="_Toc240827719"/>
      <w:r>
        <w:rPr>
          <w:color w:val="121212"/>
        </w:rPr>
        <w:t>4.7.1 Personalised L&amp;D</w:t>
      </w:r>
      <w:bookmarkEnd w:id="153"/>
      <w:bookmarkEnd w:id="154"/>
    </w:p>
    <w:p w14:paraId="5D466A2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2024, based on a scoping review of 43 peer-reviewed articles, identifies AI applications in training and development including automated training-needs assessment, training scheduling and matching between trainers and employees. The evidence also suggests that AI-backed coaching can help make development more scalable and cost-effective and allow development resources to be tailored to each employee. Ncube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also point to personalised training and development as a possible advantage in HRM through AI. This implies that AI can take L&amp;D beyond the one-size-fits-all training programme and into more personalised development training that is based on skills, performance, and gaps.</w:t>
      </w:r>
    </w:p>
    <w:p w14:paraId="7163C67D">
      <w:pPr>
        <w:pStyle w:val="4"/>
        <w:rPr>
          <w:color w:val="121212"/>
        </w:rPr>
      </w:pPr>
      <w:bookmarkStart w:id="155" w:name="_q17k8hr24p4e" w:colFirst="0" w:colLast="0"/>
      <w:bookmarkEnd w:id="155"/>
      <w:bookmarkStart w:id="156" w:name="_Toc240033990"/>
      <w:bookmarkStart w:id="157" w:name="_Toc240827720"/>
      <w:r>
        <w:rPr>
          <w:color w:val="121212"/>
        </w:rPr>
        <w:t>4.7.2 Generative AI for Employee Development</w:t>
      </w:r>
      <w:bookmarkEnd w:id="156"/>
      <w:bookmarkEnd w:id="157"/>
    </w:p>
    <w:p w14:paraId="1BC2A592">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That's enhanced by Generative AI, which can provide explanations, learning materials, feedback and practice activities to employees on-demand. Bastida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xml:space="preserve">. 2025 has singled out employee development as an HR function suitable for being augmented by AI. Similarly, the study by Jiha </w:t>
      </w:r>
      <w:r>
        <w:rPr>
          <w:rFonts w:ascii="Times New Roman" w:hAnsi="Times New Roman" w:eastAsia="Times New Roman" w:cs="Times New Roman"/>
          <w:i/>
          <w:color w:val="121212"/>
          <w:sz w:val="24"/>
          <w:szCs w:val="24"/>
        </w:rPr>
        <w:t xml:space="preserve">et al. </w:t>
      </w:r>
      <w:r>
        <w:rPr>
          <w:rFonts w:ascii="Times New Roman" w:hAnsi="Times New Roman" w:eastAsia="Times New Roman" w:cs="Times New Roman"/>
          <w:color w:val="121212"/>
          <w:sz w:val="24"/>
          <w:szCs w:val="24"/>
        </w:rPr>
        <w:t>2025 suggests that using generative AI has the potential to enhance HR workflow and decision-making, but also highlights the significance of governance. Based on these findings, it seems that AI can enhance the efficiency and timeliness of employee learning, but only when employees and HR professionals leverage and assess AI-generated content appropriately.</w:t>
      </w:r>
    </w:p>
    <w:p w14:paraId="155684C5">
      <w:pPr>
        <w:pStyle w:val="4"/>
        <w:rPr>
          <w:color w:val="121212"/>
        </w:rPr>
      </w:pPr>
      <w:bookmarkStart w:id="158" w:name="_3toulkjygmin" w:colFirst="0" w:colLast="0"/>
      <w:bookmarkEnd w:id="158"/>
      <w:bookmarkStart w:id="159" w:name="_Toc240033991"/>
      <w:bookmarkStart w:id="160" w:name="_Toc240827721"/>
      <w:r>
        <w:rPr>
          <w:color w:val="121212"/>
        </w:rPr>
        <w:t>4.7.3 AI Skills and Digital Literacy</w:t>
      </w:r>
      <w:bookmarkEnd w:id="159"/>
      <w:bookmarkEnd w:id="160"/>
    </w:p>
    <w:p w14:paraId="33302BEB">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evidence suggests that both AI adoption and the development of AI systems are establishing a new need in L&amp;D – that of employee and HR professionals being sufficiently digitally and AI literate to work with these systems. According to Deloitte's 2025 Human Capital Trends research, that 66% lack the ability and experience needed to acclimatize to their roles with lack of experience being their primary business challenge. Also 73% of executives and 72% of workers say organisations should be doing more to get workers involved with ways to gain experience. The results suggest that AI-enhanced learning should not be limited to only technical AI skills, as there must be an opportunity to acquire practical skills through AI.</w:t>
      </w:r>
    </w:p>
    <w:p w14:paraId="5A11B29B">
      <w:pPr>
        <w:pStyle w:val="4"/>
        <w:rPr>
          <w:color w:val="121212"/>
        </w:rPr>
      </w:pPr>
      <w:bookmarkStart w:id="161" w:name="_v6tgw2bw67pq" w:colFirst="0" w:colLast="0"/>
      <w:bookmarkEnd w:id="161"/>
      <w:bookmarkStart w:id="162" w:name="_Toc240827722"/>
      <w:bookmarkStart w:id="163" w:name="_Toc240033992"/>
      <w:r>
        <w:rPr>
          <w:color w:val="121212"/>
        </w:rPr>
        <w:t>4.7.4 Transformation of HR Roles</w:t>
      </w:r>
      <w:bookmarkEnd w:id="162"/>
      <w:bookmarkEnd w:id="163"/>
    </w:p>
    <w:p w14:paraId="73FDD526">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Instead, AI shifts HR professionals from their traditional duties to new ones. AI can assist with other day-to-day tasks like auditing training needs, planning learning programmes, and creating learning materials, thus freeing up time for HR teams to focus on employee development strategy, engagement, and more complex human decisions. As reported by Deloitte, presently only half the time spent by managers is invested in their development, with 13% being devoted to issues needing immediate resolution and administrative matters. AI will then offer a way of diminishing administrative workload and boosting the space that's dedicated to the coaching and development aspect. But Deloitte finds that technology does not make for effective people development, as 36% of managers’ report themselves to be underprepared for the people management part of the job.</w:t>
      </w:r>
    </w:p>
    <w:p w14:paraId="6BE701C5">
      <w:pPr>
        <w:pStyle w:val="4"/>
        <w:rPr>
          <w:color w:val="121212"/>
        </w:rPr>
      </w:pPr>
      <w:bookmarkStart w:id="164" w:name="_tzqtdc874qjz" w:colFirst="0" w:colLast="0"/>
      <w:bookmarkEnd w:id="164"/>
      <w:bookmarkStart w:id="165" w:name="_Toc240033993"/>
      <w:bookmarkStart w:id="166" w:name="_Toc240827723"/>
      <w:r>
        <w:rPr>
          <w:color w:val="121212"/>
        </w:rPr>
        <w:t>4.7.5 Human Mentoring and Tacit Knowledge</w:t>
      </w:r>
      <w:bookmarkEnd w:id="165"/>
      <w:bookmarkEnd w:id="166"/>
    </w:p>
    <w:p w14:paraId="183BE339">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most important constraint is with regard to knowledge which does not readily translate into algorithmic learning content. According to Deloitte's research, judgement is one of the most important skills needed of future managers that involves the ability to understand the company, its history, culture, and context, and make decisions when information is incomplete. It also reveals that 67% of staff feel their managers are the most in tune with what truly drives them, highlighting the importance of having a face-to-face relationship in development.</w:t>
      </w:r>
    </w:p>
    <w:p w14:paraId="4C88B089">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discovery dovetails with the findings of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which examined 39 HR professionals and AI developers, and underscored the ongoing demand for hands-on skills and AI expertise. Hence, learning content can be scaled and spread through the use of AI, but the way tacit knowledge is transferred, mentoring, and providing feedback still requires human interaction.</w:t>
      </w:r>
    </w:p>
    <w:p w14:paraId="32E965C4">
      <w:pPr>
        <w:pStyle w:val="3"/>
        <w:rPr>
          <w:color w:val="121212"/>
        </w:rPr>
      </w:pPr>
      <w:bookmarkStart w:id="167" w:name="_ma3bp7gzo9lb" w:colFirst="0" w:colLast="0"/>
      <w:bookmarkEnd w:id="167"/>
      <w:bookmarkStart w:id="168" w:name="_Toc240827724"/>
      <w:bookmarkStart w:id="169" w:name="_Toc240033994"/>
      <w:r>
        <w:rPr>
          <w:color w:val="121212"/>
        </w:rPr>
        <w:t>4.8 Theme 6: Socio-Technical Alignment and Governance</w:t>
      </w:r>
      <w:bookmarkEnd w:id="168"/>
      <w:bookmarkEnd w:id="169"/>
    </w:p>
    <w:p w14:paraId="3EF1DC8E">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findings suggest that the value of AI in HRM does not only rely on the technological ability, but also on the ways in which artificial intelligence (AI) interacts with employees and managerial judgement and organisational governance. This is clearly seen in the difference between tangible improvements to efficiency and ongoing issues with trust, accountability and employee involvement.</w:t>
      </w:r>
    </w:p>
    <w:p w14:paraId="5FA710F2">
      <w:pPr>
        <w:pStyle w:val="4"/>
        <w:rPr>
          <w:color w:val="121212"/>
        </w:rPr>
      </w:pPr>
      <w:bookmarkStart w:id="170" w:name="_cq7eg92wcxho" w:colFirst="0" w:colLast="0"/>
      <w:bookmarkEnd w:id="170"/>
      <w:bookmarkStart w:id="171" w:name="_Toc240827725"/>
      <w:bookmarkStart w:id="172" w:name="_Toc240033995"/>
      <w:r>
        <w:rPr>
          <w:color w:val="121212"/>
        </w:rPr>
        <w:t>4.8.1 Governance and Risk Control</w:t>
      </w:r>
      <w:bookmarkEnd w:id="171"/>
      <w:bookmarkEnd w:id="172"/>
    </w:p>
    <w:p w14:paraId="2741FA31">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Jiang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conducted a Delphi study involving HR professionals and subsequent interviews and identified ethical concerns, privacy/cybersecurity and trust as “red-zone” concerns, which were considered to need the greatest organisational attention. And task automation and communication changes were considered low-risk. This illustrates that there is a clear misalignment: while enterprises can leverage GenAI to gain operational advantages, they can also be exposed to new data and decision making transparency risks from using such technology.</w:t>
      </w:r>
    </w:p>
    <w:p w14:paraId="29280152">
      <w:pPr>
        <w:pStyle w:val="4"/>
        <w:rPr>
          <w:color w:val="121212"/>
        </w:rPr>
      </w:pPr>
      <w:bookmarkStart w:id="173" w:name="_u24meco6atjp" w:colFirst="0" w:colLast="0"/>
      <w:bookmarkEnd w:id="173"/>
      <w:bookmarkStart w:id="174" w:name="_Toc240827726"/>
      <w:bookmarkStart w:id="175" w:name="_Toc240033996"/>
      <w:r>
        <w:rPr>
          <w:color w:val="121212"/>
        </w:rPr>
        <w:t>4.8.2 Human Accountability and Decision-Making</w:t>
      </w:r>
      <w:bookmarkEnd w:id="174"/>
      <w:bookmarkEnd w:id="175"/>
    </w:p>
    <w:p w14:paraId="7EC76041">
      <w:pPr>
        <w:spacing w:line="360" w:lineRule="auto"/>
        <w:rPr>
          <w:rFonts w:ascii="Times New Roman" w:hAnsi="Times New Roman" w:eastAsia="Times New Roman" w:cs="Times New Roman"/>
          <w:color w:val="121212"/>
          <w:sz w:val="24"/>
          <w:szCs w:val="24"/>
        </w:rPr>
      </w:pPr>
    </w:p>
    <w:p w14:paraId="41C4AA07">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conducts specific interviews with 39 HR professionals and AI developers. Another recruitment process emphasized assertive and clear verbal expression and favoured assertive candidates regardless of their background in communication ability. The organisation then tweaked the system after input from recent staff changes. This case shows that while the technical results are not necessarily HR decisions they can only be processed by the human brain which can uncover issues that the automated assessment does not.</w:t>
      </w:r>
    </w:p>
    <w:p w14:paraId="30BBB7AB">
      <w:pPr>
        <w:pStyle w:val="4"/>
        <w:rPr>
          <w:color w:val="121212"/>
        </w:rPr>
      </w:pPr>
      <w:bookmarkStart w:id="176" w:name="_2emnpwume507" w:colFirst="0" w:colLast="0"/>
      <w:bookmarkEnd w:id="176"/>
      <w:bookmarkStart w:id="177" w:name="_Toc240033997"/>
      <w:bookmarkStart w:id="178" w:name="_Toc240827727"/>
      <w:r>
        <w:rPr>
          <w:color w:val="121212"/>
        </w:rPr>
        <w:t>4.8.3 Organisational Readiness</w:t>
      </w:r>
      <w:bookmarkEnd w:id="177"/>
      <w:bookmarkEnd w:id="178"/>
    </w:p>
    <w:p w14:paraId="2C81EEE4">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This implementation gap is clearly visible in large numbers in Deloitte's 2025 Global Human Capital Trends. In total, almost 10,000 business and HR leaders in 93 countries participated in its global survey, but only 6% of the respondents said their organisation was doing very well in creating value from AI. Meanwhile, 73% of businesses identified the need to 'reshape' the job of the manager and 7% said they had made significant strides. It also takes managers nearly 40% of their time to solve in-the-moment problems and administration tasks, versus only 13% to create opportunities for employees to develop.</w:t>
      </w:r>
    </w:p>
    <w:p w14:paraId="0FB67D85">
      <w:pPr>
        <w:pStyle w:val="4"/>
        <w:rPr>
          <w:color w:val="121212"/>
        </w:rPr>
      </w:pPr>
      <w:bookmarkStart w:id="179" w:name="_5cbndf5p9cpq" w:colFirst="0" w:colLast="0"/>
      <w:bookmarkEnd w:id="179"/>
      <w:bookmarkStart w:id="180" w:name="_Toc240033998"/>
      <w:bookmarkStart w:id="181" w:name="_Toc240827728"/>
      <w:r>
        <w:rPr>
          <w:color w:val="121212"/>
        </w:rPr>
        <w:t>4.8.4 Evidence of Alignment and Misalignment</w:t>
      </w:r>
      <w:bookmarkEnd w:id="180"/>
      <w:bookmarkEnd w:id="181"/>
    </w:p>
    <w:p w14:paraId="66F9FEE0">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Accordingly, there is a partial socio-technical alignment documented. AI fits in with HR tasks when it automates administration, analyses staff data, and helps in administration choices. For instance, Nawaz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reported that accuracy in capturing information, computing capacity, and personalisation were significant factors in achieving time- and cost-saving results across 274 IT professionals in Chennai. Yet, at the intersection of alignment with fairness, trust and autonomy of employees, its impact is diminished. According to Deloitte, blurred boundaries between human and technological work-a-day concerns 54% of workers and leaders.</w:t>
      </w:r>
    </w:p>
    <w:p w14:paraId="1FB3D3FC">
      <w:pPr>
        <w:pStyle w:val="3"/>
        <w:rPr>
          <w:color w:val="121212"/>
        </w:rPr>
      </w:pPr>
      <w:bookmarkStart w:id="182" w:name="_kxkjif4qep4u" w:colFirst="0" w:colLast="0"/>
      <w:bookmarkEnd w:id="182"/>
      <w:bookmarkStart w:id="183" w:name="_Toc240827729"/>
      <w:bookmarkStart w:id="184" w:name="_Toc240033999"/>
      <w:r>
        <w:rPr>
          <w:color w:val="121212"/>
        </w:rPr>
        <w:t>4.9 Cross-Theme Synthesis</w:t>
      </w:r>
      <w:bookmarkEnd w:id="183"/>
      <w:bookmarkEnd w:id="184"/>
    </w:p>
    <w:p w14:paraId="50D820A5">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It can be concluded from the six themes that AI does not automatically enhance the performance of HRM, but rather, it is considered a conditional enhancement. The best evidence of benefit is related to efficiency. According to Dima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2024, considering 43 peer-reviewed studies, AI can optimize recruitment administration, HR data processing, training activities and tasks related to people's performance. In a comparable study, Bositkhanova and Dadaboyev, 2025 claim that AI-powered staffing planning cut processing time from 90 to 60 mins and workforce costs by 6.5%.</w:t>
      </w:r>
    </w:p>
    <w:p w14:paraId="0E693954">
      <w:pPr>
        <w:spacing w:line="360" w:lineRule="auto"/>
        <w:rPr>
          <w:rFonts w:ascii="Times New Roman" w:hAnsi="Times New Roman" w:eastAsia="Times New Roman" w:cs="Times New Roman"/>
          <w:color w:val="121212"/>
          <w:sz w:val="24"/>
          <w:szCs w:val="24"/>
        </w:rPr>
      </w:pPr>
    </w:p>
    <w:p w14:paraId="75C907C1">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This efficiency does present itself as a direct contradiction in Theme 2, however. Faster decisions are not necessarily better or fairer decisions. Based on insights gathered from 39 HR professionals and AI developers, Soleimani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suggest a recruitment process that prioritized assertiveness and clarity while penalizing those who were reserved. This means that automation can be used to save administrative time, while at the same time, carry over discriminatory assumptions into HR decision-making.</w:t>
      </w:r>
    </w:p>
    <w:p w14:paraId="3C3B78D1">
      <w:pPr>
        <w:spacing w:line="360" w:lineRule="auto"/>
        <w:rPr>
          <w:rFonts w:ascii="Times New Roman" w:hAnsi="Times New Roman" w:eastAsia="Times New Roman" w:cs="Times New Roman"/>
          <w:color w:val="121212"/>
          <w:sz w:val="24"/>
          <w:szCs w:val="24"/>
        </w:rPr>
      </w:pPr>
    </w:p>
    <w:p w14:paraId="5096AD96">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The second one is that of capability versus value of the organization. According to Deloitte's global survey of a sample of close to 10,000 leaders from 93 countries, just 6% said that their organization was progressing significantly on creating value from AI. This is in contrast to the academic-efficient benefit identified, and shows that if it was merely a question of technology adoption, the outcomes would not have been sustainable.</w:t>
      </w:r>
    </w:p>
    <w:p w14:paraId="3F8E2E28">
      <w:pPr>
        <w:spacing w:line="360" w:lineRule="auto"/>
        <w:rPr>
          <w:rFonts w:ascii="Times New Roman" w:hAnsi="Times New Roman" w:eastAsia="Times New Roman" w:cs="Times New Roman"/>
          <w:color w:val="121212"/>
          <w:sz w:val="24"/>
          <w:szCs w:val="24"/>
        </w:rPr>
      </w:pPr>
    </w:p>
    <w:p w14:paraId="4C8D8621">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Finally, through Theme 4–6 it is demonstrated how the capability of human observers, trust and governance influence whether efficiency becomes sustainable value. Jiang </w:t>
      </w:r>
      <w:r>
        <w:rPr>
          <w:rFonts w:ascii="Times New Roman" w:hAnsi="Times New Roman" w:eastAsia="Times New Roman" w:cs="Times New Roman"/>
          <w:i/>
          <w:color w:val="121212"/>
          <w:sz w:val="24"/>
          <w:szCs w:val="24"/>
        </w:rPr>
        <w:t>et al</w:t>
      </w:r>
      <w:r>
        <w:rPr>
          <w:rFonts w:ascii="Times New Roman" w:hAnsi="Times New Roman" w:eastAsia="Times New Roman" w:cs="Times New Roman"/>
          <w:color w:val="121212"/>
          <w:sz w:val="24"/>
          <w:szCs w:val="24"/>
        </w:rPr>
        <w:t>. 2025 classified ethics, privacy/cybersecurity and trust as high-priority “red-zone” risks. It is not AI vs. humans; it's AI effectiveness (with human input in judgement, governance, organisation).</w:t>
      </w:r>
    </w:p>
    <w:p w14:paraId="6C5F7268">
      <w:pPr>
        <w:spacing w:line="360" w:lineRule="auto"/>
        <w:rPr>
          <w:rFonts w:ascii="Times New Roman" w:hAnsi="Times New Roman" w:eastAsia="Times New Roman" w:cs="Times New Roman"/>
          <w:color w:val="121212"/>
          <w:sz w:val="24"/>
          <w:szCs w:val="24"/>
        </w:rPr>
      </w:pPr>
    </w:p>
    <w:p w14:paraId="24B4F87E">
      <w:pPr>
        <w:pStyle w:val="3"/>
        <w:rPr>
          <w:color w:val="121212"/>
        </w:rPr>
      </w:pPr>
      <w:bookmarkStart w:id="185" w:name="_m36w63s3mvpe" w:colFirst="0" w:colLast="0"/>
      <w:bookmarkEnd w:id="185"/>
      <w:bookmarkStart w:id="186" w:name="_Toc240034000"/>
      <w:bookmarkStart w:id="187" w:name="_Toc240827730"/>
      <w:r>
        <w:rPr>
          <w:color w:val="121212"/>
        </w:rPr>
        <w:t>4.10 Chapter Summary</w:t>
      </w:r>
      <w:bookmarkEnd w:id="186"/>
      <w:bookmarkEnd w:id="187"/>
    </w:p>
    <w:p w14:paraId="4DADC53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Finally, in this chapter, six interconnected findings about AI-powered HRM were identified. Automation, quick information processing, and workforce analytics are just a few examples of how artificial intelligence contributes to operational efficiency, yet there are security threats to algorithmic bias, low transparency, and inadequate automated decision-making. AI was also found to be a useful supplement to workforce planning and talent development and employee learning, and there was inconsistent evidence of impact between studies. In particular, there was a focus on human-AI collaboration due to the continued relevance of managerial judgments, such as those related to fairness, employees' situations and the organizational environment. Lastly, whether or not AI can create HR value in the long term was identified as being a factor of governance, employee involvement and organisational capability.</w:t>
      </w:r>
    </w:p>
    <w:p w14:paraId="1E74188A">
      <w:pPr>
        <w:spacing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br w:type="page"/>
      </w:r>
    </w:p>
    <w:p w14:paraId="66DE3122">
      <w:pPr>
        <w:pStyle w:val="2"/>
        <w:rPr>
          <w:color w:val="121212"/>
        </w:rPr>
      </w:pPr>
      <w:bookmarkStart w:id="188" w:name="_Toc240034001"/>
      <w:bookmarkStart w:id="189" w:name="_Toc240827731"/>
      <w:r>
        <w:rPr>
          <w:color w:val="121212"/>
        </w:rPr>
        <w:t>Chapter 6: Conclusion and Recommendations</w:t>
      </w:r>
      <w:bookmarkEnd w:id="188"/>
      <w:bookmarkEnd w:id="189"/>
    </w:p>
    <w:p w14:paraId="750FDEBC">
      <w:pPr>
        <w:pStyle w:val="3"/>
        <w:rPr>
          <w:color w:val="121212"/>
        </w:rPr>
      </w:pPr>
      <w:bookmarkStart w:id="190" w:name="_Toc240034002"/>
      <w:bookmarkStart w:id="191" w:name="_Toc240827732"/>
      <w:r>
        <w:rPr>
          <w:color w:val="121212"/>
        </w:rPr>
        <w:t>6.1 Summary of Key Findings</w:t>
      </w:r>
      <w:bookmarkEnd w:id="190"/>
      <w:bookmarkEnd w:id="191"/>
    </w:p>
    <w:p w14:paraId="7CE0B606">
      <w:pPr>
        <w:pStyle w:val="11"/>
        <w:spacing w:before="0" w:beforeAutospacing="0" w:after="0" w:afterAutospacing="0" w:line="360" w:lineRule="auto"/>
        <w:jc w:val="both"/>
        <w:rPr>
          <w:color w:val="121212"/>
        </w:rPr>
      </w:pPr>
      <w:r>
        <w:rPr>
          <w:color w:val="121212"/>
        </w:rPr>
        <w:t>The results show that AI is having an impact on Deloitte's HRM for recruitment processes, workforce planning and Learning and Development (L&amp;D), but its value to the organisation is contingent on its ability to complement human judgment, employee needs and governance. AI can enhance the recruitment process by screening resumes, scheduling interviews and automated messaging, and predictive metrics can assist in identifying skill gaps, forecasting staffing needs and predicting turnover. One of the studies showed 60 minutes to 90 minutes, she reduced her processing time, and reduced her workforce costs by 6.5% (Bositkhanova and Dadaboyev, 2025). AI can also support customised and expansive learning and development. Many of the claimed organisational benefits have not been adequately measured, however.</w:t>
      </w:r>
    </w:p>
    <w:p w14:paraId="53B3FB64">
      <w:pPr>
        <w:pStyle w:val="11"/>
        <w:spacing w:before="0" w:beforeAutospacing="0" w:after="0" w:afterAutospacing="0" w:line="360" w:lineRule="auto"/>
        <w:jc w:val="both"/>
        <w:rPr>
          <w:color w:val="121212"/>
        </w:rPr>
      </w:pPr>
      <w:r>
        <w:rPr>
          <w:color w:val="121212"/>
        </w:rPr>
        <w:t xml:space="preserve">Ethical risks are also identified to reflect high significance. Consistency is not equivalently equal to fairness because it can perpetuate past discrimination within the data and selection criteria used in AI. A study with 39 HR professionals and AI specialists showed that suitable candidates might end up being disadvantaged in a recruitment process based on assertiveness (Soleimani </w:t>
      </w:r>
      <w:r>
        <w:rPr>
          <w:i/>
          <w:color w:val="121212"/>
        </w:rPr>
        <w:t>et al</w:t>
      </w:r>
      <w:r>
        <w:rPr>
          <w:color w:val="121212"/>
        </w:rPr>
        <w:t>. 2025). The lack of explainability also hampers candidates'/employees' understanding and critique of AI-generated decisions. AI can complement workforce planning, skills identification and talent matching, but cannot replace the client moving, team dynamics, client aspirations or context of an experienced manager. This implies that AI's role is primarily to assist in staffing decisions, not to make them.</w:t>
      </w:r>
    </w:p>
    <w:p w14:paraId="3AC004DE">
      <w:pPr>
        <w:pStyle w:val="11"/>
        <w:spacing w:before="0" w:beforeAutospacing="0" w:after="0" w:afterAutospacing="0" w:line="360" w:lineRule="auto"/>
        <w:jc w:val="both"/>
        <w:rPr>
          <w:color w:val="121212"/>
        </w:rPr>
      </w:pPr>
      <w:r>
        <w:rPr>
          <w:color w:val="121212"/>
        </w:rPr>
        <w:t xml:space="preserve">Further, the collaboration between humans and AI is crucial. 73% identified the need for a revamp in managerial positions, but just 7% said that they made 'high progress'. Managers dedicate almost 40% of their time to administrative and acute problems, and less than 13% to people development. Although AI can alleviate administrative workload, it still demands human verification and control to uphold trust and autonomy (Jiang </w:t>
      </w:r>
      <w:r>
        <w:rPr>
          <w:i/>
          <w:color w:val="121212"/>
        </w:rPr>
        <w:t>et al</w:t>
      </w:r>
      <w:r>
        <w:rPr>
          <w:color w:val="121212"/>
        </w:rPr>
        <w:t>. 2025). While 66% say they have no ability or experience to adapt to new roles, AI helps boost personalisation in L&amp;D, this is another reason why people need AI literacy and human guidance.</w:t>
      </w:r>
    </w:p>
    <w:p w14:paraId="738794CF">
      <w:pPr>
        <w:pStyle w:val="3"/>
        <w:rPr>
          <w:color w:val="121212"/>
        </w:rPr>
      </w:pPr>
      <w:bookmarkStart w:id="192" w:name="_Toc240034003"/>
      <w:bookmarkStart w:id="193" w:name="_Toc240827733"/>
      <w:r>
        <w:rPr>
          <w:color w:val="121212"/>
        </w:rPr>
        <w:t>6.2 Answer to the Research Question</w:t>
      </w:r>
      <w:bookmarkEnd w:id="192"/>
      <w:bookmarkEnd w:id="193"/>
    </w:p>
    <w:p w14:paraId="3364B313">
      <w:pPr>
        <w:pStyle w:val="11"/>
        <w:spacing w:before="0" w:beforeAutospacing="0" w:after="0" w:afterAutospacing="0" w:line="360" w:lineRule="auto"/>
        <w:jc w:val="both"/>
        <w:rPr>
          <w:color w:val="121212"/>
        </w:rPr>
      </w:pPr>
      <w:r>
        <w:rPr>
          <w:color w:val="121212"/>
        </w:rPr>
        <w:t>The results reveal that AI has a definite and, to some extent, limited impact on HRM. Enabling efficiency, decision support and personalisation in recruitment, staffing and in L&amp;D; sustainable value requires human judgement, governance and the alignment of socio-technical. Automated CV screening, Workforce analytics, Talent match, Personalised L&amp;D. There are still algorithmic bias, transparency deficits, privacy and cybersecurity concerns, which present critical flaws and issues, as well as trust and fewer opportunities for autonomy (Tsiakas and Murray-Rust, 2022). Human-AI collaboration is likely to be the focus of future HRM, AI literacy but still human accountability will matter.</w:t>
      </w:r>
    </w:p>
    <w:p w14:paraId="3936ACB4">
      <w:pPr>
        <w:pStyle w:val="11"/>
        <w:spacing w:before="0" w:beforeAutospacing="0" w:after="0" w:afterAutospacing="0" w:line="360" w:lineRule="auto"/>
        <w:jc w:val="both"/>
        <w:rPr>
          <w:color w:val="121212"/>
        </w:rPr>
      </w:pPr>
      <w:r>
        <w:rPr>
          <w:b/>
          <w:bCs/>
          <w:color w:val="121212"/>
        </w:rPr>
        <w:t>6.3 Achievement of Research Objectives</w:t>
      </w:r>
    </w:p>
    <w:p w14:paraId="018C5634">
      <w:pPr>
        <w:pStyle w:val="11"/>
        <w:spacing w:before="0" w:beforeAutospacing="0" w:after="0" w:afterAutospacing="0" w:line="360" w:lineRule="auto"/>
        <w:jc w:val="both"/>
        <w:rPr>
          <w:color w:val="121212"/>
        </w:rPr>
      </w:pPr>
      <w:r>
        <w:rPr>
          <w:color w:val="121212"/>
        </w:rPr>
        <w:t>The effects of AI on hiring and staffing and training were the focus of Objective 1 assessments. The results showed that faster recruitment administration, predictive workforce planning, identification of skills, and personalised L&amp;D could be realised, although measurable benefits are not necessarily recorded (Puchakayala, 2022).</w:t>
      </w:r>
    </w:p>
    <w:p w14:paraId="7FD3B013">
      <w:pPr>
        <w:pStyle w:val="11"/>
        <w:spacing w:before="0" w:beforeAutospacing="0" w:after="0" w:afterAutospacing="0" w:line="360" w:lineRule="auto"/>
        <w:jc w:val="both"/>
        <w:rPr>
          <w:color w:val="121212"/>
        </w:rPr>
      </w:pPr>
      <w:r>
        <w:rPr>
          <w:color w:val="121212"/>
        </w:rPr>
        <w:t>Objective 2 was realised through the identification of key ethical, cultural and organisational challenges. The research revealed algorithmic bias, lack of transparency, privacy and cybersecurity concerns, loss of autonomy, trust issues and governance and organisational preparedness issues.</w:t>
      </w:r>
    </w:p>
    <w:p w14:paraId="7716C907">
      <w:pPr>
        <w:pStyle w:val="11"/>
        <w:spacing w:before="0" w:beforeAutospacing="0" w:after="0" w:afterAutospacing="0" w:line="360" w:lineRule="auto"/>
        <w:jc w:val="both"/>
        <w:rPr>
          <w:color w:val="121212"/>
        </w:rPr>
      </w:pPr>
      <w:r>
        <w:rPr>
          <w:color w:val="121212"/>
        </w:rPr>
        <w:t xml:space="preserve">Objective 3 was accomplished by building a balanced strategic set direction with human oversight, responsible governance, employees' involvement and developing AI capability and aligning with STS (Tschiatschek </w:t>
      </w:r>
      <w:r>
        <w:rPr>
          <w:i/>
          <w:iCs/>
          <w:color w:val="121212"/>
        </w:rPr>
        <w:t xml:space="preserve">et al. </w:t>
      </w:r>
      <w:r>
        <w:rPr>
          <w:color w:val="121212"/>
        </w:rPr>
        <w:t>2024). Based on this evidence, human in the loop seems to be the most promising strategy for combining both AI analysis and recommendations with the final judgments of the HR professional that make them a unique member of the system, giving due weight to the contextual and ethical aspects.</w:t>
      </w:r>
    </w:p>
    <w:p w14:paraId="402B0E26">
      <w:pPr>
        <w:pStyle w:val="3"/>
        <w:rPr>
          <w:color w:val="121212"/>
        </w:rPr>
      </w:pPr>
      <w:bookmarkStart w:id="194" w:name="_Toc240034004"/>
      <w:bookmarkStart w:id="195" w:name="_Toc240827734"/>
      <w:r>
        <w:rPr>
          <w:color w:val="121212"/>
        </w:rPr>
        <w:t>6.4 Achievement of Research Objectives</w:t>
      </w:r>
      <w:bookmarkEnd w:id="194"/>
      <w:bookmarkEnd w:id="195"/>
    </w:p>
    <w:p w14:paraId="4ECAA457">
      <w:pPr>
        <w:pStyle w:val="4"/>
        <w:rPr>
          <w:color w:val="121212"/>
        </w:rPr>
      </w:pPr>
      <w:bookmarkStart w:id="196" w:name="_Toc240034005"/>
      <w:bookmarkStart w:id="197" w:name="_Toc240827735"/>
      <w:r>
        <w:rPr>
          <w:color w:val="121212"/>
        </w:rPr>
        <w:t>6.4.1 Establish Human-in-the-Loop HR Decision-Making</w:t>
      </w:r>
      <w:bookmarkEnd w:id="196"/>
      <w:bookmarkEnd w:id="197"/>
    </w:p>
    <w:p w14:paraId="4F0F83F5">
      <w:pPr>
        <w:pStyle w:val="11"/>
        <w:spacing w:before="0" w:beforeAutospacing="0" w:after="0" w:afterAutospacing="0" w:line="360" w:lineRule="auto"/>
        <w:jc w:val="both"/>
        <w:rPr>
          <w:color w:val="121212"/>
        </w:rPr>
      </w:pPr>
      <w:r>
        <w:rPr>
          <w:color w:val="121212"/>
        </w:rPr>
        <w:t>AI should make recommendations, not decisions, about recruitment, staffing, promotion and performance assessment at Deloitte. HR practitioners and managers should scrutinize key AI-generated content with formal processes for human override and appeal (Kun, 2027). This method is based on the fact that artificial intelligence can determine patterns, whereas it might not be able to detect context or fairness-based concerns.</w:t>
      </w:r>
    </w:p>
    <w:p w14:paraId="21462C7E">
      <w:pPr>
        <w:pStyle w:val="4"/>
        <w:rPr>
          <w:color w:val="121212"/>
        </w:rPr>
      </w:pPr>
      <w:bookmarkStart w:id="198" w:name="_Toc240827736"/>
      <w:bookmarkStart w:id="199" w:name="_Toc240034006"/>
      <w:r>
        <w:rPr>
          <w:color w:val="121212"/>
        </w:rPr>
        <w:t>6.4.2 Strengthen AI Governance and Accountability</w:t>
      </w:r>
      <w:bookmarkEnd w:id="198"/>
      <w:bookmarkEnd w:id="199"/>
    </w:p>
    <w:p w14:paraId="1C259320">
      <w:pPr>
        <w:pStyle w:val="11"/>
        <w:spacing w:before="0" w:beforeAutospacing="0" w:after="0" w:afterAutospacing="0" w:line="360" w:lineRule="auto"/>
        <w:jc w:val="both"/>
        <w:rPr>
          <w:color w:val="121212"/>
        </w:rPr>
      </w:pPr>
      <w:r>
        <w:rPr>
          <w:color w:val="121212"/>
        </w:rPr>
        <w:t>A clear accountability must be set for the use of artificial intelligence in HR decision-making. Accuracy, fairness, privacy and unintended consequences are aspects that need to be assessed regularly in a risk assessment. Audit trails should be preserved in case there are any decisions to be made, and appropriate procedures should be identified on how auditing should proceed if recommendations made by AI seem inappropriate or discriminatory.</w:t>
      </w:r>
    </w:p>
    <w:p w14:paraId="6889F2B0">
      <w:pPr>
        <w:pStyle w:val="4"/>
        <w:rPr>
          <w:color w:val="121212"/>
        </w:rPr>
      </w:pPr>
      <w:bookmarkStart w:id="200" w:name="_Toc240034007"/>
      <w:bookmarkStart w:id="201" w:name="_Toc240827737"/>
      <w:r>
        <w:rPr>
          <w:color w:val="121212"/>
        </w:rPr>
        <w:t>6.4.3 Introduce Regular Algorithmic Bias and Fairness Audits</w:t>
      </w:r>
      <w:bookmarkEnd w:id="200"/>
      <w:bookmarkEnd w:id="201"/>
    </w:p>
    <w:p w14:paraId="0F302F65">
      <w:pPr>
        <w:pStyle w:val="11"/>
        <w:spacing w:before="0" w:beforeAutospacing="0" w:after="0" w:afterAutospacing="0" w:line="360" w:lineRule="auto"/>
        <w:jc w:val="both"/>
        <w:rPr>
          <w:color w:val="121212"/>
        </w:rPr>
      </w:pPr>
      <w:r>
        <w:rPr>
          <w:color w:val="121212"/>
        </w:rPr>
        <w:t>Recruitment and talent-matching algorithms should be retested every so often for inequity. Deloitte should audit training data to check for historical bias and compare algorithmic results for an appropriate category of candidates and employees. However, audits should be ongoing following implementation, as the performance of the algorithm can vary over time.</w:t>
      </w:r>
    </w:p>
    <w:p w14:paraId="4696E6EB">
      <w:pPr>
        <w:pStyle w:val="4"/>
        <w:rPr>
          <w:color w:val="121212"/>
        </w:rPr>
      </w:pPr>
      <w:bookmarkStart w:id="202" w:name="_Toc240827738"/>
      <w:bookmarkStart w:id="203" w:name="_Toc240034008"/>
      <w:r>
        <w:rPr>
          <w:color w:val="121212"/>
        </w:rPr>
        <w:t>6.4.4 Improve Transparency and Explainability</w:t>
      </w:r>
      <w:bookmarkEnd w:id="202"/>
      <w:bookmarkEnd w:id="203"/>
    </w:p>
    <w:p w14:paraId="2625AC2D">
      <w:pPr>
        <w:pStyle w:val="11"/>
        <w:spacing w:before="0" w:beforeAutospacing="0" w:after="0" w:afterAutospacing="0" w:line="360" w:lineRule="auto"/>
        <w:jc w:val="both"/>
        <w:rPr>
          <w:color w:val="121212"/>
        </w:rPr>
      </w:pPr>
      <w:r>
        <w:rPr>
          <w:color w:val="121212"/>
        </w:rPr>
        <w:t>The use of AI in HR decision-making should be communicated to candidates and employees. Deloitte is expected to clarify the key considerations underlying each of the key recommendations and maintain easily accessible procedures for challenging or appealing AI-driven decisions (Emma, 2024). This is especially true since transparency, trust, and ethical concerns were highlighted as high priority factors.</w:t>
      </w:r>
    </w:p>
    <w:p w14:paraId="0E4AF5EB">
      <w:pPr>
        <w:pStyle w:val="4"/>
        <w:rPr>
          <w:color w:val="121212"/>
        </w:rPr>
      </w:pPr>
      <w:bookmarkStart w:id="204" w:name="_Toc240827739"/>
      <w:bookmarkStart w:id="205" w:name="_Toc240034009"/>
      <w:r>
        <w:rPr>
          <w:color w:val="121212"/>
        </w:rPr>
        <w:t>6.4.5 Protect Employee Privacy and Autonomy</w:t>
      </w:r>
      <w:bookmarkEnd w:id="204"/>
      <w:bookmarkEnd w:id="205"/>
    </w:p>
    <w:p w14:paraId="6CC8FB5B">
      <w:pPr>
        <w:pStyle w:val="11"/>
        <w:spacing w:before="0" w:beforeAutospacing="0" w:after="0" w:afterAutospacing="0" w:line="360" w:lineRule="auto"/>
        <w:jc w:val="both"/>
        <w:rPr>
          <w:color w:val="121212"/>
        </w:rPr>
      </w:pPr>
      <w:r>
        <w:rPr>
          <w:color w:val="121212"/>
        </w:rPr>
        <w:t>The information they can collect should align with minimising data and only include information suitable for HR-related purposes. Unnecessary monitoring of employees should be limited and employees should have the opportunity to challenge AI-based evaluations impacting their career, development and/or work allocation.</w:t>
      </w:r>
    </w:p>
    <w:p w14:paraId="755FBABB">
      <w:pPr>
        <w:pStyle w:val="4"/>
        <w:rPr>
          <w:color w:val="121212"/>
        </w:rPr>
      </w:pPr>
      <w:bookmarkStart w:id="206" w:name="_Toc240827740"/>
      <w:bookmarkStart w:id="207" w:name="_Toc240034010"/>
      <w:r>
        <w:rPr>
          <w:color w:val="121212"/>
        </w:rPr>
        <w:t>6.4.6 Invest in AI Skills and HR Digital Literacy</w:t>
      </w:r>
      <w:bookmarkEnd w:id="206"/>
      <w:bookmarkEnd w:id="207"/>
    </w:p>
    <w:p w14:paraId="748B8EB1">
      <w:pPr>
        <w:pStyle w:val="11"/>
        <w:spacing w:before="0" w:beforeAutospacing="0" w:after="0" w:afterAutospacing="0" w:line="360" w:lineRule="auto"/>
        <w:jc w:val="both"/>
        <w:rPr>
          <w:color w:val="121212"/>
        </w:rPr>
      </w:pPr>
      <w:r>
        <w:rPr>
          <w:color w:val="121212"/>
        </w:rPr>
        <w:t>Deloitte will need to have HR staffers trained to critique and analyze reports from AI before blindly following the algorithms. It is recommended that managers and employees be trained in AI literacy, which involves knowledge of how to use AI, ethical considerations, and evaluation and decision-making processes. Organizational capability development is, therefore, required for technology adoption.</w:t>
      </w:r>
    </w:p>
    <w:p w14:paraId="28EE18C2">
      <w:pPr>
        <w:pStyle w:val="4"/>
        <w:rPr>
          <w:color w:val="121212"/>
        </w:rPr>
      </w:pPr>
      <w:bookmarkStart w:id="208" w:name="_Toc240827741"/>
      <w:bookmarkStart w:id="209" w:name="_Toc240034011"/>
      <w:r>
        <w:rPr>
          <w:color w:val="121212"/>
        </w:rPr>
        <w:t>6.4.7 Preserve Human Mentoring and Professional Judgement</w:t>
      </w:r>
      <w:bookmarkEnd w:id="208"/>
      <w:bookmarkEnd w:id="209"/>
    </w:p>
    <w:p w14:paraId="51389913">
      <w:pPr>
        <w:pStyle w:val="11"/>
        <w:spacing w:before="0" w:beforeAutospacing="0" w:after="0" w:afterAutospacing="0" w:line="360" w:lineRule="auto"/>
        <w:jc w:val="both"/>
        <w:rPr>
          <w:color w:val="121212"/>
        </w:rPr>
      </w:pPr>
      <w:r>
        <w:rPr>
          <w:color w:val="121212"/>
        </w:rPr>
        <w:t>AI should complement coaching, mentoring and peer learning, enhancing personalised learning and identification of development needs but should not replace these activities. There is still a role for human interaction in disseminating tacit knowledge and in understanding the context of the organization and contributing professional judgement. AI should, therefore, complement and not replace human development.</w:t>
      </w:r>
    </w:p>
    <w:p w14:paraId="03555C80">
      <w:pPr>
        <w:pStyle w:val="4"/>
        <w:rPr>
          <w:color w:val="121212"/>
        </w:rPr>
      </w:pPr>
      <w:bookmarkStart w:id="210" w:name="_Toc240034012"/>
      <w:bookmarkStart w:id="211" w:name="_Toc240827742"/>
      <w:r>
        <w:rPr>
          <w:color w:val="121212"/>
        </w:rPr>
        <w:t>6.4.8 Implement AI Through a Socio-Technical Approach</w:t>
      </w:r>
      <w:bookmarkEnd w:id="210"/>
      <w:bookmarkEnd w:id="211"/>
    </w:p>
    <w:p w14:paraId="7CCA51DE">
      <w:pPr>
        <w:pStyle w:val="11"/>
        <w:spacing w:before="0" w:beforeAutospacing="0" w:after="0" w:afterAutospacing="0" w:line="360" w:lineRule="auto"/>
        <w:jc w:val="both"/>
        <w:rPr>
          <w:color w:val="121212"/>
        </w:rPr>
      </w:pPr>
      <w:r>
        <w:rPr>
          <w:color w:val="121212"/>
        </w:rPr>
        <w:t xml:space="preserve">The main recommendation is for Deloitte to adopt AI in line with the principle of Socio-Technical Systems (STS) of joint optimisation. The AI automation, the workforce analytics, the talent matching and personalised L&amp;D are part of the technical subsystem. The social subsystem should have the HR professionals, managers and employees with the support of trust, autonomy, organisational culture and professional judgement (Rahman </w:t>
      </w:r>
      <w:r>
        <w:rPr>
          <w:i/>
          <w:iCs/>
          <w:color w:val="121212"/>
        </w:rPr>
        <w:t xml:space="preserve">et al. </w:t>
      </w:r>
      <w:r>
        <w:rPr>
          <w:color w:val="121212"/>
        </w:rPr>
        <w:t>2025). All these systems should then be collaboratively optimized by humans, governance, employees, and to the highest extent, with good use of AI. This is needed because the results show that most of the alignment is at a partial level, AI enables administrative efficiency as well as data analysis, but fairness, trust and autonomy can suffer if the technological development does not match the social and organisational development.</w:t>
      </w:r>
    </w:p>
    <w:p w14:paraId="78B3BAC4">
      <w:pPr>
        <w:pStyle w:val="3"/>
        <w:rPr>
          <w:color w:val="121212"/>
        </w:rPr>
      </w:pPr>
      <w:bookmarkStart w:id="212" w:name="_Toc240034013"/>
      <w:bookmarkStart w:id="213" w:name="_Toc240827743"/>
      <w:r>
        <w:rPr>
          <w:color w:val="121212"/>
        </w:rPr>
        <w:t>6.5 Proposed Human-Centric AI Framework</w:t>
      </w:r>
      <w:bookmarkEnd w:id="212"/>
      <w:bookmarkEnd w:id="213"/>
    </w:p>
    <w:p w14:paraId="2210F18F">
      <w:pPr>
        <w:pStyle w:val="11"/>
        <w:spacing w:before="0" w:beforeAutospacing="0" w:after="0" w:afterAutospacing="0" w:line="360" w:lineRule="auto"/>
        <w:jc w:val="both"/>
        <w:rPr>
          <w:color w:val="121212"/>
        </w:rPr>
      </w:pPr>
      <w:r>
        <w:rPr>
          <w:color w:val="121212"/>
        </w:rPr>
        <w:t>This Human-Centric Socio-Technical AI-HRM Framework incorporates five pillars for sustainable AI adoption. First, AI power efficiency enables automation, analysis and expandability. Second, the involvement of humans provides managerial judgment, human-in-the-loop decision making and override capabilities. Third, responsible AI governance fosters fairness, transparency, privacy and accountability. Fourth, employee participation, change management, trust and AI literacy of people and organisations take shape (Mercy, 2025). Fifth, ongoing performance assessment facilitates bias monitoring, performance assessment, employee feedback and governance review. They represent the socio-technical principle, which sees technology developing in sync with human and organisational capabilities. </w:t>
      </w:r>
    </w:p>
    <w:p w14:paraId="7F0FB444">
      <w:pPr>
        <w:pStyle w:val="3"/>
        <w:rPr>
          <w:color w:val="121212"/>
        </w:rPr>
      </w:pPr>
      <w:bookmarkStart w:id="214" w:name="_Toc240034014"/>
      <w:bookmarkStart w:id="215" w:name="_Toc240827744"/>
      <w:r>
        <w:rPr>
          <w:color w:val="121212"/>
        </w:rPr>
        <w:t>6.6 Theoretical Contribution</w:t>
      </w:r>
      <w:bookmarkEnd w:id="214"/>
      <w:bookmarkEnd w:id="215"/>
    </w:p>
    <w:p w14:paraId="1883932F">
      <w:pPr>
        <w:pStyle w:val="11"/>
        <w:spacing w:before="0" w:beforeAutospacing="0" w:after="0" w:afterAutospacing="0" w:line="360" w:lineRule="auto"/>
        <w:jc w:val="both"/>
        <w:rPr>
          <w:color w:val="121212"/>
        </w:rPr>
      </w:pPr>
      <w:r>
        <w:rPr>
          <w:color w:val="121212"/>
        </w:rPr>
        <w:t>This study outlines the application of Socio-Technical Systems (STS) Theory with the technological capabilities, human and organisational factors of AI-enabled HRM. It transcends the dichotomy of good versus bad, claiming that AI's outcome is determined by effective coordination between technology, people judgment, organisational culture, employee autonomy, and governance. For knowledge-intensive professional practices (KIPP), like Deloitte, the knowledge of its employees, client interaction, and managerial judgment are crucial to effective HR decision making, so this perspective is even more relevant to KIPs.</w:t>
      </w:r>
    </w:p>
    <w:p w14:paraId="0AB23CEE">
      <w:pPr>
        <w:pStyle w:val="3"/>
        <w:rPr>
          <w:color w:val="121212"/>
        </w:rPr>
      </w:pPr>
      <w:bookmarkStart w:id="216" w:name="_Toc240034015"/>
      <w:bookmarkStart w:id="217" w:name="_Toc240827745"/>
      <w:r>
        <w:rPr>
          <w:color w:val="121212"/>
        </w:rPr>
        <w:t>6.7 Practical Implications</w:t>
      </w:r>
      <w:bookmarkEnd w:id="216"/>
      <w:bookmarkEnd w:id="217"/>
    </w:p>
    <w:p w14:paraId="72D83B8B">
      <w:pPr>
        <w:pStyle w:val="11"/>
        <w:spacing w:before="0" w:beforeAutospacing="0" w:after="0" w:afterAutospacing="0" w:line="360" w:lineRule="auto"/>
        <w:jc w:val="both"/>
        <w:rPr>
          <w:color w:val="121212"/>
        </w:rPr>
      </w:pPr>
      <w:r>
        <w:rPr>
          <w:color w:val="121212"/>
        </w:rPr>
        <w:t>AI should be seen as a decision-support tool for HR managers with enough knowledge of AI and their ability to exercise control over important decisions. Senior management needs to commit to governance and organisational readiness, and assess the value of AI by outcomes of employees, as well as efficiency (Padala, 2023). Workers need to acquire the skills needed for AI use and be involved in its implementation, but still maintain opportunities for professional judgement and development. Balancing automation with expertise and viewing AI governance not just as a compliance obligation but as a strategic competency for the organisation is absolutely vital for firms like Deloitte that continuously depend on human capabilities.</w:t>
      </w:r>
    </w:p>
    <w:p w14:paraId="6C712F77">
      <w:pPr>
        <w:pStyle w:val="3"/>
        <w:rPr>
          <w:color w:val="121212"/>
        </w:rPr>
      </w:pPr>
      <w:bookmarkStart w:id="218" w:name="_Toc240827746"/>
      <w:bookmarkStart w:id="219" w:name="_Toc240034016"/>
      <w:r>
        <w:rPr>
          <w:color w:val="121212"/>
        </w:rPr>
        <w:t>6.8 Limitations of the Research</w:t>
      </w:r>
      <w:bookmarkEnd w:id="218"/>
      <w:bookmarkEnd w:id="219"/>
    </w:p>
    <w:p w14:paraId="4D36DEB1">
      <w:pPr>
        <w:pStyle w:val="11"/>
        <w:spacing w:before="0" w:beforeAutospacing="0" w:after="0" w:afterAutospacing="0" w:line="360" w:lineRule="auto"/>
        <w:jc w:val="both"/>
        <w:rPr>
          <w:color w:val="121212"/>
        </w:rPr>
      </w:pPr>
      <w:r>
        <w:rPr>
          <w:color w:val="121212"/>
        </w:rPr>
        <w:t>Limitations of this study: it is a secondary research study and did not seek primary data from the Deloitte employees, HR managers or candidates, it is therefore impossible to make any judgments about their direct experiences. Some information is sourced from Deloitte publications, which also incorporate Deloitte's strategic view, but nevertheless have been triangulated with independent academic and regulatory sources. Findings are closely related to professional services and especially the Deloitte sector and may not apply directly to other sectors.</w:t>
      </w:r>
    </w:p>
    <w:p w14:paraId="4D0A0CE2">
      <w:pPr>
        <w:pStyle w:val="3"/>
        <w:rPr>
          <w:color w:val="121212"/>
        </w:rPr>
      </w:pPr>
      <w:bookmarkStart w:id="220" w:name="_Toc240034017"/>
      <w:bookmarkStart w:id="221" w:name="_Toc240827747"/>
      <w:r>
        <w:rPr>
          <w:color w:val="121212"/>
        </w:rPr>
        <w:t>6.9 Recommendations for Future Research</w:t>
      </w:r>
      <w:bookmarkEnd w:id="220"/>
      <w:bookmarkEnd w:id="221"/>
    </w:p>
    <w:p w14:paraId="159D191D">
      <w:pPr>
        <w:pStyle w:val="11"/>
        <w:spacing w:before="0" w:beforeAutospacing="0" w:after="0" w:afterAutospacing="0" w:line="360" w:lineRule="auto"/>
        <w:jc w:val="both"/>
        <w:rPr>
          <w:color w:val="121212"/>
        </w:rPr>
      </w:pPr>
      <w:r>
        <w:rPr>
          <w:color w:val="121212"/>
        </w:rPr>
        <w:t>Future research could take the form of a study involving interviews with Deloitte HR specialists, managers, employees and recruitment specialists, specifically focusing on their views and feelings regarding trust, fairness, autonomy and resistance to AI (Khan and Sheraz, 2025). The impacts of AI on time-to-hire, recruitment quality, retention, productivity, training effectiveness and savings should be measured through quantitative research. Deloitte comparisons might be drawn with other Big Four and technology companies. Longitudinal studies need to follow the changes of AI-HRM over a span of years. </w:t>
      </w:r>
    </w:p>
    <w:p w14:paraId="46D92D4D">
      <w:pPr>
        <w:spacing w:line="360" w:lineRule="auto"/>
        <w:rPr>
          <w:rFonts w:ascii="Times New Roman" w:hAnsi="Times New Roman" w:eastAsia="Times New Roman" w:cs="Times New Roman"/>
          <w:color w:val="121212"/>
          <w:sz w:val="24"/>
          <w:szCs w:val="24"/>
        </w:rPr>
      </w:pPr>
    </w:p>
    <w:p w14:paraId="14ABAC8E">
      <w:pPr>
        <w:spacing w:line="360" w:lineRule="auto"/>
        <w:rPr>
          <w:rFonts w:ascii="Times New Roman" w:hAnsi="Times New Roman" w:eastAsia="Times New Roman" w:cs="Times New Roman"/>
          <w:color w:val="121212"/>
          <w:sz w:val="24"/>
          <w:szCs w:val="24"/>
        </w:rPr>
      </w:pPr>
    </w:p>
    <w:p w14:paraId="1907854D">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p>
    <w:p w14:paraId="509199E9">
      <w:pPr>
        <w:pStyle w:val="2"/>
        <w:rPr>
          <w:color w:val="121212"/>
        </w:rPr>
      </w:pPr>
      <w:bookmarkStart w:id="222" w:name="_b7hhlxowl33g" w:colFirst="0" w:colLast="0"/>
      <w:bookmarkEnd w:id="222"/>
      <w:r>
        <w:rPr>
          <w:color w:val="121212"/>
        </w:rPr>
        <w:br w:type="page"/>
      </w:r>
    </w:p>
    <w:p w14:paraId="7CCA6FA9">
      <w:pPr>
        <w:pStyle w:val="2"/>
        <w:rPr>
          <w:color w:val="121212"/>
        </w:rPr>
      </w:pPr>
      <w:bookmarkStart w:id="223" w:name="_Toc240034018"/>
      <w:bookmarkStart w:id="224" w:name="_Toc240827748"/>
      <w:r>
        <w:rPr>
          <w:color w:val="121212"/>
        </w:rPr>
        <w:t>Reference list</w:t>
      </w:r>
      <w:bookmarkEnd w:id="223"/>
      <w:bookmarkEnd w:id="224"/>
    </w:p>
    <w:p w14:paraId="35C6814C">
      <w:pPr>
        <w:pBdr>
          <w:top w:val="none" w:color="auto" w:sz="0" w:space="0"/>
          <w:left w:val="none" w:color="auto" w:sz="0" w:space="0"/>
          <w:bottom w:val="none" w:color="auto" w:sz="0" w:space="0"/>
          <w:right w:val="none" w:color="auto" w:sz="0" w:space="0"/>
          <w:between w:val="none" w:color="auto" w:sz="0" w:space="0"/>
        </w:pBdr>
        <w:spacing w:after="20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Abbasi, B.N., Wu, Y. and Luo, Z., 2025. Exploring the impact of artificial intelligence on curriculum development in global higher education institutions. </w:t>
      </w:r>
      <w:r>
        <w:rPr>
          <w:rFonts w:ascii="Times New Roman" w:hAnsi="Times New Roman" w:eastAsia="Times New Roman" w:cs="Times New Roman"/>
          <w:i/>
          <w:iCs/>
          <w:color w:val="121212"/>
          <w:sz w:val="24"/>
          <w:szCs w:val="24"/>
        </w:rPr>
        <w:t>Education and Information Technologies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30</w:t>
      </w:r>
      <w:r>
        <w:rPr>
          <w:rFonts w:ascii="Times New Roman" w:hAnsi="Times New Roman" w:eastAsia="Times New Roman" w:cs="Times New Roman"/>
          <w:color w:val="121212"/>
          <w:sz w:val="24"/>
          <w:szCs w:val="24"/>
        </w:rPr>
        <w:t>(1), pp.547-581.</w:t>
      </w:r>
    </w:p>
    <w:p w14:paraId="1B5B1A27">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Ajmal, M., Islam, A. and Khalid, S., 2025. A socio-technical systems perspective on organizational performance: Integrating soft systems methodology and high-performance work systems. </w:t>
      </w:r>
      <w:r>
        <w:rPr>
          <w:rFonts w:ascii="Times New Roman" w:hAnsi="Times New Roman" w:eastAsia="Times New Roman" w:cs="Times New Roman"/>
          <w:i/>
          <w:iCs/>
          <w:color w:val="121212"/>
          <w:sz w:val="24"/>
          <w:szCs w:val="24"/>
        </w:rPr>
        <w:t>ASSAJ</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w:t>
      </w:r>
      <w:r>
        <w:rPr>
          <w:rFonts w:ascii="Times New Roman" w:hAnsi="Times New Roman" w:eastAsia="Times New Roman" w:cs="Times New Roman"/>
          <w:color w:val="121212"/>
          <w:sz w:val="24"/>
          <w:szCs w:val="24"/>
        </w:rPr>
        <w:t>(02), pp.2672-2688. </w:t>
      </w:r>
    </w:p>
    <w:p w14:paraId="1106FFF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Albassam, W.A., 2023. The power of artificial intelligence in recruitment: An analytical review of current AI-based recruitment strategies. </w:t>
      </w:r>
      <w:r>
        <w:rPr>
          <w:rFonts w:ascii="Times New Roman" w:hAnsi="Times New Roman" w:eastAsia="Times New Roman" w:cs="Times New Roman"/>
          <w:i/>
          <w:iCs/>
          <w:color w:val="121212"/>
          <w:sz w:val="24"/>
          <w:szCs w:val="24"/>
        </w:rPr>
        <w:t>International Journal of Professional Business Review: Int. J. Prof. Bus. Rev.</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8</w:t>
      </w:r>
      <w:r>
        <w:rPr>
          <w:rFonts w:ascii="Times New Roman" w:hAnsi="Times New Roman" w:eastAsia="Times New Roman" w:cs="Times New Roman"/>
          <w:color w:val="121212"/>
          <w:sz w:val="24"/>
          <w:szCs w:val="24"/>
        </w:rPr>
        <w:t>(6), p.4. </w:t>
      </w:r>
    </w:p>
    <w:p w14:paraId="5496909A">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Al-Naemi, A.A.S. and Botella-Carrubi, D., 2026. The challenges of applying predictive analytics and knowledge for decision-making in talent management. Journal of Innovation &amp; Knowledge, 17, p.101044.</w:t>
      </w:r>
    </w:p>
    <w:p w14:paraId="2F365709">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Amayreh, A., Ta’Amnha, M.A., Magableh, I.K., Mahrouq, M.H. and Alfaiza, S.A. 2025 ‘Exploring the impact of AI on employee self-competence performance key variables and outcomes’, </w:t>
      </w:r>
      <w:r>
        <w:rPr>
          <w:rFonts w:ascii="Times New Roman" w:hAnsi="Times New Roman" w:eastAsia="Times New Roman" w:cs="Times New Roman"/>
          <w:i/>
          <w:iCs/>
          <w:color w:val="121212"/>
          <w:sz w:val="24"/>
          <w:szCs w:val="24"/>
        </w:rPr>
        <w:t>Discover Sustainability</w:t>
      </w:r>
      <w:r>
        <w:rPr>
          <w:rFonts w:ascii="Times New Roman" w:hAnsi="Times New Roman" w:eastAsia="Times New Roman" w:cs="Times New Roman"/>
          <w:color w:val="121212"/>
          <w:sz w:val="24"/>
          <w:szCs w:val="24"/>
        </w:rPr>
        <w:t>, 6, 582.</w:t>
      </w:r>
    </w:p>
    <w:p w14:paraId="52B5CE1C">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Ang, K.C., Sankaran, S. and Liu, D. 2025, ‘Advancing sociotechnical systems theory: New principles for human-robot team design and development’, </w:t>
      </w:r>
      <w:r>
        <w:rPr>
          <w:rFonts w:ascii="Times New Roman" w:hAnsi="Times New Roman" w:eastAsia="Times New Roman" w:cs="Times New Roman"/>
          <w:i/>
          <w:iCs/>
          <w:color w:val="121212"/>
          <w:sz w:val="24"/>
          <w:szCs w:val="24"/>
        </w:rPr>
        <w:t>Applied Ergonomics</w:t>
      </w:r>
      <w:r>
        <w:rPr>
          <w:rFonts w:ascii="Times New Roman" w:hAnsi="Times New Roman" w:eastAsia="Times New Roman" w:cs="Times New Roman"/>
          <w:color w:val="121212"/>
          <w:sz w:val="24"/>
          <w:szCs w:val="24"/>
        </w:rPr>
        <w:t>, 129, 104604. </w:t>
      </w:r>
    </w:p>
    <w:p w14:paraId="23B0D9D9">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Aramali, V., Cho, N., Pande, F., Al-Mhdawi, M.K.S., Ojiako, U. and Qazi, A., 2025. Generative AI in project management: Impacts on corporate values, employee perceptions, and organizational practices. </w:t>
      </w:r>
      <w:r>
        <w:rPr>
          <w:rFonts w:ascii="Times New Roman" w:hAnsi="Times New Roman" w:eastAsia="Times New Roman" w:cs="Times New Roman"/>
          <w:i/>
          <w:iCs/>
          <w:color w:val="121212"/>
          <w:sz w:val="24"/>
          <w:szCs w:val="24"/>
        </w:rPr>
        <w:t>Project Leadership and Society</w:t>
      </w:r>
      <w:r>
        <w:rPr>
          <w:rFonts w:ascii="Times New Roman" w:hAnsi="Times New Roman" w:eastAsia="Times New Roman" w:cs="Times New Roman"/>
          <w:color w:val="121212"/>
          <w:sz w:val="24"/>
          <w:szCs w:val="24"/>
        </w:rPr>
        <w:t>, p.100191. </w:t>
      </w:r>
    </w:p>
    <w:p w14:paraId="52A20CDB">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Ardichvili, A., Dirani, K., Jabarkhail, S., El Mansour, W. and Aboulhosn, S., 2024. Using generative AI in human resource development: An applied research study. </w:t>
      </w:r>
      <w:r>
        <w:rPr>
          <w:rFonts w:ascii="Times New Roman" w:hAnsi="Times New Roman" w:eastAsia="Times New Roman" w:cs="Times New Roman"/>
          <w:i/>
          <w:iCs/>
          <w:color w:val="121212"/>
          <w:sz w:val="24"/>
          <w:szCs w:val="24"/>
        </w:rPr>
        <w:t>Human Resource Development International</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27</w:t>
      </w:r>
      <w:r>
        <w:rPr>
          <w:rFonts w:ascii="Times New Roman" w:hAnsi="Times New Roman" w:eastAsia="Times New Roman" w:cs="Times New Roman"/>
          <w:color w:val="121212"/>
          <w:sz w:val="24"/>
          <w:szCs w:val="24"/>
        </w:rPr>
        <w:t>(3), pp.388-409. </w:t>
      </w:r>
    </w:p>
    <w:p w14:paraId="2DD42226">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Bangura, S., Duma, P.T. and Mthembu, N.A., 2025. Ethical considerations of implementing artificial intelligence in human resource management: A review. </w:t>
      </w:r>
      <w:r>
        <w:rPr>
          <w:rFonts w:ascii="Times New Roman" w:hAnsi="Times New Roman" w:eastAsia="Times New Roman" w:cs="Times New Roman"/>
          <w:i/>
          <w:iCs/>
          <w:color w:val="121212"/>
          <w:sz w:val="24"/>
          <w:szCs w:val="24"/>
        </w:rPr>
        <w:t>International Journal of Business Ecosystem &amp; Strategy (2687-2293)</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7</w:t>
      </w:r>
      <w:r>
        <w:rPr>
          <w:rFonts w:ascii="Times New Roman" w:hAnsi="Times New Roman" w:eastAsia="Times New Roman" w:cs="Times New Roman"/>
          <w:color w:val="121212"/>
          <w:sz w:val="24"/>
          <w:szCs w:val="24"/>
        </w:rPr>
        <w:t>(5), pp.274-281. </w:t>
      </w:r>
    </w:p>
    <w:p w14:paraId="3E2ED78F">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Bashynska, I., Prokopenko, O. and Sala, D., 2023. Managing human capital with AI: Synergy of talent and technology. </w:t>
      </w:r>
      <w:r>
        <w:rPr>
          <w:rFonts w:ascii="Times New Roman" w:hAnsi="Times New Roman" w:eastAsia="Times New Roman" w:cs="Times New Roman"/>
          <w:i/>
          <w:iCs/>
          <w:color w:val="121212"/>
          <w:sz w:val="24"/>
          <w:szCs w:val="24"/>
        </w:rPr>
        <w:t>Scientific Journal of Bielsko-Biala School of Finance and Law</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27</w:t>
      </w:r>
      <w:r>
        <w:rPr>
          <w:rFonts w:ascii="Times New Roman" w:hAnsi="Times New Roman" w:eastAsia="Times New Roman" w:cs="Times New Roman"/>
          <w:color w:val="121212"/>
          <w:sz w:val="24"/>
          <w:szCs w:val="24"/>
        </w:rPr>
        <w:t>(3), pp.39-45. </w:t>
      </w:r>
    </w:p>
    <w:p w14:paraId="261054EE">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Bastida, M., Vaquero García, A., Vazquez Taín, M.Á. and Del Río Araujo, M., 2025. ‘From automation to augmentation: Human resource’s journey with artificial intelligence’, </w:t>
      </w:r>
      <w:r>
        <w:rPr>
          <w:rFonts w:ascii="Times New Roman" w:hAnsi="Times New Roman" w:eastAsia="Times New Roman" w:cs="Times New Roman"/>
          <w:i/>
          <w:iCs/>
          <w:color w:val="121212"/>
          <w:sz w:val="24"/>
          <w:szCs w:val="24"/>
        </w:rPr>
        <w:t>Journal of Industrial Information Integration</w:t>
      </w:r>
      <w:r>
        <w:rPr>
          <w:rFonts w:ascii="Times New Roman" w:hAnsi="Times New Roman" w:eastAsia="Times New Roman" w:cs="Times New Roman"/>
          <w:color w:val="121212"/>
          <w:sz w:val="24"/>
          <w:szCs w:val="24"/>
        </w:rPr>
        <w:t>, 46, 100872. doi: 10.1016/j.jii.2025.100872.</w:t>
      </w:r>
    </w:p>
    <w:p w14:paraId="5B96E8FB">
      <w:pPr>
        <w:pBdr>
          <w:top w:val="none" w:color="auto" w:sz="0" w:space="0"/>
          <w:left w:val="none" w:color="auto" w:sz="0" w:space="0"/>
          <w:bottom w:val="none" w:color="auto" w:sz="0" w:space="0"/>
          <w:right w:val="none" w:color="auto" w:sz="0" w:space="0"/>
          <w:between w:val="none" w:color="auto" w:sz="0" w:space="0"/>
        </w:pBdr>
        <w:spacing w:after="20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Benabou, A. and Touhami, F., 2024. Exploring the impact of artificial intelligence on human resource management. In </w:t>
      </w:r>
      <w:r>
        <w:rPr>
          <w:rFonts w:ascii="Times New Roman" w:hAnsi="Times New Roman" w:eastAsia="Times New Roman" w:cs="Times New Roman"/>
          <w:i/>
          <w:iCs/>
          <w:color w:val="121212"/>
          <w:sz w:val="24"/>
          <w:szCs w:val="24"/>
        </w:rPr>
        <w:t>International Conference on Digital Technologies and Applications</w:t>
      </w:r>
      <w:r>
        <w:rPr>
          <w:rFonts w:ascii="Times New Roman" w:hAnsi="Times New Roman" w:eastAsia="Times New Roman" w:cs="Times New Roman"/>
          <w:color w:val="121212"/>
          <w:sz w:val="24"/>
          <w:szCs w:val="24"/>
        </w:rPr>
        <w:t xml:space="preserve"> (pp. 3-12). Springer, Cham.</w:t>
      </w:r>
    </w:p>
    <w:p w14:paraId="4774B9B4">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Bijoria, S., 2024. A new revolution in green human resource management (GHRM) using artificial intelligence (AI). </w:t>
      </w:r>
      <w:r>
        <w:rPr>
          <w:rFonts w:ascii="Times New Roman" w:hAnsi="Times New Roman" w:eastAsia="Times New Roman" w:cs="Times New Roman"/>
          <w:i/>
          <w:iCs/>
          <w:color w:val="121212"/>
          <w:sz w:val="24"/>
          <w:szCs w:val="24"/>
        </w:rPr>
        <w:t>International Journal of Innovative Research in Technology and Science</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12</w:t>
      </w:r>
      <w:r>
        <w:rPr>
          <w:rFonts w:ascii="Times New Roman" w:hAnsi="Times New Roman" w:eastAsia="Times New Roman" w:cs="Times New Roman"/>
          <w:color w:val="121212"/>
          <w:sz w:val="24"/>
          <w:szCs w:val="24"/>
        </w:rPr>
        <w:t>(2), pp.93-100. </w:t>
      </w:r>
    </w:p>
    <w:p w14:paraId="64050408">
      <w:pPr>
        <w:pBdr>
          <w:top w:val="none" w:color="auto" w:sz="0" w:space="0"/>
          <w:left w:val="none" w:color="auto" w:sz="0" w:space="0"/>
          <w:bottom w:val="none" w:color="auto" w:sz="0" w:space="0"/>
          <w:right w:val="none" w:color="auto" w:sz="0" w:space="0"/>
          <w:between w:val="none" w:color="auto" w:sz="0" w:space="0"/>
        </w:pBdr>
        <w:spacing w:after="20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Biliavska, V., Castanho, R.A. and Vulevic, A., 2022. Analysis of the impact of artificial intelligence in enhancing the human resource practices. </w:t>
      </w:r>
      <w:r>
        <w:rPr>
          <w:rFonts w:ascii="Times New Roman" w:hAnsi="Times New Roman" w:eastAsia="Times New Roman" w:cs="Times New Roman"/>
          <w:i/>
          <w:iCs/>
          <w:color w:val="121212"/>
          <w:sz w:val="24"/>
          <w:szCs w:val="24"/>
        </w:rPr>
        <w:t>Journal of Intelligent Management Decision</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w:t>
      </w:r>
      <w:r>
        <w:rPr>
          <w:rFonts w:ascii="Times New Roman" w:hAnsi="Times New Roman" w:eastAsia="Times New Roman" w:cs="Times New Roman"/>
          <w:color w:val="121212"/>
          <w:sz w:val="24"/>
          <w:szCs w:val="24"/>
        </w:rPr>
        <w:t>(2), pp.128-136.</w:t>
      </w:r>
    </w:p>
    <w:p w14:paraId="2F789859">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Bositkhanova, N. and Dadaboyev, S.M.U. 2025. ‘Revolutionizing workforce planning: the strategic role of AI in HR strategy’, </w:t>
      </w:r>
      <w:r>
        <w:rPr>
          <w:rFonts w:ascii="Times New Roman" w:hAnsi="Times New Roman" w:eastAsia="Times New Roman" w:cs="Times New Roman"/>
          <w:i/>
          <w:iCs/>
          <w:color w:val="121212"/>
          <w:sz w:val="24"/>
          <w:szCs w:val="24"/>
        </w:rPr>
        <w:t>Discover Global Society</w:t>
      </w:r>
      <w:r>
        <w:rPr>
          <w:rFonts w:ascii="Times New Roman" w:hAnsi="Times New Roman" w:eastAsia="Times New Roman" w:cs="Times New Roman"/>
          <w:color w:val="121212"/>
          <w:sz w:val="24"/>
          <w:szCs w:val="24"/>
        </w:rPr>
        <w:t>, 3, 100. doi: 10.1007/s44282-025-00252-y.</w:t>
      </w:r>
    </w:p>
    <w:p w14:paraId="40796852">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Bositkhanova, N. and Dadaboyev, S.M.U., 2025. Revolutionizing workforce planning: the strategic role of AI in HR strategy. </w:t>
      </w:r>
      <w:r>
        <w:rPr>
          <w:rFonts w:ascii="Times New Roman" w:hAnsi="Times New Roman" w:eastAsia="Times New Roman" w:cs="Times New Roman"/>
          <w:i/>
          <w:iCs/>
          <w:color w:val="121212"/>
          <w:sz w:val="24"/>
          <w:szCs w:val="24"/>
        </w:rPr>
        <w:t>Discover Global Society</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w:t>
      </w:r>
      <w:r>
        <w:rPr>
          <w:rFonts w:ascii="Times New Roman" w:hAnsi="Times New Roman" w:eastAsia="Times New Roman" w:cs="Times New Roman"/>
          <w:color w:val="121212"/>
          <w:sz w:val="24"/>
          <w:szCs w:val="24"/>
        </w:rPr>
        <w:t>(1), p.100. </w:t>
      </w:r>
    </w:p>
    <w:p w14:paraId="0CA3F167">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Bostrom, R.P. and Heinen, J.S. 1977, ‘MIS problems and failures: A socio-technical perspective. Part I: The causes’, </w:t>
      </w:r>
      <w:r>
        <w:rPr>
          <w:rFonts w:ascii="Times New Roman" w:hAnsi="Times New Roman" w:eastAsia="Times New Roman" w:cs="Times New Roman"/>
          <w:i/>
          <w:iCs/>
          <w:color w:val="121212"/>
          <w:sz w:val="24"/>
          <w:szCs w:val="24"/>
        </w:rPr>
        <w:t>MIS Quarterly</w:t>
      </w:r>
      <w:r>
        <w:rPr>
          <w:rFonts w:ascii="Times New Roman" w:hAnsi="Times New Roman" w:eastAsia="Times New Roman" w:cs="Times New Roman"/>
          <w:color w:val="121212"/>
          <w:sz w:val="24"/>
          <w:szCs w:val="24"/>
        </w:rPr>
        <w:t>, 1(3), pp. 17–32. </w:t>
      </w:r>
    </w:p>
    <w:p w14:paraId="0870A73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Bukartaite, R. and Hooper, D., 2023. Automation, artificial intelligence and future skills needs: an Irish perspective. </w:t>
      </w:r>
      <w:r>
        <w:rPr>
          <w:rFonts w:ascii="Times New Roman" w:hAnsi="Times New Roman" w:eastAsia="Times New Roman" w:cs="Times New Roman"/>
          <w:i/>
          <w:iCs/>
          <w:color w:val="121212"/>
          <w:sz w:val="24"/>
          <w:szCs w:val="24"/>
        </w:rPr>
        <w:t>European Journal of Training and Development</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47</w:t>
      </w:r>
      <w:r>
        <w:rPr>
          <w:rFonts w:ascii="Times New Roman" w:hAnsi="Times New Roman" w:eastAsia="Times New Roman" w:cs="Times New Roman"/>
          <w:color w:val="121212"/>
          <w:sz w:val="24"/>
          <w:szCs w:val="24"/>
        </w:rPr>
        <w:t>(10), pp.163-185. </w:t>
      </w:r>
    </w:p>
    <w:p w14:paraId="64CB44D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Cappelli, P., Tambe, P. and Yakubovich, V. 2019 ‘Artificial intelligence in human resources management: Challenges and a path forward’, </w:t>
      </w:r>
      <w:r>
        <w:rPr>
          <w:rFonts w:ascii="Times New Roman" w:hAnsi="Times New Roman" w:eastAsia="Times New Roman" w:cs="Times New Roman"/>
          <w:i/>
          <w:iCs/>
          <w:color w:val="121212"/>
          <w:sz w:val="24"/>
          <w:szCs w:val="24"/>
        </w:rPr>
        <w:t>California Management Review</w:t>
      </w:r>
      <w:r>
        <w:rPr>
          <w:rFonts w:ascii="Times New Roman" w:hAnsi="Times New Roman" w:eastAsia="Times New Roman" w:cs="Times New Roman"/>
          <w:color w:val="121212"/>
          <w:sz w:val="24"/>
          <w:szCs w:val="24"/>
        </w:rPr>
        <w:t>, 61(4), pp. 15–42.</w:t>
      </w:r>
    </w:p>
    <w:p w14:paraId="651DBD5B">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Chaudhary, Narendra Singh, Richa Banerjee, Garima Mathur, Leena Sachdeva, and Azadeh Amoozegar. "AI and the future of talent management: Revolutionizing workforce strategies for a dynamic world." In Global Work Arrangements and Outsourcing in the Age of AI, pp. 297-316. IGI Global Scientific Publishing, 2025.</w:t>
      </w:r>
    </w:p>
    <w:p w14:paraId="40F63B8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Chen, Z. 2023 ‘Ethics and discrimination in artificial intelligence-enabled recruitment practices’, </w:t>
      </w:r>
      <w:r>
        <w:rPr>
          <w:rFonts w:ascii="Times New Roman" w:hAnsi="Times New Roman" w:eastAsia="Times New Roman" w:cs="Times New Roman"/>
          <w:i/>
          <w:iCs/>
          <w:color w:val="121212"/>
          <w:sz w:val="24"/>
          <w:szCs w:val="24"/>
        </w:rPr>
        <w:t>Humanities and Social Sciences Communications</w:t>
      </w:r>
      <w:r>
        <w:rPr>
          <w:rFonts w:ascii="Times New Roman" w:hAnsi="Times New Roman" w:eastAsia="Times New Roman" w:cs="Times New Roman"/>
          <w:color w:val="121212"/>
          <w:sz w:val="24"/>
          <w:szCs w:val="24"/>
        </w:rPr>
        <w:t>, 10, 567.</w:t>
      </w:r>
    </w:p>
    <w:p w14:paraId="415774DA">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Cheong, H.I., Lyons, A., Houghton, R. and Majumdar, A., 2023. Secondary qualitative research methodology using online data within the context of social sciences. </w:t>
      </w:r>
      <w:r>
        <w:rPr>
          <w:rFonts w:ascii="Times New Roman" w:hAnsi="Times New Roman" w:eastAsia="Times New Roman" w:cs="Times New Roman"/>
          <w:i/>
          <w:iCs/>
          <w:color w:val="121212"/>
          <w:sz w:val="24"/>
          <w:szCs w:val="24"/>
        </w:rPr>
        <w:t>International Journal of Qualitative Methods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22</w:t>
      </w:r>
      <w:r>
        <w:rPr>
          <w:rFonts w:ascii="Times New Roman" w:hAnsi="Times New Roman" w:eastAsia="Times New Roman" w:cs="Times New Roman"/>
          <w:color w:val="121212"/>
          <w:sz w:val="24"/>
          <w:szCs w:val="24"/>
        </w:rPr>
        <w:t>, p.16094069231180160. </w:t>
      </w:r>
    </w:p>
    <w:p w14:paraId="532AA6D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Chowdhury, M., 2023. The impact of artificial intelligence (AI) on HRM: advancements, challenges and ethical considerations. </w:t>
      </w:r>
      <w:r>
        <w:rPr>
          <w:rFonts w:ascii="Times New Roman" w:hAnsi="Times New Roman" w:eastAsia="Times New Roman" w:cs="Times New Roman"/>
          <w:i/>
          <w:iCs/>
          <w:color w:val="121212"/>
          <w:sz w:val="24"/>
          <w:szCs w:val="24"/>
        </w:rPr>
        <w:t>International Journal of HRM Cases and Research</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w:t>
      </w:r>
      <w:r>
        <w:rPr>
          <w:rFonts w:ascii="Times New Roman" w:hAnsi="Times New Roman" w:eastAsia="Times New Roman" w:cs="Times New Roman"/>
          <w:color w:val="121212"/>
          <w:sz w:val="24"/>
          <w:szCs w:val="24"/>
        </w:rPr>
        <w:t>(1), pp.61-77. </w:t>
      </w:r>
    </w:p>
    <w:p w14:paraId="265033B2">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Chowdhury, S., Budhwar, P. and Wood, G., 2024. Generative artificial intelligence in business: towards a strategic human resource management framework. British Journal of Management, 35(4), pp.1680-1691.</w:t>
      </w:r>
    </w:p>
    <w:p w14:paraId="6DDBEB1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Coron, C., Scheibmayr, I. and Lescoat, P., 2025. How to do HRM with numbers? A performative lens on HR metrics, HR analytics and HR algorithms. </w:t>
      </w:r>
      <w:r>
        <w:rPr>
          <w:rFonts w:ascii="Times New Roman" w:hAnsi="Times New Roman" w:eastAsia="Times New Roman" w:cs="Times New Roman"/>
          <w:i/>
          <w:iCs/>
          <w:color w:val="121212"/>
          <w:sz w:val="24"/>
          <w:szCs w:val="24"/>
        </w:rPr>
        <w:t>New Technology, Work and Employment</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40</w:t>
      </w:r>
      <w:r>
        <w:rPr>
          <w:rFonts w:ascii="Times New Roman" w:hAnsi="Times New Roman" w:eastAsia="Times New Roman" w:cs="Times New Roman"/>
          <w:color w:val="121212"/>
          <w:sz w:val="24"/>
          <w:szCs w:val="24"/>
        </w:rPr>
        <w:t>(1), pp.124-146. </w:t>
      </w:r>
    </w:p>
    <w:p w14:paraId="28D77AE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Deloitte 2024 </w:t>
      </w:r>
      <w:r>
        <w:rPr>
          <w:rFonts w:ascii="Times New Roman" w:hAnsi="Times New Roman" w:eastAsia="Times New Roman" w:cs="Times New Roman"/>
          <w:i/>
          <w:iCs/>
          <w:color w:val="121212"/>
          <w:sz w:val="24"/>
          <w:szCs w:val="24"/>
        </w:rPr>
        <w:t>2024 Global Human Capital Trends: Thriving Beyond Boundaries—Human Performance in a Boundaryless World</w:t>
      </w:r>
      <w:r>
        <w:rPr>
          <w:rFonts w:ascii="Times New Roman" w:hAnsi="Times New Roman" w:eastAsia="Times New Roman" w:cs="Times New Roman"/>
          <w:color w:val="121212"/>
          <w:sz w:val="24"/>
          <w:szCs w:val="24"/>
        </w:rPr>
        <w:t xml:space="preserve">. Deloitte. </w:t>
      </w:r>
      <w:r>
        <w:rPr>
          <w:color w:val="121212"/>
        </w:rPr>
        <w:fldChar w:fldCharType="begin"/>
      </w:r>
      <w:r>
        <w:rPr>
          <w:color w:val="121212"/>
        </w:rPr>
        <w:instrText xml:space="preserve"> HYPERLINK "https://www.deloitte.com/ua/en/about/press-room/human-capital-trends.html" \h </w:instrText>
      </w:r>
      <w:r>
        <w:rPr>
          <w:color w:val="121212"/>
        </w:rPr>
        <w:fldChar w:fldCharType="separate"/>
      </w:r>
      <w:r>
        <w:rPr>
          <w:rFonts w:ascii="Times New Roman" w:hAnsi="Times New Roman" w:eastAsia="Times New Roman" w:cs="Times New Roman"/>
          <w:color w:val="121212"/>
          <w:sz w:val="24"/>
          <w:szCs w:val="24"/>
          <w:u w:val="single"/>
        </w:rPr>
        <w:t>https://www.deloitte.com/ua/en/about/press-room/human-capital-trends.html</w:t>
      </w:r>
      <w:r>
        <w:rPr>
          <w:rFonts w:ascii="Times New Roman" w:hAnsi="Times New Roman" w:eastAsia="Times New Roman" w:cs="Times New Roman"/>
          <w:color w:val="121212"/>
          <w:sz w:val="24"/>
          <w:szCs w:val="24"/>
          <w:u w:val="single"/>
        </w:rPr>
        <w:fldChar w:fldCharType="end"/>
      </w:r>
      <w:r>
        <w:rPr>
          <w:rFonts w:ascii="Times New Roman" w:hAnsi="Times New Roman" w:eastAsia="Times New Roman" w:cs="Times New Roman"/>
          <w:color w:val="121212"/>
          <w:sz w:val="24"/>
          <w:szCs w:val="24"/>
        </w:rPr>
        <w:t> </w:t>
      </w:r>
    </w:p>
    <w:p w14:paraId="6D92886B">
      <w:pPr>
        <w:pStyle w:val="11"/>
        <w:spacing w:before="0" w:beforeAutospacing="0" w:after="0" w:afterAutospacing="0" w:line="360" w:lineRule="auto"/>
        <w:jc w:val="both"/>
        <w:rPr>
          <w:color w:val="121212"/>
        </w:rPr>
      </w:pPr>
      <w:r>
        <w:rPr>
          <w:color w:val="121212"/>
        </w:rPr>
        <w:t>Deloitte, 2024. 2024 Global Human Capital Trends: Thriving beyond boundaries: Human performance in a boundaryless world. Deloitte Insights.</w:t>
      </w:r>
      <w:r>
        <w:rPr>
          <w:color w:val="121212"/>
        </w:rPr>
        <w:fldChar w:fldCharType="begin"/>
      </w:r>
      <w:r>
        <w:rPr>
          <w:color w:val="121212"/>
        </w:rPr>
        <w:instrText xml:space="preserve"> HYPERLINK "https://www.deloitte.com/global/en/insights/topics/talent/human-capital-trends/2024.html" </w:instrText>
      </w:r>
      <w:r>
        <w:rPr>
          <w:color w:val="121212"/>
        </w:rPr>
        <w:fldChar w:fldCharType="separate"/>
      </w:r>
      <w:r>
        <w:rPr>
          <w:rStyle w:val="25"/>
          <w:color w:val="121212"/>
        </w:rPr>
        <w:t>https://www.deloitte.com/global/en/insights/topics/talent/human-capital-trends/2024.html</w:t>
      </w:r>
      <w:r>
        <w:rPr>
          <w:rStyle w:val="25"/>
          <w:color w:val="121212"/>
        </w:rPr>
        <w:fldChar w:fldCharType="end"/>
      </w:r>
      <w:r>
        <w:rPr>
          <w:color w:val="121212"/>
        </w:rPr>
        <w:t> </w:t>
      </w:r>
    </w:p>
    <w:p w14:paraId="298859EC">
      <w:pPr>
        <w:pStyle w:val="11"/>
        <w:spacing w:before="0" w:beforeAutospacing="0" w:after="0" w:afterAutospacing="0" w:line="360" w:lineRule="auto"/>
        <w:jc w:val="both"/>
        <w:rPr>
          <w:color w:val="121212"/>
        </w:rPr>
      </w:pPr>
      <w:r>
        <w:rPr>
          <w:color w:val="121212"/>
        </w:rPr>
        <w:t xml:space="preserve">Deloitte, 2025. </w:t>
      </w:r>
      <w:r>
        <w:rPr>
          <w:i/>
          <w:iCs/>
          <w:color w:val="121212"/>
        </w:rPr>
        <w:t>A new value case for HR technology</w:t>
      </w:r>
      <w:r>
        <w:rPr>
          <w:color w:val="121212"/>
        </w:rPr>
        <w:t xml:space="preserve">. Deloitte Insights. </w:t>
      </w:r>
      <w:r>
        <w:rPr>
          <w:color w:val="121212"/>
        </w:rPr>
        <w:fldChar w:fldCharType="begin"/>
      </w:r>
      <w:r>
        <w:rPr>
          <w:color w:val="121212"/>
        </w:rPr>
        <w:instrText xml:space="preserve"> HYPERLINK "https://www.deloitte.com/us/en/insights/topics/talent/human-capital-trends/2025/new-hr-technology-creates-new-tech-value-case.html" </w:instrText>
      </w:r>
      <w:r>
        <w:rPr>
          <w:color w:val="121212"/>
        </w:rPr>
        <w:fldChar w:fldCharType="separate"/>
      </w:r>
      <w:r>
        <w:rPr>
          <w:rStyle w:val="25"/>
          <w:color w:val="121212"/>
        </w:rPr>
        <w:t>https://www.deloitte.com/us/en/insights/topics/talent/human-capital-trends/2025/new-hr-technology-creates-new-tech-value-case.html</w:t>
      </w:r>
      <w:r>
        <w:rPr>
          <w:rStyle w:val="25"/>
          <w:color w:val="121212"/>
        </w:rPr>
        <w:fldChar w:fldCharType="end"/>
      </w:r>
      <w:r>
        <w:rPr>
          <w:color w:val="121212"/>
        </w:rPr>
        <w:t> </w:t>
      </w:r>
    </w:p>
    <w:p w14:paraId="6EEE7FAF">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Diefenhardt, F., Rapp, M.L., Bader, V. and Mayrhofer, W., 2025. ‘In God We Trust. All Others Must Bring Data’: Unpacking the Influence of Human Resource Analytics on the Strategic Recognition of Human Resource Management. </w:t>
      </w:r>
      <w:r>
        <w:rPr>
          <w:rFonts w:ascii="Times New Roman" w:hAnsi="Times New Roman" w:eastAsia="Times New Roman" w:cs="Times New Roman"/>
          <w:i/>
          <w:iCs/>
          <w:color w:val="121212"/>
          <w:sz w:val="24"/>
          <w:szCs w:val="24"/>
        </w:rPr>
        <w:t>Human Resource Management Journal</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35</w:t>
      </w:r>
      <w:r>
        <w:rPr>
          <w:rFonts w:ascii="Times New Roman" w:hAnsi="Times New Roman" w:eastAsia="Times New Roman" w:cs="Times New Roman"/>
          <w:color w:val="121212"/>
          <w:sz w:val="24"/>
          <w:szCs w:val="24"/>
        </w:rPr>
        <w:t>(3), pp.597-612. </w:t>
      </w:r>
    </w:p>
    <w:p w14:paraId="4EA54B51">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Dima, J., Gilbert, M-H., Dextras-Gauthier, J. and Giraud, L. 2024. ‘The effects of artificial intelligence on human resource activities and the roles of the human resource triad: opportunities and challenges’, </w:t>
      </w:r>
      <w:r>
        <w:rPr>
          <w:rFonts w:ascii="Times New Roman" w:hAnsi="Times New Roman" w:eastAsia="Times New Roman" w:cs="Times New Roman"/>
          <w:i/>
          <w:iCs/>
          <w:color w:val="121212"/>
          <w:sz w:val="24"/>
          <w:szCs w:val="24"/>
        </w:rPr>
        <w:t>Frontiers in Psychology</w:t>
      </w:r>
      <w:r>
        <w:rPr>
          <w:rFonts w:ascii="Times New Roman" w:hAnsi="Times New Roman" w:eastAsia="Times New Roman" w:cs="Times New Roman"/>
          <w:color w:val="121212"/>
          <w:sz w:val="24"/>
          <w:szCs w:val="24"/>
        </w:rPr>
        <w:t>, 15, 1360401. doi: 10.3389/fpsyg.2024.1360401.</w:t>
      </w:r>
    </w:p>
    <w:p w14:paraId="36474E40">
      <w:pPr>
        <w:pStyle w:val="11"/>
        <w:spacing w:before="0" w:beforeAutospacing="0" w:after="0" w:afterAutospacing="0" w:line="360" w:lineRule="auto"/>
        <w:jc w:val="both"/>
        <w:rPr>
          <w:color w:val="121212"/>
        </w:rPr>
      </w:pPr>
      <w:r>
        <w:rPr>
          <w:color w:val="121212"/>
        </w:rPr>
        <w:t xml:space="preserve">Emma, L., 2024. The ethical implications of artificial intelligence: a deep dive into bias, fairness, and transparency. </w:t>
      </w:r>
      <w:r>
        <w:rPr>
          <w:i/>
          <w:iCs/>
          <w:color w:val="121212"/>
        </w:rPr>
        <w:t>Retrieved from Emma, L.(2024). The Ethical Implications of Artificial Intelligence: A Deep Dive into Bias, Fairness, and Transparency</w:t>
      </w:r>
      <w:r>
        <w:rPr>
          <w:color w:val="121212"/>
        </w:rPr>
        <w:t>. </w:t>
      </w:r>
    </w:p>
    <w:p w14:paraId="6891AF5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European Union (2024) </w:t>
      </w:r>
      <w:r>
        <w:rPr>
          <w:rFonts w:ascii="Times New Roman" w:hAnsi="Times New Roman" w:eastAsia="Times New Roman" w:cs="Times New Roman"/>
          <w:i/>
          <w:iCs/>
          <w:color w:val="121212"/>
          <w:sz w:val="24"/>
          <w:szCs w:val="24"/>
        </w:rPr>
        <w:t>Regulation (EU) 2024/1689: Artificial Intelligence Act</w:t>
      </w:r>
      <w:r>
        <w:rPr>
          <w:rFonts w:ascii="Times New Roman" w:hAnsi="Times New Roman" w:eastAsia="Times New Roman" w:cs="Times New Roman"/>
          <w:color w:val="121212"/>
          <w:sz w:val="24"/>
          <w:szCs w:val="24"/>
        </w:rPr>
        <w:t>. (Accessed: 1 August 2026).</w:t>
      </w:r>
    </w:p>
    <w:p w14:paraId="3800580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Fabris, A., Baranowska, N., Dennis, M.J., Graus, D., Hacker, P., Saldivar, J., Zuiderveen Borgesius, F. and Biega, A.J. 2024 ‘Fairness and bias in algorithmic hiring: A multidisciplinary survey’, </w:t>
      </w:r>
      <w:r>
        <w:rPr>
          <w:rFonts w:ascii="Times New Roman" w:hAnsi="Times New Roman" w:eastAsia="Times New Roman" w:cs="Times New Roman"/>
          <w:i/>
          <w:iCs/>
          <w:color w:val="121212"/>
          <w:sz w:val="24"/>
          <w:szCs w:val="24"/>
        </w:rPr>
        <w:t>ACM Transactions on Intelligent Systems and Technology</w:t>
      </w:r>
      <w:r>
        <w:rPr>
          <w:rFonts w:ascii="Times New Roman" w:hAnsi="Times New Roman" w:eastAsia="Times New Roman" w:cs="Times New Roman"/>
          <w:color w:val="121212"/>
          <w:sz w:val="24"/>
          <w:szCs w:val="24"/>
        </w:rPr>
        <w:t>, 15(5).</w:t>
      </w:r>
    </w:p>
    <w:p w14:paraId="003DB999">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Falckenthal, B., Au-Yong-Oliveira, M. and Figueiredo, C., 2025. Intergenerational tacit knowledge transfer: Leveraging AI. </w:t>
      </w:r>
      <w:r>
        <w:rPr>
          <w:rFonts w:ascii="Times New Roman" w:hAnsi="Times New Roman" w:eastAsia="Times New Roman" w:cs="Times New Roman"/>
          <w:i/>
          <w:iCs/>
          <w:color w:val="121212"/>
          <w:sz w:val="24"/>
          <w:szCs w:val="24"/>
        </w:rPr>
        <w:t>Societies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15</w:t>
      </w:r>
      <w:r>
        <w:rPr>
          <w:rFonts w:ascii="Times New Roman" w:hAnsi="Times New Roman" w:eastAsia="Times New Roman" w:cs="Times New Roman"/>
          <w:color w:val="121212"/>
          <w:sz w:val="24"/>
          <w:szCs w:val="24"/>
        </w:rPr>
        <w:t>(8), p.213. </w:t>
      </w:r>
    </w:p>
    <w:p w14:paraId="5B05C6C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Felemban, H., Sohail, M. and Ruikar, K., 2024. Exploring the readiness of organisations to adopt artificial intelligence. </w:t>
      </w:r>
      <w:r>
        <w:rPr>
          <w:rFonts w:ascii="Times New Roman" w:hAnsi="Times New Roman" w:eastAsia="Times New Roman" w:cs="Times New Roman"/>
          <w:i/>
          <w:iCs/>
          <w:color w:val="121212"/>
          <w:sz w:val="24"/>
          <w:szCs w:val="24"/>
        </w:rPr>
        <w:t>Buildings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14</w:t>
      </w:r>
      <w:r>
        <w:rPr>
          <w:rFonts w:ascii="Times New Roman" w:hAnsi="Times New Roman" w:eastAsia="Times New Roman" w:cs="Times New Roman"/>
          <w:color w:val="121212"/>
          <w:sz w:val="24"/>
          <w:szCs w:val="24"/>
        </w:rPr>
        <w:t>(8), p.2460. </w:t>
      </w:r>
    </w:p>
    <w:p w14:paraId="07A76982">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Fenwick, A., Molnar, G. and Frangos, P. 2024. ‘Revisiting the role of HR in the age of AI: bringing humans and machines closer together in the workplace’, </w:t>
      </w:r>
      <w:r>
        <w:rPr>
          <w:rFonts w:ascii="Times New Roman" w:hAnsi="Times New Roman" w:eastAsia="Times New Roman" w:cs="Times New Roman"/>
          <w:i/>
          <w:iCs/>
          <w:color w:val="121212"/>
          <w:sz w:val="24"/>
          <w:szCs w:val="24"/>
        </w:rPr>
        <w:t>Frontiers in Artificial Intelligence</w:t>
      </w:r>
      <w:r>
        <w:rPr>
          <w:rFonts w:ascii="Times New Roman" w:hAnsi="Times New Roman" w:eastAsia="Times New Roman" w:cs="Times New Roman"/>
          <w:color w:val="121212"/>
          <w:sz w:val="24"/>
          <w:szCs w:val="24"/>
        </w:rPr>
        <w:t>, 6, 1272823. doi: 10.3389/frai.2023.1272823.</w:t>
      </w:r>
    </w:p>
    <w:p w14:paraId="3C875E5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Fong, P.S., 2026. Leveraging storytelling for effective tacit knowledge capture and management in the construction industry: framework development and empirical validation. </w:t>
      </w:r>
      <w:r>
        <w:rPr>
          <w:rFonts w:ascii="Times New Roman" w:hAnsi="Times New Roman" w:eastAsia="Times New Roman" w:cs="Times New Roman"/>
          <w:i/>
          <w:iCs/>
          <w:color w:val="121212"/>
          <w:sz w:val="24"/>
          <w:szCs w:val="24"/>
        </w:rPr>
        <w:t>International Journal of Construction Management</w:t>
      </w:r>
      <w:r>
        <w:rPr>
          <w:rFonts w:ascii="Times New Roman" w:hAnsi="Times New Roman" w:eastAsia="Times New Roman" w:cs="Times New Roman"/>
          <w:color w:val="121212"/>
          <w:sz w:val="24"/>
          <w:szCs w:val="24"/>
        </w:rPr>
        <w:t>, pp.1-20. </w:t>
      </w:r>
    </w:p>
    <w:p w14:paraId="303B1FB3">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Gumede, N.P. and Tladi, B., 2023. Socio-technical systems: using actor-network theory to make the social more tangible in a technical space. </w:t>
      </w:r>
      <w:r>
        <w:rPr>
          <w:rFonts w:ascii="Times New Roman" w:hAnsi="Times New Roman" w:eastAsia="Times New Roman" w:cs="Times New Roman"/>
          <w:i/>
          <w:iCs/>
          <w:color w:val="121212"/>
          <w:sz w:val="24"/>
          <w:szCs w:val="24"/>
        </w:rPr>
        <w:t>South African Journal of Industrial Engineering</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34</w:t>
      </w:r>
      <w:r>
        <w:rPr>
          <w:rFonts w:ascii="Times New Roman" w:hAnsi="Times New Roman" w:eastAsia="Times New Roman" w:cs="Times New Roman"/>
          <w:color w:val="121212"/>
          <w:sz w:val="24"/>
          <w:szCs w:val="24"/>
        </w:rPr>
        <w:t>(3), pp.140-155. </w:t>
      </w:r>
    </w:p>
    <w:p w14:paraId="673BE5AD">
      <w:pPr>
        <w:pBdr>
          <w:top w:val="none" w:color="auto" w:sz="0" w:space="0"/>
          <w:left w:val="none" w:color="auto" w:sz="0" w:space="0"/>
          <w:bottom w:val="none" w:color="auto" w:sz="0" w:space="0"/>
          <w:right w:val="none" w:color="auto" w:sz="0" w:space="0"/>
          <w:between w:val="none" w:color="auto" w:sz="0" w:space="0"/>
        </w:pBdr>
        <w:spacing w:after="20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Gupta, P., Lakhera, G. and Sharma, M., 2024. Examining the impact of artificial intelligence on employee performance in the digital era: An analysis and future research direction. </w:t>
      </w:r>
      <w:r>
        <w:rPr>
          <w:rFonts w:ascii="Times New Roman" w:hAnsi="Times New Roman" w:eastAsia="Times New Roman" w:cs="Times New Roman"/>
          <w:i/>
          <w:iCs/>
          <w:color w:val="121212"/>
          <w:sz w:val="24"/>
          <w:szCs w:val="24"/>
        </w:rPr>
        <w:t>The Journal of High Technology Management Research</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35</w:t>
      </w:r>
      <w:r>
        <w:rPr>
          <w:rFonts w:ascii="Times New Roman" w:hAnsi="Times New Roman" w:eastAsia="Times New Roman" w:cs="Times New Roman"/>
          <w:color w:val="121212"/>
          <w:sz w:val="24"/>
          <w:szCs w:val="24"/>
        </w:rPr>
        <w:t>(2), p.100520.</w:t>
      </w:r>
    </w:p>
    <w:p w14:paraId="7FE6FAE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Gupta, S.K., Sai, B.P., Ushma, P., Meghana, C. and Reddy, K.U.K., 2025. The Strategic Challenges of Artificial Intelligence on Human Resource Management Practices. </w:t>
      </w:r>
      <w:r>
        <w:rPr>
          <w:rFonts w:ascii="Times New Roman" w:hAnsi="Times New Roman" w:eastAsia="Times New Roman" w:cs="Times New Roman"/>
          <w:i/>
          <w:iCs/>
          <w:color w:val="121212"/>
          <w:sz w:val="24"/>
          <w:szCs w:val="24"/>
        </w:rPr>
        <w:t>Economics, Finance and Management Review</w:t>
      </w:r>
      <w:r>
        <w:rPr>
          <w:rFonts w:ascii="Times New Roman" w:hAnsi="Times New Roman" w:eastAsia="Times New Roman" w:cs="Times New Roman"/>
          <w:color w:val="121212"/>
          <w:sz w:val="24"/>
          <w:szCs w:val="24"/>
        </w:rPr>
        <w:t>, (4 (24)), pp.72-90. </w:t>
      </w:r>
    </w:p>
    <w:p w14:paraId="5B34870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Hanafizadeh, P. and Mehrasa, S., 2025. Governance system design model in platform ecosystems by a socio-technical systems theory. </w:t>
      </w:r>
      <w:r>
        <w:rPr>
          <w:rFonts w:ascii="Times New Roman" w:hAnsi="Times New Roman" w:eastAsia="Times New Roman" w:cs="Times New Roman"/>
          <w:i/>
          <w:iCs/>
          <w:color w:val="121212"/>
          <w:sz w:val="24"/>
          <w:szCs w:val="24"/>
        </w:rPr>
        <w:t>Digital Policy, Regulation and Governance</w:t>
      </w:r>
      <w:r>
        <w:rPr>
          <w:rFonts w:ascii="Times New Roman" w:hAnsi="Times New Roman" w:eastAsia="Times New Roman" w:cs="Times New Roman"/>
          <w:color w:val="121212"/>
          <w:sz w:val="24"/>
          <w:szCs w:val="24"/>
        </w:rPr>
        <w:t>. </w:t>
      </w:r>
    </w:p>
    <w:p w14:paraId="092DBF70">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Hossain, Q., Ikbal, M.Z. and Rahman, M.M., 2025. A meta data-driven decision support in human capital management: reviewing risk and predictive analytics integration. ASRC Procedia: Global Perspectives in Science and Scholarship, 1(01), pp.215-246.</w:t>
      </w:r>
    </w:p>
    <w:p w14:paraId="3B15EAA1">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Information Commissioner's Office (2023) </w:t>
      </w:r>
      <w:r>
        <w:rPr>
          <w:rFonts w:ascii="Times New Roman" w:hAnsi="Times New Roman" w:eastAsia="Times New Roman" w:cs="Times New Roman"/>
          <w:i/>
          <w:iCs/>
          <w:color w:val="121212"/>
          <w:sz w:val="24"/>
          <w:szCs w:val="24"/>
        </w:rPr>
        <w:t>Guidance on AI and data protection</w:t>
      </w:r>
      <w:r>
        <w:rPr>
          <w:rFonts w:ascii="Times New Roman" w:hAnsi="Times New Roman" w:eastAsia="Times New Roman" w:cs="Times New Roman"/>
          <w:color w:val="121212"/>
          <w:sz w:val="24"/>
          <w:szCs w:val="24"/>
        </w:rPr>
        <w:t>. (Accessed: 1 August 2026).</w:t>
      </w:r>
    </w:p>
    <w:p w14:paraId="52D6EC24">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Jiang, Y., Cai, Z. and Wang, X., 2025. ‘Leverage generative AI for human resource management: integrated risk analysis approach’, </w:t>
      </w:r>
      <w:r>
        <w:rPr>
          <w:rFonts w:ascii="Times New Roman" w:hAnsi="Times New Roman" w:eastAsia="Times New Roman" w:cs="Times New Roman"/>
          <w:i/>
          <w:iCs/>
          <w:color w:val="121212"/>
          <w:sz w:val="24"/>
          <w:szCs w:val="24"/>
        </w:rPr>
        <w:t>The International Journal of Human Resource Management</w:t>
      </w:r>
      <w:r>
        <w:rPr>
          <w:rFonts w:ascii="Times New Roman" w:hAnsi="Times New Roman" w:eastAsia="Times New Roman" w:cs="Times New Roman"/>
          <w:color w:val="121212"/>
          <w:sz w:val="24"/>
          <w:szCs w:val="24"/>
        </w:rPr>
        <w:t>, 36(11), pp. 1929–1959. doi: 10.1080/09585192.2025.2544972.</w:t>
      </w:r>
    </w:p>
    <w:p w14:paraId="1A2E1020">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Kakar, Z.U.H., Rasheed, R., Rashid, A. and Akhter, S., 2023. Criteria for assessing and ensuring the trustworthiness in qualitative research. </w:t>
      </w:r>
    </w:p>
    <w:p w14:paraId="742D5671">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Kekez, I., Lauwaert, L. and Begičević Ređep, N., 2025. ‘Is artificial intelligence (AI) research biased and conceptually vague? A systematic review of research on bias and discrimination in the context of using AI in human resource management’, </w:t>
      </w:r>
      <w:r>
        <w:rPr>
          <w:rFonts w:ascii="Times New Roman" w:hAnsi="Times New Roman" w:eastAsia="Times New Roman" w:cs="Times New Roman"/>
          <w:i/>
          <w:iCs/>
          <w:color w:val="121212"/>
          <w:sz w:val="24"/>
          <w:szCs w:val="24"/>
        </w:rPr>
        <w:t>Technology in Society</w:t>
      </w:r>
      <w:r>
        <w:rPr>
          <w:rFonts w:ascii="Times New Roman" w:hAnsi="Times New Roman" w:eastAsia="Times New Roman" w:cs="Times New Roman"/>
          <w:color w:val="121212"/>
          <w:sz w:val="24"/>
          <w:szCs w:val="24"/>
        </w:rPr>
        <w:t>, 81, 102818. doi: 10.1016/j.techsoc.2025.102818.</w:t>
      </w:r>
    </w:p>
    <w:p w14:paraId="0A5A1D72">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Kellogg, K.C., Valentine, M.A. and Christin, A. 2020 ‘Algorithms at work: The new contested terrain of control’, </w:t>
      </w:r>
      <w:r>
        <w:rPr>
          <w:rFonts w:ascii="Times New Roman" w:hAnsi="Times New Roman" w:eastAsia="Times New Roman" w:cs="Times New Roman"/>
          <w:i/>
          <w:iCs/>
          <w:color w:val="121212"/>
          <w:sz w:val="24"/>
          <w:szCs w:val="24"/>
        </w:rPr>
        <w:t>Academy of Management Annals</w:t>
      </w:r>
      <w:r>
        <w:rPr>
          <w:rFonts w:ascii="Times New Roman" w:hAnsi="Times New Roman" w:eastAsia="Times New Roman" w:cs="Times New Roman"/>
          <w:color w:val="121212"/>
          <w:sz w:val="24"/>
          <w:szCs w:val="24"/>
        </w:rPr>
        <w:t>, 14(1), pp. 366–410.</w:t>
      </w:r>
    </w:p>
    <w:p w14:paraId="3E286393">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Kelly, M.M., Martin-Peters, T. and Farber, J.S., 2024. Secondary data analysis: Using existing data to answer new questions. </w:t>
      </w:r>
      <w:r>
        <w:rPr>
          <w:rFonts w:ascii="Times New Roman" w:hAnsi="Times New Roman" w:eastAsia="Times New Roman" w:cs="Times New Roman"/>
          <w:i/>
          <w:iCs/>
          <w:color w:val="121212"/>
          <w:sz w:val="24"/>
          <w:szCs w:val="24"/>
        </w:rPr>
        <w:t>Journal of Pediatric Health Care</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38</w:t>
      </w:r>
      <w:r>
        <w:rPr>
          <w:rFonts w:ascii="Times New Roman" w:hAnsi="Times New Roman" w:eastAsia="Times New Roman" w:cs="Times New Roman"/>
          <w:color w:val="121212"/>
          <w:sz w:val="24"/>
          <w:szCs w:val="24"/>
        </w:rPr>
        <w:t>(4), pp.615-618. </w:t>
      </w:r>
    </w:p>
    <w:p w14:paraId="2E80CAFB">
      <w:pPr>
        <w:pStyle w:val="11"/>
        <w:spacing w:before="0" w:beforeAutospacing="0" w:after="0" w:afterAutospacing="0" w:line="360" w:lineRule="auto"/>
        <w:jc w:val="both"/>
        <w:rPr>
          <w:color w:val="121212"/>
        </w:rPr>
      </w:pPr>
      <w:r>
        <w:rPr>
          <w:color w:val="121212"/>
        </w:rPr>
        <w:t xml:space="preserve">Khan, D. and Sheraz, F., 2025. The Future of Learning and Development: Redefining Employee Growth in the Age of AI and Automation. </w:t>
      </w:r>
      <w:r>
        <w:rPr>
          <w:i/>
          <w:iCs/>
          <w:color w:val="121212"/>
        </w:rPr>
        <w:t>The critical review of social sciences studies</w:t>
      </w:r>
      <w:r>
        <w:rPr>
          <w:color w:val="121212"/>
        </w:rPr>
        <w:t xml:space="preserve">, </w:t>
      </w:r>
      <w:r>
        <w:rPr>
          <w:i/>
          <w:iCs/>
          <w:color w:val="121212"/>
        </w:rPr>
        <w:t>3</w:t>
      </w:r>
      <w:r>
        <w:rPr>
          <w:color w:val="121212"/>
        </w:rPr>
        <w:t>(4), pp.754-770. </w:t>
      </w:r>
    </w:p>
    <w:p w14:paraId="1DF7CB17">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Khan, R., Hussain, A. and Ahmad, S., 2023. Revolutionizing human resource management: The transformative impact of artificial intelligence (AI) applications. </w:t>
      </w:r>
      <w:r>
        <w:rPr>
          <w:rFonts w:ascii="Times New Roman" w:hAnsi="Times New Roman" w:eastAsia="Times New Roman" w:cs="Times New Roman"/>
          <w:i/>
          <w:iCs/>
          <w:color w:val="121212"/>
          <w:sz w:val="24"/>
          <w:szCs w:val="24"/>
        </w:rPr>
        <w:t>International Journal of Social Science &amp; Entrepreneurship</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w:t>
      </w:r>
      <w:r>
        <w:rPr>
          <w:rFonts w:ascii="Times New Roman" w:hAnsi="Times New Roman" w:eastAsia="Times New Roman" w:cs="Times New Roman"/>
          <w:color w:val="121212"/>
          <w:sz w:val="24"/>
          <w:szCs w:val="24"/>
        </w:rPr>
        <w:t>(4), pp.306-326. </w:t>
      </w:r>
    </w:p>
    <w:p w14:paraId="4636E4E8">
      <w:pPr>
        <w:pStyle w:val="11"/>
        <w:spacing w:before="0" w:beforeAutospacing="0" w:after="0" w:afterAutospacing="0" w:line="360" w:lineRule="auto"/>
        <w:jc w:val="both"/>
        <w:rPr>
          <w:color w:val="121212"/>
        </w:rPr>
      </w:pPr>
      <w:r>
        <w:rPr>
          <w:color w:val="121212"/>
        </w:rPr>
        <w:t xml:space="preserve">Khan, R., Hussain, A. and Ahmad, S., 2023. Revolutionizing human resource management: The transformative impact of artificial intelligence (AI) applications. </w:t>
      </w:r>
      <w:r>
        <w:rPr>
          <w:i/>
          <w:iCs/>
          <w:color w:val="121212"/>
        </w:rPr>
        <w:t>International Journal of Social Science &amp; Entrepreneurship</w:t>
      </w:r>
      <w:r>
        <w:rPr>
          <w:color w:val="121212"/>
        </w:rPr>
        <w:t xml:space="preserve">, </w:t>
      </w:r>
      <w:r>
        <w:rPr>
          <w:i/>
          <w:iCs/>
          <w:color w:val="121212"/>
        </w:rPr>
        <w:t>3</w:t>
      </w:r>
      <w:r>
        <w:rPr>
          <w:color w:val="121212"/>
        </w:rPr>
        <w:t>(4), pp.306-326. </w:t>
      </w:r>
    </w:p>
    <w:p w14:paraId="42F870E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Khan, S., Vishwakarma, S. and Kurmi, S., 2026. Research on artificial intelligence in human resource management: Trends and prospects. </w:t>
      </w:r>
      <w:r>
        <w:rPr>
          <w:rFonts w:ascii="Times New Roman" w:hAnsi="Times New Roman" w:eastAsia="Times New Roman" w:cs="Times New Roman"/>
          <w:i/>
          <w:iCs/>
          <w:color w:val="121212"/>
          <w:sz w:val="24"/>
          <w:szCs w:val="24"/>
        </w:rPr>
        <w:t>International Journal of Research &amp; Technology</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14</w:t>
      </w:r>
      <w:r>
        <w:rPr>
          <w:rFonts w:ascii="Times New Roman" w:hAnsi="Times New Roman" w:eastAsia="Times New Roman" w:cs="Times New Roman"/>
          <w:color w:val="121212"/>
          <w:sz w:val="24"/>
          <w:szCs w:val="24"/>
        </w:rPr>
        <w:t>(3), pp.454-477. </w:t>
      </w:r>
    </w:p>
    <w:p w14:paraId="5010E301">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Khatoon, U.T., Babgi, M., Hadi, N.T., Mir, R.N. and Velidandi, A., 2025. Technology-driven change in human resource management: Reshaping talent management and organizational design. Administrative Sciences, 15(11), p.452.</w:t>
      </w:r>
    </w:p>
    <w:p w14:paraId="32E16BF7">
      <w:pPr>
        <w:pStyle w:val="11"/>
        <w:spacing w:before="0" w:beforeAutospacing="0" w:after="0" w:afterAutospacing="0" w:line="360" w:lineRule="auto"/>
        <w:jc w:val="both"/>
        <w:rPr>
          <w:color w:val="121212"/>
        </w:rPr>
      </w:pPr>
      <w:r>
        <w:rPr>
          <w:color w:val="121212"/>
        </w:rPr>
        <w:t xml:space="preserve">Khattak, S.N., Asif, M., Khan, M.A.E. and Haque, M., 2025. From HR to e-HRM: The Future of Digital Human Resource Practices in the Workplace. </w:t>
      </w:r>
      <w:r>
        <w:rPr>
          <w:i/>
          <w:iCs/>
          <w:color w:val="121212"/>
        </w:rPr>
        <w:t>Research Journal for Social Affairs</w:t>
      </w:r>
      <w:r>
        <w:rPr>
          <w:color w:val="121212"/>
        </w:rPr>
        <w:t xml:space="preserve">, </w:t>
      </w:r>
      <w:r>
        <w:rPr>
          <w:i/>
          <w:iCs/>
          <w:color w:val="121212"/>
        </w:rPr>
        <w:t>3</w:t>
      </w:r>
      <w:r>
        <w:rPr>
          <w:color w:val="121212"/>
        </w:rPr>
        <w:t>(6), pp.249-261. </w:t>
      </w:r>
    </w:p>
    <w:p w14:paraId="0CF7AAF7">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Khurana, D.P., Thakral, S., Grover, D. and Kapoor, R., 2025. Human Resource Management in the Era of AI. </w:t>
      </w:r>
      <w:r>
        <w:rPr>
          <w:rFonts w:ascii="Times New Roman" w:hAnsi="Times New Roman" w:eastAsia="Times New Roman" w:cs="Times New Roman"/>
          <w:i/>
          <w:iCs/>
          <w:color w:val="121212"/>
          <w:sz w:val="24"/>
          <w:szCs w:val="24"/>
        </w:rPr>
        <w:t>Available at SSRN 5768722</w:t>
      </w:r>
      <w:r>
        <w:rPr>
          <w:rFonts w:ascii="Times New Roman" w:hAnsi="Times New Roman" w:eastAsia="Times New Roman" w:cs="Times New Roman"/>
          <w:color w:val="121212"/>
          <w:sz w:val="24"/>
          <w:szCs w:val="24"/>
        </w:rPr>
        <w:t>. </w:t>
      </w:r>
    </w:p>
    <w:p w14:paraId="14667D1B">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Klaassen, G., 2024. Confronting bias in artificial intelligence: building transparent, diverse, and ethical AI systems.</w:t>
      </w:r>
    </w:p>
    <w:p w14:paraId="3ADA3134">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Konovalova, V., Mitrofanova, E., Mitrofanova, A. and Gevorgyan, R., 2022. The impact of artificial intelligence on human resources management strategy: Opportunities for the humanisation and risks. </w:t>
      </w:r>
      <w:r>
        <w:rPr>
          <w:rFonts w:ascii="Times New Roman" w:hAnsi="Times New Roman" w:eastAsia="Times New Roman" w:cs="Times New Roman"/>
          <w:i/>
          <w:iCs/>
          <w:color w:val="121212"/>
          <w:sz w:val="24"/>
          <w:szCs w:val="24"/>
        </w:rPr>
        <w:t>Wisdom</w:t>
      </w:r>
      <w:r>
        <w:rPr>
          <w:rFonts w:ascii="Times New Roman" w:hAnsi="Times New Roman" w:eastAsia="Times New Roman" w:cs="Times New Roman"/>
          <w:color w:val="121212"/>
          <w:sz w:val="24"/>
          <w:szCs w:val="24"/>
        </w:rPr>
        <w:t>, (1S (2)), pp.88-96. </w:t>
      </w:r>
    </w:p>
    <w:p w14:paraId="5F9E5ACD">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Korzynski, P., Kim, S. and Egan, T., 2024. Bridging human resource development processes through generative artificial intelligence. </w:t>
      </w:r>
      <w:r>
        <w:rPr>
          <w:rFonts w:ascii="Times New Roman" w:hAnsi="Times New Roman" w:eastAsia="Times New Roman" w:cs="Times New Roman"/>
          <w:i/>
          <w:iCs/>
          <w:color w:val="121212"/>
          <w:sz w:val="24"/>
          <w:szCs w:val="24"/>
        </w:rPr>
        <w:t>Human Resource Development Quarterly</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35</w:t>
      </w:r>
      <w:r>
        <w:rPr>
          <w:rFonts w:ascii="Times New Roman" w:hAnsi="Times New Roman" w:eastAsia="Times New Roman" w:cs="Times New Roman"/>
          <w:color w:val="121212"/>
          <w:sz w:val="24"/>
          <w:szCs w:val="24"/>
        </w:rPr>
        <w:t>(3), pp.247-256. </w:t>
      </w:r>
    </w:p>
    <w:p w14:paraId="590E4C2E">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Koturanova, T. and Shapa, N., 2025. Features of using innovative technologies in recruitment through artificial intelligence tools. </w:t>
      </w:r>
      <w:r>
        <w:rPr>
          <w:rFonts w:ascii="Times New Roman" w:hAnsi="Times New Roman" w:eastAsia="Times New Roman" w:cs="Times New Roman"/>
          <w:i/>
          <w:iCs/>
          <w:color w:val="121212"/>
          <w:sz w:val="24"/>
          <w:szCs w:val="24"/>
        </w:rPr>
        <w:t>Economics and Education</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10</w:t>
      </w:r>
      <w:r>
        <w:rPr>
          <w:rFonts w:ascii="Times New Roman" w:hAnsi="Times New Roman" w:eastAsia="Times New Roman" w:cs="Times New Roman"/>
          <w:color w:val="121212"/>
          <w:sz w:val="24"/>
          <w:szCs w:val="24"/>
        </w:rPr>
        <w:t>(2), pp.7-12. </w:t>
      </w:r>
    </w:p>
    <w:p w14:paraId="148D5528">
      <w:pPr>
        <w:pStyle w:val="11"/>
        <w:spacing w:before="0" w:beforeAutospacing="0" w:after="0" w:afterAutospacing="0" w:line="360" w:lineRule="auto"/>
        <w:jc w:val="both"/>
        <w:rPr>
          <w:color w:val="121212"/>
        </w:rPr>
      </w:pPr>
      <w:r>
        <w:rPr>
          <w:color w:val="121212"/>
        </w:rPr>
        <w:t xml:space="preserve">Kun, D., 2027. Human in the loop: AI-supported evaluation in Hungary. In </w:t>
      </w:r>
      <w:r>
        <w:rPr>
          <w:i/>
          <w:iCs/>
          <w:color w:val="121212"/>
        </w:rPr>
        <w:t>From Algorithms to Evidence</w:t>
      </w:r>
      <w:r>
        <w:rPr>
          <w:color w:val="121212"/>
        </w:rPr>
        <w:t xml:space="preserve"> (pp. 219-228). Routledge. </w:t>
      </w:r>
    </w:p>
    <w:p w14:paraId="0D08AE3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Lavanchy, M., Reichert, P., Narayanan, J. and Savani, K. 2023 ‘Applicants’ fairness perceptions of algorithm-driven hiring procedures’, </w:t>
      </w:r>
      <w:r>
        <w:rPr>
          <w:rFonts w:ascii="Times New Roman" w:hAnsi="Times New Roman" w:eastAsia="Times New Roman" w:cs="Times New Roman"/>
          <w:i/>
          <w:iCs/>
          <w:color w:val="121212"/>
          <w:sz w:val="24"/>
          <w:szCs w:val="24"/>
        </w:rPr>
        <w:t>Journal of Business Ethics</w:t>
      </w:r>
      <w:r>
        <w:rPr>
          <w:rFonts w:ascii="Times New Roman" w:hAnsi="Times New Roman" w:eastAsia="Times New Roman" w:cs="Times New Roman"/>
          <w:color w:val="121212"/>
          <w:sz w:val="24"/>
          <w:szCs w:val="24"/>
        </w:rPr>
        <w:t>, 188(2), pp. 125–150.</w:t>
      </w:r>
    </w:p>
    <w:p w14:paraId="210FF675">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Li, P., Bastone, A., Mohamad, T.A. and Schiavone, F. 2023 ‘How does artificial intelligence impact human resources performance: Evidence from a healthcare institution in the United Arab Emirates’, </w:t>
      </w:r>
      <w:r>
        <w:rPr>
          <w:rFonts w:ascii="Times New Roman" w:hAnsi="Times New Roman" w:eastAsia="Times New Roman" w:cs="Times New Roman"/>
          <w:i/>
          <w:iCs/>
          <w:color w:val="121212"/>
          <w:sz w:val="24"/>
          <w:szCs w:val="24"/>
        </w:rPr>
        <w:t>Journal of Innovation &amp; Knowledge</w:t>
      </w:r>
      <w:r>
        <w:rPr>
          <w:rFonts w:ascii="Times New Roman" w:hAnsi="Times New Roman" w:eastAsia="Times New Roman" w:cs="Times New Roman"/>
          <w:color w:val="121212"/>
          <w:sz w:val="24"/>
          <w:szCs w:val="24"/>
        </w:rPr>
        <w:t>, 8(2), 100340.</w:t>
      </w:r>
    </w:p>
    <w:p w14:paraId="3A0D643E">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Li, Y., Omar, M.K., Harithuddin, A.S.M. and Hassan, N.C., 2026. Aligning AI talent competencies with employer expectations: Graduate readiness in Guangzhou’s private sector. </w:t>
      </w:r>
      <w:r>
        <w:rPr>
          <w:rFonts w:ascii="Times New Roman" w:hAnsi="Times New Roman" w:eastAsia="Times New Roman" w:cs="Times New Roman"/>
          <w:i/>
          <w:iCs/>
          <w:color w:val="121212"/>
          <w:sz w:val="24"/>
          <w:szCs w:val="24"/>
        </w:rPr>
        <w:t>Sustainable Futures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11</w:t>
      </w:r>
      <w:r>
        <w:rPr>
          <w:rFonts w:ascii="Times New Roman" w:hAnsi="Times New Roman" w:eastAsia="Times New Roman" w:cs="Times New Roman"/>
          <w:color w:val="121212"/>
          <w:sz w:val="24"/>
          <w:szCs w:val="24"/>
        </w:rPr>
        <w:t>, p.101820. </w:t>
      </w:r>
    </w:p>
    <w:p w14:paraId="2ECB845A">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Lochmiller, C.R., Cho, Y. and Lester, J.N., 2026. Designing trustworthy qualitative HRD research: Methodological considerations. </w:t>
      </w:r>
      <w:r>
        <w:rPr>
          <w:rFonts w:ascii="Times New Roman" w:hAnsi="Times New Roman" w:eastAsia="Times New Roman" w:cs="Times New Roman"/>
          <w:i/>
          <w:iCs/>
          <w:color w:val="121212"/>
          <w:sz w:val="24"/>
          <w:szCs w:val="24"/>
        </w:rPr>
        <w:t>Human Resource Development Review</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25</w:t>
      </w:r>
      <w:r>
        <w:rPr>
          <w:rFonts w:ascii="Times New Roman" w:hAnsi="Times New Roman" w:eastAsia="Times New Roman" w:cs="Times New Roman"/>
          <w:color w:val="121212"/>
          <w:sz w:val="24"/>
          <w:szCs w:val="24"/>
        </w:rPr>
        <w:t>(2), pp.212-226. </w:t>
      </w:r>
    </w:p>
    <w:p w14:paraId="50A144C4">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Madanchian, M. and Taherdoost, H., 2025. Barriers and enablers of AI adoption in human resource management: A critical analysis of organizational and technological factors. </w:t>
      </w:r>
      <w:r>
        <w:rPr>
          <w:rFonts w:ascii="Times New Roman" w:hAnsi="Times New Roman" w:eastAsia="Times New Roman" w:cs="Times New Roman"/>
          <w:i/>
          <w:iCs/>
          <w:color w:val="121212"/>
          <w:sz w:val="24"/>
          <w:szCs w:val="24"/>
        </w:rPr>
        <w:t>Information</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16</w:t>
      </w:r>
      <w:r>
        <w:rPr>
          <w:rFonts w:ascii="Times New Roman" w:hAnsi="Times New Roman" w:eastAsia="Times New Roman" w:cs="Times New Roman"/>
          <w:color w:val="121212"/>
          <w:sz w:val="24"/>
          <w:szCs w:val="24"/>
        </w:rPr>
        <w:t>. </w:t>
      </w:r>
    </w:p>
    <w:p w14:paraId="55D7E56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Margherita, A. 2022 ‘Human resources analytics: A systematization of research topics and directions for future research’, </w:t>
      </w:r>
      <w:r>
        <w:rPr>
          <w:rFonts w:ascii="Times New Roman" w:hAnsi="Times New Roman" w:eastAsia="Times New Roman" w:cs="Times New Roman"/>
          <w:i/>
          <w:iCs/>
          <w:color w:val="121212"/>
          <w:sz w:val="24"/>
          <w:szCs w:val="24"/>
        </w:rPr>
        <w:t>Human Resource Management Review</w:t>
      </w:r>
      <w:r>
        <w:rPr>
          <w:rFonts w:ascii="Times New Roman" w:hAnsi="Times New Roman" w:eastAsia="Times New Roman" w:cs="Times New Roman"/>
          <w:color w:val="121212"/>
          <w:sz w:val="24"/>
          <w:szCs w:val="24"/>
        </w:rPr>
        <w:t>, 32(2), 100795.</w:t>
      </w:r>
    </w:p>
    <w:p w14:paraId="56885DD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Matta, S.S. and Bolli, M., 2023. Trustworthy ai: Explainability &amp; fairness in large-scale decision systems. </w:t>
      </w:r>
      <w:r>
        <w:rPr>
          <w:rFonts w:ascii="Times New Roman" w:hAnsi="Times New Roman" w:eastAsia="Times New Roman" w:cs="Times New Roman"/>
          <w:i/>
          <w:iCs/>
          <w:color w:val="121212"/>
          <w:sz w:val="24"/>
          <w:szCs w:val="24"/>
        </w:rPr>
        <w:t>Review of Applied Science and Technology</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w:t>
      </w:r>
      <w:r>
        <w:rPr>
          <w:rFonts w:ascii="Times New Roman" w:hAnsi="Times New Roman" w:eastAsia="Times New Roman" w:cs="Times New Roman"/>
          <w:color w:val="121212"/>
          <w:sz w:val="24"/>
          <w:szCs w:val="24"/>
        </w:rPr>
        <w:t>(04), pp.54-93. </w:t>
      </w:r>
    </w:p>
    <w:p w14:paraId="488598AA">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Meijerink, J. and Bondarouk, T. 2021 ‘The duality of algorithmic management: Toward a research agenda on human–algorithm interactions in the gig economy and beyond’, </w:t>
      </w:r>
      <w:r>
        <w:rPr>
          <w:rFonts w:ascii="Times New Roman" w:hAnsi="Times New Roman" w:eastAsia="Times New Roman" w:cs="Times New Roman"/>
          <w:i/>
          <w:iCs/>
          <w:color w:val="121212"/>
          <w:sz w:val="24"/>
          <w:szCs w:val="24"/>
        </w:rPr>
        <w:t>Human Resource Management Review</w:t>
      </w:r>
      <w:r>
        <w:rPr>
          <w:rFonts w:ascii="Times New Roman" w:hAnsi="Times New Roman" w:eastAsia="Times New Roman" w:cs="Times New Roman"/>
          <w:color w:val="121212"/>
          <w:sz w:val="24"/>
          <w:szCs w:val="24"/>
        </w:rPr>
        <w:t>, 31(4), 100863.</w:t>
      </w:r>
    </w:p>
    <w:p w14:paraId="483E8022">
      <w:pPr>
        <w:pStyle w:val="11"/>
        <w:spacing w:before="0" w:beforeAutospacing="0" w:after="0" w:afterAutospacing="0" w:line="360" w:lineRule="auto"/>
        <w:jc w:val="both"/>
        <w:rPr>
          <w:color w:val="121212"/>
        </w:rPr>
      </w:pPr>
      <w:r>
        <w:rPr>
          <w:color w:val="121212"/>
        </w:rPr>
        <w:t>Mercy, O., 2025. HR Analytics for Predictive Talent Management: Leveraging Data to Improve Workforce Planning. </w:t>
      </w:r>
    </w:p>
    <w:p w14:paraId="20C6720B">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Mishra K, Mishra S. Artificial and Emotional Intelligence for Employee Engagement with E-Human Resource Management. Intellectuals' Book Palace. 2025 Feb 6.</w:t>
      </w:r>
    </w:p>
    <w:p w14:paraId="7811D3BA">
      <w:pPr>
        <w:pBdr>
          <w:top w:val="none" w:color="auto" w:sz="0" w:space="0"/>
          <w:left w:val="none" w:color="auto" w:sz="0" w:space="0"/>
          <w:bottom w:val="none" w:color="auto" w:sz="0" w:space="0"/>
          <w:right w:val="none" w:color="auto" w:sz="0" w:space="0"/>
          <w:between w:val="none" w:color="auto" w:sz="0" w:space="0"/>
        </w:pBdr>
        <w:spacing w:after="20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Murugesan, U., Subramanian, P., Srivastava, S. and Dwivedi, A., 2023. A study of artificial intelligence impacts on human resource digitalization in industry 4.0. </w:t>
      </w:r>
      <w:r>
        <w:rPr>
          <w:rFonts w:ascii="Times New Roman" w:hAnsi="Times New Roman" w:eastAsia="Times New Roman" w:cs="Times New Roman"/>
          <w:i/>
          <w:iCs/>
          <w:color w:val="121212"/>
          <w:sz w:val="24"/>
          <w:szCs w:val="24"/>
        </w:rPr>
        <w:t>Decision Analytics Journal</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7</w:t>
      </w:r>
      <w:r>
        <w:rPr>
          <w:rFonts w:ascii="Times New Roman" w:hAnsi="Times New Roman" w:eastAsia="Times New Roman" w:cs="Times New Roman"/>
          <w:color w:val="121212"/>
          <w:sz w:val="24"/>
          <w:szCs w:val="24"/>
        </w:rPr>
        <w:t>, p.100249.</w:t>
      </w:r>
    </w:p>
    <w:p w14:paraId="670E1E39">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32"/>
          <w:szCs w:val="24"/>
        </w:rPr>
      </w:pPr>
      <w:r>
        <w:rPr>
          <w:rFonts w:ascii="Times New Roman" w:hAnsi="Times New Roman" w:cs="Times New Roman"/>
          <w:color w:val="121212"/>
          <w:sz w:val="24"/>
          <w:szCs w:val="20"/>
          <w:shd w:val="clear" w:color="auto" w:fill="FFFFFF"/>
        </w:rPr>
        <w:t xml:space="preserve">Nawaz, N., Arunachalam, H., Pathi, B.K. and </w:t>
      </w:r>
      <w:r>
        <w:rPr>
          <w:rFonts w:ascii="Times New Roman" w:hAnsi="Times New Roman" w:cs="Times New Roman"/>
          <w:color w:val="121212"/>
          <w:sz w:val="24"/>
          <w:szCs w:val="20"/>
          <w:shd w:val="clear" w:color="auto" w:fill="FFFFFF"/>
        </w:rPr>
        <w:t>Gajenderan</w:t>
      </w:r>
      <w:r>
        <w:rPr>
          <w:rFonts w:ascii="Times New Roman" w:hAnsi="Times New Roman" w:cs="Times New Roman"/>
          <w:color w:val="121212"/>
          <w:sz w:val="24"/>
          <w:szCs w:val="20"/>
          <w:shd w:val="clear" w:color="auto" w:fill="FFFFFF"/>
        </w:rPr>
        <w:t>, V., 2024. The adoption of artificial intelligence in human resources management practices. </w:t>
      </w:r>
      <w:r>
        <w:rPr>
          <w:rFonts w:ascii="Times New Roman" w:hAnsi="Times New Roman" w:cs="Times New Roman"/>
          <w:i/>
          <w:iCs/>
          <w:color w:val="121212"/>
          <w:sz w:val="24"/>
          <w:szCs w:val="20"/>
          <w:shd w:val="clear" w:color="auto" w:fill="FFFFFF"/>
        </w:rPr>
        <w:t>International journal of information management data insights</w:t>
      </w:r>
      <w:r>
        <w:rPr>
          <w:rFonts w:ascii="Times New Roman" w:hAnsi="Times New Roman" w:cs="Times New Roman"/>
          <w:color w:val="121212"/>
          <w:sz w:val="24"/>
          <w:szCs w:val="20"/>
          <w:shd w:val="clear" w:color="auto" w:fill="FFFFFF"/>
        </w:rPr>
        <w:t>, </w:t>
      </w:r>
      <w:r>
        <w:rPr>
          <w:rFonts w:ascii="Times New Roman" w:hAnsi="Times New Roman" w:cs="Times New Roman"/>
          <w:i/>
          <w:iCs/>
          <w:color w:val="121212"/>
          <w:sz w:val="24"/>
          <w:szCs w:val="20"/>
          <w:shd w:val="clear" w:color="auto" w:fill="FFFFFF"/>
        </w:rPr>
        <w:t>4</w:t>
      </w:r>
      <w:r>
        <w:rPr>
          <w:rFonts w:ascii="Times New Roman" w:hAnsi="Times New Roman" w:cs="Times New Roman"/>
          <w:color w:val="121212"/>
          <w:sz w:val="24"/>
          <w:szCs w:val="20"/>
          <w:shd w:val="clear" w:color="auto" w:fill="FFFFFF"/>
        </w:rPr>
        <w:t>(1), p.100208. https://doi.org/10.1016/j.jjimei.2023.100208</w:t>
      </w:r>
    </w:p>
    <w:p w14:paraId="5CB78C72">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Ncube, T.R., Sishi, K.K. and Skinner, J.P. 2025 ‘The impact of artificial intelligence on human resource management practices: An investigation’, </w:t>
      </w:r>
      <w:r>
        <w:rPr>
          <w:rFonts w:ascii="Times New Roman" w:hAnsi="Times New Roman" w:eastAsia="Times New Roman" w:cs="Times New Roman"/>
          <w:i/>
          <w:iCs/>
          <w:color w:val="121212"/>
          <w:sz w:val="24"/>
          <w:szCs w:val="24"/>
        </w:rPr>
        <w:t>SA Journal of Human Resource Management</w:t>
      </w:r>
      <w:r>
        <w:rPr>
          <w:rFonts w:ascii="Times New Roman" w:hAnsi="Times New Roman" w:eastAsia="Times New Roman" w:cs="Times New Roman"/>
          <w:color w:val="121212"/>
          <w:sz w:val="24"/>
          <w:szCs w:val="24"/>
        </w:rPr>
        <w:t>, 23, a2960, pp. 1–11.</w:t>
      </w:r>
    </w:p>
    <w:p w14:paraId="0893CEEE">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Ngwangwama, M.M., 2023. Organisational antecedents for an enhanced understanding of the effectiveness of organisations in Namibia. </w:t>
      </w:r>
      <w:r>
        <w:rPr>
          <w:rFonts w:ascii="Times New Roman" w:hAnsi="Times New Roman" w:eastAsia="Times New Roman" w:cs="Times New Roman"/>
          <w:i/>
          <w:iCs/>
          <w:color w:val="121212"/>
          <w:sz w:val="24"/>
          <w:szCs w:val="24"/>
        </w:rPr>
        <w:t>Journal of Contemporary Management</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20</w:t>
      </w:r>
      <w:r>
        <w:rPr>
          <w:rFonts w:ascii="Times New Roman" w:hAnsi="Times New Roman" w:eastAsia="Times New Roman" w:cs="Times New Roman"/>
          <w:color w:val="121212"/>
          <w:sz w:val="24"/>
          <w:szCs w:val="24"/>
        </w:rPr>
        <w:t>(1), pp.104-135. </w:t>
      </w:r>
    </w:p>
    <w:p w14:paraId="297627F3">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Ochmann, J., Michels, L., Tiefenbeck, V., Maier, C. and Laumer, S. 2024 ‘Perceived algorithmic fairness: An empirical study of transparency and anthropomorphism in algorithmic recruiting’, </w:t>
      </w:r>
      <w:r>
        <w:rPr>
          <w:rFonts w:ascii="Times New Roman" w:hAnsi="Times New Roman" w:eastAsia="Times New Roman" w:cs="Times New Roman"/>
          <w:i/>
          <w:iCs/>
          <w:color w:val="121212"/>
          <w:sz w:val="24"/>
          <w:szCs w:val="24"/>
        </w:rPr>
        <w:t>Information Systems Journal</w:t>
      </w:r>
      <w:r>
        <w:rPr>
          <w:rFonts w:ascii="Times New Roman" w:hAnsi="Times New Roman" w:eastAsia="Times New Roman" w:cs="Times New Roman"/>
          <w:color w:val="121212"/>
          <w:sz w:val="24"/>
          <w:szCs w:val="24"/>
        </w:rPr>
        <w:t>, 34(2), pp. 384–414.</w:t>
      </w:r>
    </w:p>
    <w:p w14:paraId="34E7648D">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Osika, G., 2022. Industry 4.0: selected aspects of algorithmization of work environment. </w:t>
      </w:r>
      <w:r>
        <w:rPr>
          <w:rFonts w:ascii="Times New Roman" w:hAnsi="Times New Roman" w:eastAsia="Times New Roman" w:cs="Times New Roman"/>
          <w:i/>
          <w:iCs/>
          <w:color w:val="121212"/>
          <w:sz w:val="24"/>
          <w:szCs w:val="24"/>
        </w:rPr>
        <w:t>Zeszyty Naukowe. Organizacja i Zarządzanie/Politechnika Śląska</w:t>
      </w:r>
      <w:r>
        <w:rPr>
          <w:rFonts w:ascii="Times New Roman" w:hAnsi="Times New Roman" w:eastAsia="Times New Roman" w:cs="Times New Roman"/>
          <w:color w:val="121212"/>
          <w:sz w:val="24"/>
          <w:szCs w:val="24"/>
        </w:rPr>
        <w:t>, (155), pp.431-450. </w:t>
      </w:r>
    </w:p>
    <w:p w14:paraId="2C0955CF">
      <w:pPr>
        <w:pStyle w:val="11"/>
        <w:spacing w:before="0" w:beforeAutospacing="0" w:after="0" w:afterAutospacing="0" w:line="360" w:lineRule="auto"/>
        <w:jc w:val="both"/>
        <w:rPr>
          <w:color w:val="121212"/>
        </w:rPr>
      </w:pPr>
      <w:r>
        <w:rPr>
          <w:color w:val="121212"/>
        </w:rPr>
        <w:t xml:space="preserve">Padala, S., 2023. Intelligent Workforce Management: A Predictive Analytics Approach. </w:t>
      </w:r>
      <w:r>
        <w:rPr>
          <w:i/>
          <w:iCs/>
          <w:color w:val="121212"/>
        </w:rPr>
        <w:t>American International Journal of Computer Science and Technology</w:t>
      </w:r>
      <w:r>
        <w:rPr>
          <w:color w:val="121212"/>
        </w:rPr>
        <w:t xml:space="preserve">, </w:t>
      </w:r>
      <w:r>
        <w:rPr>
          <w:i/>
          <w:iCs/>
          <w:color w:val="121212"/>
        </w:rPr>
        <w:t>5</w:t>
      </w:r>
      <w:r>
        <w:rPr>
          <w:color w:val="121212"/>
        </w:rPr>
        <w:t>(3), pp.42-47. </w:t>
      </w:r>
    </w:p>
    <w:p w14:paraId="7D2D9ED7">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Pant, A., Hoda, R., Spiegler, S.V., Tantithamthavorn, C. and Turhan, B. 2023 ‘Ethics in the age of AI: An analysis of AI practitioners’ awareness and challenges’, </w:t>
      </w:r>
      <w:r>
        <w:rPr>
          <w:rFonts w:ascii="Times New Roman" w:hAnsi="Times New Roman" w:eastAsia="Times New Roman" w:cs="Times New Roman"/>
          <w:i/>
          <w:iCs/>
          <w:color w:val="121212"/>
          <w:sz w:val="24"/>
          <w:szCs w:val="24"/>
        </w:rPr>
        <w:t>arXiv</w:t>
      </w:r>
      <w:r>
        <w:rPr>
          <w:rFonts w:ascii="Times New Roman" w:hAnsi="Times New Roman" w:eastAsia="Times New Roman" w:cs="Times New Roman"/>
          <w:color w:val="121212"/>
          <w:sz w:val="24"/>
          <w:szCs w:val="24"/>
        </w:rPr>
        <w:t>.</w:t>
      </w:r>
    </w:p>
    <w:p w14:paraId="5A33AA9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Pavlakou, E., Katsarou, M., Misiou, M., Nakou, M., Papakosta, M.A. and Papavasilopoulos, V., 2025. The impact of artificial intelligence on learning and development-case studies in companies of different sectors. </w:t>
      </w:r>
      <w:r>
        <w:rPr>
          <w:rFonts w:ascii="Times New Roman" w:hAnsi="Times New Roman" w:eastAsia="Times New Roman" w:cs="Times New Roman"/>
          <w:i/>
          <w:iCs/>
          <w:color w:val="121212"/>
          <w:sz w:val="24"/>
          <w:szCs w:val="24"/>
        </w:rPr>
        <w:t>Current Res. J. Soc. Sci. &amp; Human.</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8</w:t>
      </w:r>
      <w:r>
        <w:rPr>
          <w:rFonts w:ascii="Times New Roman" w:hAnsi="Times New Roman" w:eastAsia="Times New Roman" w:cs="Times New Roman"/>
          <w:color w:val="121212"/>
          <w:sz w:val="24"/>
          <w:szCs w:val="24"/>
        </w:rPr>
        <w:t>, p.49. </w:t>
      </w:r>
    </w:p>
    <w:p w14:paraId="0B24793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Peng, A., Nushi, B., Kiciman, E., Inkpen, K. and Kamar, E. 2022 ‘Investigations of performance and bias in human-AI teamwork in hiring’, </w:t>
      </w:r>
      <w:r>
        <w:rPr>
          <w:rFonts w:ascii="Times New Roman" w:hAnsi="Times New Roman" w:eastAsia="Times New Roman" w:cs="Times New Roman"/>
          <w:i/>
          <w:iCs/>
          <w:color w:val="121212"/>
          <w:sz w:val="24"/>
          <w:szCs w:val="24"/>
        </w:rPr>
        <w:t>Proceedings of the AAAI Conference on Artificial Intelligence</w:t>
      </w:r>
      <w:r>
        <w:rPr>
          <w:rFonts w:ascii="Times New Roman" w:hAnsi="Times New Roman" w:eastAsia="Times New Roman" w:cs="Times New Roman"/>
          <w:color w:val="121212"/>
          <w:sz w:val="24"/>
          <w:szCs w:val="24"/>
        </w:rPr>
        <w:t>, 36(11), pp. 12089–12097.</w:t>
      </w:r>
    </w:p>
    <w:p w14:paraId="114BE1D8">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Prado, P.F. and Mantovani, D., 2025. Generative AI: Capturing strategic value in businesses. </w:t>
      </w:r>
      <w:r>
        <w:rPr>
          <w:rFonts w:ascii="Times New Roman" w:hAnsi="Times New Roman" w:eastAsia="Times New Roman" w:cs="Times New Roman"/>
          <w:i/>
          <w:iCs/>
          <w:color w:val="121212"/>
          <w:sz w:val="24"/>
          <w:szCs w:val="24"/>
        </w:rPr>
        <w:t>Revista de Gestão</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32</w:t>
      </w:r>
      <w:r>
        <w:rPr>
          <w:rFonts w:ascii="Times New Roman" w:hAnsi="Times New Roman" w:eastAsia="Times New Roman" w:cs="Times New Roman"/>
          <w:color w:val="121212"/>
          <w:sz w:val="24"/>
          <w:szCs w:val="24"/>
        </w:rPr>
        <w:t>(3), pp.208-223. </w:t>
      </w:r>
    </w:p>
    <w:p w14:paraId="2723D64A">
      <w:pPr>
        <w:pStyle w:val="11"/>
        <w:spacing w:before="0" w:beforeAutospacing="0" w:after="0" w:afterAutospacing="0" w:line="360" w:lineRule="auto"/>
        <w:jc w:val="both"/>
        <w:rPr>
          <w:color w:val="121212"/>
        </w:rPr>
      </w:pPr>
      <w:r>
        <w:rPr>
          <w:color w:val="121212"/>
        </w:rPr>
        <w:t xml:space="preserve">Puchakayala, P.R., 2022. Responsible AI ensuring ethical, transparent, and accountable artificial intelligence systems. </w:t>
      </w:r>
      <w:r>
        <w:rPr>
          <w:i/>
          <w:iCs/>
          <w:color w:val="121212"/>
        </w:rPr>
        <w:t>Journal of Computational Analysis and Applications</w:t>
      </w:r>
      <w:r>
        <w:rPr>
          <w:color w:val="121212"/>
        </w:rPr>
        <w:t xml:space="preserve">, </w:t>
      </w:r>
      <w:r>
        <w:rPr>
          <w:i/>
          <w:iCs/>
          <w:color w:val="121212"/>
        </w:rPr>
        <w:t>30</w:t>
      </w:r>
      <w:r>
        <w:rPr>
          <w:color w:val="121212"/>
        </w:rPr>
        <w:t>(1), pp.208-221. </w:t>
      </w:r>
    </w:p>
    <w:p w14:paraId="24E09EEA">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Rahimiaghdam, S., Salehpoor, P. and Namvar, R., 2025. Ethical challenges of adopting AI in HRM. </w:t>
      </w:r>
      <w:r>
        <w:rPr>
          <w:rFonts w:ascii="Times New Roman" w:hAnsi="Times New Roman" w:eastAsia="Times New Roman" w:cs="Times New Roman"/>
          <w:i/>
          <w:iCs/>
          <w:color w:val="121212"/>
          <w:sz w:val="24"/>
          <w:szCs w:val="24"/>
        </w:rPr>
        <w:t>Ethics in Science and Technology</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19</w:t>
      </w:r>
      <w:r>
        <w:rPr>
          <w:rFonts w:ascii="Times New Roman" w:hAnsi="Times New Roman" w:eastAsia="Times New Roman" w:cs="Times New Roman"/>
          <w:color w:val="121212"/>
          <w:sz w:val="24"/>
          <w:szCs w:val="24"/>
        </w:rPr>
        <w:t>(4), pp.142-142. </w:t>
      </w:r>
    </w:p>
    <w:p w14:paraId="583D3C2A">
      <w:pPr>
        <w:pStyle w:val="11"/>
        <w:spacing w:before="0" w:beforeAutospacing="0" w:after="0" w:afterAutospacing="0" w:line="360" w:lineRule="auto"/>
        <w:jc w:val="both"/>
        <w:rPr>
          <w:color w:val="121212"/>
        </w:rPr>
      </w:pPr>
      <w:r>
        <w:rPr>
          <w:color w:val="121212"/>
        </w:rPr>
        <w:t xml:space="preserve">Rahman, S.M., Hossain, M.A., Miah, M.S., Alom, M.M. and Islam, M., 2025. Artificial Intelligence (AI) in revolutionizing sustainable recruitment: A framework for inclusivity and efficiency. </w:t>
      </w:r>
      <w:r>
        <w:rPr>
          <w:i/>
          <w:iCs/>
          <w:color w:val="121212"/>
        </w:rPr>
        <w:t>International Research Journal of Multidisciplinary Scope</w:t>
      </w:r>
      <w:r>
        <w:rPr>
          <w:color w:val="121212"/>
        </w:rPr>
        <w:t xml:space="preserve">, </w:t>
      </w:r>
      <w:r>
        <w:rPr>
          <w:i/>
          <w:iCs/>
          <w:color w:val="121212"/>
        </w:rPr>
        <w:t>6</w:t>
      </w:r>
      <w:r>
        <w:rPr>
          <w:color w:val="121212"/>
        </w:rPr>
        <w:t>(1), pp.1128-1141. </w:t>
      </w:r>
    </w:p>
    <w:p w14:paraId="403A0A33">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Rajashekar, S. and Jain, A., 2024. A thematic analysis on “employee engagement in IT companies from the perspective of holistic well-being initiatives”. </w:t>
      </w:r>
      <w:r>
        <w:rPr>
          <w:rFonts w:ascii="Times New Roman" w:hAnsi="Times New Roman" w:eastAsia="Times New Roman" w:cs="Times New Roman"/>
          <w:i/>
          <w:iCs/>
          <w:color w:val="121212"/>
          <w:sz w:val="24"/>
          <w:szCs w:val="24"/>
        </w:rPr>
        <w:t>Employee Responsibilities and Rights Journal</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36</w:t>
      </w:r>
      <w:r>
        <w:rPr>
          <w:rFonts w:ascii="Times New Roman" w:hAnsi="Times New Roman" w:eastAsia="Times New Roman" w:cs="Times New Roman"/>
          <w:color w:val="121212"/>
          <w:sz w:val="24"/>
          <w:szCs w:val="24"/>
        </w:rPr>
        <w:t>(2), pp.165-187. </w:t>
      </w:r>
    </w:p>
    <w:p w14:paraId="0DA6126F">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Rane, N., 2024. Role and challenges of ChatGPT, Gemini, and similar generative artificial intelligence in human resource management. </w:t>
      </w:r>
      <w:r>
        <w:rPr>
          <w:rFonts w:ascii="Times New Roman" w:hAnsi="Times New Roman" w:eastAsia="Times New Roman" w:cs="Times New Roman"/>
          <w:i/>
          <w:iCs/>
          <w:color w:val="121212"/>
          <w:sz w:val="24"/>
          <w:szCs w:val="24"/>
        </w:rPr>
        <w:t>Studies in Economics and Business Relations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5</w:t>
      </w:r>
      <w:r>
        <w:rPr>
          <w:rFonts w:ascii="Times New Roman" w:hAnsi="Times New Roman" w:eastAsia="Times New Roman" w:cs="Times New Roman"/>
          <w:color w:val="121212"/>
          <w:sz w:val="24"/>
          <w:szCs w:val="24"/>
        </w:rPr>
        <w:t>(1), pp.11-23. </w:t>
      </w:r>
    </w:p>
    <w:p w14:paraId="371DDFE0">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Ravi, K., 2025. Socio-technical system challenges in the era of artificial intelligence: A comprehensive analysis. </w:t>
      </w:r>
      <w:r>
        <w:rPr>
          <w:rFonts w:ascii="Times New Roman" w:hAnsi="Times New Roman" w:eastAsia="Times New Roman" w:cs="Times New Roman"/>
          <w:i/>
          <w:iCs/>
          <w:color w:val="121212"/>
          <w:sz w:val="24"/>
          <w:szCs w:val="24"/>
        </w:rPr>
        <w:t>International Journal of Business, Management Studies</w:t>
      </w:r>
      <w:r>
        <w:rPr>
          <w:rFonts w:ascii="Times New Roman" w:hAnsi="Times New Roman" w:eastAsia="Times New Roman" w:cs="Times New Roman"/>
          <w:color w:val="121212"/>
          <w:sz w:val="24"/>
          <w:szCs w:val="24"/>
        </w:rPr>
        <w:t>, pp.2694-1430. </w:t>
      </w:r>
    </w:p>
    <w:p w14:paraId="10226D0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Rivelles, R., 2026. Ethical Governance in the Age of Artificial Intelligence: Implications for HRM and Digital Transformation in Service Industries. </w:t>
      </w:r>
      <w:r>
        <w:rPr>
          <w:rFonts w:ascii="Times New Roman" w:hAnsi="Times New Roman" w:eastAsia="Times New Roman" w:cs="Times New Roman"/>
          <w:i/>
          <w:iCs/>
          <w:color w:val="121212"/>
          <w:sz w:val="24"/>
          <w:szCs w:val="24"/>
        </w:rPr>
        <w:t>Journal of Business and Tourism Management (JBTM)</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w:t>
      </w:r>
      <w:r>
        <w:rPr>
          <w:rFonts w:ascii="Times New Roman" w:hAnsi="Times New Roman" w:eastAsia="Times New Roman" w:cs="Times New Roman"/>
          <w:color w:val="121212"/>
          <w:sz w:val="24"/>
          <w:szCs w:val="24"/>
        </w:rPr>
        <w:t>(1), pp.49-70. </w:t>
      </w:r>
    </w:p>
    <w:p w14:paraId="55DE12CE">
      <w:pPr>
        <w:pStyle w:val="11"/>
        <w:spacing w:before="0" w:beforeAutospacing="0" w:after="0" w:afterAutospacing="0" w:line="360" w:lineRule="auto"/>
        <w:jc w:val="both"/>
        <w:rPr>
          <w:color w:val="121212"/>
        </w:rPr>
      </w:pPr>
      <w:r>
        <w:rPr>
          <w:color w:val="121212"/>
        </w:rPr>
        <w:t xml:space="preserve">Rodgers, W., Murray, J.M., Stefanidis, A., Degbey, W.Y. and Tarba, S.Y., 2023. An artificial intelligence algorithmic approach to ethical decision-making in human resource management processes. </w:t>
      </w:r>
      <w:r>
        <w:rPr>
          <w:i/>
          <w:iCs/>
          <w:color w:val="121212"/>
        </w:rPr>
        <w:t>Human resource management review</w:t>
      </w:r>
      <w:r>
        <w:rPr>
          <w:color w:val="121212"/>
        </w:rPr>
        <w:t xml:space="preserve">, </w:t>
      </w:r>
      <w:r>
        <w:rPr>
          <w:i/>
          <w:iCs/>
          <w:color w:val="121212"/>
        </w:rPr>
        <w:t>33</w:t>
      </w:r>
      <w:r>
        <w:rPr>
          <w:color w:val="121212"/>
        </w:rPr>
        <w:t>(1), p.100925.</w:t>
      </w:r>
    </w:p>
    <w:p w14:paraId="4384576E">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Routhu, K.K., 2025. Next-Generation Workforce Planning: AI-Enabled Forecasting and Strategic HR in Mergers and Acquisitions. </w:t>
      </w:r>
      <w:r>
        <w:rPr>
          <w:rFonts w:ascii="Times New Roman" w:hAnsi="Times New Roman" w:eastAsia="Times New Roman" w:cs="Times New Roman"/>
          <w:i/>
          <w:iCs/>
          <w:color w:val="121212"/>
          <w:sz w:val="24"/>
          <w:szCs w:val="24"/>
        </w:rPr>
        <w:t>Journal of Artificial Intelligence, Machine Learning and Data Science</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3</w:t>
      </w:r>
      <w:r>
        <w:rPr>
          <w:rFonts w:ascii="Times New Roman" w:hAnsi="Times New Roman" w:eastAsia="Times New Roman" w:cs="Times New Roman"/>
          <w:color w:val="121212"/>
          <w:sz w:val="24"/>
          <w:szCs w:val="24"/>
        </w:rPr>
        <w:t>(4), pp.2962-2967. </w:t>
      </w:r>
    </w:p>
    <w:p w14:paraId="471AF4B2">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Sahadevan, S., 2025. Ai and real-time performance monitoring in human resource management using data science: Opportunities and challenges. </w:t>
      </w:r>
      <w:r>
        <w:rPr>
          <w:rFonts w:ascii="Times New Roman" w:hAnsi="Times New Roman" w:eastAsia="Times New Roman" w:cs="Times New Roman"/>
          <w:i/>
          <w:iCs/>
          <w:color w:val="121212"/>
          <w:sz w:val="24"/>
          <w:szCs w:val="24"/>
        </w:rPr>
        <w:t>Evija Kļave</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231</w:t>
      </w:r>
      <w:r>
        <w:rPr>
          <w:rFonts w:ascii="Times New Roman" w:hAnsi="Times New Roman" w:eastAsia="Times New Roman" w:cs="Times New Roman"/>
          <w:color w:val="121212"/>
          <w:sz w:val="24"/>
          <w:szCs w:val="24"/>
        </w:rPr>
        <w:t>. </w:t>
      </w:r>
    </w:p>
    <w:p w14:paraId="702A336B">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Sanchez, J.I., Bonache, J., Paz-Aparicio, C. and Oberty, C.Z., 2023. Combining interpretivism and positivism in international business research: the example of the expatriate role. </w:t>
      </w:r>
      <w:r>
        <w:rPr>
          <w:rFonts w:ascii="Times New Roman" w:hAnsi="Times New Roman" w:eastAsia="Times New Roman" w:cs="Times New Roman"/>
          <w:i/>
          <w:iCs/>
          <w:color w:val="121212"/>
          <w:sz w:val="24"/>
          <w:szCs w:val="24"/>
        </w:rPr>
        <w:t>Journal of World Business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58</w:t>
      </w:r>
      <w:r>
        <w:rPr>
          <w:rFonts w:ascii="Times New Roman" w:hAnsi="Times New Roman" w:eastAsia="Times New Roman" w:cs="Times New Roman"/>
          <w:color w:val="121212"/>
          <w:sz w:val="24"/>
          <w:szCs w:val="24"/>
        </w:rPr>
        <w:t>(2), p.101419. </w:t>
      </w:r>
    </w:p>
    <w:p w14:paraId="1E037926">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Shaddiq, S. and Irpan, M., 2023. Governance of human resources management in the digital era. </w:t>
      </w:r>
      <w:r>
        <w:rPr>
          <w:rFonts w:ascii="Times New Roman" w:hAnsi="Times New Roman" w:eastAsia="Times New Roman" w:cs="Times New Roman"/>
          <w:i/>
          <w:iCs/>
          <w:color w:val="121212"/>
          <w:sz w:val="24"/>
          <w:szCs w:val="24"/>
        </w:rPr>
        <w:t>Journal of Business and Management Studies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5</w:t>
      </w:r>
      <w:r>
        <w:rPr>
          <w:rFonts w:ascii="Times New Roman" w:hAnsi="Times New Roman" w:eastAsia="Times New Roman" w:cs="Times New Roman"/>
          <w:color w:val="121212"/>
          <w:sz w:val="24"/>
          <w:szCs w:val="24"/>
        </w:rPr>
        <w:t>(3), pp.80-96. </w:t>
      </w:r>
    </w:p>
    <w:p w14:paraId="064B623A">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Shanmugam, U., Rajendran, M.K., Natarajan, J. and Karri, V.V.S.R., 2026. Integrating Artificial Intelligence into Workplace Conflict Management: A Socio-Technical Justice Framework for HR Policy, Ethical Governance, and Capability Development. </w:t>
      </w:r>
      <w:r>
        <w:rPr>
          <w:rFonts w:ascii="Times New Roman" w:hAnsi="Times New Roman" w:eastAsia="Times New Roman" w:cs="Times New Roman"/>
          <w:i/>
          <w:iCs/>
          <w:color w:val="121212"/>
          <w:sz w:val="24"/>
          <w:szCs w:val="24"/>
        </w:rPr>
        <w:t>Administrative Sciences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16</w:t>
      </w:r>
      <w:r>
        <w:rPr>
          <w:rFonts w:ascii="Times New Roman" w:hAnsi="Times New Roman" w:eastAsia="Times New Roman" w:cs="Times New Roman"/>
          <w:color w:val="121212"/>
          <w:sz w:val="24"/>
          <w:szCs w:val="24"/>
        </w:rPr>
        <w:t>(7), p.327. </w:t>
      </w:r>
    </w:p>
    <w:p w14:paraId="1504001F">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Sim, C.L., Wong, T.A., Sin, K.Y. and Sivakumaran, V.M., 2024. Pragmatism as a paradigm for quality management research in bridging academic-practitioner gaps. </w:t>
      </w:r>
      <w:r>
        <w:rPr>
          <w:rFonts w:ascii="Times New Roman" w:hAnsi="Times New Roman" w:eastAsia="Times New Roman" w:cs="Times New Roman"/>
          <w:i/>
          <w:iCs/>
          <w:color w:val="121212"/>
          <w:sz w:val="24"/>
          <w:szCs w:val="24"/>
        </w:rPr>
        <w:t>International Journal of Quality and Service Sciences</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16</w:t>
      </w:r>
      <w:r>
        <w:rPr>
          <w:rFonts w:ascii="Times New Roman" w:hAnsi="Times New Roman" w:eastAsia="Times New Roman" w:cs="Times New Roman"/>
          <w:color w:val="121212"/>
          <w:sz w:val="24"/>
          <w:szCs w:val="24"/>
        </w:rPr>
        <w:t>(2), pp.330-342. </w:t>
      </w:r>
    </w:p>
    <w:p w14:paraId="55856FD0">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Singh, S., Martins, A. and Tefera, O., 2025. Green human resource management and Sustainable Development Goals in non-profit organisations. </w:t>
      </w:r>
      <w:r>
        <w:rPr>
          <w:rFonts w:ascii="Times New Roman" w:hAnsi="Times New Roman" w:eastAsia="Times New Roman" w:cs="Times New Roman"/>
          <w:i/>
          <w:iCs/>
          <w:color w:val="121212"/>
          <w:sz w:val="24"/>
          <w:szCs w:val="24"/>
        </w:rPr>
        <w:t>SA Journal of Human Resource Management</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23</w:t>
      </w:r>
      <w:r>
        <w:rPr>
          <w:rFonts w:ascii="Times New Roman" w:hAnsi="Times New Roman" w:eastAsia="Times New Roman" w:cs="Times New Roman"/>
          <w:color w:val="121212"/>
          <w:sz w:val="24"/>
          <w:szCs w:val="24"/>
        </w:rPr>
        <w:t>, p.2780. </w:t>
      </w:r>
    </w:p>
    <w:p w14:paraId="7B1F747F">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Soleimani, M., Intezari, A., Arrowsmith, J., Pauleen, D.J. and Taskin, N., 2025. ‘Reducing AI bias in recruitment and selection: an integrative grounded approach’, </w:t>
      </w:r>
      <w:r>
        <w:rPr>
          <w:rFonts w:ascii="Times New Roman" w:hAnsi="Times New Roman" w:eastAsia="Times New Roman" w:cs="Times New Roman"/>
          <w:i/>
          <w:iCs/>
          <w:color w:val="121212"/>
          <w:sz w:val="24"/>
          <w:szCs w:val="24"/>
        </w:rPr>
        <w:t>The International Journal of Human Resource Management</w:t>
      </w:r>
      <w:r>
        <w:rPr>
          <w:rFonts w:ascii="Times New Roman" w:hAnsi="Times New Roman" w:eastAsia="Times New Roman" w:cs="Times New Roman"/>
          <w:color w:val="121212"/>
          <w:sz w:val="24"/>
          <w:szCs w:val="24"/>
        </w:rPr>
        <w:t>, 36(14), pp. 2480–2515. doi: 10.1080/09585192.2025.2480617.</w:t>
      </w:r>
    </w:p>
    <w:p w14:paraId="00C52899">
      <w:pPr>
        <w:spacing w:before="240" w:after="240" w:line="360" w:lineRule="auto"/>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Sony, M.M.A.M., Amin, M.B., Ashraf, A., Islam, K.M.A., Debnath, N.C. and Debnath, G.C., 2025. ‘Bias in AI-driven HRM systems: investigating discrimination risks embedded in AI recruitment tools and HR analytics’, </w:t>
      </w:r>
      <w:r>
        <w:rPr>
          <w:rFonts w:ascii="Times New Roman" w:hAnsi="Times New Roman" w:eastAsia="Times New Roman" w:cs="Times New Roman"/>
          <w:i/>
          <w:iCs/>
          <w:color w:val="121212"/>
          <w:sz w:val="24"/>
          <w:szCs w:val="24"/>
        </w:rPr>
        <w:t>Social Sciences &amp; Humanities Open</w:t>
      </w:r>
      <w:r>
        <w:rPr>
          <w:rFonts w:ascii="Times New Roman" w:hAnsi="Times New Roman" w:eastAsia="Times New Roman" w:cs="Times New Roman"/>
          <w:color w:val="121212"/>
          <w:sz w:val="24"/>
          <w:szCs w:val="24"/>
        </w:rPr>
        <w:t>, 12, 102082. doi: 10.1016/j.ssaho.2025.102082.</w:t>
      </w:r>
    </w:p>
    <w:p w14:paraId="26B31DD2">
      <w:pPr>
        <w:pStyle w:val="11"/>
        <w:spacing w:before="0" w:beforeAutospacing="0" w:after="0" w:afterAutospacing="0" w:line="360" w:lineRule="auto"/>
        <w:jc w:val="both"/>
        <w:rPr>
          <w:color w:val="121212"/>
        </w:rPr>
      </w:pPr>
      <w:r>
        <w:rPr>
          <w:color w:val="121212"/>
        </w:rPr>
        <w:t xml:space="preserve">Starke, C., Baleis, J., Keller, B. and Marcinkowski, F., 2022. Fairness perceptions of algorithmic decision-making: A systematic review of the empirical literature. </w:t>
      </w:r>
      <w:r>
        <w:rPr>
          <w:i/>
          <w:iCs/>
          <w:color w:val="121212"/>
        </w:rPr>
        <w:t>Big Data &amp; Society</w:t>
      </w:r>
      <w:r>
        <w:rPr>
          <w:color w:val="121212"/>
        </w:rPr>
        <w:t xml:space="preserve">, </w:t>
      </w:r>
      <w:r>
        <w:rPr>
          <w:i/>
          <w:iCs/>
          <w:color w:val="121212"/>
        </w:rPr>
        <w:t>9</w:t>
      </w:r>
      <w:r>
        <w:rPr>
          <w:color w:val="121212"/>
        </w:rPr>
        <w:t>(2), p.20539517221115189. </w:t>
      </w:r>
    </w:p>
    <w:p w14:paraId="408BC985">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Thomas, A., 2024. Digitally transforming the organization through knowledge management: a socio-technical system (STS) perspective. </w:t>
      </w:r>
      <w:r>
        <w:rPr>
          <w:rFonts w:ascii="Times New Roman" w:hAnsi="Times New Roman" w:eastAsia="Times New Roman" w:cs="Times New Roman"/>
          <w:i/>
          <w:iCs/>
          <w:color w:val="121212"/>
          <w:sz w:val="24"/>
          <w:szCs w:val="24"/>
        </w:rPr>
        <w:t>European Journal of Innovation Management</w:t>
      </w:r>
      <w:r>
        <w:rPr>
          <w:rFonts w:ascii="Times New Roman" w:hAnsi="Times New Roman" w:eastAsia="Times New Roman" w:cs="Times New Roman"/>
          <w:color w:val="121212"/>
          <w:sz w:val="24"/>
          <w:szCs w:val="24"/>
        </w:rPr>
        <w:t xml:space="preserve">, </w:t>
      </w:r>
      <w:r>
        <w:rPr>
          <w:rFonts w:ascii="Times New Roman" w:hAnsi="Times New Roman" w:eastAsia="Times New Roman" w:cs="Times New Roman"/>
          <w:i/>
          <w:iCs/>
          <w:color w:val="121212"/>
          <w:sz w:val="24"/>
          <w:szCs w:val="24"/>
        </w:rPr>
        <w:t>27</w:t>
      </w:r>
      <w:r>
        <w:rPr>
          <w:rFonts w:ascii="Times New Roman" w:hAnsi="Times New Roman" w:eastAsia="Times New Roman" w:cs="Times New Roman"/>
          <w:color w:val="121212"/>
          <w:sz w:val="24"/>
          <w:szCs w:val="24"/>
        </w:rPr>
        <w:t>(9), pp.437-460. </w:t>
      </w:r>
    </w:p>
    <w:p w14:paraId="4DBEDC8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121212"/>
          <w:sz w:val="24"/>
          <w:szCs w:val="24"/>
        </w:rPr>
      </w:pPr>
      <w:r>
        <w:rPr>
          <w:rFonts w:ascii="Times New Roman" w:hAnsi="Times New Roman" w:eastAsia="Times New Roman" w:cs="Times New Roman"/>
          <w:color w:val="121212"/>
          <w:sz w:val="24"/>
          <w:szCs w:val="24"/>
        </w:rPr>
        <w:t xml:space="preserve">Trist, E.L. and Bamforth, K.W. 1951, ‘Some social and psychological consequences of the longwall method of coal-getting’, </w:t>
      </w:r>
      <w:r>
        <w:rPr>
          <w:rFonts w:ascii="Times New Roman" w:hAnsi="Times New Roman" w:eastAsia="Times New Roman" w:cs="Times New Roman"/>
          <w:i/>
          <w:iCs/>
          <w:color w:val="121212"/>
          <w:sz w:val="24"/>
          <w:szCs w:val="24"/>
        </w:rPr>
        <w:t>Human Relations</w:t>
      </w:r>
      <w:r>
        <w:rPr>
          <w:rFonts w:ascii="Times New Roman" w:hAnsi="Times New Roman" w:eastAsia="Times New Roman" w:cs="Times New Roman"/>
          <w:color w:val="121212"/>
          <w:sz w:val="24"/>
          <w:szCs w:val="24"/>
        </w:rPr>
        <w:t>, 4(1), pp. 3–38.</w:t>
      </w:r>
    </w:p>
    <w:p w14:paraId="2E1FFEAA">
      <w:pPr>
        <w:pStyle w:val="11"/>
        <w:spacing w:before="0" w:beforeAutospacing="0" w:after="0" w:afterAutospacing="0" w:line="360" w:lineRule="auto"/>
        <w:jc w:val="both"/>
        <w:rPr>
          <w:color w:val="121212"/>
        </w:rPr>
      </w:pPr>
      <w:r>
        <w:rPr>
          <w:color w:val="121212"/>
        </w:rPr>
        <w:t xml:space="preserve">Tschiatschek, S., Stamboliev, E., Schmude, T., Coeckelbergh, M. and Koesten, L., 2024. Challenging the Human-in-the-loop in Algorithmic Decision-making. </w:t>
      </w:r>
      <w:r>
        <w:rPr>
          <w:i/>
          <w:iCs/>
          <w:color w:val="121212"/>
        </w:rPr>
        <w:t>arXiv preprint arXiv:2405.10706</w:t>
      </w:r>
      <w:r>
        <w:rPr>
          <w:color w:val="121212"/>
        </w:rPr>
        <w:t>. </w:t>
      </w:r>
    </w:p>
    <w:p w14:paraId="1C7999C0">
      <w:pPr>
        <w:pStyle w:val="11"/>
        <w:spacing w:before="0" w:beforeAutospacing="0" w:after="0" w:afterAutospacing="0" w:line="360" w:lineRule="auto"/>
        <w:jc w:val="both"/>
        <w:rPr>
          <w:color w:val="121212"/>
        </w:rPr>
      </w:pPr>
      <w:r>
        <w:rPr>
          <w:color w:val="121212"/>
        </w:rPr>
        <w:t xml:space="preserve">Tsiakas, K. and Murray-Rust, D., 2022, June. Using human-in-the-loop and explainable AI to envisage new future work practices. In </w:t>
      </w:r>
      <w:r>
        <w:rPr>
          <w:i/>
          <w:iCs/>
          <w:color w:val="121212"/>
        </w:rPr>
        <w:t>Proceedings of the 15th international conference on PErvasive technologies related to assistive environments</w:t>
      </w:r>
      <w:r>
        <w:rPr>
          <w:color w:val="121212"/>
        </w:rPr>
        <w:t xml:space="preserve"> (pp. 588-594). </w:t>
      </w:r>
    </w:p>
    <w:p w14:paraId="000C1400">
      <w:pPr>
        <w:pStyle w:val="11"/>
        <w:spacing w:before="0" w:beforeAutospacing="0" w:after="0" w:afterAutospacing="0" w:line="360" w:lineRule="auto"/>
        <w:jc w:val="both"/>
        <w:rPr>
          <w:color w:val="121212"/>
        </w:rPr>
      </w:pPr>
      <w:r>
        <w:rPr>
          <w:color w:val="121212"/>
        </w:rPr>
        <w:t xml:space="preserve">Varatharajan, S., 2025. Ethical AI Framework for Recruitment and Talent Systems: Bias Mitigation, Transparency, and Governance Architecture. </w:t>
      </w:r>
      <w:r>
        <w:rPr>
          <w:i/>
          <w:iCs/>
          <w:color w:val="121212"/>
        </w:rPr>
        <w:t>ADHYAYAN: A JOURNAL OF MANAGEMENT SCIENCES</w:t>
      </w:r>
      <w:r>
        <w:rPr>
          <w:color w:val="121212"/>
        </w:rPr>
        <w:t xml:space="preserve">, </w:t>
      </w:r>
      <w:r>
        <w:rPr>
          <w:i/>
          <w:iCs/>
          <w:color w:val="121212"/>
        </w:rPr>
        <w:t>15</w:t>
      </w:r>
      <w:r>
        <w:rPr>
          <w:color w:val="121212"/>
        </w:rPr>
        <w:t>(02), pp.89-100. </w:t>
      </w:r>
    </w:p>
    <w:p w14:paraId="6A67EEC8">
      <w:pPr>
        <w:pStyle w:val="11"/>
        <w:spacing w:before="0" w:beforeAutospacing="0" w:after="0" w:afterAutospacing="0" w:line="360" w:lineRule="auto"/>
        <w:jc w:val="both"/>
        <w:rPr>
          <w:color w:val="121212"/>
        </w:rPr>
      </w:pPr>
      <w:r>
        <w:rPr>
          <w:color w:val="121212"/>
        </w:rPr>
        <w:t xml:space="preserve">Vishvapujita, S., Mathew, T.T., Sathyapriya, B., Sathyamurthi, K., Jain, P., Tripathi, V., Malladi, R. and Khang, A., 2025. AI-driven human resource management: enhancing talent acquisition, employee relations and workforce development. </w:t>
      </w:r>
      <w:r>
        <w:rPr>
          <w:i/>
          <w:iCs/>
          <w:color w:val="121212"/>
        </w:rPr>
        <w:t>International Journal of Research in Management</w:t>
      </w:r>
      <w:r>
        <w:rPr>
          <w:color w:val="121212"/>
        </w:rPr>
        <w:t xml:space="preserve">, </w:t>
      </w:r>
      <w:r>
        <w:rPr>
          <w:i/>
          <w:iCs/>
          <w:color w:val="121212"/>
        </w:rPr>
        <w:t>7</w:t>
      </w:r>
      <w:r>
        <w:rPr>
          <w:color w:val="121212"/>
        </w:rPr>
        <w:t>(1), pp.320-327. </w:t>
      </w:r>
    </w:p>
    <w:p w14:paraId="762A23FA">
      <w:pPr>
        <w:pStyle w:val="11"/>
        <w:spacing w:before="0" w:beforeAutospacing="0" w:after="0" w:afterAutospacing="0" w:line="360" w:lineRule="auto"/>
        <w:jc w:val="both"/>
        <w:rPr>
          <w:color w:val="121212"/>
        </w:rPr>
      </w:pPr>
      <w:r>
        <w:rPr>
          <w:color w:val="121212"/>
        </w:rPr>
        <w:t>González Morales, A., Martín López, M. and Góngora-Larequi, F., 2026. A systematic review and descriptive analysis of artificial intelligence applied to recruitment and personnel selection in the present and possible future. </w:t>
      </w:r>
    </w:p>
    <w:p w14:paraId="3EAC91B1">
      <w:pPr>
        <w:pStyle w:val="11"/>
        <w:spacing w:before="0" w:beforeAutospacing="0" w:after="0" w:afterAutospacing="0" w:line="360" w:lineRule="auto"/>
        <w:jc w:val="both"/>
        <w:rPr>
          <w:color w:val="FF0000"/>
        </w:rPr>
      </w:pPr>
    </w:p>
    <w:sectPr>
      <w:footerReference r:id="rId3"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Noto Sans Symbols">
    <w:altName w:val="Times New Roman"/>
    <w:panose1 w:val="00000000000000000000"/>
    <w:charset w:val="00"/>
    <w:family w:val="auto"/>
    <w:pitch w:val="default"/>
    <w:sig w:usb0="00000000" w:usb1="00000000" w:usb2="00000000" w:usb3="00000000" w:csb0="00000000" w:csb1="00000000"/>
    <w:embedRegular r:id="rId1" w:fontKey="{81552ED1-215C-31CD-7C5A-B66AFA3B1714}"/>
  </w:font>
  <w:font w:name="Segoe UI">
    <w:panose1 w:val="020B0502040204020203"/>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0BA4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20</w:t>
    </w:r>
    <w:r>
      <w:rPr>
        <w:color w:val="000000"/>
      </w:rPr>
      <w:fldChar w:fldCharType="end"/>
    </w:r>
  </w:p>
  <w:p w14:paraId="06964375">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C5A1D"/>
    <w:multiLevelType w:val="multilevel"/>
    <w:tmpl w:val="234C5A1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01E77CA"/>
    <w:multiLevelType w:val="multilevel"/>
    <w:tmpl w:val="401E77C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43FB3F0C"/>
    <w:multiLevelType w:val="multilevel"/>
    <w:tmpl w:val="43FB3F0C"/>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ulTrailSpace/>
    <w:doNotBreakWrappedTables/>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IN" w:eastAsia="en-IN" w:bidi="ar-SA"/>
    </w:rPr>
  </w:style>
  <w:style w:type="paragraph" w:styleId="2">
    <w:name w:val="heading 1"/>
    <w:basedOn w:val="1"/>
    <w:next w:val="1"/>
    <w:link w:val="28"/>
    <w:uiPriority w:val="0"/>
    <w:pPr>
      <w:pBdr>
        <w:top w:val="none" w:color="auto" w:sz="0" w:space="0"/>
        <w:left w:val="none" w:color="auto" w:sz="0" w:space="0"/>
        <w:bottom w:val="none" w:color="auto" w:sz="0" w:space="0"/>
        <w:right w:val="none" w:color="auto" w:sz="0" w:space="0"/>
        <w:between w:val="none" w:color="auto" w:sz="0" w:space="0"/>
      </w:pBdr>
      <w:spacing w:line="360" w:lineRule="auto"/>
      <w:jc w:val="center"/>
      <w:outlineLvl w:val="0"/>
    </w:pPr>
    <w:rPr>
      <w:rFonts w:ascii="Times New Roman" w:hAnsi="Times New Roman" w:eastAsia="Times New Roman" w:cs="Times New Roman"/>
      <w:b/>
      <w:bCs/>
      <w:color w:val="000000"/>
      <w:sz w:val="28"/>
      <w:szCs w:val="28"/>
    </w:rPr>
  </w:style>
  <w:style w:type="paragraph" w:styleId="3">
    <w:name w:val="heading 2"/>
    <w:basedOn w:val="1"/>
    <w:next w:val="1"/>
    <w:link w:val="29"/>
    <w:uiPriority w:val="0"/>
    <w:pPr>
      <w:pBdr>
        <w:top w:val="none" w:color="auto" w:sz="0" w:space="0"/>
        <w:left w:val="none" w:color="auto" w:sz="0" w:space="0"/>
        <w:bottom w:val="none" w:color="auto" w:sz="0" w:space="0"/>
        <w:right w:val="none" w:color="auto" w:sz="0" w:space="0"/>
        <w:between w:val="none" w:color="auto" w:sz="0" w:space="0"/>
      </w:pBdr>
      <w:spacing w:line="360" w:lineRule="auto"/>
      <w:jc w:val="both"/>
      <w:outlineLvl w:val="1"/>
    </w:pPr>
    <w:rPr>
      <w:rFonts w:ascii="Times New Roman" w:hAnsi="Times New Roman" w:eastAsia="Times New Roman" w:cs="Times New Roman"/>
      <w:b/>
      <w:bCs/>
      <w:color w:val="000000"/>
      <w:sz w:val="24"/>
      <w:szCs w:val="24"/>
    </w:rPr>
  </w:style>
  <w:style w:type="paragraph" w:styleId="4">
    <w:name w:val="heading 3"/>
    <w:basedOn w:val="1"/>
    <w:next w:val="1"/>
    <w:link w:val="30"/>
    <w:uiPriority w:val="0"/>
    <w:pPr>
      <w:spacing w:line="360" w:lineRule="auto"/>
      <w:jc w:val="both"/>
      <w:outlineLvl w:val="2"/>
    </w:pPr>
    <w:rPr>
      <w:rFonts w:ascii="Times New Roman" w:hAnsi="Times New Roman" w:eastAsia="Times New Roman" w:cs="Times New Roman"/>
      <w:b/>
      <w:bCs/>
      <w:color w:val="000000"/>
      <w:sz w:val="24"/>
      <w:szCs w:val="24"/>
    </w:rPr>
  </w:style>
  <w:style w:type="paragraph" w:styleId="5">
    <w:name w:val="heading 4"/>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before="280" w:after="80"/>
      <w:outlineLvl w:val="3"/>
    </w:pPr>
    <w:rPr>
      <w:color w:val="666666"/>
      <w:sz w:val="24"/>
      <w:szCs w:val="24"/>
    </w:rPr>
  </w:style>
  <w:style w:type="paragraph" w:styleId="6">
    <w:name w:val="heading 5"/>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before="240" w:after="80"/>
      <w:outlineLvl w:val="4"/>
    </w:pPr>
    <w:rPr>
      <w:color w:val="666666"/>
    </w:rPr>
  </w:style>
  <w:style w:type="paragraph" w:styleId="7">
    <w:name w:val="heading 6"/>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before="240" w:after="80"/>
      <w:outlineLvl w:val="5"/>
    </w:pPr>
    <w:rPr>
      <w:i/>
      <w:iCs/>
      <w:color w:val="666666"/>
    </w:rPr>
  </w:style>
  <w:style w:type="character" w:default="1" w:styleId="23">
    <w:name w:val="Default Paragraph Font"/>
    <w:unhideWhenUsed/>
    <w:uiPriority w:val="1"/>
  </w:style>
  <w:style w:type="table" w:default="1" w:styleId="26">
    <w:name w:val="Normal Table"/>
    <w:unhideWhenUsed/>
    <w:uiPriority w:val="99"/>
    <w:tblPr>
      <w:tblLayout w:type="fixed"/>
      <w:tblCellMar>
        <w:top w:w="0" w:type="dxa"/>
        <w:left w:w="108" w:type="dxa"/>
        <w:bottom w:w="0" w:type="dxa"/>
        <w:right w:w="108" w:type="dxa"/>
      </w:tblCellMar>
    </w:tblPr>
  </w:style>
  <w:style w:type="paragraph" w:styleId="8">
    <w:name w:val="Balloon Text"/>
    <w:basedOn w:val="1"/>
    <w:link w:val="35"/>
    <w:unhideWhenUsed/>
    <w:uiPriority w:val="99"/>
    <w:pPr>
      <w:spacing w:line="240" w:lineRule="auto"/>
    </w:pPr>
    <w:rPr>
      <w:rFonts w:ascii="Segoe UI" w:hAnsi="Segoe UI" w:cs="Segoe UI"/>
      <w:sz w:val="18"/>
      <w:szCs w:val="18"/>
    </w:rPr>
  </w:style>
  <w:style w:type="paragraph" w:styleId="9">
    <w:name w:val="annotation text"/>
    <w:basedOn w:val="1"/>
    <w:link w:val="33"/>
    <w:unhideWhenUsed/>
    <w:uiPriority w:val="99"/>
    <w:pPr>
      <w:spacing w:line="240" w:lineRule="auto"/>
    </w:pPr>
    <w:rPr>
      <w:sz w:val="20"/>
      <w:szCs w:val="20"/>
    </w:rPr>
  </w:style>
  <w:style w:type="paragraph" w:styleId="10">
    <w:name w:val="annotation subject"/>
    <w:basedOn w:val="9"/>
    <w:next w:val="9"/>
    <w:link w:val="34"/>
    <w:unhideWhenUsed/>
    <w:uiPriority w:val="99"/>
    <w:rPr>
      <w:b/>
      <w:bCs/>
    </w:rPr>
  </w:style>
  <w:style w:type="paragraph" w:styleId="11">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2">
    <w:name w:val="Subtitle"/>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after="320"/>
    </w:pPr>
    <w:rPr>
      <w:color w:val="666666"/>
      <w:sz w:val="30"/>
      <w:szCs w:val="30"/>
    </w:rPr>
  </w:style>
  <w:style w:type="paragraph" w:styleId="13">
    <w:name w:val="Title"/>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after="60"/>
    </w:pPr>
    <w:rPr>
      <w:color w:val="000000"/>
      <w:sz w:val="52"/>
      <w:szCs w:val="52"/>
    </w:rPr>
  </w:style>
  <w:style w:type="paragraph" w:styleId="14">
    <w:name w:val="toc 1"/>
    <w:basedOn w:val="1"/>
    <w:next w:val="1"/>
    <w:unhideWhenUsed/>
    <w:uiPriority w:val="39"/>
    <w:pPr>
      <w:spacing w:after="100"/>
    </w:pPr>
  </w:style>
  <w:style w:type="paragraph" w:styleId="15">
    <w:name w:val="toc 2"/>
    <w:basedOn w:val="1"/>
    <w:next w:val="1"/>
    <w:unhideWhenUsed/>
    <w:uiPriority w:val="39"/>
    <w:pPr>
      <w:spacing w:after="100"/>
      <w:ind w:left="220"/>
    </w:pPr>
  </w:style>
  <w:style w:type="paragraph" w:styleId="16">
    <w:name w:val="toc 3"/>
    <w:basedOn w:val="1"/>
    <w:next w:val="1"/>
    <w:unhideWhenUsed/>
    <w:uiPriority w:val="39"/>
    <w:pPr>
      <w:spacing w:after="100"/>
      <w:ind w:left="440"/>
    </w:pPr>
  </w:style>
  <w:style w:type="paragraph" w:styleId="17">
    <w:name w:val="toc 4"/>
    <w:basedOn w:val="1"/>
    <w:next w:val="1"/>
    <w:unhideWhenUsed/>
    <w:uiPriority w:val="39"/>
    <w:pPr>
      <w:spacing w:after="100" w:line="259" w:lineRule="auto"/>
      <w:ind w:left="660"/>
    </w:pPr>
    <w:rPr>
      <w:rFonts w:asciiTheme="minorHAnsi" w:hAnsiTheme="minorHAnsi" w:eastAsiaTheme="minorEastAsia" w:cstheme="minorBidi"/>
    </w:rPr>
  </w:style>
  <w:style w:type="paragraph" w:styleId="18">
    <w:name w:val="toc 5"/>
    <w:basedOn w:val="1"/>
    <w:next w:val="1"/>
    <w:unhideWhenUsed/>
    <w:uiPriority w:val="39"/>
    <w:pPr>
      <w:spacing w:after="100" w:line="259" w:lineRule="auto"/>
      <w:ind w:left="880"/>
    </w:pPr>
    <w:rPr>
      <w:rFonts w:asciiTheme="minorHAnsi" w:hAnsiTheme="minorHAnsi" w:eastAsiaTheme="minorEastAsia" w:cstheme="minorBidi"/>
    </w:rPr>
  </w:style>
  <w:style w:type="paragraph" w:styleId="19">
    <w:name w:val="toc 6"/>
    <w:basedOn w:val="1"/>
    <w:next w:val="1"/>
    <w:unhideWhenUsed/>
    <w:uiPriority w:val="39"/>
    <w:pPr>
      <w:spacing w:after="100" w:line="259" w:lineRule="auto"/>
      <w:ind w:left="1100"/>
    </w:pPr>
    <w:rPr>
      <w:rFonts w:asciiTheme="minorHAnsi" w:hAnsiTheme="minorHAnsi" w:eastAsiaTheme="minorEastAsia" w:cstheme="minorBidi"/>
    </w:rPr>
  </w:style>
  <w:style w:type="paragraph" w:styleId="20">
    <w:name w:val="toc 7"/>
    <w:basedOn w:val="1"/>
    <w:next w:val="1"/>
    <w:unhideWhenUsed/>
    <w:uiPriority w:val="39"/>
    <w:pPr>
      <w:spacing w:after="100" w:line="259" w:lineRule="auto"/>
      <w:ind w:left="1320"/>
    </w:pPr>
    <w:rPr>
      <w:rFonts w:asciiTheme="minorHAnsi" w:hAnsiTheme="minorHAnsi" w:eastAsiaTheme="minorEastAsia" w:cstheme="minorBidi"/>
    </w:rPr>
  </w:style>
  <w:style w:type="paragraph" w:styleId="21">
    <w:name w:val="toc 8"/>
    <w:basedOn w:val="1"/>
    <w:next w:val="1"/>
    <w:unhideWhenUsed/>
    <w:uiPriority w:val="39"/>
    <w:pPr>
      <w:spacing w:after="100" w:line="259" w:lineRule="auto"/>
      <w:ind w:left="1540"/>
    </w:pPr>
    <w:rPr>
      <w:rFonts w:asciiTheme="minorHAnsi" w:hAnsiTheme="minorHAnsi" w:eastAsiaTheme="minorEastAsia" w:cstheme="minorBidi"/>
    </w:rPr>
  </w:style>
  <w:style w:type="paragraph" w:styleId="22">
    <w:name w:val="toc 9"/>
    <w:basedOn w:val="1"/>
    <w:next w:val="1"/>
    <w:unhideWhenUsed/>
    <w:uiPriority w:val="39"/>
    <w:pPr>
      <w:spacing w:after="100" w:line="259" w:lineRule="auto"/>
      <w:ind w:left="1760"/>
    </w:pPr>
    <w:rPr>
      <w:rFonts w:asciiTheme="minorHAnsi" w:hAnsiTheme="minorHAnsi" w:eastAsiaTheme="minorEastAsia" w:cstheme="minorBidi"/>
    </w:rPr>
  </w:style>
  <w:style w:type="character" w:styleId="24">
    <w:name w:val="annotation reference"/>
    <w:basedOn w:val="23"/>
    <w:unhideWhenUsed/>
    <w:uiPriority w:val="99"/>
    <w:rPr>
      <w:sz w:val="16"/>
      <w:szCs w:val="16"/>
    </w:rPr>
  </w:style>
  <w:style w:type="character" w:styleId="25">
    <w:name w:val="Hyperlink"/>
    <w:basedOn w:val="23"/>
    <w:unhideWhenUsed/>
    <w:uiPriority w:val="99"/>
    <w:rPr>
      <w:color w:val="0000FF" w:themeColor="hyperlink"/>
      <w:u w:val="single"/>
      <w14:textFill>
        <w14:solidFill>
          <w14:schemeClr w14:val="hlink"/>
        </w14:solidFill>
      </w14:textFill>
    </w:rPr>
  </w:style>
  <w:style w:type="table" w:customStyle="1" w:styleId="27">
    <w:name w:val="TableNormal"/>
    <w:uiPriority w:val="0"/>
    <w:tblPr>
      <w:tblLayout w:type="fixed"/>
      <w:tblCellMar>
        <w:top w:w="100" w:type="dxa"/>
        <w:left w:w="100" w:type="dxa"/>
        <w:bottom w:w="100" w:type="dxa"/>
        <w:right w:w="100" w:type="dxa"/>
      </w:tblCellMar>
    </w:tblPr>
  </w:style>
  <w:style w:type="character" w:customStyle="1" w:styleId="28">
    <w:name w:val="Heading 1 Char"/>
    <w:basedOn w:val="23"/>
    <w:link w:val="2"/>
    <w:uiPriority w:val="0"/>
    <w:rPr>
      <w:rFonts w:ascii="Times New Roman" w:hAnsi="Times New Roman" w:eastAsia="Times New Roman" w:cs="Times New Roman"/>
      <w:b/>
      <w:bCs/>
      <w:color w:val="000000"/>
      <w:sz w:val="28"/>
      <w:szCs w:val="28"/>
    </w:rPr>
  </w:style>
  <w:style w:type="character" w:customStyle="1" w:styleId="29">
    <w:name w:val="Heading 2 Char"/>
    <w:basedOn w:val="23"/>
    <w:link w:val="3"/>
    <w:uiPriority w:val="0"/>
    <w:rPr>
      <w:rFonts w:ascii="Times New Roman" w:hAnsi="Times New Roman" w:eastAsia="Times New Roman" w:cs="Times New Roman"/>
      <w:b/>
      <w:bCs/>
      <w:color w:val="000000"/>
      <w:sz w:val="24"/>
      <w:szCs w:val="24"/>
    </w:rPr>
  </w:style>
  <w:style w:type="character" w:customStyle="1" w:styleId="30">
    <w:name w:val="Heading 3 Char"/>
    <w:basedOn w:val="23"/>
    <w:link w:val="4"/>
    <w:uiPriority w:val="0"/>
    <w:rPr>
      <w:rFonts w:ascii="Times New Roman" w:hAnsi="Times New Roman" w:eastAsia="Times New Roman" w:cs="Times New Roman"/>
      <w:b/>
      <w:bCs/>
      <w:color w:val="000000"/>
      <w:sz w:val="24"/>
      <w:szCs w:val="24"/>
    </w:rPr>
  </w:style>
  <w:style w:type="paragraph" w:customStyle="1" w:styleId="31">
    <w:name w:val="List Paragraph"/>
    <w:basedOn w:val="1"/>
    <w:qFormat/>
    <w:uiPriority w:val="34"/>
    <w:pPr>
      <w:ind w:left="720"/>
      <w:contextualSpacing/>
    </w:pPr>
  </w:style>
  <w:style w:type="paragraph" w:customStyle="1" w:styleId="32">
    <w:name w:val="Revision"/>
    <w:hidden/>
    <w:semiHidden/>
    <w:uiPriority w:val="99"/>
    <w:pPr>
      <w:spacing w:line="240" w:lineRule="auto"/>
    </w:pPr>
    <w:rPr>
      <w:rFonts w:ascii="Arial" w:hAnsi="Arial" w:eastAsia="Arial" w:cs="Arial"/>
      <w:sz w:val="22"/>
      <w:szCs w:val="22"/>
      <w:lang w:val="en-IN" w:eastAsia="en-IN" w:bidi="ar-SA"/>
    </w:rPr>
  </w:style>
  <w:style w:type="character" w:customStyle="1" w:styleId="33">
    <w:name w:val="Comment Text Char"/>
    <w:basedOn w:val="23"/>
    <w:link w:val="9"/>
    <w:uiPriority w:val="99"/>
    <w:rPr>
      <w:sz w:val="20"/>
      <w:szCs w:val="20"/>
    </w:rPr>
  </w:style>
  <w:style w:type="character" w:customStyle="1" w:styleId="34">
    <w:name w:val="Comment Subject Char"/>
    <w:basedOn w:val="33"/>
    <w:link w:val="10"/>
    <w:semiHidden/>
    <w:uiPriority w:val="99"/>
    <w:rPr>
      <w:b/>
      <w:bCs/>
      <w:sz w:val="20"/>
      <w:szCs w:val="20"/>
    </w:rPr>
  </w:style>
  <w:style w:type="character" w:customStyle="1" w:styleId="35">
    <w:name w:val="Balloon Text Char"/>
    <w:basedOn w:val="23"/>
    <w:link w:val="8"/>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21555</Words>
  <Characters>122870</Characters>
  <Lines>1023</Lines>
  <Paragraphs>288</Paragraphs>
  <ScaleCrop>false</ScaleCrop>
  <LinksUpToDate>false</LinksUpToDate>
  <CharactersWithSpaces>144137</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2026-09-25T21:39:00Z</dcterms:created>
  <dc:creator>Mita</dc:creator>
  <cp:lastModifiedBy>iPhone</cp:lastModifiedBy>
  <dcterms:modified xsi:type="dcterms:W3CDTF">2026-09-25T16:56:52Z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D962871FE71FFCC34057B66AA7D678C3_33</vt:lpwstr>
  </property>
  <property fmtid="{D5CDD505-2E9C-101B-9397-08002B2CF9AE}" pid="3" name="KSOProductBuildVer">
    <vt:lpwstr>3081-26.9.0</vt:lpwstr>
  </property>
</Properties>
</file>