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0C5BB"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The German occupation utilised fear and terror as a way of subjugating and dehumanising the Polish population (both Poles and other ethnicities), reducing them to the level of ‘sub-human’ the Third Reich believed them to be. Before the invasion of Poland began, Hitler’s orders were simple; in the occupation and destruction of Poland they were to “show no mercy. Be brutal”</w:t>
      </w:r>
      <w:r w:rsidRPr="005A657F">
        <w:rPr>
          <w:rFonts w:cstheme="minorHAnsi"/>
          <w:sz w:val="20"/>
          <w:szCs w:val="20"/>
          <w:vertAlign w:val="superscript"/>
        </w:rPr>
        <w:t>2</w:t>
      </w:r>
      <w:r w:rsidRPr="005A657F">
        <w:rPr>
          <w:rFonts w:cstheme="minorHAnsi"/>
          <w:sz w:val="20"/>
          <w:szCs w:val="20"/>
        </w:rPr>
        <w:t xml:space="preserve">. That this order was fully realised there can be no doubt. </w:t>
      </w:r>
    </w:p>
    <w:p w14:paraId="2A6E64B6"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In the period between 27</w:t>
      </w:r>
      <w:r w:rsidRPr="005A657F">
        <w:rPr>
          <w:rFonts w:cstheme="minorHAnsi"/>
          <w:sz w:val="20"/>
          <w:szCs w:val="20"/>
          <w:vertAlign w:val="superscript"/>
        </w:rPr>
        <w:t>th</w:t>
      </w:r>
      <w:r w:rsidRPr="005A657F">
        <w:rPr>
          <w:rFonts w:cstheme="minorHAnsi"/>
          <w:sz w:val="20"/>
          <w:szCs w:val="20"/>
        </w:rPr>
        <w:t xml:space="preserve"> December 1939 and the beginning of the Uprising on the </w:t>
      </w:r>
      <w:proofErr w:type="gramStart"/>
      <w:r w:rsidRPr="005A657F">
        <w:rPr>
          <w:rFonts w:cstheme="minorHAnsi"/>
          <w:sz w:val="20"/>
          <w:szCs w:val="20"/>
        </w:rPr>
        <w:t>1</w:t>
      </w:r>
      <w:r w:rsidRPr="005A657F">
        <w:rPr>
          <w:rFonts w:cstheme="minorHAnsi"/>
          <w:sz w:val="20"/>
          <w:szCs w:val="20"/>
          <w:vertAlign w:val="superscript"/>
        </w:rPr>
        <w:t>st</w:t>
      </w:r>
      <w:proofErr w:type="gramEnd"/>
      <w:r w:rsidRPr="005A657F">
        <w:rPr>
          <w:rFonts w:cstheme="minorHAnsi"/>
          <w:sz w:val="20"/>
          <w:szCs w:val="20"/>
        </w:rPr>
        <w:t xml:space="preserve"> August 1944 40,000 civilians in Warsaw would be shot/killed</w:t>
      </w:r>
      <w:r w:rsidRPr="005A657F">
        <w:rPr>
          <w:rFonts w:cstheme="minorHAnsi"/>
          <w:sz w:val="20"/>
          <w:szCs w:val="20"/>
          <w:vertAlign w:val="superscript"/>
        </w:rPr>
        <w:t>3</w:t>
      </w:r>
      <w:r w:rsidRPr="005A657F">
        <w:rPr>
          <w:rFonts w:cstheme="minorHAnsi"/>
          <w:sz w:val="20"/>
          <w:szCs w:val="20"/>
        </w:rPr>
        <w:t>. By the end of the rising, this number rose to 225,000</w:t>
      </w:r>
      <w:r w:rsidRPr="005A657F">
        <w:rPr>
          <w:rFonts w:cstheme="minorHAnsi"/>
          <w:sz w:val="20"/>
          <w:szCs w:val="20"/>
          <w:vertAlign w:val="superscript"/>
        </w:rPr>
        <w:t>4</w:t>
      </w:r>
      <w:r w:rsidRPr="005A657F">
        <w:rPr>
          <w:rFonts w:cstheme="minorHAnsi"/>
          <w:sz w:val="20"/>
          <w:szCs w:val="20"/>
        </w:rPr>
        <w:t>, to say nothing of the 300,000</w:t>
      </w:r>
      <w:r w:rsidRPr="005A657F">
        <w:rPr>
          <w:rFonts w:cstheme="minorHAnsi"/>
          <w:sz w:val="20"/>
          <w:szCs w:val="20"/>
          <w:vertAlign w:val="superscript"/>
        </w:rPr>
        <w:t xml:space="preserve">5 </w:t>
      </w:r>
      <w:r w:rsidRPr="005A657F">
        <w:rPr>
          <w:rFonts w:cstheme="minorHAnsi"/>
          <w:sz w:val="20"/>
          <w:szCs w:val="20"/>
        </w:rPr>
        <w:t>Jews and 15,200 insurgents</w:t>
      </w:r>
      <w:r w:rsidRPr="005A657F">
        <w:rPr>
          <w:rFonts w:cstheme="minorHAnsi"/>
          <w:sz w:val="20"/>
          <w:szCs w:val="20"/>
          <w:vertAlign w:val="superscript"/>
        </w:rPr>
        <w:t>6</w:t>
      </w:r>
      <w:r w:rsidRPr="005A657F">
        <w:rPr>
          <w:rFonts w:cstheme="minorHAnsi"/>
          <w:sz w:val="20"/>
          <w:szCs w:val="20"/>
        </w:rPr>
        <w:t xml:space="preserve"> who lost their lives to the storm of the occupation. The ‘bloodiest chapter’ in Warsaw history is said to be the period between October of 1942 and May of 1943, during which daily street executions saw up to 300 people murdered a week. </w:t>
      </w:r>
    </w:p>
    <w:p w14:paraId="681A626C" w14:textId="6EC773D1"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 xml:space="preserve">The aim of this campaign of horror was to bend the Polish nation into submission, to break all sense of identity and wipe the polish way of life away. Massacres, public executions, </w:t>
      </w:r>
      <w:proofErr w:type="gramStart"/>
      <w:r w:rsidRPr="005A657F">
        <w:rPr>
          <w:rFonts w:cstheme="minorHAnsi"/>
          <w:sz w:val="20"/>
          <w:szCs w:val="20"/>
        </w:rPr>
        <w:t>torture</w:t>
      </w:r>
      <w:proofErr w:type="gramEnd"/>
      <w:r w:rsidRPr="005A657F">
        <w:rPr>
          <w:rFonts w:cstheme="minorHAnsi"/>
          <w:sz w:val="20"/>
          <w:szCs w:val="20"/>
        </w:rPr>
        <w:t xml:space="preserve"> and deportation became daily realities for the people of Warsaw. Poverty, disease, </w:t>
      </w:r>
      <w:proofErr w:type="gramStart"/>
      <w:r w:rsidRPr="005A657F">
        <w:rPr>
          <w:rFonts w:cstheme="minorHAnsi"/>
          <w:sz w:val="20"/>
          <w:szCs w:val="20"/>
        </w:rPr>
        <w:t>starvation</w:t>
      </w:r>
      <w:proofErr w:type="gramEnd"/>
      <w:r w:rsidRPr="005A657F">
        <w:rPr>
          <w:rFonts w:cstheme="minorHAnsi"/>
          <w:sz w:val="20"/>
          <w:szCs w:val="20"/>
        </w:rPr>
        <w:t xml:space="preserve"> and humiliation, all employed by the Nazi occupation in an attempt to break the spirit of Polish people. What followed is one of the clearest examples of what hope, </w:t>
      </w:r>
      <w:proofErr w:type="gramStart"/>
      <w:r w:rsidRPr="005A657F">
        <w:rPr>
          <w:rFonts w:cstheme="minorHAnsi"/>
          <w:sz w:val="20"/>
          <w:szCs w:val="20"/>
        </w:rPr>
        <w:t>desperation</w:t>
      </w:r>
      <w:proofErr w:type="gramEnd"/>
      <w:r w:rsidRPr="005A657F">
        <w:rPr>
          <w:rFonts w:cstheme="minorHAnsi"/>
          <w:sz w:val="20"/>
          <w:szCs w:val="20"/>
        </w:rPr>
        <w:t xml:space="preserve"> and the unwavering dedication to a single ideal of freedom can inspire in a people, even in the face of unimaginable cruelty.  As </w:t>
      </w:r>
      <w:proofErr w:type="spellStart"/>
      <w:r w:rsidRPr="005A657F">
        <w:rPr>
          <w:rFonts w:cstheme="minorHAnsi"/>
          <w:sz w:val="20"/>
          <w:szCs w:val="20"/>
        </w:rPr>
        <w:t>Jozef</w:t>
      </w:r>
      <w:proofErr w:type="spellEnd"/>
      <w:r w:rsidRPr="005A657F">
        <w:rPr>
          <w:rFonts w:cstheme="minorHAnsi"/>
          <w:sz w:val="20"/>
          <w:szCs w:val="20"/>
        </w:rPr>
        <w:t xml:space="preserve"> Beck said</w:t>
      </w:r>
      <w:r w:rsidRPr="005A657F">
        <w:rPr>
          <w:rFonts w:cstheme="minorHAnsi"/>
          <w:sz w:val="20"/>
          <w:szCs w:val="20"/>
          <w:lang w:val="en-US"/>
        </w:rPr>
        <w:t xml:space="preserve">, “we in Poland </w:t>
      </w:r>
      <w:proofErr w:type="spellStart"/>
      <w:r w:rsidRPr="005A657F">
        <w:rPr>
          <w:rFonts w:cstheme="minorHAnsi"/>
          <w:sz w:val="20"/>
          <w:szCs w:val="20"/>
          <w:lang w:val="en-US"/>
        </w:rPr>
        <w:t>d</w:t>
      </w:r>
      <w:proofErr w:type="spellEnd"/>
      <w:r w:rsidRPr="005A657F">
        <w:rPr>
          <w:rFonts w:cstheme="minorHAnsi"/>
          <w:sz w:val="20"/>
          <w:szCs w:val="20"/>
          <w:lang w:val="en-US"/>
        </w:rPr>
        <w:t xml:space="preserve"> </w:t>
      </w:r>
      <w:proofErr w:type="gramStart"/>
      <w:r w:rsidRPr="005A657F">
        <w:rPr>
          <w:rFonts w:cstheme="minorHAnsi"/>
          <w:sz w:val="20"/>
          <w:szCs w:val="20"/>
          <w:lang w:val="en-US"/>
        </w:rPr>
        <w:t>not know</w:t>
      </w:r>
      <w:proofErr w:type="gramEnd"/>
      <w:r w:rsidRPr="005A657F">
        <w:rPr>
          <w:rFonts w:cstheme="minorHAnsi"/>
          <w:sz w:val="20"/>
          <w:szCs w:val="20"/>
          <w:lang w:val="en-US"/>
        </w:rPr>
        <w:t xml:space="preserve"> the concept of peace at any price. There is only one thing in the lives of men, nations and countries that is without price. That thing is honour.”</w:t>
      </w:r>
      <w:proofErr w:type="gramStart"/>
      <w:r w:rsidRPr="005A657F">
        <w:rPr>
          <w:rFonts w:cstheme="minorHAnsi"/>
          <w:sz w:val="20"/>
          <w:szCs w:val="20"/>
          <w:vertAlign w:val="superscript"/>
          <w:lang w:val="en-US"/>
        </w:rPr>
        <w:t>7</w:t>
      </w:r>
      <w:proofErr w:type="gramEnd"/>
    </w:p>
    <w:p w14:paraId="1FC72B6F"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lang w:val="en-US"/>
        </w:rPr>
        <w:t xml:space="preserve">A group of German </w:t>
      </w:r>
      <w:proofErr w:type="gramStart"/>
      <w:r w:rsidRPr="005A657F">
        <w:rPr>
          <w:rFonts w:cstheme="minorHAnsi"/>
          <w:sz w:val="20"/>
          <w:szCs w:val="20"/>
          <w:lang w:val="en-US"/>
        </w:rPr>
        <w:t>soldiers  walk</w:t>
      </w:r>
      <w:proofErr w:type="gramEnd"/>
      <w:r w:rsidRPr="005A657F">
        <w:rPr>
          <w:rFonts w:cstheme="minorHAnsi"/>
          <w:sz w:val="20"/>
          <w:szCs w:val="20"/>
          <w:lang w:val="en-US"/>
        </w:rPr>
        <w:t xml:space="preserve"> through the streets of burning Warsaw, following the orders given to them by Himmler during the invasion and occupation of Poland: “</w:t>
      </w:r>
      <w:r w:rsidRPr="005A657F">
        <w:rPr>
          <w:rFonts w:cstheme="minorHAnsi"/>
          <w:b/>
          <w:bCs/>
          <w:sz w:val="20"/>
          <w:szCs w:val="20"/>
          <w:lang w:val="en-US"/>
        </w:rPr>
        <w:t>B</w:t>
      </w:r>
      <w:r w:rsidRPr="005A657F">
        <w:rPr>
          <w:rFonts w:cstheme="minorHAnsi"/>
          <w:sz w:val="20"/>
          <w:szCs w:val="20"/>
          <w:lang w:val="en-US"/>
        </w:rPr>
        <w:t>esides, I also ordered utter destruction of the city […] my order was: burn each house and blow it up”</w:t>
      </w:r>
      <w:r w:rsidRPr="005A657F">
        <w:rPr>
          <w:rFonts w:cstheme="minorHAnsi"/>
          <w:sz w:val="20"/>
          <w:szCs w:val="20"/>
          <w:vertAlign w:val="superscript"/>
          <w:lang w:val="en-US"/>
        </w:rPr>
        <w:t>1</w:t>
      </w:r>
      <w:r w:rsidRPr="005A657F">
        <w:rPr>
          <w:rFonts w:cstheme="minorHAnsi"/>
          <w:sz w:val="20"/>
          <w:szCs w:val="20"/>
          <w:lang w:val="en-US"/>
        </w:rPr>
        <w:t xml:space="preserve">. His order to reduce the City of Warsaw to fire and ash, igniting not just houses but the spirits of the </w:t>
      </w:r>
      <w:proofErr w:type="gramStart"/>
      <w:r w:rsidRPr="005A657F">
        <w:rPr>
          <w:rFonts w:cstheme="minorHAnsi"/>
          <w:sz w:val="20"/>
          <w:szCs w:val="20"/>
          <w:lang w:val="en-US"/>
        </w:rPr>
        <w:t>people</w:t>
      </w:r>
      <w:proofErr w:type="gramEnd"/>
    </w:p>
    <w:p w14:paraId="595F9714"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 xml:space="preserve">The occupation and uprising of Warsaw impacted citizens of every age, gender and </w:t>
      </w:r>
      <w:proofErr w:type="gramStart"/>
      <w:r w:rsidRPr="005A657F">
        <w:rPr>
          <w:rFonts w:cstheme="minorHAnsi"/>
          <w:sz w:val="20"/>
          <w:szCs w:val="20"/>
        </w:rPr>
        <w:t>standing..</w:t>
      </w:r>
      <w:proofErr w:type="gramEnd"/>
      <w:r w:rsidRPr="005A657F">
        <w:rPr>
          <w:rFonts w:cstheme="minorHAnsi"/>
          <w:sz w:val="20"/>
          <w:szCs w:val="20"/>
        </w:rPr>
        <w:t xml:space="preserve"> As the occupation continued, every class was subjected to cruelty and inhumane treatment. At the start of the Uprising, the massacres at </w:t>
      </w:r>
      <w:proofErr w:type="spellStart"/>
      <w:r w:rsidRPr="005A657F">
        <w:rPr>
          <w:rFonts w:cstheme="minorHAnsi"/>
          <w:sz w:val="20"/>
          <w:szCs w:val="20"/>
        </w:rPr>
        <w:t>Wola</w:t>
      </w:r>
      <w:proofErr w:type="spellEnd"/>
      <w:r w:rsidRPr="005A657F">
        <w:rPr>
          <w:rFonts w:cstheme="minorHAnsi"/>
          <w:sz w:val="20"/>
          <w:szCs w:val="20"/>
        </w:rPr>
        <w:t xml:space="preserve"> and </w:t>
      </w:r>
      <w:proofErr w:type="spellStart"/>
      <w:r w:rsidRPr="005A657F">
        <w:rPr>
          <w:rFonts w:cstheme="minorHAnsi"/>
          <w:sz w:val="20"/>
          <w:szCs w:val="20"/>
        </w:rPr>
        <w:t>Ochota</w:t>
      </w:r>
      <w:proofErr w:type="spellEnd"/>
      <w:r w:rsidRPr="005A657F">
        <w:rPr>
          <w:rFonts w:cstheme="minorHAnsi"/>
          <w:sz w:val="20"/>
          <w:szCs w:val="20"/>
        </w:rPr>
        <w:t xml:space="preserve"> served to prove that no one living in Warsaw was safe from persecution. After these German offenses, 65,000 men, women and children had been executed, over 1,300 of them patients and staff of the </w:t>
      </w:r>
      <w:proofErr w:type="spellStart"/>
      <w:r w:rsidRPr="005A657F">
        <w:rPr>
          <w:rFonts w:cstheme="minorHAnsi"/>
          <w:sz w:val="20"/>
          <w:szCs w:val="20"/>
        </w:rPr>
        <w:t>Wola</w:t>
      </w:r>
      <w:proofErr w:type="spellEnd"/>
      <w:r w:rsidRPr="005A657F">
        <w:rPr>
          <w:rFonts w:cstheme="minorHAnsi"/>
          <w:sz w:val="20"/>
          <w:szCs w:val="20"/>
        </w:rPr>
        <w:t xml:space="preserve"> and St. Lazarus hospitals</w:t>
      </w:r>
      <w:r w:rsidRPr="005A657F">
        <w:rPr>
          <w:rFonts w:cstheme="minorHAnsi"/>
          <w:sz w:val="20"/>
          <w:szCs w:val="20"/>
          <w:vertAlign w:val="superscript"/>
        </w:rPr>
        <w:t>8</w:t>
      </w:r>
      <w:r w:rsidRPr="005A657F">
        <w:rPr>
          <w:rFonts w:cstheme="minorHAnsi"/>
          <w:sz w:val="20"/>
          <w:szCs w:val="20"/>
        </w:rPr>
        <w:t xml:space="preserve">; many of these victims are recorded to have been burnt alive in the Hospitals. Forces under the command of the ‘Butcher of Warsaw’, Oskar </w:t>
      </w:r>
      <w:proofErr w:type="spellStart"/>
      <w:r w:rsidRPr="005A657F">
        <w:rPr>
          <w:rFonts w:cstheme="minorHAnsi"/>
          <w:sz w:val="20"/>
          <w:szCs w:val="20"/>
        </w:rPr>
        <w:t>Dirlewanger</w:t>
      </w:r>
      <w:proofErr w:type="spellEnd"/>
      <w:r w:rsidRPr="005A657F">
        <w:rPr>
          <w:rFonts w:cstheme="minorHAnsi"/>
          <w:sz w:val="20"/>
          <w:szCs w:val="20"/>
        </w:rPr>
        <w:t xml:space="preserve"> </w:t>
      </w:r>
      <w:r w:rsidRPr="005A657F">
        <w:rPr>
          <w:rFonts w:cstheme="minorHAnsi"/>
          <w:sz w:val="20"/>
          <w:szCs w:val="20"/>
          <w:vertAlign w:val="superscript"/>
        </w:rPr>
        <w:t>9</w:t>
      </w:r>
      <w:r w:rsidRPr="005A657F">
        <w:rPr>
          <w:rFonts w:cstheme="minorHAnsi"/>
          <w:sz w:val="20"/>
          <w:szCs w:val="20"/>
        </w:rPr>
        <w:t xml:space="preserve">, shot all nurses, </w:t>
      </w:r>
      <w:proofErr w:type="gramStart"/>
      <w:r w:rsidRPr="005A657F">
        <w:rPr>
          <w:rFonts w:cstheme="minorHAnsi"/>
          <w:sz w:val="20"/>
          <w:szCs w:val="20"/>
        </w:rPr>
        <w:t>doctors</w:t>
      </w:r>
      <w:proofErr w:type="gramEnd"/>
      <w:r w:rsidRPr="005A657F">
        <w:rPr>
          <w:rFonts w:cstheme="minorHAnsi"/>
          <w:sz w:val="20"/>
          <w:szCs w:val="20"/>
        </w:rPr>
        <w:t xml:space="preserve"> and nuns, and started the practice of using women and children as human shields for their tanks and soldiers. Civilians who were promised evacuation for leaving their homes were shot in the streets where they gathered together. </w:t>
      </w:r>
    </w:p>
    <w:p w14:paraId="4333CFC1"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 xml:space="preserve">The atrocities committed in these massacres alone are numerous and could have several essays dedicated solely to them. The focus here, however, is not the crimes themselves, but rather the context they provide. In order to understand the sheer will and bravery of the insurgents of Warsaw, </w:t>
      </w:r>
      <w:proofErr w:type="gramStart"/>
      <w:r w:rsidRPr="005A657F">
        <w:rPr>
          <w:rFonts w:cstheme="minorHAnsi"/>
          <w:sz w:val="20"/>
          <w:szCs w:val="20"/>
        </w:rPr>
        <w:t>it’s</w:t>
      </w:r>
      <w:proofErr w:type="gramEnd"/>
      <w:r w:rsidRPr="005A657F">
        <w:rPr>
          <w:rFonts w:cstheme="minorHAnsi"/>
          <w:sz w:val="20"/>
          <w:szCs w:val="20"/>
        </w:rPr>
        <w:t xml:space="preserve"> important to understand the realities of the situation they faced and the consequences of being caught to appreciate just how much they had to lay on the line. Where civilians were treated with deplorable cruelty, captured insurgents could be subjected to heinous treatment. But that </w:t>
      </w:r>
      <w:proofErr w:type="gramStart"/>
      <w:r w:rsidRPr="005A657F">
        <w:rPr>
          <w:rFonts w:cstheme="minorHAnsi"/>
          <w:sz w:val="20"/>
          <w:szCs w:val="20"/>
        </w:rPr>
        <w:t>didn’t</w:t>
      </w:r>
      <w:proofErr w:type="gramEnd"/>
      <w:r w:rsidRPr="005A657F">
        <w:rPr>
          <w:rFonts w:cstheme="minorHAnsi"/>
          <w:sz w:val="20"/>
          <w:szCs w:val="20"/>
        </w:rPr>
        <w:t xml:space="preserve"> stop them. These </w:t>
      </w:r>
      <w:proofErr w:type="spellStart"/>
      <w:r w:rsidRPr="005A657F">
        <w:rPr>
          <w:rFonts w:cstheme="minorHAnsi"/>
          <w:sz w:val="20"/>
          <w:szCs w:val="20"/>
        </w:rPr>
        <w:t>en</w:t>
      </w:r>
      <w:proofErr w:type="spellEnd"/>
      <w:r w:rsidRPr="005A657F">
        <w:rPr>
          <w:rFonts w:cstheme="minorHAnsi"/>
          <w:sz w:val="20"/>
          <w:szCs w:val="20"/>
        </w:rPr>
        <w:t xml:space="preserve">, women and children were all aware of the </w:t>
      </w:r>
      <w:proofErr w:type="gramStart"/>
      <w:r w:rsidRPr="005A657F">
        <w:rPr>
          <w:rFonts w:cstheme="minorHAnsi"/>
          <w:sz w:val="20"/>
          <w:szCs w:val="20"/>
        </w:rPr>
        <w:t>risks</w:t>
      </w:r>
      <w:proofErr w:type="gramEnd"/>
      <w:r w:rsidRPr="005A657F">
        <w:rPr>
          <w:rFonts w:cstheme="minorHAnsi"/>
          <w:sz w:val="20"/>
          <w:szCs w:val="20"/>
        </w:rPr>
        <w:t xml:space="preserve"> rebellion held, but more so of the dangers of doing nothing. </w:t>
      </w:r>
    </w:p>
    <w:p w14:paraId="35B5F1C3"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The photo opposite depicts members of the ‘Gray Ranks’, the scouts who delivered first aid, post, intelligence and sabotage</w:t>
      </w:r>
      <w:r w:rsidRPr="005A657F">
        <w:rPr>
          <w:rFonts w:cstheme="minorHAnsi"/>
          <w:sz w:val="20"/>
          <w:szCs w:val="20"/>
          <w:vertAlign w:val="superscript"/>
        </w:rPr>
        <w:t>10</w:t>
      </w:r>
      <w:r w:rsidRPr="005A657F">
        <w:rPr>
          <w:rFonts w:cstheme="minorHAnsi"/>
          <w:sz w:val="20"/>
          <w:szCs w:val="20"/>
        </w:rPr>
        <w:t xml:space="preserve">. These children were as young as 12, being educated in secret after the Germans closed schools and education had to be given in secret. From 15 these children conducted sabotage, gathered vital information for the allies. In the rising at </w:t>
      </w:r>
      <w:proofErr w:type="spellStart"/>
      <w:r w:rsidRPr="005A657F">
        <w:rPr>
          <w:rFonts w:cstheme="minorHAnsi"/>
          <w:sz w:val="20"/>
          <w:szCs w:val="20"/>
        </w:rPr>
        <w:t>Ochota</w:t>
      </w:r>
      <w:proofErr w:type="spellEnd"/>
      <w:r w:rsidRPr="005A657F">
        <w:rPr>
          <w:rFonts w:cstheme="minorHAnsi"/>
          <w:sz w:val="20"/>
          <w:szCs w:val="20"/>
        </w:rPr>
        <w:t>, German forces shot an entire scout patrol attempting to deliver first aid to wounded civilians</w:t>
      </w:r>
      <w:r w:rsidRPr="005A657F">
        <w:rPr>
          <w:rFonts w:cstheme="minorHAnsi"/>
          <w:sz w:val="20"/>
          <w:szCs w:val="20"/>
          <w:vertAlign w:val="superscript"/>
        </w:rPr>
        <w:t>11</w:t>
      </w:r>
      <w:r w:rsidRPr="005A657F">
        <w:rPr>
          <w:rFonts w:cstheme="minorHAnsi"/>
          <w:sz w:val="20"/>
          <w:szCs w:val="20"/>
        </w:rPr>
        <w:t xml:space="preserve">. To live in Warsaw was to be a target, no matter who you were – this photo essay aims to depict the strength of the human spirit and will to be free in the face of the most barbarous cruelty. </w:t>
      </w:r>
    </w:p>
    <w:p w14:paraId="7D269B93"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Gray Rank soldiers, 2nd September 1944, after marching through sewers to escape German siege. The Gray Ranks were composed of scouts and children, given them education in secret and training them to aid the uprising.</w:t>
      </w:r>
    </w:p>
    <w:p w14:paraId="06AF5753" w14:textId="77777777" w:rsidR="005A657F" w:rsidRPr="005A657F" w:rsidRDefault="005A657F" w:rsidP="005A657F">
      <w:pPr>
        <w:pStyle w:val="NormalWeb"/>
        <w:numPr>
          <w:ilvl w:val="0"/>
          <w:numId w:val="5"/>
        </w:numPr>
        <w:rPr>
          <w:rFonts w:cstheme="minorHAnsi"/>
          <w:sz w:val="20"/>
          <w:szCs w:val="20"/>
        </w:rPr>
      </w:pPr>
      <w:proofErr w:type="gramStart"/>
      <w:r w:rsidRPr="005A657F">
        <w:rPr>
          <w:rFonts w:cstheme="minorHAnsi"/>
          <w:sz w:val="20"/>
          <w:szCs w:val="20"/>
          <w:lang w:val="en-US"/>
        </w:rPr>
        <w:t>It’s</w:t>
      </w:r>
      <w:proofErr w:type="gramEnd"/>
      <w:r w:rsidRPr="005A657F">
        <w:rPr>
          <w:rFonts w:cstheme="minorHAnsi"/>
          <w:sz w:val="20"/>
          <w:szCs w:val="20"/>
          <w:lang w:val="en-US"/>
        </w:rPr>
        <w:t xml:space="preserve"> easy to see the German Occupation of Warsaw as a few numbers on a piece of paper, a simple order given at the same time as many others. To the people of Warsaw, to everyone living in occupied territory, those orders marked the end of their way of life as they knew it. Where the Germans occupiers strove to break the will of the people, their conviction only grew. </w:t>
      </w:r>
      <w:proofErr w:type="gramStart"/>
      <w:r w:rsidRPr="005A657F">
        <w:rPr>
          <w:rFonts w:cstheme="minorHAnsi"/>
          <w:sz w:val="20"/>
          <w:szCs w:val="20"/>
          <w:lang w:val="en-US"/>
        </w:rPr>
        <w:t>In the midst of</w:t>
      </w:r>
      <w:proofErr w:type="gramEnd"/>
      <w:r w:rsidRPr="005A657F">
        <w:rPr>
          <w:rFonts w:cstheme="minorHAnsi"/>
          <w:sz w:val="20"/>
          <w:szCs w:val="20"/>
          <w:lang w:val="en-US"/>
        </w:rPr>
        <w:t xml:space="preserve"> a struggle for life itself, aspects of life we view as mundane occurrences are replaced by fear and constant uncertainty. </w:t>
      </w:r>
    </w:p>
    <w:p w14:paraId="0FB5CB12"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lang w:val="en-US"/>
        </w:rPr>
        <w:t xml:space="preserve">The photo opposite shows the wedding of Bill </w:t>
      </w:r>
      <w:proofErr w:type="spellStart"/>
      <w:r w:rsidRPr="005A657F">
        <w:rPr>
          <w:rFonts w:cstheme="minorHAnsi"/>
          <w:sz w:val="20"/>
          <w:szCs w:val="20"/>
          <w:lang w:val="en-US"/>
        </w:rPr>
        <w:t>Biega</w:t>
      </w:r>
      <w:proofErr w:type="spellEnd"/>
      <w:r w:rsidRPr="005A657F">
        <w:rPr>
          <w:rFonts w:cstheme="minorHAnsi"/>
          <w:sz w:val="20"/>
          <w:szCs w:val="20"/>
          <w:lang w:val="en-US"/>
        </w:rPr>
        <w:t xml:space="preserve"> and to his wife Lili, and a quote detailing his response to his father’s disagreement. The dire situation of the rising was clearly not lost on these people; the overwhelming odds stacked in favor of the Germans and the chances of victory over them slim. The sentiment is clear. With full knowledge of the </w:t>
      </w:r>
      <w:proofErr w:type="gramStart"/>
      <w:r w:rsidRPr="005A657F">
        <w:rPr>
          <w:rFonts w:cstheme="minorHAnsi"/>
          <w:sz w:val="20"/>
          <w:szCs w:val="20"/>
          <w:lang w:val="en-US"/>
        </w:rPr>
        <w:t>possibility</w:t>
      </w:r>
      <w:proofErr w:type="gramEnd"/>
      <w:r w:rsidRPr="005A657F">
        <w:rPr>
          <w:rFonts w:cstheme="minorHAnsi"/>
          <w:sz w:val="20"/>
          <w:szCs w:val="20"/>
          <w:lang w:val="en-US"/>
        </w:rPr>
        <w:t xml:space="preserve"> they may die for their cause, they </w:t>
      </w:r>
      <w:r w:rsidRPr="005A657F">
        <w:rPr>
          <w:rFonts w:cstheme="minorHAnsi"/>
          <w:sz w:val="20"/>
          <w:szCs w:val="20"/>
          <w:lang w:val="en-US"/>
        </w:rPr>
        <w:lastRenderedPageBreak/>
        <w:t xml:space="preserve">accept the cost, cherish the time that they have, and dedicate themselves completely to the ideal of freedom and hope. </w:t>
      </w:r>
    </w:p>
    <w:p w14:paraId="4C3C22B1"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lang w:val="en-US"/>
        </w:rPr>
        <w:t>Throughout the uprising, more than 250 couples married</w:t>
      </w:r>
      <w:r w:rsidRPr="005A657F">
        <w:rPr>
          <w:rFonts w:cstheme="minorHAnsi"/>
          <w:sz w:val="20"/>
          <w:szCs w:val="20"/>
          <w:vertAlign w:val="superscript"/>
          <w:lang w:val="en-US"/>
        </w:rPr>
        <w:t>14</w:t>
      </w:r>
      <w:r w:rsidRPr="005A657F">
        <w:rPr>
          <w:rFonts w:cstheme="minorHAnsi"/>
          <w:sz w:val="20"/>
          <w:szCs w:val="20"/>
          <w:lang w:val="en-US"/>
        </w:rPr>
        <w:t xml:space="preserve">, not civilians but insurgents. In the middle of their fight for survival, where the next day </w:t>
      </w:r>
      <w:proofErr w:type="gramStart"/>
      <w:r w:rsidRPr="005A657F">
        <w:rPr>
          <w:rFonts w:cstheme="minorHAnsi"/>
          <w:sz w:val="20"/>
          <w:szCs w:val="20"/>
          <w:lang w:val="en-US"/>
        </w:rPr>
        <w:t>isn’t</w:t>
      </w:r>
      <w:proofErr w:type="gramEnd"/>
      <w:r w:rsidRPr="005A657F">
        <w:rPr>
          <w:rFonts w:cstheme="minorHAnsi"/>
          <w:sz w:val="20"/>
          <w:szCs w:val="20"/>
          <w:lang w:val="en-US"/>
        </w:rPr>
        <w:t xml:space="preserve"> guaranteed, underground marriage ceremonies lend themselves to our understanding of the mindsets of these insurgents. In the face of subjugation and cruelty, these people chose to cement the love they have for each other. While the Occupiers try to break the spirit of the resistance, they find the will to hold on to and fight for their way of life, their </w:t>
      </w:r>
      <w:proofErr w:type="gramStart"/>
      <w:r w:rsidRPr="005A657F">
        <w:rPr>
          <w:rFonts w:cstheme="minorHAnsi"/>
          <w:sz w:val="20"/>
          <w:szCs w:val="20"/>
          <w:lang w:val="en-US"/>
        </w:rPr>
        <w:t>identities</w:t>
      </w:r>
      <w:proofErr w:type="gramEnd"/>
      <w:r w:rsidRPr="005A657F">
        <w:rPr>
          <w:rFonts w:cstheme="minorHAnsi"/>
          <w:sz w:val="20"/>
          <w:szCs w:val="20"/>
          <w:lang w:val="en-US"/>
        </w:rPr>
        <w:t xml:space="preserve"> and the people that they hold dear. </w:t>
      </w:r>
    </w:p>
    <w:p w14:paraId="45A2C694"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 xml:space="preserve">Almost a month after the massacres at </w:t>
      </w:r>
      <w:proofErr w:type="spellStart"/>
      <w:r w:rsidRPr="005A657F">
        <w:rPr>
          <w:rFonts w:cstheme="minorHAnsi"/>
          <w:sz w:val="20"/>
          <w:szCs w:val="20"/>
        </w:rPr>
        <w:t>Wola</w:t>
      </w:r>
      <w:proofErr w:type="spellEnd"/>
      <w:r w:rsidRPr="005A657F">
        <w:rPr>
          <w:rFonts w:cstheme="minorHAnsi"/>
          <w:sz w:val="20"/>
          <w:szCs w:val="20"/>
        </w:rPr>
        <w:t xml:space="preserve"> and </w:t>
      </w:r>
      <w:proofErr w:type="spellStart"/>
      <w:r w:rsidRPr="005A657F">
        <w:rPr>
          <w:rFonts w:cstheme="minorHAnsi"/>
          <w:sz w:val="20"/>
          <w:szCs w:val="20"/>
        </w:rPr>
        <w:t>Ochota</w:t>
      </w:r>
      <w:proofErr w:type="spellEnd"/>
      <w:r w:rsidRPr="005A657F">
        <w:rPr>
          <w:rFonts w:cstheme="minorHAnsi"/>
          <w:sz w:val="20"/>
          <w:szCs w:val="20"/>
        </w:rPr>
        <w:t>, the 1</w:t>
      </w:r>
      <w:r w:rsidRPr="005A657F">
        <w:rPr>
          <w:rFonts w:cstheme="minorHAnsi"/>
          <w:sz w:val="20"/>
          <w:szCs w:val="20"/>
          <w:vertAlign w:val="superscript"/>
        </w:rPr>
        <w:t>st</w:t>
      </w:r>
      <w:r w:rsidRPr="005A657F">
        <w:rPr>
          <w:rFonts w:cstheme="minorHAnsi"/>
          <w:sz w:val="20"/>
          <w:szCs w:val="20"/>
        </w:rPr>
        <w:t xml:space="preserve"> and 2</w:t>
      </w:r>
      <w:r w:rsidRPr="005A657F">
        <w:rPr>
          <w:rFonts w:cstheme="minorHAnsi"/>
          <w:sz w:val="20"/>
          <w:szCs w:val="20"/>
          <w:vertAlign w:val="superscript"/>
        </w:rPr>
        <w:t>nd</w:t>
      </w:r>
      <w:r w:rsidRPr="005A657F">
        <w:rPr>
          <w:rFonts w:cstheme="minorHAnsi"/>
          <w:sz w:val="20"/>
          <w:szCs w:val="20"/>
        </w:rPr>
        <w:t xml:space="preserve"> of September, the German siege on the Old Town well under way. The perimeter of insurgent defences was reduced to only 10 square miles and suffered bombing raids as regularly as every 30 minutes. Between these two days, civilians and insurgents attempted to escape the City Centre and the suburb of Zoliborz through the sewers, the only ‘safe’ method of movement. Nearly 30,000 civilians and 7,000 wounded were left behind REF. As the Germans swept across the area the old, </w:t>
      </w:r>
      <w:proofErr w:type="gramStart"/>
      <w:r w:rsidRPr="005A657F">
        <w:rPr>
          <w:rFonts w:cstheme="minorHAnsi"/>
          <w:sz w:val="20"/>
          <w:szCs w:val="20"/>
        </w:rPr>
        <w:t>wounded</w:t>
      </w:r>
      <w:proofErr w:type="gramEnd"/>
      <w:r w:rsidRPr="005A657F">
        <w:rPr>
          <w:rFonts w:cstheme="minorHAnsi"/>
          <w:sz w:val="20"/>
          <w:szCs w:val="20"/>
        </w:rPr>
        <w:t xml:space="preserve"> and disabled were executed, wounded insurgents were burnt alive in field hospitals. By this stage over 70% of the insurgents had been killed or severely wounded. </w:t>
      </w:r>
    </w:p>
    <w:p w14:paraId="10A8FED3" w14:textId="77777777" w:rsidR="005A657F" w:rsidRPr="005A657F" w:rsidRDefault="005A657F" w:rsidP="005A657F">
      <w:pPr>
        <w:pStyle w:val="NormalWeb"/>
        <w:numPr>
          <w:ilvl w:val="0"/>
          <w:numId w:val="5"/>
        </w:numPr>
        <w:rPr>
          <w:rFonts w:cstheme="minorHAnsi"/>
          <w:sz w:val="20"/>
          <w:szCs w:val="20"/>
        </w:rPr>
      </w:pPr>
      <w:r w:rsidRPr="005A657F">
        <w:rPr>
          <w:rFonts w:cstheme="minorHAnsi"/>
          <w:b/>
          <w:bCs/>
          <w:sz w:val="20"/>
          <w:szCs w:val="20"/>
          <w:lang w:val="en-US"/>
        </w:rPr>
        <w:t xml:space="preserve">“If I am shot remember not to shed one tear; do not complain, preserve the dignity of a Polish woman. </w:t>
      </w:r>
      <w:r w:rsidRPr="005A657F">
        <w:rPr>
          <w:rFonts w:cstheme="minorHAnsi"/>
          <w:b/>
          <w:bCs/>
          <w:sz w:val="20"/>
          <w:szCs w:val="20"/>
          <w:u w:val="single"/>
          <w:lang w:val="en-US"/>
        </w:rPr>
        <w:t xml:space="preserve">Show no weakness in their </w:t>
      </w:r>
      <w:proofErr w:type="gramStart"/>
      <w:r w:rsidRPr="005A657F">
        <w:rPr>
          <w:rFonts w:cstheme="minorHAnsi"/>
          <w:b/>
          <w:bCs/>
          <w:sz w:val="20"/>
          <w:szCs w:val="20"/>
          <w:u w:val="single"/>
          <w:lang w:val="en-US"/>
        </w:rPr>
        <w:t>presence</w:t>
      </w:r>
      <w:r w:rsidRPr="005A657F">
        <w:rPr>
          <w:rFonts w:cstheme="minorHAnsi"/>
          <w:b/>
          <w:bCs/>
          <w:sz w:val="20"/>
          <w:szCs w:val="20"/>
          <w:lang w:val="en-US"/>
        </w:rPr>
        <w:t>“ REF</w:t>
      </w:r>
      <w:proofErr w:type="gramEnd"/>
    </w:p>
    <w:p w14:paraId="3E449D13"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The quote above is taken from an account written by a survivor of the occupation of Warsaw, and it perfectly encapsulates the attitudes central to the population and resistance at the time. In the record she recounts being used as a shield, along with several other women and children. Refusal to show weakness or that they were afraid despite being ‘paralysed with fear’ is a testament to the bravery of these people, and to the many different forms of bravery shown by occupied populations when faced with subjugation and terror.  Though this is taken from an account of events almost a month before the Zoliborz massacre, its sentiment is more than appropriate. Several weeks into a rising that was intended to last only 1, the loses taken by the insurgents serves only to strengthen their will, and refusal to sacrifice their dignity and honour. This embodies the response of people driven by hope in response to subjugation. As the situation becomes more desperate, there is no shying away from the defence of their way of life, rather a renewed drive to succeed founded in the fact that they were still there to keep going.</w:t>
      </w:r>
    </w:p>
    <w:p w14:paraId="694AB31F"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rPr>
        <w:t>‌</w:t>
      </w:r>
    </w:p>
    <w:p w14:paraId="026BB3F1"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lang w:val="en-US"/>
        </w:rPr>
        <w:t xml:space="preserve">The Warsaw uprising was ill-fated and ended in tragedy. When the rising failed in October, the </w:t>
      </w:r>
      <w:proofErr w:type="gramStart"/>
      <w:r w:rsidRPr="005A657F">
        <w:rPr>
          <w:rFonts w:cstheme="minorHAnsi"/>
          <w:sz w:val="20"/>
          <w:szCs w:val="20"/>
          <w:lang w:val="en-US"/>
        </w:rPr>
        <w:t>large scale</w:t>
      </w:r>
      <w:proofErr w:type="gramEnd"/>
      <w:r w:rsidRPr="005A657F">
        <w:rPr>
          <w:rFonts w:cstheme="minorHAnsi"/>
          <w:sz w:val="20"/>
          <w:szCs w:val="20"/>
          <w:lang w:val="en-US"/>
        </w:rPr>
        <w:t xml:space="preserve"> deportation of civilians and insurgents saw the city all but deserted. The Germans finally agreed to observe the Geneva convention with the signing of a cease fire, with some insurgents being taken to POW camps. Their forces looted the entire city, then burnt the buildings to the ground. Soviet forces ‘liberated’ Warsaw in January 1945, after refusing to and obstructing aid to the city and its insurgents throughout the course of its occupation.</w:t>
      </w:r>
    </w:p>
    <w:p w14:paraId="78E2D3E7" w14:textId="77777777" w:rsidR="005A657F" w:rsidRPr="005A657F" w:rsidRDefault="005A657F" w:rsidP="005A657F">
      <w:pPr>
        <w:pStyle w:val="NormalWeb"/>
        <w:numPr>
          <w:ilvl w:val="0"/>
          <w:numId w:val="5"/>
        </w:numPr>
        <w:rPr>
          <w:rFonts w:cstheme="minorHAnsi"/>
          <w:sz w:val="20"/>
          <w:szCs w:val="20"/>
        </w:rPr>
      </w:pPr>
      <w:r w:rsidRPr="005A657F">
        <w:rPr>
          <w:rFonts w:cstheme="minorHAnsi"/>
          <w:sz w:val="20"/>
          <w:szCs w:val="20"/>
          <w:lang w:val="en-US"/>
        </w:rPr>
        <w:t xml:space="preserve"> Like every country scarred by the second world war, the people that lived through the occupation and those that live there today remember the sacrifice of the people who died to protect their home and their way of life. Since the first remembrance parade a year after the end of the occupation, there are yearly services to commemorate the Warsaw occupation and the uprising. Inhabitants perform re-enactments of the bravery of these men, women and children, their sacrifice being </w:t>
      </w:r>
      <w:proofErr w:type="spellStart"/>
      <w:r w:rsidRPr="005A657F">
        <w:rPr>
          <w:rFonts w:cstheme="minorHAnsi"/>
          <w:sz w:val="20"/>
          <w:szCs w:val="20"/>
          <w:lang w:val="en-US"/>
        </w:rPr>
        <w:t>honoured</w:t>
      </w:r>
      <w:proofErr w:type="spellEnd"/>
      <w:r w:rsidRPr="005A657F">
        <w:rPr>
          <w:rFonts w:cstheme="minorHAnsi"/>
          <w:sz w:val="20"/>
          <w:szCs w:val="20"/>
          <w:lang w:val="en-US"/>
        </w:rPr>
        <w:t xml:space="preserve"> yearly.</w:t>
      </w:r>
    </w:p>
    <w:p w14:paraId="74B2FC5A" w14:textId="77777777" w:rsidR="005A657F" w:rsidRPr="005A657F" w:rsidRDefault="005A657F" w:rsidP="005A657F">
      <w:pPr>
        <w:pStyle w:val="NormalWeb"/>
        <w:numPr>
          <w:ilvl w:val="0"/>
          <w:numId w:val="5"/>
        </w:numPr>
        <w:rPr>
          <w:rFonts w:cstheme="minorHAnsi"/>
          <w:sz w:val="20"/>
          <w:szCs w:val="20"/>
        </w:rPr>
      </w:pPr>
    </w:p>
    <w:p w14:paraId="3E80B1BD" w14:textId="77777777" w:rsidR="005A657F" w:rsidRDefault="005A657F" w:rsidP="005A657F">
      <w:pPr>
        <w:pStyle w:val="NormalWeb"/>
        <w:spacing w:before="0" w:beforeAutospacing="0" w:after="0" w:afterAutospacing="0"/>
        <w:ind w:left="600" w:hanging="600"/>
        <w:rPr>
          <w:rFonts w:asciiTheme="minorHAnsi" w:hAnsiTheme="minorHAnsi" w:cstheme="minorHAnsi"/>
          <w:sz w:val="20"/>
          <w:szCs w:val="20"/>
        </w:rPr>
      </w:pPr>
    </w:p>
    <w:p w14:paraId="1A6E4D8F" w14:textId="51DA4B1E" w:rsidR="006A6314" w:rsidRPr="005A657F" w:rsidRDefault="006A6314" w:rsidP="005A657F">
      <w:pPr>
        <w:pStyle w:val="NormalWeb"/>
        <w:spacing w:before="0" w:beforeAutospacing="0" w:after="0" w:afterAutospacing="0"/>
        <w:ind w:left="600" w:hanging="600"/>
        <w:rPr>
          <w:rFonts w:asciiTheme="minorHAnsi" w:hAnsiTheme="minorHAnsi" w:cstheme="minorHAnsi"/>
          <w:color w:val="000000"/>
          <w:sz w:val="20"/>
          <w:szCs w:val="20"/>
        </w:rPr>
      </w:pPr>
      <w:r w:rsidRPr="005A657F">
        <w:rPr>
          <w:rStyle w:val="FootnoteReference"/>
          <w:rFonts w:asciiTheme="minorHAnsi" w:hAnsiTheme="minorHAnsi" w:cstheme="minorHAnsi"/>
          <w:sz w:val="20"/>
          <w:szCs w:val="20"/>
        </w:rPr>
        <w:footnoteRef/>
      </w:r>
      <w:r w:rsidRPr="005A657F">
        <w:rPr>
          <w:rFonts w:asciiTheme="minorHAnsi" w:hAnsiTheme="minorHAnsi" w:cstheme="minorHAnsi"/>
          <w:sz w:val="20"/>
          <w:szCs w:val="20"/>
        </w:rPr>
        <w:t xml:space="preserve"> </w:t>
      </w:r>
      <w:r w:rsidRPr="005A657F">
        <w:rPr>
          <w:rFonts w:asciiTheme="minorHAnsi" w:hAnsiTheme="minorHAnsi" w:cstheme="minorHAnsi"/>
          <w:color w:val="000000"/>
          <w:sz w:val="20"/>
          <w:szCs w:val="20"/>
        </w:rPr>
        <w:t>BrightMedia.pl, “Warsaw Rising 1944,” </w:t>
      </w:r>
      <w:r w:rsidRPr="005A657F">
        <w:rPr>
          <w:rFonts w:asciiTheme="minorHAnsi" w:hAnsiTheme="minorHAnsi" w:cstheme="minorHAnsi"/>
          <w:i/>
          <w:iCs/>
          <w:color w:val="000000"/>
          <w:sz w:val="20"/>
          <w:szCs w:val="20"/>
        </w:rPr>
        <w:t>Warsawrising.eu</w:t>
      </w:r>
      <w:r w:rsidRPr="005A657F">
        <w:rPr>
          <w:rFonts w:asciiTheme="minorHAnsi" w:hAnsiTheme="minorHAnsi" w:cstheme="minorHAnsi"/>
          <w:color w:val="000000"/>
          <w:sz w:val="20"/>
          <w:szCs w:val="20"/>
        </w:rPr>
        <w:t>, 2021 &lt;http://www.warsawrising.eu/&gt; [accessed 13 March 2021]</w:t>
      </w:r>
    </w:p>
    <w:p w14:paraId="14A2310E" w14:textId="3C6359EC" w:rsidR="006A6314" w:rsidRPr="005A657F" w:rsidRDefault="006A6314" w:rsidP="005A657F">
      <w:pPr>
        <w:pStyle w:val="FootnoteText"/>
        <w:rPr>
          <w:rFonts w:cstheme="minorHAnsi"/>
        </w:rPr>
      </w:pPr>
      <w:r w:rsidRPr="005A657F">
        <w:rPr>
          <w:rFonts w:cstheme="minorHAnsi"/>
          <w:vertAlign w:val="superscript"/>
        </w:rPr>
        <w:t>2</w:t>
      </w:r>
      <w:r w:rsidRPr="005A657F">
        <w:rPr>
          <w:rFonts w:cstheme="minorHAnsi"/>
          <w:color w:val="000000"/>
        </w:rPr>
        <w:t>BrightMedia.pl, “Warsaw Rising 1944,”</w:t>
      </w:r>
    </w:p>
    <w:p w14:paraId="2D40B237" w14:textId="46D78531" w:rsidR="006A6314" w:rsidRPr="005A657F" w:rsidRDefault="006A6314" w:rsidP="005A657F">
      <w:pPr>
        <w:pStyle w:val="FootnoteText"/>
        <w:rPr>
          <w:rFonts w:cstheme="minorHAnsi"/>
        </w:rPr>
      </w:pPr>
      <w:r w:rsidRPr="005A657F">
        <w:rPr>
          <w:rFonts w:cstheme="minorHAnsi"/>
          <w:vertAlign w:val="superscript"/>
        </w:rPr>
        <w:t>3</w:t>
      </w:r>
      <w:r w:rsidRPr="005A657F">
        <w:rPr>
          <w:rFonts w:cstheme="minorHAnsi"/>
        </w:rPr>
        <w:t xml:space="preserve">Joanna K. M. Hanson, </w:t>
      </w:r>
      <w:r w:rsidRPr="005A657F">
        <w:rPr>
          <w:rFonts w:cstheme="minorHAnsi"/>
          <w:i/>
          <w:iCs/>
        </w:rPr>
        <w:t xml:space="preserve">The Civilian </w:t>
      </w:r>
      <w:proofErr w:type="gramStart"/>
      <w:r w:rsidRPr="005A657F">
        <w:rPr>
          <w:rFonts w:cstheme="minorHAnsi"/>
          <w:i/>
          <w:iCs/>
        </w:rPr>
        <w:t>Population</w:t>
      </w:r>
      <w:proofErr w:type="gramEnd"/>
      <w:r w:rsidRPr="005A657F">
        <w:rPr>
          <w:rFonts w:cstheme="minorHAnsi"/>
          <w:i/>
          <w:iCs/>
        </w:rPr>
        <w:t xml:space="preserve"> and the Warsaw Uprising of 1944, </w:t>
      </w:r>
      <w:r w:rsidRPr="005A657F">
        <w:rPr>
          <w:rFonts w:cstheme="minorHAnsi"/>
        </w:rPr>
        <w:t>(Cambridge: Cambridge</w:t>
      </w:r>
      <w:r w:rsidRPr="005A657F">
        <w:rPr>
          <w:rFonts w:cstheme="minorHAnsi"/>
        </w:rPr>
        <w:t xml:space="preserve"> </w:t>
      </w:r>
      <w:r w:rsidRPr="005A657F">
        <w:rPr>
          <w:rFonts w:cstheme="minorHAnsi"/>
        </w:rPr>
        <w:t>University Press, 2004) pp.14-18</w:t>
      </w:r>
    </w:p>
    <w:p w14:paraId="2601B070" w14:textId="1DE14454" w:rsidR="006A6314" w:rsidRPr="005A657F" w:rsidRDefault="006A6314" w:rsidP="005A657F">
      <w:pPr>
        <w:pStyle w:val="FootnoteText"/>
        <w:rPr>
          <w:rFonts w:cstheme="minorHAnsi"/>
        </w:rPr>
      </w:pPr>
      <w:r w:rsidRPr="005A657F">
        <w:rPr>
          <w:rFonts w:cstheme="minorHAnsi"/>
          <w:vertAlign w:val="superscript"/>
        </w:rPr>
        <w:t>4</w:t>
      </w:r>
      <w:r w:rsidRPr="005A657F">
        <w:rPr>
          <w:rFonts w:cstheme="minorHAnsi"/>
        </w:rPr>
        <w:t xml:space="preserve">David Crowley, </w:t>
      </w:r>
      <w:r w:rsidRPr="005A657F">
        <w:rPr>
          <w:rFonts w:cstheme="minorHAnsi"/>
          <w:i/>
          <w:iCs/>
        </w:rPr>
        <w:t>Warsaw</w:t>
      </w:r>
      <w:r w:rsidRPr="005A657F">
        <w:rPr>
          <w:rFonts w:cstheme="minorHAnsi"/>
        </w:rPr>
        <w:t xml:space="preserve">, (London: </w:t>
      </w:r>
      <w:proofErr w:type="spellStart"/>
      <w:r w:rsidRPr="005A657F">
        <w:rPr>
          <w:rFonts w:cstheme="minorHAnsi"/>
        </w:rPr>
        <w:t>Reaktion</w:t>
      </w:r>
      <w:proofErr w:type="spellEnd"/>
      <w:r w:rsidRPr="005A657F">
        <w:rPr>
          <w:rFonts w:cstheme="minorHAnsi"/>
        </w:rPr>
        <w:t xml:space="preserve"> Books,2003), p.18</w:t>
      </w:r>
    </w:p>
    <w:p w14:paraId="29DA84F7" w14:textId="0631A410" w:rsidR="006A6314" w:rsidRPr="005A657F" w:rsidRDefault="006A6314" w:rsidP="005A657F">
      <w:pPr>
        <w:pStyle w:val="FootnoteText"/>
        <w:rPr>
          <w:rFonts w:cstheme="minorHAnsi"/>
        </w:rPr>
      </w:pPr>
      <w:r w:rsidRPr="005A657F">
        <w:rPr>
          <w:rFonts w:cstheme="minorHAnsi"/>
          <w:vertAlign w:val="superscript"/>
        </w:rPr>
        <w:t>5</w:t>
      </w:r>
      <w:r w:rsidRPr="005A657F">
        <w:rPr>
          <w:rFonts w:cstheme="minorHAnsi"/>
        </w:rPr>
        <w:t xml:space="preserve">Robert M. Shapiro, </w:t>
      </w:r>
      <w:r w:rsidRPr="005A657F">
        <w:rPr>
          <w:rFonts w:cstheme="minorHAnsi"/>
          <w:i/>
          <w:iCs/>
        </w:rPr>
        <w:t>Holocaust chronicles: Individualizing the Holocaust through diaries and other contemporaneous personal accounts</w:t>
      </w:r>
      <w:r w:rsidRPr="005A657F">
        <w:rPr>
          <w:rFonts w:cstheme="minorHAnsi"/>
        </w:rPr>
        <w:t>, (New York: KTAV Publishing House, Inc 1999) p.</w:t>
      </w:r>
      <w:proofErr w:type="gramStart"/>
      <w:r w:rsidRPr="005A657F">
        <w:rPr>
          <w:rFonts w:cstheme="minorHAnsi"/>
        </w:rPr>
        <w:t>35</w:t>
      </w:r>
      <w:proofErr w:type="gramEnd"/>
    </w:p>
    <w:p w14:paraId="3F2BCE20" w14:textId="6AE5AC71" w:rsidR="006A6314" w:rsidRPr="005A657F" w:rsidRDefault="006A6314" w:rsidP="005A657F">
      <w:pPr>
        <w:pStyle w:val="NormalWeb"/>
        <w:spacing w:before="0" w:beforeAutospacing="0" w:after="0" w:afterAutospacing="0"/>
        <w:rPr>
          <w:rFonts w:asciiTheme="minorHAnsi" w:hAnsiTheme="minorHAnsi" w:cstheme="minorHAnsi"/>
          <w:color w:val="000000"/>
          <w:sz w:val="20"/>
          <w:szCs w:val="20"/>
        </w:rPr>
      </w:pPr>
      <w:r w:rsidRPr="005A657F">
        <w:rPr>
          <w:rFonts w:asciiTheme="minorHAnsi" w:hAnsiTheme="minorHAnsi" w:cstheme="minorHAnsi"/>
          <w:sz w:val="20"/>
          <w:szCs w:val="20"/>
          <w:vertAlign w:val="superscript"/>
        </w:rPr>
        <w:t>6</w:t>
      </w:r>
      <w:r w:rsidRPr="005A657F">
        <w:rPr>
          <w:rFonts w:asciiTheme="minorHAnsi" w:hAnsiTheme="minorHAnsi" w:cstheme="minorHAnsi"/>
          <w:color w:val="000000"/>
          <w:sz w:val="20"/>
          <w:szCs w:val="20"/>
        </w:rPr>
        <w:t>“Warsaw Uprising,” </w:t>
      </w:r>
      <w:r w:rsidRPr="005A657F">
        <w:rPr>
          <w:rFonts w:asciiTheme="minorHAnsi" w:hAnsiTheme="minorHAnsi" w:cstheme="minorHAnsi"/>
          <w:i/>
          <w:iCs/>
          <w:color w:val="000000"/>
          <w:sz w:val="20"/>
          <w:szCs w:val="20"/>
        </w:rPr>
        <w:t>WW2DB</w:t>
      </w:r>
      <w:r w:rsidRPr="005A657F">
        <w:rPr>
          <w:rFonts w:asciiTheme="minorHAnsi" w:hAnsiTheme="minorHAnsi" w:cstheme="minorHAnsi"/>
          <w:color w:val="000000"/>
          <w:sz w:val="20"/>
          <w:szCs w:val="20"/>
        </w:rPr>
        <w:t>, 2021 &lt;https://ww2db.com/battle_spec.php?battle_id=150#:~:text=The%20Warsaw%20Uprising%20ended%20in,were%20destroyed%20in%20the%20fighting.&gt; [accessed 14 March 2021]</w:t>
      </w:r>
    </w:p>
    <w:p w14:paraId="0E8F65AA" w14:textId="26C01F2F" w:rsidR="006A6314" w:rsidRPr="005A657F" w:rsidRDefault="006A6314" w:rsidP="005A657F">
      <w:pPr>
        <w:pStyle w:val="FootnoteText"/>
        <w:rPr>
          <w:rFonts w:cstheme="minorHAnsi"/>
        </w:rPr>
      </w:pPr>
      <w:r w:rsidRPr="005A657F">
        <w:rPr>
          <w:rFonts w:cstheme="minorHAnsi"/>
          <w:vertAlign w:val="superscript"/>
        </w:rPr>
        <w:t>7</w:t>
      </w:r>
      <w:r w:rsidRPr="005A657F">
        <w:rPr>
          <w:rFonts w:cstheme="minorHAnsi"/>
          <w:lang w:val="en-US"/>
        </w:rPr>
        <w:t xml:space="preserve">Roman </w:t>
      </w:r>
      <w:proofErr w:type="spellStart"/>
      <w:r w:rsidRPr="005A657F">
        <w:rPr>
          <w:rFonts w:cstheme="minorHAnsi"/>
          <w:lang w:val="en-US"/>
        </w:rPr>
        <w:t>Kuzniar</w:t>
      </w:r>
      <w:proofErr w:type="spellEnd"/>
      <w:r w:rsidRPr="005A657F">
        <w:rPr>
          <w:rFonts w:cstheme="minorHAnsi"/>
          <w:lang w:val="en-US"/>
        </w:rPr>
        <w:t xml:space="preserve">, </w:t>
      </w:r>
      <w:r w:rsidRPr="005A657F">
        <w:rPr>
          <w:rFonts w:cstheme="minorHAnsi"/>
          <w:i/>
          <w:iCs/>
          <w:lang w:val="en-US"/>
        </w:rPr>
        <w:t>Poland’s Foreign Policy After 1989</w:t>
      </w:r>
      <w:r w:rsidRPr="005A657F">
        <w:rPr>
          <w:rFonts w:cstheme="minorHAnsi"/>
          <w:lang w:val="en-US"/>
        </w:rPr>
        <w:t>, (Indiana: International Specialized Book Service Incorporated, 2009) p.19</w:t>
      </w:r>
    </w:p>
    <w:p w14:paraId="4CB78B08" w14:textId="275C5497" w:rsidR="006A6314" w:rsidRPr="005A657F" w:rsidRDefault="006A6314" w:rsidP="005A657F">
      <w:pPr>
        <w:spacing w:line="240" w:lineRule="auto"/>
        <w:rPr>
          <w:rFonts w:cstheme="minorHAnsi"/>
          <w:sz w:val="20"/>
          <w:szCs w:val="20"/>
          <w:vertAlign w:val="superscript"/>
        </w:rPr>
      </w:pPr>
      <w:r w:rsidRPr="005A657F">
        <w:rPr>
          <w:rFonts w:cstheme="minorHAnsi"/>
          <w:sz w:val="20"/>
          <w:szCs w:val="20"/>
          <w:vertAlign w:val="superscript"/>
        </w:rPr>
        <w:lastRenderedPageBreak/>
        <w:t>8</w:t>
      </w:r>
      <w:r w:rsidRPr="005A657F">
        <w:rPr>
          <w:rFonts w:cstheme="minorHAnsi"/>
          <w:sz w:val="20"/>
          <w:szCs w:val="20"/>
        </w:rPr>
        <w:t xml:space="preserve"> </w:t>
      </w:r>
      <w:r w:rsidRPr="005A657F">
        <w:rPr>
          <w:rFonts w:cstheme="minorHAnsi"/>
          <w:sz w:val="20"/>
          <w:szCs w:val="20"/>
        </w:rPr>
        <w:t xml:space="preserve">“World War 2: Warsaw </w:t>
      </w:r>
      <w:proofErr w:type="gramStart"/>
      <w:r w:rsidRPr="005A657F">
        <w:rPr>
          <w:rFonts w:cstheme="minorHAnsi"/>
          <w:sz w:val="20"/>
          <w:szCs w:val="20"/>
        </w:rPr>
        <w:t>Uprising :</w:t>
      </w:r>
      <w:proofErr w:type="gramEnd"/>
      <w:r w:rsidRPr="005A657F">
        <w:rPr>
          <w:rFonts w:cstheme="minorHAnsi"/>
          <w:sz w:val="20"/>
          <w:szCs w:val="20"/>
        </w:rPr>
        <w:t>: Timeline,” </w:t>
      </w:r>
      <w:r w:rsidRPr="005A657F">
        <w:rPr>
          <w:rFonts w:cstheme="minorHAnsi"/>
          <w:i/>
          <w:iCs/>
          <w:sz w:val="20"/>
          <w:szCs w:val="20"/>
        </w:rPr>
        <w:t>Warsawuprising.com</w:t>
      </w:r>
      <w:r w:rsidRPr="005A657F">
        <w:rPr>
          <w:rFonts w:cstheme="minorHAnsi"/>
          <w:sz w:val="20"/>
          <w:szCs w:val="20"/>
        </w:rPr>
        <w:t>, 2016 &lt;http://www.warsawuprising.com/timeline.htm&gt; [accessed 14 March 2021]</w:t>
      </w:r>
    </w:p>
    <w:p w14:paraId="2C4DB15D" w14:textId="3774D1CF" w:rsidR="006A6314" w:rsidRPr="005A657F" w:rsidRDefault="006A6314" w:rsidP="005A657F">
      <w:pPr>
        <w:spacing w:line="240" w:lineRule="auto"/>
        <w:rPr>
          <w:rFonts w:cstheme="minorHAnsi"/>
          <w:sz w:val="20"/>
          <w:szCs w:val="20"/>
        </w:rPr>
      </w:pPr>
      <w:r w:rsidRPr="005A657F">
        <w:rPr>
          <w:rFonts w:cstheme="minorHAnsi"/>
          <w:sz w:val="20"/>
          <w:szCs w:val="20"/>
          <w:vertAlign w:val="superscript"/>
        </w:rPr>
        <w:t>9</w:t>
      </w:r>
      <w:r w:rsidRPr="005A657F">
        <w:rPr>
          <w:rFonts w:cstheme="minorHAnsi"/>
          <w:sz w:val="20"/>
          <w:szCs w:val="20"/>
        </w:rPr>
        <w:t>Club-Sites.co.uk, “Holocaust Historical Society,” </w:t>
      </w:r>
      <w:r w:rsidRPr="005A657F">
        <w:rPr>
          <w:rFonts w:cstheme="minorHAnsi"/>
          <w:i/>
          <w:iCs/>
          <w:sz w:val="20"/>
          <w:szCs w:val="20"/>
        </w:rPr>
        <w:t>Holocausthistoricalsociety.org.uk</w:t>
      </w:r>
      <w:r w:rsidRPr="005A657F">
        <w:rPr>
          <w:rFonts w:cstheme="minorHAnsi"/>
          <w:sz w:val="20"/>
          <w:szCs w:val="20"/>
        </w:rPr>
        <w:t>, 2018 &lt;https://www.holocausthistoricalsociety.org.uk/contents/germanbiographies/oskardirlewanger.html&gt; [accessed 14 March 2021]</w:t>
      </w:r>
    </w:p>
    <w:p w14:paraId="17A1CB24" w14:textId="28760F9B" w:rsidR="006A6314" w:rsidRPr="005A657F" w:rsidRDefault="006A6314" w:rsidP="005A657F">
      <w:pPr>
        <w:spacing w:line="240" w:lineRule="auto"/>
        <w:rPr>
          <w:rFonts w:cstheme="minorHAnsi"/>
          <w:sz w:val="20"/>
          <w:szCs w:val="20"/>
        </w:rPr>
      </w:pPr>
      <w:r w:rsidRPr="005A657F">
        <w:rPr>
          <w:rFonts w:cstheme="minorHAnsi"/>
          <w:sz w:val="20"/>
          <w:szCs w:val="20"/>
          <w:vertAlign w:val="superscript"/>
        </w:rPr>
        <w:t>10</w:t>
      </w:r>
      <w:r w:rsidRPr="005A657F">
        <w:rPr>
          <w:rFonts w:cstheme="minorHAnsi"/>
          <w:sz w:val="20"/>
          <w:szCs w:val="20"/>
        </w:rPr>
        <w:t xml:space="preserve"> </w:t>
      </w:r>
      <w:r w:rsidRPr="005A657F">
        <w:rPr>
          <w:rFonts w:cstheme="minorHAnsi"/>
          <w:sz w:val="20"/>
          <w:szCs w:val="20"/>
        </w:rPr>
        <w:t xml:space="preserve">“A. </w:t>
      </w:r>
      <w:proofErr w:type="spellStart"/>
      <w:r w:rsidRPr="005A657F">
        <w:rPr>
          <w:rFonts w:cstheme="minorHAnsi"/>
          <w:sz w:val="20"/>
          <w:szCs w:val="20"/>
        </w:rPr>
        <w:t>Suchcitz</w:t>
      </w:r>
      <w:proofErr w:type="spellEnd"/>
      <w:r w:rsidRPr="005A657F">
        <w:rPr>
          <w:rFonts w:cstheme="minorHAnsi"/>
          <w:sz w:val="20"/>
          <w:szCs w:val="20"/>
        </w:rPr>
        <w:t>, Grey Ranks,” </w:t>
      </w:r>
      <w:r w:rsidRPr="005A657F">
        <w:rPr>
          <w:rFonts w:cstheme="minorHAnsi"/>
          <w:i/>
          <w:iCs/>
          <w:sz w:val="20"/>
          <w:szCs w:val="20"/>
        </w:rPr>
        <w:t>Polishresistance-Ak.org</w:t>
      </w:r>
      <w:r w:rsidRPr="005A657F">
        <w:rPr>
          <w:rFonts w:cstheme="minorHAnsi"/>
          <w:sz w:val="20"/>
          <w:szCs w:val="20"/>
        </w:rPr>
        <w:t>, 2021 &lt;http://www.polishresistance-ak.org/21%20Article.htm&gt; [accessed 14 March 2021]</w:t>
      </w:r>
    </w:p>
    <w:p w14:paraId="37D56BED" w14:textId="51308751" w:rsidR="006A6314" w:rsidRPr="005A657F" w:rsidRDefault="006A6314" w:rsidP="005A657F">
      <w:pPr>
        <w:spacing w:line="240" w:lineRule="auto"/>
        <w:rPr>
          <w:rFonts w:cstheme="minorHAnsi"/>
          <w:sz w:val="20"/>
          <w:szCs w:val="20"/>
        </w:rPr>
      </w:pPr>
      <w:r w:rsidRPr="005A657F">
        <w:rPr>
          <w:rFonts w:cstheme="minorHAnsi"/>
          <w:sz w:val="20"/>
          <w:szCs w:val="20"/>
          <w:vertAlign w:val="superscript"/>
        </w:rPr>
        <w:t>11</w:t>
      </w:r>
      <w:r w:rsidRPr="005A657F">
        <w:rPr>
          <w:rFonts w:cstheme="minorHAnsi"/>
          <w:sz w:val="20"/>
          <w:szCs w:val="20"/>
        </w:rPr>
        <w:t xml:space="preserve"> </w:t>
      </w:r>
      <w:r w:rsidRPr="005A657F">
        <w:rPr>
          <w:rFonts w:cstheme="minorHAnsi"/>
          <w:sz w:val="20"/>
          <w:szCs w:val="20"/>
        </w:rPr>
        <w:t xml:space="preserve">“Chronicles of Terror”. Base of Testimonies of the Witold </w:t>
      </w:r>
      <w:proofErr w:type="spellStart"/>
      <w:r w:rsidRPr="005A657F">
        <w:rPr>
          <w:rFonts w:cstheme="minorHAnsi"/>
          <w:sz w:val="20"/>
          <w:szCs w:val="20"/>
        </w:rPr>
        <w:t>Pilecki</w:t>
      </w:r>
      <w:proofErr w:type="spellEnd"/>
      <w:r w:rsidRPr="005A657F">
        <w:rPr>
          <w:rFonts w:cstheme="minorHAnsi"/>
          <w:sz w:val="20"/>
          <w:szCs w:val="20"/>
        </w:rPr>
        <w:t xml:space="preserve"> Institute of Solidarity and </w:t>
      </w:r>
      <w:proofErr w:type="spellStart"/>
      <w:r w:rsidRPr="005A657F">
        <w:rPr>
          <w:rFonts w:cstheme="minorHAnsi"/>
          <w:sz w:val="20"/>
          <w:szCs w:val="20"/>
        </w:rPr>
        <w:t>Valor</w:t>
      </w:r>
      <w:proofErr w:type="spellEnd"/>
      <w:r w:rsidRPr="005A657F">
        <w:rPr>
          <w:rFonts w:cstheme="minorHAnsi"/>
          <w:sz w:val="20"/>
          <w:szCs w:val="20"/>
        </w:rPr>
        <w:t>,” </w:t>
      </w:r>
      <w:r w:rsidRPr="005A657F">
        <w:rPr>
          <w:rFonts w:cstheme="minorHAnsi"/>
          <w:i/>
          <w:iCs/>
          <w:sz w:val="20"/>
          <w:szCs w:val="20"/>
        </w:rPr>
        <w:t>Zapisyterroru.pl</w:t>
      </w:r>
      <w:r w:rsidRPr="005A657F">
        <w:rPr>
          <w:rFonts w:cstheme="minorHAnsi"/>
          <w:sz w:val="20"/>
          <w:szCs w:val="20"/>
        </w:rPr>
        <w:t>, 2013 &lt;https://www.zapisyterroru.pl/dlibra/context?id=context4&gt; [accessed 14 March 2021]</w:t>
      </w:r>
    </w:p>
    <w:p w14:paraId="7EDB2464" w14:textId="2A6020FF" w:rsidR="006A6314" w:rsidRPr="005A657F" w:rsidRDefault="006A6314" w:rsidP="005A657F">
      <w:pPr>
        <w:spacing w:line="240" w:lineRule="auto"/>
        <w:rPr>
          <w:rFonts w:cstheme="minorHAnsi"/>
          <w:sz w:val="20"/>
          <w:szCs w:val="20"/>
          <w:lang w:val="en-US"/>
        </w:rPr>
      </w:pPr>
      <w:r w:rsidRPr="005A657F">
        <w:rPr>
          <w:rFonts w:cstheme="minorHAnsi"/>
          <w:sz w:val="20"/>
          <w:szCs w:val="20"/>
          <w:vertAlign w:val="superscript"/>
        </w:rPr>
        <w:t>12</w:t>
      </w:r>
      <w:r w:rsidRPr="005A657F">
        <w:rPr>
          <w:rFonts w:cstheme="minorHAnsi"/>
          <w:sz w:val="20"/>
          <w:szCs w:val="20"/>
        </w:rPr>
        <w:t xml:space="preserve"> </w:t>
      </w:r>
      <w:proofErr w:type="spellStart"/>
      <w:r w:rsidRPr="006A6314">
        <w:rPr>
          <w:rFonts w:cstheme="minorHAnsi"/>
          <w:sz w:val="20"/>
          <w:szCs w:val="20"/>
          <w:lang w:val="en-US"/>
        </w:rPr>
        <w:t>biega</w:t>
      </w:r>
      <w:proofErr w:type="spellEnd"/>
      <w:r w:rsidRPr="006A6314">
        <w:rPr>
          <w:rFonts w:cstheme="minorHAnsi"/>
          <w:sz w:val="20"/>
          <w:szCs w:val="20"/>
          <w:lang w:val="en-US"/>
        </w:rPr>
        <w:t xml:space="preserve">, “Bill </w:t>
      </w:r>
      <w:proofErr w:type="spellStart"/>
      <w:r w:rsidRPr="006A6314">
        <w:rPr>
          <w:rFonts w:cstheme="minorHAnsi"/>
          <w:sz w:val="20"/>
          <w:szCs w:val="20"/>
          <w:lang w:val="en-US"/>
        </w:rPr>
        <w:t>Biega</w:t>
      </w:r>
      <w:proofErr w:type="spellEnd"/>
      <w:r w:rsidRPr="006A6314">
        <w:rPr>
          <w:rFonts w:cstheme="minorHAnsi"/>
          <w:sz w:val="20"/>
          <w:szCs w:val="20"/>
          <w:lang w:val="en-US"/>
        </w:rPr>
        <w:t xml:space="preserve"> Personal Page - Part 1,” </w:t>
      </w:r>
      <w:r w:rsidRPr="006A6314">
        <w:rPr>
          <w:rFonts w:cstheme="minorHAnsi"/>
          <w:i/>
          <w:iCs/>
          <w:sz w:val="20"/>
          <w:szCs w:val="20"/>
          <w:lang w:val="en-US"/>
        </w:rPr>
        <w:t>Biega.com</w:t>
      </w:r>
      <w:r w:rsidRPr="006A6314">
        <w:rPr>
          <w:rFonts w:cstheme="minorHAnsi"/>
          <w:sz w:val="20"/>
          <w:szCs w:val="20"/>
          <w:lang w:val="en-US"/>
        </w:rPr>
        <w:t>, 2021 &lt;https://biega.com/biega-bc.html&gt; [accessed 13 March 2021]</w:t>
      </w:r>
    </w:p>
    <w:p w14:paraId="4E59FA54" w14:textId="1C15B859" w:rsidR="006A6314" w:rsidRPr="005A657F" w:rsidRDefault="006A6314" w:rsidP="005A657F">
      <w:pPr>
        <w:spacing w:line="240" w:lineRule="auto"/>
        <w:rPr>
          <w:rFonts w:cstheme="minorHAnsi"/>
          <w:sz w:val="20"/>
          <w:szCs w:val="20"/>
          <w:lang w:val="en-US"/>
        </w:rPr>
      </w:pPr>
      <w:r w:rsidRPr="005A657F">
        <w:rPr>
          <w:rFonts w:cstheme="minorHAnsi"/>
          <w:sz w:val="20"/>
          <w:szCs w:val="20"/>
          <w:vertAlign w:val="superscript"/>
          <w:lang w:val="en-US"/>
        </w:rPr>
        <w:t>13</w:t>
      </w:r>
      <w:r w:rsidRPr="005A657F">
        <w:rPr>
          <w:rFonts w:cstheme="minorHAnsi"/>
          <w:sz w:val="20"/>
          <w:szCs w:val="20"/>
          <w:lang w:val="en-US"/>
        </w:rPr>
        <w:t xml:space="preserve"> </w:t>
      </w:r>
      <w:r w:rsidRPr="006A6314">
        <w:rPr>
          <w:rFonts w:cstheme="minorHAnsi"/>
          <w:sz w:val="20"/>
          <w:szCs w:val="20"/>
          <w:lang w:val="en-US"/>
        </w:rPr>
        <w:t xml:space="preserve">Bill </w:t>
      </w:r>
      <w:proofErr w:type="spellStart"/>
      <w:r w:rsidRPr="006A6314">
        <w:rPr>
          <w:rFonts w:cstheme="minorHAnsi"/>
          <w:sz w:val="20"/>
          <w:szCs w:val="20"/>
          <w:lang w:val="en-US"/>
        </w:rPr>
        <w:t>Biega</w:t>
      </w:r>
      <w:proofErr w:type="spellEnd"/>
      <w:r w:rsidRPr="006A6314">
        <w:rPr>
          <w:rFonts w:cstheme="minorHAnsi"/>
          <w:sz w:val="20"/>
          <w:szCs w:val="20"/>
          <w:lang w:val="en-US"/>
        </w:rPr>
        <w:t xml:space="preserve">, </w:t>
      </w:r>
      <w:proofErr w:type="gramStart"/>
      <w:r w:rsidRPr="006A6314">
        <w:rPr>
          <w:rFonts w:cstheme="minorHAnsi"/>
          <w:i/>
          <w:iCs/>
          <w:sz w:val="20"/>
          <w:szCs w:val="20"/>
          <w:lang w:val="en-US"/>
        </w:rPr>
        <w:t>Thirteen</w:t>
      </w:r>
      <w:proofErr w:type="gramEnd"/>
      <w:r w:rsidRPr="006A6314">
        <w:rPr>
          <w:rFonts w:cstheme="minorHAnsi"/>
          <w:i/>
          <w:iCs/>
          <w:sz w:val="20"/>
          <w:szCs w:val="20"/>
          <w:lang w:val="en-US"/>
        </w:rPr>
        <w:t xml:space="preserve"> is my lucky number,</w:t>
      </w:r>
      <w:r w:rsidRPr="006A6314">
        <w:rPr>
          <w:rFonts w:cstheme="minorHAnsi"/>
          <w:sz w:val="20"/>
          <w:szCs w:val="20"/>
          <w:lang w:val="en-US"/>
        </w:rPr>
        <w:t xml:space="preserve"> (</w:t>
      </w:r>
      <w:proofErr w:type="spellStart"/>
      <w:r w:rsidRPr="006A6314">
        <w:rPr>
          <w:rFonts w:cstheme="minorHAnsi"/>
          <w:sz w:val="20"/>
          <w:szCs w:val="20"/>
          <w:lang w:val="en-US"/>
        </w:rPr>
        <w:t>Syrena</w:t>
      </w:r>
      <w:proofErr w:type="spellEnd"/>
      <w:r w:rsidRPr="006A6314">
        <w:rPr>
          <w:rFonts w:cstheme="minorHAnsi"/>
          <w:sz w:val="20"/>
          <w:szCs w:val="20"/>
          <w:lang w:val="en-US"/>
        </w:rPr>
        <w:t xml:space="preserve"> Press, 1996) p.19</w:t>
      </w:r>
    </w:p>
    <w:p w14:paraId="205DFA89" w14:textId="77777777" w:rsidR="006A6314" w:rsidRPr="006A6314" w:rsidRDefault="006A6314" w:rsidP="005A657F">
      <w:pPr>
        <w:spacing w:line="240" w:lineRule="auto"/>
        <w:rPr>
          <w:rFonts w:cstheme="minorHAnsi"/>
          <w:sz w:val="20"/>
          <w:szCs w:val="20"/>
        </w:rPr>
      </w:pPr>
      <w:r w:rsidRPr="005A657F">
        <w:rPr>
          <w:rFonts w:cstheme="minorHAnsi"/>
          <w:sz w:val="20"/>
          <w:szCs w:val="20"/>
          <w:vertAlign w:val="superscript"/>
          <w:lang w:val="en-US"/>
        </w:rPr>
        <w:t>14</w:t>
      </w:r>
      <w:r w:rsidRPr="005A657F">
        <w:rPr>
          <w:rFonts w:cstheme="minorHAnsi"/>
          <w:sz w:val="20"/>
          <w:szCs w:val="20"/>
          <w:lang w:val="en-US"/>
        </w:rPr>
        <w:t xml:space="preserve"> </w:t>
      </w:r>
      <w:proofErr w:type="spellStart"/>
      <w:r w:rsidRPr="006A6314">
        <w:rPr>
          <w:rFonts w:cstheme="minorHAnsi"/>
          <w:sz w:val="20"/>
          <w:szCs w:val="20"/>
        </w:rPr>
        <w:t>Telewizja</w:t>
      </w:r>
      <w:proofErr w:type="spellEnd"/>
      <w:r w:rsidRPr="006A6314">
        <w:rPr>
          <w:rFonts w:cstheme="minorHAnsi"/>
          <w:sz w:val="20"/>
          <w:szCs w:val="20"/>
        </w:rPr>
        <w:t xml:space="preserve"> </w:t>
      </w:r>
      <w:proofErr w:type="spellStart"/>
      <w:r w:rsidRPr="006A6314">
        <w:rPr>
          <w:rFonts w:cstheme="minorHAnsi"/>
          <w:sz w:val="20"/>
          <w:szCs w:val="20"/>
        </w:rPr>
        <w:t>Polska</w:t>
      </w:r>
      <w:proofErr w:type="spellEnd"/>
      <w:r w:rsidRPr="006A6314">
        <w:rPr>
          <w:rFonts w:cstheme="minorHAnsi"/>
          <w:sz w:val="20"/>
          <w:szCs w:val="20"/>
        </w:rPr>
        <w:t xml:space="preserve"> S.A, “Love in a War Zone: Marriages during the Warsaw Uprising,” </w:t>
      </w:r>
      <w:r w:rsidRPr="006A6314">
        <w:rPr>
          <w:rFonts w:cstheme="minorHAnsi"/>
          <w:i/>
          <w:iCs/>
          <w:sz w:val="20"/>
          <w:szCs w:val="20"/>
        </w:rPr>
        <w:t>Polandin.com</w:t>
      </w:r>
      <w:r w:rsidRPr="006A6314">
        <w:rPr>
          <w:rFonts w:cstheme="minorHAnsi"/>
          <w:sz w:val="20"/>
          <w:szCs w:val="20"/>
        </w:rPr>
        <w:t>, 2018 &lt;https://polandin.com/38271726/love-in-a-war-zone-marriages-during-the-warsaw-uprising#:~:text=More%20than%20250%20couples%20got,every%20day%20of%20the%20insurrection.&gt; [accessed 14 March 2021]</w:t>
      </w:r>
    </w:p>
    <w:p w14:paraId="155F37B4" w14:textId="77777777" w:rsidR="005A657F" w:rsidRPr="005A657F" w:rsidRDefault="005A657F" w:rsidP="005A657F">
      <w:pPr>
        <w:spacing w:line="240" w:lineRule="auto"/>
        <w:rPr>
          <w:rFonts w:cstheme="minorHAnsi"/>
          <w:sz w:val="20"/>
          <w:szCs w:val="20"/>
        </w:rPr>
      </w:pPr>
      <w:r w:rsidRPr="005A657F">
        <w:rPr>
          <w:rFonts w:cstheme="minorHAnsi"/>
          <w:sz w:val="20"/>
          <w:szCs w:val="20"/>
          <w:vertAlign w:val="superscript"/>
        </w:rPr>
        <w:t>15</w:t>
      </w:r>
      <w:r w:rsidRPr="005A657F">
        <w:rPr>
          <w:rFonts w:cstheme="minorHAnsi"/>
          <w:sz w:val="20"/>
          <w:szCs w:val="20"/>
        </w:rPr>
        <w:t xml:space="preserve"> </w:t>
      </w:r>
      <w:r w:rsidRPr="005A657F">
        <w:rPr>
          <w:rFonts w:cstheme="minorHAnsi"/>
          <w:sz w:val="20"/>
          <w:szCs w:val="20"/>
        </w:rPr>
        <w:t xml:space="preserve">‌ Jan Gross, </w:t>
      </w:r>
      <w:r w:rsidRPr="005A657F">
        <w:rPr>
          <w:rFonts w:cstheme="minorHAnsi"/>
          <w:i/>
          <w:iCs/>
          <w:sz w:val="20"/>
          <w:szCs w:val="20"/>
        </w:rPr>
        <w:t xml:space="preserve">Polish Society Under German Occupation: The </w:t>
      </w:r>
      <w:proofErr w:type="spellStart"/>
      <w:r w:rsidRPr="005A657F">
        <w:rPr>
          <w:rFonts w:cstheme="minorHAnsi"/>
          <w:i/>
          <w:iCs/>
          <w:sz w:val="20"/>
          <w:szCs w:val="20"/>
        </w:rPr>
        <w:t>Generalgouvernement</w:t>
      </w:r>
      <w:proofErr w:type="spellEnd"/>
      <w:r w:rsidRPr="005A657F">
        <w:rPr>
          <w:rFonts w:cstheme="minorHAnsi"/>
          <w:i/>
          <w:iCs/>
          <w:sz w:val="20"/>
          <w:szCs w:val="20"/>
        </w:rPr>
        <w:t>, 1939-44</w:t>
      </w:r>
      <w:r w:rsidRPr="005A657F">
        <w:rPr>
          <w:rFonts w:cstheme="minorHAnsi"/>
          <w:sz w:val="20"/>
          <w:szCs w:val="20"/>
        </w:rPr>
        <w:t xml:space="preserve"> (Princeton: Princeton University press, 2019), pp249-250</w:t>
      </w:r>
    </w:p>
    <w:p w14:paraId="084DEFD3" w14:textId="256ED644" w:rsidR="006A6314" w:rsidRPr="005A657F" w:rsidRDefault="005A657F" w:rsidP="005A657F">
      <w:pPr>
        <w:spacing w:line="240" w:lineRule="auto"/>
        <w:rPr>
          <w:rFonts w:cstheme="minorHAnsi"/>
          <w:sz w:val="20"/>
          <w:szCs w:val="20"/>
        </w:rPr>
      </w:pPr>
      <w:r w:rsidRPr="005A657F">
        <w:rPr>
          <w:rFonts w:cstheme="minorHAnsi"/>
          <w:sz w:val="20"/>
          <w:szCs w:val="20"/>
          <w:vertAlign w:val="superscript"/>
        </w:rPr>
        <w:t>16</w:t>
      </w:r>
      <w:r w:rsidRPr="005A657F">
        <w:rPr>
          <w:rFonts w:cstheme="minorHAnsi"/>
          <w:sz w:val="20"/>
          <w:szCs w:val="20"/>
        </w:rPr>
        <w:t xml:space="preserve"> </w:t>
      </w:r>
      <w:r w:rsidRPr="005A657F">
        <w:rPr>
          <w:rFonts w:cstheme="minorHAnsi"/>
          <w:sz w:val="20"/>
          <w:szCs w:val="20"/>
        </w:rPr>
        <w:t>Club-Sites.co.uk, “Holocaust Historical Society,”</w:t>
      </w:r>
    </w:p>
    <w:p w14:paraId="53B90729" w14:textId="77777777" w:rsidR="005A657F" w:rsidRPr="005A657F" w:rsidRDefault="005A657F" w:rsidP="005A657F">
      <w:pPr>
        <w:spacing w:line="240" w:lineRule="auto"/>
        <w:rPr>
          <w:rFonts w:cstheme="minorHAnsi"/>
          <w:sz w:val="20"/>
          <w:szCs w:val="20"/>
        </w:rPr>
      </w:pPr>
      <w:r w:rsidRPr="005A657F">
        <w:rPr>
          <w:rFonts w:cstheme="minorHAnsi"/>
          <w:sz w:val="20"/>
          <w:szCs w:val="20"/>
          <w:vertAlign w:val="superscript"/>
        </w:rPr>
        <w:t>17</w:t>
      </w:r>
      <w:r w:rsidRPr="005A657F">
        <w:rPr>
          <w:rFonts w:cstheme="minorHAnsi"/>
          <w:sz w:val="20"/>
          <w:szCs w:val="20"/>
        </w:rPr>
        <w:t xml:space="preserve"> </w:t>
      </w:r>
      <w:r w:rsidRPr="005A657F">
        <w:rPr>
          <w:rFonts w:cstheme="minorHAnsi"/>
          <w:sz w:val="20"/>
          <w:szCs w:val="20"/>
        </w:rPr>
        <w:t>“Warsaw Uprising Witnesses: German Atrocities VII,” </w:t>
      </w:r>
      <w:r w:rsidRPr="005A657F">
        <w:rPr>
          <w:rFonts w:cstheme="minorHAnsi"/>
          <w:i/>
          <w:iCs/>
          <w:sz w:val="20"/>
          <w:szCs w:val="20"/>
        </w:rPr>
        <w:t>Warsawuprising.com</w:t>
      </w:r>
      <w:r w:rsidRPr="005A657F">
        <w:rPr>
          <w:rFonts w:cstheme="minorHAnsi"/>
          <w:sz w:val="20"/>
          <w:szCs w:val="20"/>
        </w:rPr>
        <w:t>, 2021 &lt;http://www.warsawuprising.com/witness/atrocities7.htm&gt; [accessed 14 March 2021</w:t>
      </w:r>
      <w:proofErr w:type="gramStart"/>
      <w:r w:rsidRPr="005A657F">
        <w:rPr>
          <w:rFonts w:cstheme="minorHAnsi"/>
          <w:sz w:val="20"/>
          <w:szCs w:val="20"/>
        </w:rPr>
        <w:t>]  -</w:t>
      </w:r>
      <w:proofErr w:type="gramEnd"/>
      <w:r w:rsidRPr="005A657F">
        <w:rPr>
          <w:rFonts w:cstheme="minorHAnsi"/>
          <w:sz w:val="20"/>
          <w:szCs w:val="20"/>
        </w:rPr>
        <w:t xml:space="preserve"> proud polish woman quote</w:t>
      </w:r>
    </w:p>
    <w:p w14:paraId="0A1B1D06" w14:textId="77777777" w:rsidR="005A657F" w:rsidRPr="005A657F" w:rsidRDefault="005A657F" w:rsidP="005A657F">
      <w:pPr>
        <w:pStyle w:val="NormalWeb"/>
        <w:spacing w:before="0" w:beforeAutospacing="0" w:after="240" w:afterAutospacing="0"/>
        <w:ind w:left="600" w:hanging="600"/>
        <w:rPr>
          <w:rFonts w:asciiTheme="minorHAnsi" w:hAnsiTheme="minorHAnsi" w:cstheme="minorHAnsi"/>
          <w:color w:val="000000"/>
          <w:sz w:val="20"/>
          <w:szCs w:val="20"/>
        </w:rPr>
      </w:pPr>
      <w:r w:rsidRPr="005A657F">
        <w:rPr>
          <w:rFonts w:asciiTheme="minorHAnsi" w:hAnsiTheme="minorHAnsi" w:cstheme="minorHAnsi"/>
          <w:sz w:val="20"/>
          <w:szCs w:val="20"/>
          <w:vertAlign w:val="superscript"/>
        </w:rPr>
        <w:t xml:space="preserve">18 </w:t>
      </w:r>
      <w:r w:rsidRPr="005A657F">
        <w:rPr>
          <w:rFonts w:asciiTheme="minorHAnsi" w:hAnsiTheme="minorHAnsi" w:cstheme="minorHAnsi"/>
          <w:color w:val="000000"/>
          <w:sz w:val="20"/>
          <w:szCs w:val="20"/>
        </w:rPr>
        <w:t>“Poland,” </w:t>
      </w:r>
      <w:r w:rsidRPr="005A657F">
        <w:rPr>
          <w:rFonts w:asciiTheme="minorHAnsi" w:hAnsiTheme="minorHAnsi" w:cstheme="minorHAnsi"/>
          <w:i/>
          <w:iCs/>
          <w:color w:val="000000"/>
          <w:sz w:val="20"/>
          <w:szCs w:val="20"/>
        </w:rPr>
        <w:t>Heroesoftheresistance.org</w:t>
      </w:r>
      <w:r w:rsidRPr="005A657F">
        <w:rPr>
          <w:rFonts w:asciiTheme="minorHAnsi" w:hAnsiTheme="minorHAnsi" w:cstheme="minorHAnsi"/>
          <w:color w:val="000000"/>
          <w:sz w:val="20"/>
          <w:szCs w:val="20"/>
        </w:rPr>
        <w:t>, 2020 &lt;https://heroesoftheresistance.org/country/poland&gt; [accessed 14 March 2021]</w:t>
      </w:r>
    </w:p>
    <w:p w14:paraId="4D35279A" w14:textId="77777777" w:rsidR="005A657F" w:rsidRPr="005A657F" w:rsidRDefault="005A657F" w:rsidP="005A657F">
      <w:pPr>
        <w:spacing w:before="100" w:beforeAutospacing="1" w:after="100" w:afterAutospacing="1" w:line="240" w:lineRule="auto"/>
        <w:rPr>
          <w:rFonts w:eastAsia="Times New Roman" w:cstheme="minorHAnsi"/>
          <w:color w:val="000000"/>
          <w:sz w:val="20"/>
          <w:szCs w:val="20"/>
          <w:lang w:eastAsia="en-GB"/>
        </w:rPr>
      </w:pPr>
      <w:r w:rsidRPr="005A657F">
        <w:rPr>
          <w:rFonts w:eastAsia="Times New Roman" w:cstheme="minorHAnsi"/>
          <w:color w:val="000000"/>
          <w:sz w:val="20"/>
          <w:szCs w:val="20"/>
          <w:lang w:eastAsia="en-GB"/>
        </w:rPr>
        <w:t>‌</w:t>
      </w:r>
    </w:p>
    <w:p w14:paraId="1ECF3D36" w14:textId="0B3D102C" w:rsidR="006A6314" w:rsidRPr="006A6314" w:rsidRDefault="006A6314" w:rsidP="006A6314">
      <w:pPr>
        <w:rPr>
          <w:rFonts w:cstheme="minorHAnsi"/>
          <w:sz w:val="20"/>
          <w:szCs w:val="20"/>
          <w:vertAlign w:val="superscript"/>
        </w:rPr>
      </w:pPr>
    </w:p>
    <w:p w14:paraId="44DE8E02" w14:textId="6CE536BD" w:rsidR="006A6314" w:rsidRPr="006A6314" w:rsidRDefault="006A6314" w:rsidP="006A6314">
      <w:pPr>
        <w:rPr>
          <w:rFonts w:cstheme="minorHAnsi"/>
          <w:sz w:val="20"/>
          <w:szCs w:val="20"/>
        </w:rPr>
      </w:pPr>
    </w:p>
    <w:p w14:paraId="13487426" w14:textId="38100CC9" w:rsidR="006A6314" w:rsidRPr="006A6314" w:rsidRDefault="006A6314" w:rsidP="006A6314">
      <w:pPr>
        <w:rPr>
          <w:rFonts w:cstheme="minorHAnsi"/>
          <w:sz w:val="20"/>
          <w:szCs w:val="20"/>
        </w:rPr>
      </w:pPr>
    </w:p>
    <w:p w14:paraId="0D7D4A9A" w14:textId="3B99F58B" w:rsidR="006A6314" w:rsidRPr="006A6314" w:rsidRDefault="006A6314" w:rsidP="006A6314">
      <w:pPr>
        <w:rPr>
          <w:rFonts w:cstheme="minorHAnsi"/>
          <w:sz w:val="20"/>
          <w:szCs w:val="20"/>
        </w:rPr>
      </w:pPr>
    </w:p>
    <w:p w14:paraId="278B2094" w14:textId="1F6D9DA4" w:rsidR="006A6314" w:rsidRDefault="006A6314" w:rsidP="006A6314">
      <w:pPr>
        <w:rPr>
          <w:rFonts w:cstheme="minorHAnsi"/>
          <w:sz w:val="20"/>
          <w:szCs w:val="20"/>
          <w:vertAlign w:val="superscript"/>
        </w:rPr>
      </w:pPr>
    </w:p>
    <w:p w14:paraId="4B45682E" w14:textId="40BA911D" w:rsidR="006A6314" w:rsidRDefault="006A6314" w:rsidP="006A6314">
      <w:pPr>
        <w:rPr>
          <w:rFonts w:cstheme="minorHAnsi"/>
          <w:sz w:val="20"/>
          <w:szCs w:val="20"/>
          <w:vertAlign w:val="superscript"/>
        </w:rPr>
      </w:pPr>
    </w:p>
    <w:p w14:paraId="505DEEA9" w14:textId="77777777" w:rsidR="006A6314" w:rsidRPr="006A6314" w:rsidRDefault="006A6314" w:rsidP="006A6314">
      <w:pPr>
        <w:rPr>
          <w:rFonts w:cstheme="minorHAnsi"/>
          <w:sz w:val="20"/>
          <w:szCs w:val="20"/>
          <w:vertAlign w:val="superscript"/>
        </w:rPr>
      </w:pPr>
    </w:p>
    <w:sectPr w:rsidR="006A6314" w:rsidRPr="006A6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E4C70"/>
    <w:multiLevelType w:val="hybridMultilevel"/>
    <w:tmpl w:val="4E74406C"/>
    <w:lvl w:ilvl="0" w:tplc="EC7CDECC">
      <w:start w:val="1"/>
      <w:numFmt w:val="bullet"/>
      <w:lvlText w:val=""/>
      <w:lvlJc w:val="left"/>
      <w:pPr>
        <w:tabs>
          <w:tab w:val="num" w:pos="720"/>
        </w:tabs>
        <w:ind w:left="720" w:hanging="360"/>
      </w:pPr>
      <w:rPr>
        <w:rFonts w:ascii="Wingdings" w:hAnsi="Wingdings" w:hint="default"/>
      </w:rPr>
    </w:lvl>
    <w:lvl w:ilvl="1" w:tplc="BB0EB67E" w:tentative="1">
      <w:start w:val="1"/>
      <w:numFmt w:val="bullet"/>
      <w:lvlText w:val=""/>
      <w:lvlJc w:val="left"/>
      <w:pPr>
        <w:tabs>
          <w:tab w:val="num" w:pos="1440"/>
        </w:tabs>
        <w:ind w:left="1440" w:hanging="360"/>
      </w:pPr>
      <w:rPr>
        <w:rFonts w:ascii="Wingdings" w:hAnsi="Wingdings" w:hint="default"/>
      </w:rPr>
    </w:lvl>
    <w:lvl w:ilvl="2" w:tplc="AA3C60CA" w:tentative="1">
      <w:start w:val="1"/>
      <w:numFmt w:val="bullet"/>
      <w:lvlText w:val=""/>
      <w:lvlJc w:val="left"/>
      <w:pPr>
        <w:tabs>
          <w:tab w:val="num" w:pos="2160"/>
        </w:tabs>
        <w:ind w:left="2160" w:hanging="360"/>
      </w:pPr>
      <w:rPr>
        <w:rFonts w:ascii="Wingdings" w:hAnsi="Wingdings" w:hint="default"/>
      </w:rPr>
    </w:lvl>
    <w:lvl w:ilvl="3" w:tplc="9D622D08" w:tentative="1">
      <w:start w:val="1"/>
      <w:numFmt w:val="bullet"/>
      <w:lvlText w:val=""/>
      <w:lvlJc w:val="left"/>
      <w:pPr>
        <w:tabs>
          <w:tab w:val="num" w:pos="2880"/>
        </w:tabs>
        <w:ind w:left="2880" w:hanging="360"/>
      </w:pPr>
      <w:rPr>
        <w:rFonts w:ascii="Wingdings" w:hAnsi="Wingdings" w:hint="default"/>
      </w:rPr>
    </w:lvl>
    <w:lvl w:ilvl="4" w:tplc="008C67D6" w:tentative="1">
      <w:start w:val="1"/>
      <w:numFmt w:val="bullet"/>
      <w:lvlText w:val=""/>
      <w:lvlJc w:val="left"/>
      <w:pPr>
        <w:tabs>
          <w:tab w:val="num" w:pos="3600"/>
        </w:tabs>
        <w:ind w:left="3600" w:hanging="360"/>
      </w:pPr>
      <w:rPr>
        <w:rFonts w:ascii="Wingdings" w:hAnsi="Wingdings" w:hint="default"/>
      </w:rPr>
    </w:lvl>
    <w:lvl w:ilvl="5" w:tplc="F8B625FA" w:tentative="1">
      <w:start w:val="1"/>
      <w:numFmt w:val="bullet"/>
      <w:lvlText w:val=""/>
      <w:lvlJc w:val="left"/>
      <w:pPr>
        <w:tabs>
          <w:tab w:val="num" w:pos="4320"/>
        </w:tabs>
        <w:ind w:left="4320" w:hanging="360"/>
      </w:pPr>
      <w:rPr>
        <w:rFonts w:ascii="Wingdings" w:hAnsi="Wingdings" w:hint="default"/>
      </w:rPr>
    </w:lvl>
    <w:lvl w:ilvl="6" w:tplc="52C8215E" w:tentative="1">
      <w:start w:val="1"/>
      <w:numFmt w:val="bullet"/>
      <w:lvlText w:val=""/>
      <w:lvlJc w:val="left"/>
      <w:pPr>
        <w:tabs>
          <w:tab w:val="num" w:pos="5040"/>
        </w:tabs>
        <w:ind w:left="5040" w:hanging="360"/>
      </w:pPr>
      <w:rPr>
        <w:rFonts w:ascii="Wingdings" w:hAnsi="Wingdings" w:hint="default"/>
      </w:rPr>
    </w:lvl>
    <w:lvl w:ilvl="7" w:tplc="9EC8E860" w:tentative="1">
      <w:start w:val="1"/>
      <w:numFmt w:val="bullet"/>
      <w:lvlText w:val=""/>
      <w:lvlJc w:val="left"/>
      <w:pPr>
        <w:tabs>
          <w:tab w:val="num" w:pos="5760"/>
        </w:tabs>
        <w:ind w:left="5760" w:hanging="360"/>
      </w:pPr>
      <w:rPr>
        <w:rFonts w:ascii="Wingdings" w:hAnsi="Wingdings" w:hint="default"/>
      </w:rPr>
    </w:lvl>
    <w:lvl w:ilvl="8" w:tplc="69EABEE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0D1F7F"/>
    <w:multiLevelType w:val="hybridMultilevel"/>
    <w:tmpl w:val="F8FA4366"/>
    <w:lvl w:ilvl="0" w:tplc="1DEA1224">
      <w:start w:val="1"/>
      <w:numFmt w:val="bullet"/>
      <w:lvlText w:val="•"/>
      <w:lvlJc w:val="left"/>
      <w:pPr>
        <w:tabs>
          <w:tab w:val="num" w:pos="720"/>
        </w:tabs>
        <w:ind w:left="720" w:hanging="360"/>
      </w:pPr>
      <w:rPr>
        <w:rFonts w:ascii="Arial" w:hAnsi="Arial" w:hint="default"/>
      </w:rPr>
    </w:lvl>
    <w:lvl w:ilvl="1" w:tplc="40D48818" w:tentative="1">
      <w:start w:val="1"/>
      <w:numFmt w:val="bullet"/>
      <w:lvlText w:val="•"/>
      <w:lvlJc w:val="left"/>
      <w:pPr>
        <w:tabs>
          <w:tab w:val="num" w:pos="1440"/>
        </w:tabs>
        <w:ind w:left="1440" w:hanging="360"/>
      </w:pPr>
      <w:rPr>
        <w:rFonts w:ascii="Arial" w:hAnsi="Arial" w:hint="default"/>
      </w:rPr>
    </w:lvl>
    <w:lvl w:ilvl="2" w:tplc="76C84B72" w:tentative="1">
      <w:start w:val="1"/>
      <w:numFmt w:val="bullet"/>
      <w:lvlText w:val="•"/>
      <w:lvlJc w:val="left"/>
      <w:pPr>
        <w:tabs>
          <w:tab w:val="num" w:pos="2160"/>
        </w:tabs>
        <w:ind w:left="2160" w:hanging="360"/>
      </w:pPr>
      <w:rPr>
        <w:rFonts w:ascii="Arial" w:hAnsi="Arial" w:hint="default"/>
      </w:rPr>
    </w:lvl>
    <w:lvl w:ilvl="3" w:tplc="AF42FBB2" w:tentative="1">
      <w:start w:val="1"/>
      <w:numFmt w:val="bullet"/>
      <w:lvlText w:val="•"/>
      <w:lvlJc w:val="left"/>
      <w:pPr>
        <w:tabs>
          <w:tab w:val="num" w:pos="2880"/>
        </w:tabs>
        <w:ind w:left="2880" w:hanging="360"/>
      </w:pPr>
      <w:rPr>
        <w:rFonts w:ascii="Arial" w:hAnsi="Arial" w:hint="default"/>
      </w:rPr>
    </w:lvl>
    <w:lvl w:ilvl="4" w:tplc="70C25192" w:tentative="1">
      <w:start w:val="1"/>
      <w:numFmt w:val="bullet"/>
      <w:lvlText w:val="•"/>
      <w:lvlJc w:val="left"/>
      <w:pPr>
        <w:tabs>
          <w:tab w:val="num" w:pos="3600"/>
        </w:tabs>
        <w:ind w:left="3600" w:hanging="360"/>
      </w:pPr>
      <w:rPr>
        <w:rFonts w:ascii="Arial" w:hAnsi="Arial" w:hint="default"/>
      </w:rPr>
    </w:lvl>
    <w:lvl w:ilvl="5" w:tplc="BC7459E0" w:tentative="1">
      <w:start w:val="1"/>
      <w:numFmt w:val="bullet"/>
      <w:lvlText w:val="•"/>
      <w:lvlJc w:val="left"/>
      <w:pPr>
        <w:tabs>
          <w:tab w:val="num" w:pos="4320"/>
        </w:tabs>
        <w:ind w:left="4320" w:hanging="360"/>
      </w:pPr>
      <w:rPr>
        <w:rFonts w:ascii="Arial" w:hAnsi="Arial" w:hint="default"/>
      </w:rPr>
    </w:lvl>
    <w:lvl w:ilvl="6" w:tplc="4BD6D27A" w:tentative="1">
      <w:start w:val="1"/>
      <w:numFmt w:val="bullet"/>
      <w:lvlText w:val="•"/>
      <w:lvlJc w:val="left"/>
      <w:pPr>
        <w:tabs>
          <w:tab w:val="num" w:pos="5040"/>
        </w:tabs>
        <w:ind w:left="5040" w:hanging="360"/>
      </w:pPr>
      <w:rPr>
        <w:rFonts w:ascii="Arial" w:hAnsi="Arial" w:hint="default"/>
      </w:rPr>
    </w:lvl>
    <w:lvl w:ilvl="7" w:tplc="2C5E6EE6" w:tentative="1">
      <w:start w:val="1"/>
      <w:numFmt w:val="bullet"/>
      <w:lvlText w:val="•"/>
      <w:lvlJc w:val="left"/>
      <w:pPr>
        <w:tabs>
          <w:tab w:val="num" w:pos="5760"/>
        </w:tabs>
        <w:ind w:left="5760" w:hanging="360"/>
      </w:pPr>
      <w:rPr>
        <w:rFonts w:ascii="Arial" w:hAnsi="Arial" w:hint="default"/>
      </w:rPr>
    </w:lvl>
    <w:lvl w:ilvl="8" w:tplc="0082C6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B15256"/>
    <w:multiLevelType w:val="hybridMultilevel"/>
    <w:tmpl w:val="FA342EF6"/>
    <w:lvl w:ilvl="0" w:tplc="FE44FA2C">
      <w:start w:val="1"/>
      <w:numFmt w:val="bullet"/>
      <w:lvlText w:val=""/>
      <w:lvlJc w:val="left"/>
      <w:pPr>
        <w:tabs>
          <w:tab w:val="num" w:pos="720"/>
        </w:tabs>
        <w:ind w:left="720" w:hanging="360"/>
      </w:pPr>
      <w:rPr>
        <w:rFonts w:ascii="Wingdings" w:hAnsi="Wingdings" w:hint="default"/>
      </w:rPr>
    </w:lvl>
    <w:lvl w:ilvl="1" w:tplc="F42A8A44" w:tentative="1">
      <w:start w:val="1"/>
      <w:numFmt w:val="bullet"/>
      <w:lvlText w:val=""/>
      <w:lvlJc w:val="left"/>
      <w:pPr>
        <w:tabs>
          <w:tab w:val="num" w:pos="1440"/>
        </w:tabs>
        <w:ind w:left="1440" w:hanging="360"/>
      </w:pPr>
      <w:rPr>
        <w:rFonts w:ascii="Wingdings" w:hAnsi="Wingdings" w:hint="default"/>
      </w:rPr>
    </w:lvl>
    <w:lvl w:ilvl="2" w:tplc="E3721854" w:tentative="1">
      <w:start w:val="1"/>
      <w:numFmt w:val="bullet"/>
      <w:lvlText w:val=""/>
      <w:lvlJc w:val="left"/>
      <w:pPr>
        <w:tabs>
          <w:tab w:val="num" w:pos="2160"/>
        </w:tabs>
        <w:ind w:left="2160" w:hanging="360"/>
      </w:pPr>
      <w:rPr>
        <w:rFonts w:ascii="Wingdings" w:hAnsi="Wingdings" w:hint="default"/>
      </w:rPr>
    </w:lvl>
    <w:lvl w:ilvl="3" w:tplc="B9265474" w:tentative="1">
      <w:start w:val="1"/>
      <w:numFmt w:val="bullet"/>
      <w:lvlText w:val=""/>
      <w:lvlJc w:val="left"/>
      <w:pPr>
        <w:tabs>
          <w:tab w:val="num" w:pos="2880"/>
        </w:tabs>
        <w:ind w:left="2880" w:hanging="360"/>
      </w:pPr>
      <w:rPr>
        <w:rFonts w:ascii="Wingdings" w:hAnsi="Wingdings" w:hint="default"/>
      </w:rPr>
    </w:lvl>
    <w:lvl w:ilvl="4" w:tplc="7DBAB5C2" w:tentative="1">
      <w:start w:val="1"/>
      <w:numFmt w:val="bullet"/>
      <w:lvlText w:val=""/>
      <w:lvlJc w:val="left"/>
      <w:pPr>
        <w:tabs>
          <w:tab w:val="num" w:pos="3600"/>
        </w:tabs>
        <w:ind w:left="3600" w:hanging="360"/>
      </w:pPr>
      <w:rPr>
        <w:rFonts w:ascii="Wingdings" w:hAnsi="Wingdings" w:hint="default"/>
      </w:rPr>
    </w:lvl>
    <w:lvl w:ilvl="5" w:tplc="8878CAD2" w:tentative="1">
      <w:start w:val="1"/>
      <w:numFmt w:val="bullet"/>
      <w:lvlText w:val=""/>
      <w:lvlJc w:val="left"/>
      <w:pPr>
        <w:tabs>
          <w:tab w:val="num" w:pos="4320"/>
        </w:tabs>
        <w:ind w:left="4320" w:hanging="360"/>
      </w:pPr>
      <w:rPr>
        <w:rFonts w:ascii="Wingdings" w:hAnsi="Wingdings" w:hint="default"/>
      </w:rPr>
    </w:lvl>
    <w:lvl w:ilvl="6" w:tplc="54CECA0C" w:tentative="1">
      <w:start w:val="1"/>
      <w:numFmt w:val="bullet"/>
      <w:lvlText w:val=""/>
      <w:lvlJc w:val="left"/>
      <w:pPr>
        <w:tabs>
          <w:tab w:val="num" w:pos="5040"/>
        </w:tabs>
        <w:ind w:left="5040" w:hanging="360"/>
      </w:pPr>
      <w:rPr>
        <w:rFonts w:ascii="Wingdings" w:hAnsi="Wingdings" w:hint="default"/>
      </w:rPr>
    </w:lvl>
    <w:lvl w:ilvl="7" w:tplc="E82ECF9A" w:tentative="1">
      <w:start w:val="1"/>
      <w:numFmt w:val="bullet"/>
      <w:lvlText w:val=""/>
      <w:lvlJc w:val="left"/>
      <w:pPr>
        <w:tabs>
          <w:tab w:val="num" w:pos="5760"/>
        </w:tabs>
        <w:ind w:left="5760" w:hanging="360"/>
      </w:pPr>
      <w:rPr>
        <w:rFonts w:ascii="Wingdings" w:hAnsi="Wingdings" w:hint="default"/>
      </w:rPr>
    </w:lvl>
    <w:lvl w:ilvl="8" w:tplc="E740476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711DD6"/>
    <w:multiLevelType w:val="hybridMultilevel"/>
    <w:tmpl w:val="C9FA3AF4"/>
    <w:lvl w:ilvl="0" w:tplc="2012D938">
      <w:start w:val="1"/>
      <w:numFmt w:val="bullet"/>
      <w:lvlText w:val=""/>
      <w:lvlJc w:val="left"/>
      <w:pPr>
        <w:tabs>
          <w:tab w:val="num" w:pos="720"/>
        </w:tabs>
        <w:ind w:left="720" w:hanging="360"/>
      </w:pPr>
      <w:rPr>
        <w:rFonts w:ascii="Wingdings" w:hAnsi="Wingdings" w:hint="default"/>
      </w:rPr>
    </w:lvl>
    <w:lvl w:ilvl="1" w:tplc="C2E6A014" w:tentative="1">
      <w:start w:val="1"/>
      <w:numFmt w:val="bullet"/>
      <w:lvlText w:val=""/>
      <w:lvlJc w:val="left"/>
      <w:pPr>
        <w:tabs>
          <w:tab w:val="num" w:pos="1440"/>
        </w:tabs>
        <w:ind w:left="1440" w:hanging="360"/>
      </w:pPr>
      <w:rPr>
        <w:rFonts w:ascii="Wingdings" w:hAnsi="Wingdings" w:hint="default"/>
      </w:rPr>
    </w:lvl>
    <w:lvl w:ilvl="2" w:tplc="B12EDF26" w:tentative="1">
      <w:start w:val="1"/>
      <w:numFmt w:val="bullet"/>
      <w:lvlText w:val=""/>
      <w:lvlJc w:val="left"/>
      <w:pPr>
        <w:tabs>
          <w:tab w:val="num" w:pos="2160"/>
        </w:tabs>
        <w:ind w:left="2160" w:hanging="360"/>
      </w:pPr>
      <w:rPr>
        <w:rFonts w:ascii="Wingdings" w:hAnsi="Wingdings" w:hint="default"/>
      </w:rPr>
    </w:lvl>
    <w:lvl w:ilvl="3" w:tplc="439E50A6" w:tentative="1">
      <w:start w:val="1"/>
      <w:numFmt w:val="bullet"/>
      <w:lvlText w:val=""/>
      <w:lvlJc w:val="left"/>
      <w:pPr>
        <w:tabs>
          <w:tab w:val="num" w:pos="2880"/>
        </w:tabs>
        <w:ind w:left="2880" w:hanging="360"/>
      </w:pPr>
      <w:rPr>
        <w:rFonts w:ascii="Wingdings" w:hAnsi="Wingdings" w:hint="default"/>
      </w:rPr>
    </w:lvl>
    <w:lvl w:ilvl="4" w:tplc="8B1C3F8C" w:tentative="1">
      <w:start w:val="1"/>
      <w:numFmt w:val="bullet"/>
      <w:lvlText w:val=""/>
      <w:lvlJc w:val="left"/>
      <w:pPr>
        <w:tabs>
          <w:tab w:val="num" w:pos="3600"/>
        </w:tabs>
        <w:ind w:left="3600" w:hanging="360"/>
      </w:pPr>
      <w:rPr>
        <w:rFonts w:ascii="Wingdings" w:hAnsi="Wingdings" w:hint="default"/>
      </w:rPr>
    </w:lvl>
    <w:lvl w:ilvl="5" w:tplc="6DE6ABCE" w:tentative="1">
      <w:start w:val="1"/>
      <w:numFmt w:val="bullet"/>
      <w:lvlText w:val=""/>
      <w:lvlJc w:val="left"/>
      <w:pPr>
        <w:tabs>
          <w:tab w:val="num" w:pos="4320"/>
        </w:tabs>
        <w:ind w:left="4320" w:hanging="360"/>
      </w:pPr>
      <w:rPr>
        <w:rFonts w:ascii="Wingdings" w:hAnsi="Wingdings" w:hint="default"/>
      </w:rPr>
    </w:lvl>
    <w:lvl w:ilvl="6" w:tplc="84D2E236" w:tentative="1">
      <w:start w:val="1"/>
      <w:numFmt w:val="bullet"/>
      <w:lvlText w:val=""/>
      <w:lvlJc w:val="left"/>
      <w:pPr>
        <w:tabs>
          <w:tab w:val="num" w:pos="5040"/>
        </w:tabs>
        <w:ind w:left="5040" w:hanging="360"/>
      </w:pPr>
      <w:rPr>
        <w:rFonts w:ascii="Wingdings" w:hAnsi="Wingdings" w:hint="default"/>
      </w:rPr>
    </w:lvl>
    <w:lvl w:ilvl="7" w:tplc="BA003022" w:tentative="1">
      <w:start w:val="1"/>
      <w:numFmt w:val="bullet"/>
      <w:lvlText w:val=""/>
      <w:lvlJc w:val="left"/>
      <w:pPr>
        <w:tabs>
          <w:tab w:val="num" w:pos="5760"/>
        </w:tabs>
        <w:ind w:left="5760" w:hanging="360"/>
      </w:pPr>
      <w:rPr>
        <w:rFonts w:ascii="Wingdings" w:hAnsi="Wingdings" w:hint="default"/>
      </w:rPr>
    </w:lvl>
    <w:lvl w:ilvl="8" w:tplc="087A93F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543A9F"/>
    <w:multiLevelType w:val="hybridMultilevel"/>
    <w:tmpl w:val="3510328A"/>
    <w:lvl w:ilvl="0" w:tplc="29BC877E">
      <w:start w:val="1"/>
      <w:numFmt w:val="bullet"/>
      <w:lvlText w:val="•"/>
      <w:lvlJc w:val="left"/>
      <w:pPr>
        <w:tabs>
          <w:tab w:val="num" w:pos="720"/>
        </w:tabs>
        <w:ind w:left="720" w:hanging="360"/>
      </w:pPr>
      <w:rPr>
        <w:rFonts w:ascii="Arial" w:hAnsi="Arial" w:hint="default"/>
      </w:rPr>
    </w:lvl>
    <w:lvl w:ilvl="1" w:tplc="72D85E54" w:tentative="1">
      <w:start w:val="1"/>
      <w:numFmt w:val="bullet"/>
      <w:lvlText w:val="•"/>
      <w:lvlJc w:val="left"/>
      <w:pPr>
        <w:tabs>
          <w:tab w:val="num" w:pos="1440"/>
        </w:tabs>
        <w:ind w:left="1440" w:hanging="360"/>
      </w:pPr>
      <w:rPr>
        <w:rFonts w:ascii="Arial" w:hAnsi="Arial" w:hint="default"/>
      </w:rPr>
    </w:lvl>
    <w:lvl w:ilvl="2" w:tplc="56021566" w:tentative="1">
      <w:start w:val="1"/>
      <w:numFmt w:val="bullet"/>
      <w:lvlText w:val="•"/>
      <w:lvlJc w:val="left"/>
      <w:pPr>
        <w:tabs>
          <w:tab w:val="num" w:pos="2160"/>
        </w:tabs>
        <w:ind w:left="2160" w:hanging="360"/>
      </w:pPr>
      <w:rPr>
        <w:rFonts w:ascii="Arial" w:hAnsi="Arial" w:hint="default"/>
      </w:rPr>
    </w:lvl>
    <w:lvl w:ilvl="3" w:tplc="4470F7A0" w:tentative="1">
      <w:start w:val="1"/>
      <w:numFmt w:val="bullet"/>
      <w:lvlText w:val="•"/>
      <w:lvlJc w:val="left"/>
      <w:pPr>
        <w:tabs>
          <w:tab w:val="num" w:pos="2880"/>
        </w:tabs>
        <w:ind w:left="2880" w:hanging="360"/>
      </w:pPr>
      <w:rPr>
        <w:rFonts w:ascii="Arial" w:hAnsi="Arial" w:hint="default"/>
      </w:rPr>
    </w:lvl>
    <w:lvl w:ilvl="4" w:tplc="44C22AEA" w:tentative="1">
      <w:start w:val="1"/>
      <w:numFmt w:val="bullet"/>
      <w:lvlText w:val="•"/>
      <w:lvlJc w:val="left"/>
      <w:pPr>
        <w:tabs>
          <w:tab w:val="num" w:pos="3600"/>
        </w:tabs>
        <w:ind w:left="3600" w:hanging="360"/>
      </w:pPr>
      <w:rPr>
        <w:rFonts w:ascii="Arial" w:hAnsi="Arial" w:hint="default"/>
      </w:rPr>
    </w:lvl>
    <w:lvl w:ilvl="5" w:tplc="D8D294F8" w:tentative="1">
      <w:start w:val="1"/>
      <w:numFmt w:val="bullet"/>
      <w:lvlText w:val="•"/>
      <w:lvlJc w:val="left"/>
      <w:pPr>
        <w:tabs>
          <w:tab w:val="num" w:pos="4320"/>
        </w:tabs>
        <w:ind w:left="4320" w:hanging="360"/>
      </w:pPr>
      <w:rPr>
        <w:rFonts w:ascii="Arial" w:hAnsi="Arial" w:hint="default"/>
      </w:rPr>
    </w:lvl>
    <w:lvl w:ilvl="6" w:tplc="6AC8D9FE" w:tentative="1">
      <w:start w:val="1"/>
      <w:numFmt w:val="bullet"/>
      <w:lvlText w:val="•"/>
      <w:lvlJc w:val="left"/>
      <w:pPr>
        <w:tabs>
          <w:tab w:val="num" w:pos="5040"/>
        </w:tabs>
        <w:ind w:left="5040" w:hanging="360"/>
      </w:pPr>
      <w:rPr>
        <w:rFonts w:ascii="Arial" w:hAnsi="Arial" w:hint="default"/>
      </w:rPr>
    </w:lvl>
    <w:lvl w:ilvl="7" w:tplc="6D4466C8" w:tentative="1">
      <w:start w:val="1"/>
      <w:numFmt w:val="bullet"/>
      <w:lvlText w:val="•"/>
      <w:lvlJc w:val="left"/>
      <w:pPr>
        <w:tabs>
          <w:tab w:val="num" w:pos="5760"/>
        </w:tabs>
        <w:ind w:left="5760" w:hanging="360"/>
      </w:pPr>
      <w:rPr>
        <w:rFonts w:ascii="Arial" w:hAnsi="Arial" w:hint="default"/>
      </w:rPr>
    </w:lvl>
    <w:lvl w:ilvl="8" w:tplc="82DA505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C902F3"/>
    <w:multiLevelType w:val="hybridMultilevel"/>
    <w:tmpl w:val="80967C18"/>
    <w:lvl w:ilvl="0" w:tplc="2EB678EE">
      <w:start w:val="1"/>
      <w:numFmt w:val="bullet"/>
      <w:lvlText w:val=""/>
      <w:lvlJc w:val="left"/>
      <w:pPr>
        <w:tabs>
          <w:tab w:val="num" w:pos="720"/>
        </w:tabs>
        <w:ind w:left="720" w:hanging="360"/>
      </w:pPr>
      <w:rPr>
        <w:rFonts w:ascii="Wingdings" w:hAnsi="Wingdings" w:hint="default"/>
      </w:rPr>
    </w:lvl>
    <w:lvl w:ilvl="1" w:tplc="D180CE86" w:tentative="1">
      <w:start w:val="1"/>
      <w:numFmt w:val="bullet"/>
      <w:lvlText w:val=""/>
      <w:lvlJc w:val="left"/>
      <w:pPr>
        <w:tabs>
          <w:tab w:val="num" w:pos="1440"/>
        </w:tabs>
        <w:ind w:left="1440" w:hanging="360"/>
      </w:pPr>
      <w:rPr>
        <w:rFonts w:ascii="Wingdings" w:hAnsi="Wingdings" w:hint="default"/>
      </w:rPr>
    </w:lvl>
    <w:lvl w:ilvl="2" w:tplc="A2F6287C" w:tentative="1">
      <w:start w:val="1"/>
      <w:numFmt w:val="bullet"/>
      <w:lvlText w:val=""/>
      <w:lvlJc w:val="left"/>
      <w:pPr>
        <w:tabs>
          <w:tab w:val="num" w:pos="2160"/>
        </w:tabs>
        <w:ind w:left="2160" w:hanging="360"/>
      </w:pPr>
      <w:rPr>
        <w:rFonts w:ascii="Wingdings" w:hAnsi="Wingdings" w:hint="default"/>
      </w:rPr>
    </w:lvl>
    <w:lvl w:ilvl="3" w:tplc="71DA4E76" w:tentative="1">
      <w:start w:val="1"/>
      <w:numFmt w:val="bullet"/>
      <w:lvlText w:val=""/>
      <w:lvlJc w:val="left"/>
      <w:pPr>
        <w:tabs>
          <w:tab w:val="num" w:pos="2880"/>
        </w:tabs>
        <w:ind w:left="2880" w:hanging="360"/>
      </w:pPr>
      <w:rPr>
        <w:rFonts w:ascii="Wingdings" w:hAnsi="Wingdings" w:hint="default"/>
      </w:rPr>
    </w:lvl>
    <w:lvl w:ilvl="4" w:tplc="5AA60B72" w:tentative="1">
      <w:start w:val="1"/>
      <w:numFmt w:val="bullet"/>
      <w:lvlText w:val=""/>
      <w:lvlJc w:val="left"/>
      <w:pPr>
        <w:tabs>
          <w:tab w:val="num" w:pos="3600"/>
        </w:tabs>
        <w:ind w:left="3600" w:hanging="360"/>
      </w:pPr>
      <w:rPr>
        <w:rFonts w:ascii="Wingdings" w:hAnsi="Wingdings" w:hint="default"/>
      </w:rPr>
    </w:lvl>
    <w:lvl w:ilvl="5" w:tplc="4FCA665C" w:tentative="1">
      <w:start w:val="1"/>
      <w:numFmt w:val="bullet"/>
      <w:lvlText w:val=""/>
      <w:lvlJc w:val="left"/>
      <w:pPr>
        <w:tabs>
          <w:tab w:val="num" w:pos="4320"/>
        </w:tabs>
        <w:ind w:left="4320" w:hanging="360"/>
      </w:pPr>
      <w:rPr>
        <w:rFonts w:ascii="Wingdings" w:hAnsi="Wingdings" w:hint="default"/>
      </w:rPr>
    </w:lvl>
    <w:lvl w:ilvl="6" w:tplc="552E1CFC" w:tentative="1">
      <w:start w:val="1"/>
      <w:numFmt w:val="bullet"/>
      <w:lvlText w:val=""/>
      <w:lvlJc w:val="left"/>
      <w:pPr>
        <w:tabs>
          <w:tab w:val="num" w:pos="5040"/>
        </w:tabs>
        <w:ind w:left="5040" w:hanging="360"/>
      </w:pPr>
      <w:rPr>
        <w:rFonts w:ascii="Wingdings" w:hAnsi="Wingdings" w:hint="default"/>
      </w:rPr>
    </w:lvl>
    <w:lvl w:ilvl="7" w:tplc="454CE9FA" w:tentative="1">
      <w:start w:val="1"/>
      <w:numFmt w:val="bullet"/>
      <w:lvlText w:val=""/>
      <w:lvlJc w:val="left"/>
      <w:pPr>
        <w:tabs>
          <w:tab w:val="num" w:pos="5760"/>
        </w:tabs>
        <w:ind w:left="5760" w:hanging="360"/>
      </w:pPr>
      <w:rPr>
        <w:rFonts w:ascii="Wingdings" w:hAnsi="Wingdings" w:hint="default"/>
      </w:rPr>
    </w:lvl>
    <w:lvl w:ilvl="8" w:tplc="B63A77F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3104D8"/>
    <w:multiLevelType w:val="hybridMultilevel"/>
    <w:tmpl w:val="29D8D02C"/>
    <w:lvl w:ilvl="0" w:tplc="E82800E0">
      <w:start w:val="1"/>
      <w:numFmt w:val="bullet"/>
      <w:lvlText w:val=""/>
      <w:lvlJc w:val="left"/>
      <w:pPr>
        <w:tabs>
          <w:tab w:val="num" w:pos="720"/>
        </w:tabs>
        <w:ind w:left="720" w:hanging="360"/>
      </w:pPr>
      <w:rPr>
        <w:rFonts w:ascii="Wingdings" w:hAnsi="Wingdings" w:hint="default"/>
      </w:rPr>
    </w:lvl>
    <w:lvl w:ilvl="1" w:tplc="D0E4459E" w:tentative="1">
      <w:start w:val="1"/>
      <w:numFmt w:val="bullet"/>
      <w:lvlText w:val=""/>
      <w:lvlJc w:val="left"/>
      <w:pPr>
        <w:tabs>
          <w:tab w:val="num" w:pos="1440"/>
        </w:tabs>
        <w:ind w:left="1440" w:hanging="360"/>
      </w:pPr>
      <w:rPr>
        <w:rFonts w:ascii="Wingdings" w:hAnsi="Wingdings" w:hint="default"/>
      </w:rPr>
    </w:lvl>
    <w:lvl w:ilvl="2" w:tplc="11EA8D8E" w:tentative="1">
      <w:start w:val="1"/>
      <w:numFmt w:val="bullet"/>
      <w:lvlText w:val=""/>
      <w:lvlJc w:val="left"/>
      <w:pPr>
        <w:tabs>
          <w:tab w:val="num" w:pos="2160"/>
        </w:tabs>
        <w:ind w:left="2160" w:hanging="360"/>
      </w:pPr>
      <w:rPr>
        <w:rFonts w:ascii="Wingdings" w:hAnsi="Wingdings" w:hint="default"/>
      </w:rPr>
    </w:lvl>
    <w:lvl w:ilvl="3" w:tplc="F384D8EE" w:tentative="1">
      <w:start w:val="1"/>
      <w:numFmt w:val="bullet"/>
      <w:lvlText w:val=""/>
      <w:lvlJc w:val="left"/>
      <w:pPr>
        <w:tabs>
          <w:tab w:val="num" w:pos="2880"/>
        </w:tabs>
        <w:ind w:left="2880" w:hanging="360"/>
      </w:pPr>
      <w:rPr>
        <w:rFonts w:ascii="Wingdings" w:hAnsi="Wingdings" w:hint="default"/>
      </w:rPr>
    </w:lvl>
    <w:lvl w:ilvl="4" w:tplc="D05E3E58" w:tentative="1">
      <w:start w:val="1"/>
      <w:numFmt w:val="bullet"/>
      <w:lvlText w:val=""/>
      <w:lvlJc w:val="left"/>
      <w:pPr>
        <w:tabs>
          <w:tab w:val="num" w:pos="3600"/>
        </w:tabs>
        <w:ind w:left="3600" w:hanging="360"/>
      </w:pPr>
      <w:rPr>
        <w:rFonts w:ascii="Wingdings" w:hAnsi="Wingdings" w:hint="default"/>
      </w:rPr>
    </w:lvl>
    <w:lvl w:ilvl="5" w:tplc="2702E2BE" w:tentative="1">
      <w:start w:val="1"/>
      <w:numFmt w:val="bullet"/>
      <w:lvlText w:val=""/>
      <w:lvlJc w:val="left"/>
      <w:pPr>
        <w:tabs>
          <w:tab w:val="num" w:pos="4320"/>
        </w:tabs>
        <w:ind w:left="4320" w:hanging="360"/>
      </w:pPr>
      <w:rPr>
        <w:rFonts w:ascii="Wingdings" w:hAnsi="Wingdings" w:hint="default"/>
      </w:rPr>
    </w:lvl>
    <w:lvl w:ilvl="6" w:tplc="207EC99A" w:tentative="1">
      <w:start w:val="1"/>
      <w:numFmt w:val="bullet"/>
      <w:lvlText w:val=""/>
      <w:lvlJc w:val="left"/>
      <w:pPr>
        <w:tabs>
          <w:tab w:val="num" w:pos="5040"/>
        </w:tabs>
        <w:ind w:left="5040" w:hanging="360"/>
      </w:pPr>
      <w:rPr>
        <w:rFonts w:ascii="Wingdings" w:hAnsi="Wingdings" w:hint="default"/>
      </w:rPr>
    </w:lvl>
    <w:lvl w:ilvl="7" w:tplc="D7DA82B2" w:tentative="1">
      <w:start w:val="1"/>
      <w:numFmt w:val="bullet"/>
      <w:lvlText w:val=""/>
      <w:lvlJc w:val="left"/>
      <w:pPr>
        <w:tabs>
          <w:tab w:val="num" w:pos="5760"/>
        </w:tabs>
        <w:ind w:left="5760" w:hanging="360"/>
      </w:pPr>
      <w:rPr>
        <w:rFonts w:ascii="Wingdings" w:hAnsi="Wingdings" w:hint="default"/>
      </w:rPr>
    </w:lvl>
    <w:lvl w:ilvl="8" w:tplc="5AF03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DF7741"/>
    <w:multiLevelType w:val="hybridMultilevel"/>
    <w:tmpl w:val="83FE34A2"/>
    <w:lvl w:ilvl="0" w:tplc="B6DA4EFC">
      <w:start w:val="1"/>
      <w:numFmt w:val="bullet"/>
      <w:lvlText w:val="•"/>
      <w:lvlJc w:val="left"/>
      <w:pPr>
        <w:tabs>
          <w:tab w:val="num" w:pos="720"/>
        </w:tabs>
        <w:ind w:left="720" w:hanging="360"/>
      </w:pPr>
      <w:rPr>
        <w:rFonts w:ascii="Arial" w:hAnsi="Arial" w:hint="default"/>
      </w:rPr>
    </w:lvl>
    <w:lvl w:ilvl="1" w:tplc="A614E482" w:tentative="1">
      <w:start w:val="1"/>
      <w:numFmt w:val="bullet"/>
      <w:lvlText w:val="•"/>
      <w:lvlJc w:val="left"/>
      <w:pPr>
        <w:tabs>
          <w:tab w:val="num" w:pos="1440"/>
        </w:tabs>
        <w:ind w:left="1440" w:hanging="360"/>
      </w:pPr>
      <w:rPr>
        <w:rFonts w:ascii="Arial" w:hAnsi="Arial" w:hint="default"/>
      </w:rPr>
    </w:lvl>
    <w:lvl w:ilvl="2" w:tplc="DAF8EB38" w:tentative="1">
      <w:start w:val="1"/>
      <w:numFmt w:val="bullet"/>
      <w:lvlText w:val="•"/>
      <w:lvlJc w:val="left"/>
      <w:pPr>
        <w:tabs>
          <w:tab w:val="num" w:pos="2160"/>
        </w:tabs>
        <w:ind w:left="2160" w:hanging="360"/>
      </w:pPr>
      <w:rPr>
        <w:rFonts w:ascii="Arial" w:hAnsi="Arial" w:hint="default"/>
      </w:rPr>
    </w:lvl>
    <w:lvl w:ilvl="3" w:tplc="62F0EF70" w:tentative="1">
      <w:start w:val="1"/>
      <w:numFmt w:val="bullet"/>
      <w:lvlText w:val="•"/>
      <w:lvlJc w:val="left"/>
      <w:pPr>
        <w:tabs>
          <w:tab w:val="num" w:pos="2880"/>
        </w:tabs>
        <w:ind w:left="2880" w:hanging="360"/>
      </w:pPr>
      <w:rPr>
        <w:rFonts w:ascii="Arial" w:hAnsi="Arial" w:hint="default"/>
      </w:rPr>
    </w:lvl>
    <w:lvl w:ilvl="4" w:tplc="25CEC5D4" w:tentative="1">
      <w:start w:val="1"/>
      <w:numFmt w:val="bullet"/>
      <w:lvlText w:val="•"/>
      <w:lvlJc w:val="left"/>
      <w:pPr>
        <w:tabs>
          <w:tab w:val="num" w:pos="3600"/>
        </w:tabs>
        <w:ind w:left="3600" w:hanging="360"/>
      </w:pPr>
      <w:rPr>
        <w:rFonts w:ascii="Arial" w:hAnsi="Arial" w:hint="default"/>
      </w:rPr>
    </w:lvl>
    <w:lvl w:ilvl="5" w:tplc="FB28D0F6" w:tentative="1">
      <w:start w:val="1"/>
      <w:numFmt w:val="bullet"/>
      <w:lvlText w:val="•"/>
      <w:lvlJc w:val="left"/>
      <w:pPr>
        <w:tabs>
          <w:tab w:val="num" w:pos="4320"/>
        </w:tabs>
        <w:ind w:left="4320" w:hanging="360"/>
      </w:pPr>
      <w:rPr>
        <w:rFonts w:ascii="Arial" w:hAnsi="Arial" w:hint="default"/>
      </w:rPr>
    </w:lvl>
    <w:lvl w:ilvl="6" w:tplc="266C4D54" w:tentative="1">
      <w:start w:val="1"/>
      <w:numFmt w:val="bullet"/>
      <w:lvlText w:val="•"/>
      <w:lvlJc w:val="left"/>
      <w:pPr>
        <w:tabs>
          <w:tab w:val="num" w:pos="5040"/>
        </w:tabs>
        <w:ind w:left="5040" w:hanging="360"/>
      </w:pPr>
      <w:rPr>
        <w:rFonts w:ascii="Arial" w:hAnsi="Arial" w:hint="default"/>
      </w:rPr>
    </w:lvl>
    <w:lvl w:ilvl="7" w:tplc="F710C924" w:tentative="1">
      <w:start w:val="1"/>
      <w:numFmt w:val="bullet"/>
      <w:lvlText w:val="•"/>
      <w:lvlJc w:val="left"/>
      <w:pPr>
        <w:tabs>
          <w:tab w:val="num" w:pos="5760"/>
        </w:tabs>
        <w:ind w:left="5760" w:hanging="360"/>
      </w:pPr>
      <w:rPr>
        <w:rFonts w:ascii="Arial" w:hAnsi="Arial" w:hint="default"/>
      </w:rPr>
    </w:lvl>
    <w:lvl w:ilvl="8" w:tplc="240A16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726E80"/>
    <w:multiLevelType w:val="hybridMultilevel"/>
    <w:tmpl w:val="D7D20FF8"/>
    <w:lvl w:ilvl="0" w:tplc="1624A9B4">
      <w:start w:val="1"/>
      <w:numFmt w:val="bullet"/>
      <w:lvlText w:val=""/>
      <w:lvlJc w:val="left"/>
      <w:pPr>
        <w:tabs>
          <w:tab w:val="num" w:pos="720"/>
        </w:tabs>
        <w:ind w:left="720" w:hanging="360"/>
      </w:pPr>
      <w:rPr>
        <w:rFonts w:ascii="Wingdings" w:hAnsi="Wingdings" w:hint="default"/>
      </w:rPr>
    </w:lvl>
    <w:lvl w:ilvl="1" w:tplc="02C0DE4E" w:tentative="1">
      <w:start w:val="1"/>
      <w:numFmt w:val="bullet"/>
      <w:lvlText w:val=""/>
      <w:lvlJc w:val="left"/>
      <w:pPr>
        <w:tabs>
          <w:tab w:val="num" w:pos="1440"/>
        </w:tabs>
        <w:ind w:left="1440" w:hanging="360"/>
      </w:pPr>
      <w:rPr>
        <w:rFonts w:ascii="Wingdings" w:hAnsi="Wingdings" w:hint="default"/>
      </w:rPr>
    </w:lvl>
    <w:lvl w:ilvl="2" w:tplc="113817C6" w:tentative="1">
      <w:start w:val="1"/>
      <w:numFmt w:val="bullet"/>
      <w:lvlText w:val=""/>
      <w:lvlJc w:val="left"/>
      <w:pPr>
        <w:tabs>
          <w:tab w:val="num" w:pos="2160"/>
        </w:tabs>
        <w:ind w:left="2160" w:hanging="360"/>
      </w:pPr>
      <w:rPr>
        <w:rFonts w:ascii="Wingdings" w:hAnsi="Wingdings" w:hint="default"/>
      </w:rPr>
    </w:lvl>
    <w:lvl w:ilvl="3" w:tplc="69E4CC7E" w:tentative="1">
      <w:start w:val="1"/>
      <w:numFmt w:val="bullet"/>
      <w:lvlText w:val=""/>
      <w:lvlJc w:val="left"/>
      <w:pPr>
        <w:tabs>
          <w:tab w:val="num" w:pos="2880"/>
        </w:tabs>
        <w:ind w:left="2880" w:hanging="360"/>
      </w:pPr>
      <w:rPr>
        <w:rFonts w:ascii="Wingdings" w:hAnsi="Wingdings" w:hint="default"/>
      </w:rPr>
    </w:lvl>
    <w:lvl w:ilvl="4" w:tplc="7F7678F2" w:tentative="1">
      <w:start w:val="1"/>
      <w:numFmt w:val="bullet"/>
      <w:lvlText w:val=""/>
      <w:lvlJc w:val="left"/>
      <w:pPr>
        <w:tabs>
          <w:tab w:val="num" w:pos="3600"/>
        </w:tabs>
        <w:ind w:left="3600" w:hanging="360"/>
      </w:pPr>
      <w:rPr>
        <w:rFonts w:ascii="Wingdings" w:hAnsi="Wingdings" w:hint="default"/>
      </w:rPr>
    </w:lvl>
    <w:lvl w:ilvl="5" w:tplc="809C6400" w:tentative="1">
      <w:start w:val="1"/>
      <w:numFmt w:val="bullet"/>
      <w:lvlText w:val=""/>
      <w:lvlJc w:val="left"/>
      <w:pPr>
        <w:tabs>
          <w:tab w:val="num" w:pos="4320"/>
        </w:tabs>
        <w:ind w:left="4320" w:hanging="360"/>
      </w:pPr>
      <w:rPr>
        <w:rFonts w:ascii="Wingdings" w:hAnsi="Wingdings" w:hint="default"/>
      </w:rPr>
    </w:lvl>
    <w:lvl w:ilvl="6" w:tplc="C84EDB22" w:tentative="1">
      <w:start w:val="1"/>
      <w:numFmt w:val="bullet"/>
      <w:lvlText w:val=""/>
      <w:lvlJc w:val="left"/>
      <w:pPr>
        <w:tabs>
          <w:tab w:val="num" w:pos="5040"/>
        </w:tabs>
        <w:ind w:left="5040" w:hanging="360"/>
      </w:pPr>
      <w:rPr>
        <w:rFonts w:ascii="Wingdings" w:hAnsi="Wingdings" w:hint="default"/>
      </w:rPr>
    </w:lvl>
    <w:lvl w:ilvl="7" w:tplc="47EA682C" w:tentative="1">
      <w:start w:val="1"/>
      <w:numFmt w:val="bullet"/>
      <w:lvlText w:val=""/>
      <w:lvlJc w:val="left"/>
      <w:pPr>
        <w:tabs>
          <w:tab w:val="num" w:pos="5760"/>
        </w:tabs>
        <w:ind w:left="5760" w:hanging="360"/>
      </w:pPr>
      <w:rPr>
        <w:rFonts w:ascii="Wingdings" w:hAnsi="Wingdings" w:hint="default"/>
      </w:rPr>
    </w:lvl>
    <w:lvl w:ilvl="8" w:tplc="EF647B8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746602"/>
    <w:multiLevelType w:val="hybridMultilevel"/>
    <w:tmpl w:val="3216D7CE"/>
    <w:lvl w:ilvl="0" w:tplc="70AAC67E">
      <w:start w:val="1"/>
      <w:numFmt w:val="bullet"/>
      <w:lvlText w:val="•"/>
      <w:lvlJc w:val="left"/>
      <w:pPr>
        <w:tabs>
          <w:tab w:val="num" w:pos="720"/>
        </w:tabs>
        <w:ind w:left="720" w:hanging="360"/>
      </w:pPr>
      <w:rPr>
        <w:rFonts w:ascii="Arial" w:hAnsi="Arial" w:hint="default"/>
      </w:rPr>
    </w:lvl>
    <w:lvl w:ilvl="1" w:tplc="86FE4586" w:tentative="1">
      <w:start w:val="1"/>
      <w:numFmt w:val="bullet"/>
      <w:lvlText w:val="•"/>
      <w:lvlJc w:val="left"/>
      <w:pPr>
        <w:tabs>
          <w:tab w:val="num" w:pos="1440"/>
        </w:tabs>
        <w:ind w:left="1440" w:hanging="360"/>
      </w:pPr>
      <w:rPr>
        <w:rFonts w:ascii="Arial" w:hAnsi="Arial" w:hint="default"/>
      </w:rPr>
    </w:lvl>
    <w:lvl w:ilvl="2" w:tplc="8CB45FCC" w:tentative="1">
      <w:start w:val="1"/>
      <w:numFmt w:val="bullet"/>
      <w:lvlText w:val="•"/>
      <w:lvlJc w:val="left"/>
      <w:pPr>
        <w:tabs>
          <w:tab w:val="num" w:pos="2160"/>
        </w:tabs>
        <w:ind w:left="2160" w:hanging="360"/>
      </w:pPr>
      <w:rPr>
        <w:rFonts w:ascii="Arial" w:hAnsi="Arial" w:hint="default"/>
      </w:rPr>
    </w:lvl>
    <w:lvl w:ilvl="3" w:tplc="7DBE3F4C" w:tentative="1">
      <w:start w:val="1"/>
      <w:numFmt w:val="bullet"/>
      <w:lvlText w:val="•"/>
      <w:lvlJc w:val="left"/>
      <w:pPr>
        <w:tabs>
          <w:tab w:val="num" w:pos="2880"/>
        </w:tabs>
        <w:ind w:left="2880" w:hanging="360"/>
      </w:pPr>
      <w:rPr>
        <w:rFonts w:ascii="Arial" w:hAnsi="Arial" w:hint="default"/>
      </w:rPr>
    </w:lvl>
    <w:lvl w:ilvl="4" w:tplc="BF5EF9E0" w:tentative="1">
      <w:start w:val="1"/>
      <w:numFmt w:val="bullet"/>
      <w:lvlText w:val="•"/>
      <w:lvlJc w:val="left"/>
      <w:pPr>
        <w:tabs>
          <w:tab w:val="num" w:pos="3600"/>
        </w:tabs>
        <w:ind w:left="3600" w:hanging="360"/>
      </w:pPr>
      <w:rPr>
        <w:rFonts w:ascii="Arial" w:hAnsi="Arial" w:hint="default"/>
      </w:rPr>
    </w:lvl>
    <w:lvl w:ilvl="5" w:tplc="A558BA86" w:tentative="1">
      <w:start w:val="1"/>
      <w:numFmt w:val="bullet"/>
      <w:lvlText w:val="•"/>
      <w:lvlJc w:val="left"/>
      <w:pPr>
        <w:tabs>
          <w:tab w:val="num" w:pos="4320"/>
        </w:tabs>
        <w:ind w:left="4320" w:hanging="360"/>
      </w:pPr>
      <w:rPr>
        <w:rFonts w:ascii="Arial" w:hAnsi="Arial" w:hint="default"/>
      </w:rPr>
    </w:lvl>
    <w:lvl w:ilvl="6" w:tplc="6060D780" w:tentative="1">
      <w:start w:val="1"/>
      <w:numFmt w:val="bullet"/>
      <w:lvlText w:val="•"/>
      <w:lvlJc w:val="left"/>
      <w:pPr>
        <w:tabs>
          <w:tab w:val="num" w:pos="5040"/>
        </w:tabs>
        <w:ind w:left="5040" w:hanging="360"/>
      </w:pPr>
      <w:rPr>
        <w:rFonts w:ascii="Arial" w:hAnsi="Arial" w:hint="default"/>
      </w:rPr>
    </w:lvl>
    <w:lvl w:ilvl="7" w:tplc="C832C89E" w:tentative="1">
      <w:start w:val="1"/>
      <w:numFmt w:val="bullet"/>
      <w:lvlText w:val="•"/>
      <w:lvlJc w:val="left"/>
      <w:pPr>
        <w:tabs>
          <w:tab w:val="num" w:pos="5760"/>
        </w:tabs>
        <w:ind w:left="5760" w:hanging="360"/>
      </w:pPr>
      <w:rPr>
        <w:rFonts w:ascii="Arial" w:hAnsi="Arial" w:hint="default"/>
      </w:rPr>
    </w:lvl>
    <w:lvl w:ilvl="8" w:tplc="E0080CB0"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4"/>
  </w:num>
  <w:num w:numId="3">
    <w:abstractNumId w:val="1"/>
  </w:num>
  <w:num w:numId="4">
    <w:abstractNumId w:val="7"/>
  </w:num>
  <w:num w:numId="5">
    <w:abstractNumId w:val="8"/>
  </w:num>
  <w:num w:numId="6">
    <w:abstractNumId w:val="2"/>
  </w:num>
  <w:num w:numId="7">
    <w:abstractNumId w:val="3"/>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314"/>
    <w:rsid w:val="000108DD"/>
    <w:rsid w:val="005A657F"/>
    <w:rsid w:val="006A6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D7AD7"/>
  <w15:chartTrackingRefBased/>
  <w15:docId w15:val="{004298E1-07A0-4B71-8678-3FADCBA6A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1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A63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6314"/>
    <w:rPr>
      <w:sz w:val="20"/>
      <w:szCs w:val="20"/>
    </w:rPr>
  </w:style>
  <w:style w:type="character" w:styleId="FootnoteReference">
    <w:name w:val="footnote reference"/>
    <w:basedOn w:val="DefaultParagraphFont"/>
    <w:uiPriority w:val="99"/>
    <w:semiHidden/>
    <w:unhideWhenUsed/>
    <w:rsid w:val="006A6314"/>
    <w:rPr>
      <w:vertAlign w:val="superscript"/>
    </w:rPr>
  </w:style>
  <w:style w:type="paragraph" w:styleId="NormalWeb">
    <w:name w:val="Normal (Web)"/>
    <w:basedOn w:val="Normal"/>
    <w:uiPriority w:val="99"/>
    <w:unhideWhenUsed/>
    <w:rsid w:val="006A63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A6314"/>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91866">
      <w:bodyDiv w:val="1"/>
      <w:marLeft w:val="0"/>
      <w:marRight w:val="0"/>
      <w:marTop w:val="0"/>
      <w:marBottom w:val="0"/>
      <w:divBdr>
        <w:top w:val="none" w:sz="0" w:space="0" w:color="auto"/>
        <w:left w:val="none" w:sz="0" w:space="0" w:color="auto"/>
        <w:bottom w:val="none" w:sz="0" w:space="0" w:color="auto"/>
        <w:right w:val="none" w:sz="0" w:space="0" w:color="auto"/>
      </w:divBdr>
    </w:div>
    <w:div w:id="308246132">
      <w:bodyDiv w:val="1"/>
      <w:marLeft w:val="0"/>
      <w:marRight w:val="0"/>
      <w:marTop w:val="0"/>
      <w:marBottom w:val="0"/>
      <w:divBdr>
        <w:top w:val="none" w:sz="0" w:space="0" w:color="auto"/>
        <w:left w:val="none" w:sz="0" w:space="0" w:color="auto"/>
        <w:bottom w:val="none" w:sz="0" w:space="0" w:color="auto"/>
        <w:right w:val="none" w:sz="0" w:space="0" w:color="auto"/>
      </w:divBdr>
    </w:div>
    <w:div w:id="387187069">
      <w:bodyDiv w:val="1"/>
      <w:marLeft w:val="0"/>
      <w:marRight w:val="0"/>
      <w:marTop w:val="0"/>
      <w:marBottom w:val="0"/>
      <w:divBdr>
        <w:top w:val="none" w:sz="0" w:space="0" w:color="auto"/>
        <w:left w:val="none" w:sz="0" w:space="0" w:color="auto"/>
        <w:bottom w:val="none" w:sz="0" w:space="0" w:color="auto"/>
        <w:right w:val="none" w:sz="0" w:space="0" w:color="auto"/>
      </w:divBdr>
    </w:div>
    <w:div w:id="402261324">
      <w:bodyDiv w:val="1"/>
      <w:marLeft w:val="0"/>
      <w:marRight w:val="0"/>
      <w:marTop w:val="0"/>
      <w:marBottom w:val="0"/>
      <w:divBdr>
        <w:top w:val="none" w:sz="0" w:space="0" w:color="auto"/>
        <w:left w:val="none" w:sz="0" w:space="0" w:color="auto"/>
        <w:bottom w:val="none" w:sz="0" w:space="0" w:color="auto"/>
        <w:right w:val="none" w:sz="0" w:space="0" w:color="auto"/>
      </w:divBdr>
      <w:divsChild>
        <w:div w:id="1822310234">
          <w:marLeft w:val="547"/>
          <w:marRight w:val="0"/>
          <w:marTop w:val="0"/>
          <w:marBottom w:val="0"/>
          <w:divBdr>
            <w:top w:val="none" w:sz="0" w:space="0" w:color="auto"/>
            <w:left w:val="none" w:sz="0" w:space="0" w:color="auto"/>
            <w:bottom w:val="none" w:sz="0" w:space="0" w:color="auto"/>
            <w:right w:val="none" w:sz="0" w:space="0" w:color="auto"/>
          </w:divBdr>
        </w:div>
        <w:div w:id="1258563838">
          <w:marLeft w:val="547"/>
          <w:marRight w:val="0"/>
          <w:marTop w:val="0"/>
          <w:marBottom w:val="0"/>
          <w:divBdr>
            <w:top w:val="none" w:sz="0" w:space="0" w:color="auto"/>
            <w:left w:val="none" w:sz="0" w:space="0" w:color="auto"/>
            <w:bottom w:val="none" w:sz="0" w:space="0" w:color="auto"/>
            <w:right w:val="none" w:sz="0" w:space="0" w:color="auto"/>
          </w:divBdr>
        </w:div>
        <w:div w:id="511988686">
          <w:marLeft w:val="547"/>
          <w:marRight w:val="0"/>
          <w:marTop w:val="0"/>
          <w:marBottom w:val="0"/>
          <w:divBdr>
            <w:top w:val="none" w:sz="0" w:space="0" w:color="auto"/>
            <w:left w:val="none" w:sz="0" w:space="0" w:color="auto"/>
            <w:bottom w:val="none" w:sz="0" w:space="0" w:color="auto"/>
            <w:right w:val="none" w:sz="0" w:space="0" w:color="auto"/>
          </w:divBdr>
        </w:div>
      </w:divsChild>
    </w:div>
    <w:div w:id="484901305">
      <w:bodyDiv w:val="1"/>
      <w:marLeft w:val="0"/>
      <w:marRight w:val="0"/>
      <w:marTop w:val="0"/>
      <w:marBottom w:val="0"/>
      <w:divBdr>
        <w:top w:val="none" w:sz="0" w:space="0" w:color="auto"/>
        <w:left w:val="none" w:sz="0" w:space="0" w:color="auto"/>
        <w:bottom w:val="none" w:sz="0" w:space="0" w:color="auto"/>
        <w:right w:val="none" w:sz="0" w:space="0" w:color="auto"/>
      </w:divBdr>
    </w:div>
    <w:div w:id="705376699">
      <w:bodyDiv w:val="1"/>
      <w:marLeft w:val="0"/>
      <w:marRight w:val="0"/>
      <w:marTop w:val="0"/>
      <w:marBottom w:val="0"/>
      <w:divBdr>
        <w:top w:val="none" w:sz="0" w:space="0" w:color="auto"/>
        <w:left w:val="none" w:sz="0" w:space="0" w:color="auto"/>
        <w:bottom w:val="none" w:sz="0" w:space="0" w:color="auto"/>
        <w:right w:val="none" w:sz="0" w:space="0" w:color="auto"/>
      </w:divBdr>
    </w:div>
    <w:div w:id="728186659">
      <w:bodyDiv w:val="1"/>
      <w:marLeft w:val="0"/>
      <w:marRight w:val="0"/>
      <w:marTop w:val="0"/>
      <w:marBottom w:val="0"/>
      <w:divBdr>
        <w:top w:val="none" w:sz="0" w:space="0" w:color="auto"/>
        <w:left w:val="none" w:sz="0" w:space="0" w:color="auto"/>
        <w:bottom w:val="none" w:sz="0" w:space="0" w:color="auto"/>
        <w:right w:val="none" w:sz="0" w:space="0" w:color="auto"/>
      </w:divBdr>
      <w:divsChild>
        <w:div w:id="893463623">
          <w:marLeft w:val="446"/>
          <w:marRight w:val="0"/>
          <w:marTop w:val="0"/>
          <w:marBottom w:val="0"/>
          <w:divBdr>
            <w:top w:val="none" w:sz="0" w:space="0" w:color="auto"/>
            <w:left w:val="none" w:sz="0" w:space="0" w:color="auto"/>
            <w:bottom w:val="none" w:sz="0" w:space="0" w:color="auto"/>
            <w:right w:val="none" w:sz="0" w:space="0" w:color="auto"/>
          </w:divBdr>
        </w:div>
      </w:divsChild>
    </w:div>
    <w:div w:id="960191908">
      <w:bodyDiv w:val="1"/>
      <w:marLeft w:val="0"/>
      <w:marRight w:val="0"/>
      <w:marTop w:val="0"/>
      <w:marBottom w:val="0"/>
      <w:divBdr>
        <w:top w:val="none" w:sz="0" w:space="0" w:color="auto"/>
        <w:left w:val="none" w:sz="0" w:space="0" w:color="auto"/>
        <w:bottom w:val="none" w:sz="0" w:space="0" w:color="auto"/>
        <w:right w:val="none" w:sz="0" w:space="0" w:color="auto"/>
      </w:divBdr>
      <w:divsChild>
        <w:div w:id="1845195508">
          <w:marLeft w:val="547"/>
          <w:marRight w:val="0"/>
          <w:marTop w:val="0"/>
          <w:marBottom w:val="120"/>
          <w:divBdr>
            <w:top w:val="none" w:sz="0" w:space="0" w:color="auto"/>
            <w:left w:val="none" w:sz="0" w:space="0" w:color="auto"/>
            <w:bottom w:val="none" w:sz="0" w:space="0" w:color="auto"/>
            <w:right w:val="none" w:sz="0" w:space="0" w:color="auto"/>
          </w:divBdr>
        </w:div>
        <w:div w:id="582687016">
          <w:marLeft w:val="547"/>
          <w:marRight w:val="0"/>
          <w:marTop w:val="0"/>
          <w:marBottom w:val="120"/>
          <w:divBdr>
            <w:top w:val="none" w:sz="0" w:space="0" w:color="auto"/>
            <w:left w:val="none" w:sz="0" w:space="0" w:color="auto"/>
            <w:bottom w:val="none" w:sz="0" w:space="0" w:color="auto"/>
            <w:right w:val="none" w:sz="0" w:space="0" w:color="auto"/>
          </w:divBdr>
        </w:div>
        <w:div w:id="1695229482">
          <w:marLeft w:val="547"/>
          <w:marRight w:val="0"/>
          <w:marTop w:val="0"/>
          <w:marBottom w:val="120"/>
          <w:divBdr>
            <w:top w:val="none" w:sz="0" w:space="0" w:color="auto"/>
            <w:left w:val="none" w:sz="0" w:space="0" w:color="auto"/>
            <w:bottom w:val="none" w:sz="0" w:space="0" w:color="auto"/>
            <w:right w:val="none" w:sz="0" w:space="0" w:color="auto"/>
          </w:divBdr>
        </w:div>
      </w:divsChild>
    </w:div>
    <w:div w:id="1196507800">
      <w:bodyDiv w:val="1"/>
      <w:marLeft w:val="0"/>
      <w:marRight w:val="0"/>
      <w:marTop w:val="0"/>
      <w:marBottom w:val="0"/>
      <w:divBdr>
        <w:top w:val="none" w:sz="0" w:space="0" w:color="auto"/>
        <w:left w:val="none" w:sz="0" w:space="0" w:color="auto"/>
        <w:bottom w:val="none" w:sz="0" w:space="0" w:color="auto"/>
        <w:right w:val="none" w:sz="0" w:space="0" w:color="auto"/>
      </w:divBdr>
    </w:div>
    <w:div w:id="1388648351">
      <w:bodyDiv w:val="1"/>
      <w:marLeft w:val="0"/>
      <w:marRight w:val="0"/>
      <w:marTop w:val="0"/>
      <w:marBottom w:val="0"/>
      <w:divBdr>
        <w:top w:val="none" w:sz="0" w:space="0" w:color="auto"/>
        <w:left w:val="none" w:sz="0" w:space="0" w:color="auto"/>
        <w:bottom w:val="none" w:sz="0" w:space="0" w:color="auto"/>
        <w:right w:val="none" w:sz="0" w:space="0" w:color="auto"/>
      </w:divBdr>
      <w:divsChild>
        <w:div w:id="114522146">
          <w:marLeft w:val="446"/>
          <w:marRight w:val="0"/>
          <w:marTop w:val="0"/>
          <w:marBottom w:val="0"/>
          <w:divBdr>
            <w:top w:val="none" w:sz="0" w:space="0" w:color="auto"/>
            <w:left w:val="none" w:sz="0" w:space="0" w:color="auto"/>
            <w:bottom w:val="none" w:sz="0" w:space="0" w:color="auto"/>
            <w:right w:val="none" w:sz="0" w:space="0" w:color="auto"/>
          </w:divBdr>
        </w:div>
        <w:div w:id="766390977">
          <w:marLeft w:val="446"/>
          <w:marRight w:val="0"/>
          <w:marTop w:val="0"/>
          <w:marBottom w:val="0"/>
          <w:divBdr>
            <w:top w:val="none" w:sz="0" w:space="0" w:color="auto"/>
            <w:left w:val="none" w:sz="0" w:space="0" w:color="auto"/>
            <w:bottom w:val="none" w:sz="0" w:space="0" w:color="auto"/>
            <w:right w:val="none" w:sz="0" w:space="0" w:color="auto"/>
          </w:divBdr>
        </w:div>
        <w:div w:id="815803804">
          <w:marLeft w:val="446"/>
          <w:marRight w:val="0"/>
          <w:marTop w:val="0"/>
          <w:marBottom w:val="0"/>
          <w:divBdr>
            <w:top w:val="none" w:sz="0" w:space="0" w:color="auto"/>
            <w:left w:val="none" w:sz="0" w:space="0" w:color="auto"/>
            <w:bottom w:val="none" w:sz="0" w:space="0" w:color="auto"/>
            <w:right w:val="none" w:sz="0" w:space="0" w:color="auto"/>
          </w:divBdr>
        </w:div>
      </w:divsChild>
    </w:div>
    <w:div w:id="1489590933">
      <w:bodyDiv w:val="1"/>
      <w:marLeft w:val="0"/>
      <w:marRight w:val="0"/>
      <w:marTop w:val="0"/>
      <w:marBottom w:val="0"/>
      <w:divBdr>
        <w:top w:val="none" w:sz="0" w:space="0" w:color="auto"/>
        <w:left w:val="none" w:sz="0" w:space="0" w:color="auto"/>
        <w:bottom w:val="none" w:sz="0" w:space="0" w:color="auto"/>
        <w:right w:val="none" w:sz="0" w:space="0" w:color="auto"/>
      </w:divBdr>
    </w:div>
    <w:div w:id="1701126925">
      <w:bodyDiv w:val="1"/>
      <w:marLeft w:val="0"/>
      <w:marRight w:val="0"/>
      <w:marTop w:val="0"/>
      <w:marBottom w:val="0"/>
      <w:divBdr>
        <w:top w:val="none" w:sz="0" w:space="0" w:color="auto"/>
        <w:left w:val="none" w:sz="0" w:space="0" w:color="auto"/>
        <w:bottom w:val="none" w:sz="0" w:space="0" w:color="auto"/>
        <w:right w:val="none" w:sz="0" w:space="0" w:color="auto"/>
      </w:divBdr>
      <w:divsChild>
        <w:div w:id="1942490569">
          <w:marLeft w:val="446"/>
          <w:marRight w:val="0"/>
          <w:marTop w:val="0"/>
          <w:marBottom w:val="0"/>
          <w:divBdr>
            <w:top w:val="none" w:sz="0" w:space="0" w:color="auto"/>
            <w:left w:val="none" w:sz="0" w:space="0" w:color="auto"/>
            <w:bottom w:val="none" w:sz="0" w:space="0" w:color="auto"/>
            <w:right w:val="none" w:sz="0" w:space="0" w:color="auto"/>
          </w:divBdr>
        </w:div>
      </w:divsChild>
    </w:div>
    <w:div w:id="1805922157">
      <w:bodyDiv w:val="1"/>
      <w:marLeft w:val="0"/>
      <w:marRight w:val="0"/>
      <w:marTop w:val="0"/>
      <w:marBottom w:val="0"/>
      <w:divBdr>
        <w:top w:val="none" w:sz="0" w:space="0" w:color="auto"/>
        <w:left w:val="none" w:sz="0" w:space="0" w:color="auto"/>
        <w:bottom w:val="none" w:sz="0" w:space="0" w:color="auto"/>
        <w:right w:val="none" w:sz="0" w:space="0" w:color="auto"/>
      </w:divBdr>
      <w:divsChild>
        <w:div w:id="1084649599">
          <w:marLeft w:val="547"/>
          <w:marRight w:val="0"/>
          <w:marTop w:val="0"/>
          <w:marBottom w:val="0"/>
          <w:divBdr>
            <w:top w:val="none" w:sz="0" w:space="0" w:color="auto"/>
            <w:left w:val="none" w:sz="0" w:space="0" w:color="auto"/>
            <w:bottom w:val="none" w:sz="0" w:space="0" w:color="auto"/>
            <w:right w:val="none" w:sz="0" w:space="0" w:color="auto"/>
          </w:divBdr>
        </w:div>
        <w:div w:id="1936016278">
          <w:marLeft w:val="547"/>
          <w:marRight w:val="0"/>
          <w:marTop w:val="0"/>
          <w:marBottom w:val="0"/>
          <w:divBdr>
            <w:top w:val="none" w:sz="0" w:space="0" w:color="auto"/>
            <w:left w:val="none" w:sz="0" w:space="0" w:color="auto"/>
            <w:bottom w:val="none" w:sz="0" w:space="0" w:color="auto"/>
            <w:right w:val="none" w:sz="0" w:space="0" w:color="auto"/>
          </w:divBdr>
        </w:div>
        <w:div w:id="1934245682">
          <w:marLeft w:val="547"/>
          <w:marRight w:val="0"/>
          <w:marTop w:val="0"/>
          <w:marBottom w:val="0"/>
          <w:divBdr>
            <w:top w:val="none" w:sz="0" w:space="0" w:color="auto"/>
            <w:left w:val="none" w:sz="0" w:space="0" w:color="auto"/>
            <w:bottom w:val="none" w:sz="0" w:space="0" w:color="auto"/>
            <w:right w:val="none" w:sz="0" w:space="0" w:color="auto"/>
          </w:divBdr>
        </w:div>
      </w:divsChild>
    </w:div>
    <w:div w:id="1807622352">
      <w:bodyDiv w:val="1"/>
      <w:marLeft w:val="0"/>
      <w:marRight w:val="0"/>
      <w:marTop w:val="0"/>
      <w:marBottom w:val="0"/>
      <w:divBdr>
        <w:top w:val="none" w:sz="0" w:space="0" w:color="auto"/>
        <w:left w:val="none" w:sz="0" w:space="0" w:color="auto"/>
        <w:bottom w:val="none" w:sz="0" w:space="0" w:color="auto"/>
        <w:right w:val="none" w:sz="0" w:space="0" w:color="auto"/>
      </w:divBdr>
      <w:divsChild>
        <w:div w:id="1575823955">
          <w:marLeft w:val="274"/>
          <w:marRight w:val="0"/>
          <w:marTop w:val="0"/>
          <w:marBottom w:val="160"/>
          <w:divBdr>
            <w:top w:val="none" w:sz="0" w:space="0" w:color="auto"/>
            <w:left w:val="none" w:sz="0" w:space="0" w:color="auto"/>
            <w:bottom w:val="none" w:sz="0" w:space="0" w:color="auto"/>
            <w:right w:val="none" w:sz="0" w:space="0" w:color="auto"/>
          </w:divBdr>
        </w:div>
        <w:div w:id="822739644">
          <w:marLeft w:val="274"/>
          <w:marRight w:val="0"/>
          <w:marTop w:val="0"/>
          <w:marBottom w:val="160"/>
          <w:divBdr>
            <w:top w:val="none" w:sz="0" w:space="0" w:color="auto"/>
            <w:left w:val="none" w:sz="0" w:space="0" w:color="auto"/>
            <w:bottom w:val="none" w:sz="0" w:space="0" w:color="auto"/>
            <w:right w:val="none" w:sz="0" w:space="0" w:color="auto"/>
          </w:divBdr>
        </w:div>
      </w:divsChild>
    </w:div>
    <w:div w:id="1831216310">
      <w:bodyDiv w:val="1"/>
      <w:marLeft w:val="0"/>
      <w:marRight w:val="0"/>
      <w:marTop w:val="0"/>
      <w:marBottom w:val="0"/>
      <w:divBdr>
        <w:top w:val="none" w:sz="0" w:space="0" w:color="auto"/>
        <w:left w:val="none" w:sz="0" w:space="0" w:color="auto"/>
        <w:bottom w:val="none" w:sz="0" w:space="0" w:color="auto"/>
        <w:right w:val="none" w:sz="0" w:space="0" w:color="auto"/>
      </w:divBdr>
      <w:divsChild>
        <w:div w:id="1241480265">
          <w:marLeft w:val="547"/>
          <w:marRight w:val="0"/>
          <w:marTop w:val="0"/>
          <w:marBottom w:val="120"/>
          <w:divBdr>
            <w:top w:val="none" w:sz="0" w:space="0" w:color="auto"/>
            <w:left w:val="none" w:sz="0" w:space="0" w:color="auto"/>
            <w:bottom w:val="none" w:sz="0" w:space="0" w:color="auto"/>
            <w:right w:val="none" w:sz="0" w:space="0" w:color="auto"/>
          </w:divBdr>
        </w:div>
        <w:div w:id="1067073343">
          <w:marLeft w:val="547"/>
          <w:marRight w:val="0"/>
          <w:marTop w:val="0"/>
          <w:marBottom w:val="120"/>
          <w:divBdr>
            <w:top w:val="none" w:sz="0" w:space="0" w:color="auto"/>
            <w:left w:val="none" w:sz="0" w:space="0" w:color="auto"/>
            <w:bottom w:val="none" w:sz="0" w:space="0" w:color="auto"/>
            <w:right w:val="none" w:sz="0" w:space="0" w:color="auto"/>
          </w:divBdr>
        </w:div>
      </w:divsChild>
    </w:div>
    <w:div w:id="2039624357">
      <w:bodyDiv w:val="1"/>
      <w:marLeft w:val="0"/>
      <w:marRight w:val="0"/>
      <w:marTop w:val="0"/>
      <w:marBottom w:val="0"/>
      <w:divBdr>
        <w:top w:val="none" w:sz="0" w:space="0" w:color="auto"/>
        <w:left w:val="none" w:sz="0" w:space="0" w:color="auto"/>
        <w:bottom w:val="none" w:sz="0" w:space="0" w:color="auto"/>
        <w:right w:val="none" w:sz="0" w:space="0" w:color="auto"/>
      </w:divBdr>
    </w:div>
    <w:div w:id="2050102467">
      <w:bodyDiv w:val="1"/>
      <w:marLeft w:val="0"/>
      <w:marRight w:val="0"/>
      <w:marTop w:val="0"/>
      <w:marBottom w:val="0"/>
      <w:divBdr>
        <w:top w:val="none" w:sz="0" w:space="0" w:color="auto"/>
        <w:left w:val="none" w:sz="0" w:space="0" w:color="auto"/>
        <w:bottom w:val="none" w:sz="0" w:space="0" w:color="auto"/>
        <w:right w:val="none" w:sz="0" w:space="0" w:color="auto"/>
      </w:divBdr>
    </w:div>
    <w:div w:id="2050228830">
      <w:bodyDiv w:val="1"/>
      <w:marLeft w:val="0"/>
      <w:marRight w:val="0"/>
      <w:marTop w:val="0"/>
      <w:marBottom w:val="0"/>
      <w:divBdr>
        <w:top w:val="none" w:sz="0" w:space="0" w:color="auto"/>
        <w:left w:val="none" w:sz="0" w:space="0" w:color="auto"/>
        <w:bottom w:val="none" w:sz="0" w:space="0" w:color="auto"/>
        <w:right w:val="none" w:sz="0" w:space="0" w:color="auto"/>
      </w:divBdr>
      <w:divsChild>
        <w:div w:id="1293248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Minney</dc:creator>
  <cp:keywords/>
  <dc:description/>
  <cp:lastModifiedBy>Amber Minney</cp:lastModifiedBy>
  <cp:revision>1</cp:revision>
  <dcterms:created xsi:type="dcterms:W3CDTF">2021-03-14T17:56:00Z</dcterms:created>
  <dcterms:modified xsi:type="dcterms:W3CDTF">2021-03-14T18:18:00Z</dcterms:modified>
</cp:coreProperties>
</file>