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088F4" w14:textId="69B4DCBC" w:rsidR="00256D58" w:rsidRDefault="00400B37">
      <w:pPr>
        <w:pStyle w:val="Title"/>
        <w:keepNext w:val="0"/>
        <w:keepLines w:val="0"/>
        <w:spacing w:before="280" w:line="480" w:lineRule="auto"/>
        <w:jc w:val="center"/>
        <w:rPr>
          <w:rFonts w:ascii="Times New Roman" w:eastAsia="Times New Roman" w:hAnsi="Times New Roman" w:cs="Times New Roman"/>
          <w:b/>
          <w:bCs/>
          <w:i/>
          <w:iCs/>
          <w:sz w:val="28"/>
          <w:szCs w:val="28"/>
        </w:rPr>
      </w:pPr>
      <w:bookmarkStart w:id="0" w:name="_heading=h.rsgfusdotv03" w:colFirst="0" w:colLast="0"/>
      <w:bookmarkEnd w:id="0"/>
      <w:r>
        <w:rPr>
          <w:noProof/>
        </w:rPr>
        <w:drawing>
          <wp:inline distT="0" distB="0" distL="0" distR="0" wp14:anchorId="5A851AE5" wp14:editId="3F65B409">
            <wp:extent cx="1844040" cy="746760"/>
            <wp:effectExtent l="0" t="0" r="3810" b="0"/>
            <wp:docPr id="4" name="Picture 3" descr="Discover University of Wales Trinity Saint David">
              <a:extLst xmlns:a="http://schemas.openxmlformats.org/drawingml/2006/main">
                <a:ext uri="{FF2B5EF4-FFF2-40B4-BE49-F238E27FC236}">
                  <a16:creationId xmlns:a16="http://schemas.microsoft.com/office/drawing/2014/main" id="{45470922-A03D-4B7F-9C8E-5065DE73CD0F}"/>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031BB378-E50B-33BF-94B3-426CBB63A00F}"/>
                        </a:ext>
                      </a:extLst>
                    </pic:cNvPr>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51832" cy="749915"/>
                    </a:xfrm>
                    <a:prstGeom prst="rect">
                      <a:avLst/>
                    </a:prstGeom>
                    <a:solidFill>
                      <a:sysClr val="window" lastClr="FFFFFF"/>
                    </a:solidFill>
                    <a:ln>
                      <a:noFill/>
                    </a:ln>
                  </pic:spPr>
                </pic:pic>
              </a:graphicData>
            </a:graphic>
          </wp:inline>
        </w:drawing>
      </w:r>
    </w:p>
    <w:p w14:paraId="32BFBF26" w14:textId="77777777" w:rsidR="00256D58" w:rsidRDefault="00256D58">
      <w:pPr>
        <w:pStyle w:val="Title"/>
        <w:keepNext w:val="0"/>
        <w:keepLines w:val="0"/>
        <w:spacing w:before="280" w:line="480" w:lineRule="auto"/>
        <w:jc w:val="center"/>
        <w:rPr>
          <w:rFonts w:ascii="Times New Roman" w:eastAsia="Times New Roman" w:hAnsi="Times New Roman" w:cs="Times New Roman"/>
          <w:b/>
          <w:bCs/>
          <w:i/>
          <w:iCs/>
          <w:sz w:val="28"/>
          <w:szCs w:val="28"/>
        </w:rPr>
      </w:pPr>
    </w:p>
    <w:p w14:paraId="1C5A0083" w14:textId="77777777" w:rsidR="00400B37" w:rsidRPr="00791877" w:rsidRDefault="009F6813">
      <w:pPr>
        <w:pStyle w:val="Title"/>
        <w:keepNext w:val="0"/>
        <w:keepLines w:val="0"/>
        <w:spacing w:before="280" w:line="480" w:lineRule="auto"/>
        <w:jc w:val="center"/>
        <w:rPr>
          <w:rFonts w:ascii="Times New Roman" w:eastAsia="Times New Roman" w:hAnsi="Times New Roman" w:cs="Times New Roman"/>
          <w:b/>
          <w:bCs/>
          <w:i/>
          <w:iCs/>
          <w:sz w:val="36"/>
          <w:szCs w:val="36"/>
        </w:rPr>
      </w:pPr>
      <w:r w:rsidRPr="00791877">
        <w:rPr>
          <w:rFonts w:ascii="Times New Roman" w:eastAsia="Times New Roman" w:hAnsi="Times New Roman" w:cs="Times New Roman"/>
          <w:b/>
          <w:bCs/>
          <w:i/>
          <w:iCs/>
          <w:sz w:val="36"/>
          <w:szCs w:val="36"/>
        </w:rPr>
        <w:t xml:space="preserve">An Analysis of Segmentation, Targeting, Positioning, and Marketing Mix Strategies of Tesco </w:t>
      </w:r>
    </w:p>
    <w:p w14:paraId="7B604D71" w14:textId="77777777" w:rsidR="00400B37" w:rsidRDefault="00400B37">
      <w:pPr>
        <w:pStyle w:val="Title"/>
        <w:keepNext w:val="0"/>
        <w:keepLines w:val="0"/>
        <w:spacing w:before="280" w:line="480" w:lineRule="auto"/>
        <w:jc w:val="center"/>
        <w:rPr>
          <w:rFonts w:ascii="Times New Roman" w:eastAsia="Times New Roman" w:hAnsi="Times New Roman" w:cs="Times New Roman"/>
          <w:b/>
          <w:bCs/>
          <w:i/>
          <w:iCs/>
          <w:sz w:val="28"/>
          <w:szCs w:val="28"/>
        </w:rPr>
      </w:pPr>
    </w:p>
    <w:p w14:paraId="50A0DA77" w14:textId="77777777" w:rsidR="00400B37" w:rsidRDefault="00400B37">
      <w:pPr>
        <w:pStyle w:val="Title"/>
        <w:keepNext w:val="0"/>
        <w:keepLines w:val="0"/>
        <w:spacing w:before="280" w:line="480" w:lineRule="auto"/>
        <w:jc w:val="center"/>
        <w:rPr>
          <w:rFonts w:ascii="Times New Roman" w:eastAsia="Times New Roman" w:hAnsi="Times New Roman" w:cs="Times New Roman"/>
          <w:b/>
          <w:bCs/>
          <w:i/>
          <w:iCs/>
          <w:sz w:val="28"/>
          <w:szCs w:val="28"/>
        </w:rPr>
      </w:pPr>
    </w:p>
    <w:p w14:paraId="7C87F6CF" w14:textId="4D000AEC" w:rsidR="00115239" w:rsidRDefault="00770689" w:rsidP="00791877">
      <w:pPr>
        <w:spacing w:after="200"/>
        <w:rPr>
          <w:rStyle w:val="Strong"/>
          <w:rFonts w:ascii="Segoe UI" w:hAnsi="Segoe UI" w:cs="Segoe UI"/>
          <w:color w:val="1D2125"/>
          <w:sz w:val="28"/>
          <w:szCs w:val="28"/>
          <w:shd w:val="clear" w:color="auto" w:fill="FFFFFF"/>
        </w:rPr>
      </w:pPr>
      <w:r w:rsidRPr="00770689">
        <w:rPr>
          <w:rFonts w:ascii="Times New Roman" w:eastAsia="Times New Roman" w:hAnsi="Times New Roman" w:cstheme="minorBidi"/>
          <w:b/>
          <w:bCs/>
          <w:sz w:val="28"/>
          <w:szCs w:val="28"/>
          <w:lang w:val="en-US" w:eastAsia="en-US"/>
        </w:rPr>
        <w:t xml:space="preserve">   </w:t>
      </w:r>
      <w:r w:rsidRPr="00770689">
        <w:rPr>
          <w:rFonts w:ascii="Segoe UI" w:hAnsi="Segoe UI" w:cs="Segoe UI"/>
          <w:b/>
          <w:bCs/>
          <w:color w:val="1D2125"/>
          <w:sz w:val="28"/>
          <w:szCs w:val="28"/>
          <w:shd w:val="clear" w:color="auto" w:fill="FFFFFF"/>
        </w:rPr>
        <w:t>Lecturer</w:t>
      </w:r>
      <w:r w:rsidRPr="00770689">
        <w:rPr>
          <w:rStyle w:val="Strong"/>
          <w:rFonts w:ascii="Segoe UI" w:hAnsi="Segoe UI" w:cs="Segoe UI"/>
          <w:color w:val="1D2125"/>
          <w:sz w:val="28"/>
          <w:szCs w:val="28"/>
          <w:shd w:val="clear" w:color="auto" w:fill="FFFFFF"/>
        </w:rPr>
        <w:t>: Dr Ivan Rodriguez</w:t>
      </w:r>
    </w:p>
    <w:p w14:paraId="4C49BBBF" w14:textId="77777777" w:rsidR="00BF4E75" w:rsidRPr="00770689" w:rsidRDefault="00BF4E75" w:rsidP="00791877">
      <w:pPr>
        <w:spacing w:after="200"/>
        <w:rPr>
          <w:rFonts w:ascii="Times New Roman" w:eastAsia="Times New Roman" w:hAnsi="Times New Roman" w:cstheme="minorBidi"/>
          <w:b/>
          <w:bCs/>
          <w:sz w:val="28"/>
          <w:szCs w:val="28"/>
          <w:lang w:val="en-US" w:eastAsia="en-US"/>
        </w:rPr>
      </w:pPr>
    </w:p>
    <w:p w14:paraId="52D2E944" w14:textId="0F424619" w:rsidR="00865C6F"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8"/>
          <w:szCs w:val="28"/>
          <w:lang w:val="en-US" w:eastAsia="en-US"/>
        </w:rPr>
        <w:t>Group Members</w:t>
      </w:r>
      <w:r w:rsidRPr="00791877">
        <w:rPr>
          <w:rFonts w:ascii="Times New Roman" w:eastAsia="Times New Roman" w:hAnsi="Times New Roman" w:cstheme="minorBidi"/>
          <w:b/>
          <w:bCs/>
          <w:sz w:val="24"/>
          <w:szCs w:val="24"/>
          <w:lang w:val="en-US" w:eastAsia="en-US"/>
        </w:rPr>
        <w:t>:</w:t>
      </w:r>
    </w:p>
    <w:p w14:paraId="5F2F2E44" w14:textId="3DA80DC1" w:rsidR="00782E6F" w:rsidRDefault="00782E6F" w:rsidP="00791877">
      <w:pPr>
        <w:spacing w:after="200"/>
        <w:rPr>
          <w:rFonts w:ascii="Times New Roman" w:eastAsia="Times New Roman" w:hAnsi="Times New Roman" w:cstheme="minorBidi"/>
          <w:b/>
          <w:bCs/>
          <w:sz w:val="24"/>
          <w:szCs w:val="24"/>
          <w:lang w:val="en-US" w:eastAsia="en-US"/>
        </w:rPr>
      </w:pPr>
      <w:r>
        <w:rPr>
          <w:rFonts w:ascii="Times New Roman" w:eastAsia="Times New Roman" w:hAnsi="Times New Roman" w:cstheme="minorBidi"/>
          <w:b/>
          <w:bCs/>
          <w:sz w:val="24"/>
          <w:szCs w:val="24"/>
          <w:lang w:val="en-US" w:eastAsia="en-US"/>
        </w:rPr>
        <w:t>Student Name:</w:t>
      </w:r>
      <w:r w:rsidR="008C1DAA">
        <w:rPr>
          <w:rFonts w:ascii="Times New Roman" w:eastAsia="Times New Roman" w:hAnsi="Times New Roman" w:cstheme="minorBidi"/>
          <w:b/>
          <w:bCs/>
          <w:sz w:val="24"/>
          <w:szCs w:val="24"/>
          <w:lang w:val="en-US" w:eastAsia="en-US"/>
        </w:rPr>
        <w:t xml:space="preserve"> Aryan</w:t>
      </w:r>
      <w:r w:rsidR="005B2368">
        <w:rPr>
          <w:rFonts w:ascii="Times New Roman" w:eastAsia="Times New Roman" w:hAnsi="Times New Roman" w:cstheme="minorBidi"/>
          <w:b/>
          <w:bCs/>
          <w:sz w:val="24"/>
          <w:szCs w:val="24"/>
          <w:lang w:val="en-US" w:eastAsia="en-US"/>
        </w:rPr>
        <w:t xml:space="preserve"> Khan</w:t>
      </w:r>
    </w:p>
    <w:p w14:paraId="767BC85D" w14:textId="43C95FBA" w:rsidR="00782E6F" w:rsidRDefault="00782E6F" w:rsidP="00791877">
      <w:pPr>
        <w:spacing w:after="200"/>
        <w:rPr>
          <w:rFonts w:ascii="Times New Roman" w:eastAsia="Times New Roman" w:hAnsi="Times New Roman" w:cstheme="minorBidi"/>
          <w:b/>
          <w:bCs/>
          <w:sz w:val="24"/>
          <w:szCs w:val="24"/>
          <w:lang w:val="en-US" w:eastAsia="en-US"/>
        </w:rPr>
      </w:pPr>
      <w:r>
        <w:rPr>
          <w:rFonts w:ascii="Times New Roman" w:eastAsia="Times New Roman" w:hAnsi="Times New Roman" w:cstheme="minorBidi"/>
          <w:b/>
          <w:bCs/>
          <w:sz w:val="24"/>
          <w:szCs w:val="24"/>
          <w:lang w:val="en-US" w:eastAsia="en-US"/>
        </w:rPr>
        <w:t>Student ID:</w:t>
      </w:r>
      <w:r w:rsidR="005B2368">
        <w:rPr>
          <w:rFonts w:ascii="Times New Roman" w:eastAsia="Times New Roman" w:hAnsi="Times New Roman" w:cstheme="minorBidi"/>
          <w:b/>
          <w:bCs/>
          <w:sz w:val="24"/>
          <w:szCs w:val="24"/>
          <w:lang w:val="en-US" w:eastAsia="en-US"/>
        </w:rPr>
        <w:t xml:space="preserve"> 253</w:t>
      </w:r>
      <w:r w:rsidR="00E26087">
        <w:rPr>
          <w:rFonts w:ascii="Times New Roman" w:eastAsia="Times New Roman" w:hAnsi="Times New Roman" w:cstheme="minorBidi"/>
          <w:b/>
          <w:bCs/>
          <w:sz w:val="24"/>
          <w:szCs w:val="24"/>
          <w:lang w:val="en-US" w:eastAsia="en-US"/>
        </w:rPr>
        <w:t>0909</w:t>
      </w:r>
    </w:p>
    <w:p w14:paraId="54D60862" w14:textId="14CB880E" w:rsidR="00791877" w:rsidRPr="00791877" w:rsidRDefault="00865C6F" w:rsidP="00791877">
      <w:pPr>
        <w:spacing w:after="200"/>
        <w:rPr>
          <w:rFonts w:ascii="Times New Roman" w:eastAsia="Times New Roman" w:hAnsi="Times New Roman" w:cstheme="minorBidi"/>
          <w:b/>
          <w:bCs/>
          <w:sz w:val="24"/>
          <w:szCs w:val="24"/>
          <w:lang w:val="en-US" w:eastAsia="en-US"/>
        </w:rPr>
      </w:pPr>
      <w:r>
        <w:rPr>
          <w:rFonts w:ascii="Times New Roman" w:eastAsia="Times New Roman" w:hAnsi="Times New Roman" w:cstheme="minorBidi"/>
          <w:b/>
          <w:bCs/>
          <w:sz w:val="24"/>
          <w:szCs w:val="24"/>
          <w:lang w:val="en-US" w:eastAsia="en-US"/>
        </w:rPr>
        <w:t>Student Name:</w:t>
      </w:r>
      <w:r w:rsidR="00791877" w:rsidRPr="00791877">
        <w:rPr>
          <w:rFonts w:ascii="Times New Roman" w:eastAsia="Times New Roman" w:hAnsi="Times New Roman" w:cstheme="minorBidi"/>
          <w:b/>
          <w:bCs/>
          <w:sz w:val="24"/>
          <w:szCs w:val="24"/>
          <w:lang w:val="en-US" w:eastAsia="en-US"/>
        </w:rPr>
        <w:t xml:space="preserve"> Merecan Stefan</w:t>
      </w:r>
    </w:p>
    <w:p w14:paraId="320C6F1E" w14:textId="77777777" w:rsidR="00791877" w:rsidRPr="00791877"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4"/>
          <w:szCs w:val="24"/>
          <w:lang w:val="en-US" w:eastAsia="en-US"/>
        </w:rPr>
        <w:t xml:space="preserve">Student ID: 2325936 </w:t>
      </w:r>
    </w:p>
    <w:p w14:paraId="220FB1BC" w14:textId="70EFEAD1" w:rsidR="00791877" w:rsidRPr="00791877"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4"/>
          <w:szCs w:val="24"/>
          <w:lang w:val="en-US" w:eastAsia="en-US"/>
        </w:rPr>
        <w:t>Student Name:</w:t>
      </w:r>
      <w:r w:rsidR="00782E6F">
        <w:rPr>
          <w:rFonts w:ascii="Times New Roman" w:eastAsia="Times New Roman" w:hAnsi="Times New Roman" w:cstheme="minorBidi"/>
          <w:b/>
          <w:bCs/>
          <w:sz w:val="24"/>
          <w:szCs w:val="24"/>
          <w:lang w:val="en-US" w:eastAsia="en-US"/>
        </w:rPr>
        <w:t xml:space="preserve"> Ioan Saibel</w:t>
      </w:r>
    </w:p>
    <w:p w14:paraId="4F2238FC" w14:textId="64A0FED5" w:rsidR="00791877" w:rsidRPr="00791877"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4"/>
          <w:szCs w:val="24"/>
          <w:lang w:val="en-US" w:eastAsia="en-US"/>
        </w:rPr>
        <w:t>Student ID</w:t>
      </w:r>
      <w:r w:rsidR="00782E6F">
        <w:rPr>
          <w:rFonts w:ascii="Times New Roman" w:eastAsia="Times New Roman" w:hAnsi="Times New Roman" w:cstheme="minorBidi"/>
          <w:b/>
          <w:bCs/>
          <w:sz w:val="24"/>
          <w:szCs w:val="24"/>
          <w:lang w:val="en-US" w:eastAsia="en-US"/>
        </w:rPr>
        <w:t xml:space="preserve">: </w:t>
      </w:r>
      <w:r w:rsidR="00AB4A4B">
        <w:rPr>
          <w:rFonts w:ascii="Times New Roman" w:eastAsia="Times New Roman" w:hAnsi="Times New Roman" w:cstheme="minorBidi"/>
          <w:b/>
          <w:bCs/>
          <w:sz w:val="24"/>
          <w:szCs w:val="24"/>
          <w:lang w:val="en-US" w:eastAsia="en-US"/>
        </w:rPr>
        <w:t>2420427</w:t>
      </w:r>
    </w:p>
    <w:p w14:paraId="6EF10485" w14:textId="2D1B640F" w:rsidR="00791877" w:rsidRPr="00791877"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4"/>
          <w:szCs w:val="24"/>
          <w:lang w:val="en-US" w:eastAsia="en-US"/>
        </w:rPr>
        <w:br/>
      </w:r>
    </w:p>
    <w:p w14:paraId="36F971E5" w14:textId="77777777" w:rsidR="00400B37" w:rsidRDefault="00400B37">
      <w:pPr>
        <w:pStyle w:val="Title"/>
        <w:keepNext w:val="0"/>
        <w:keepLines w:val="0"/>
        <w:spacing w:before="280" w:line="480" w:lineRule="auto"/>
        <w:jc w:val="center"/>
        <w:rPr>
          <w:rFonts w:ascii="Times New Roman" w:eastAsia="Times New Roman" w:hAnsi="Times New Roman" w:cs="Times New Roman"/>
          <w:b/>
          <w:bCs/>
          <w:i/>
          <w:iCs/>
          <w:sz w:val="28"/>
          <w:szCs w:val="28"/>
        </w:rPr>
      </w:pPr>
    </w:p>
    <w:p w14:paraId="55392F3A" w14:textId="45E9D767" w:rsidR="008E22DA" w:rsidRDefault="009F6813">
      <w:pPr>
        <w:pStyle w:val="Title"/>
        <w:keepNext w:val="0"/>
        <w:keepLines w:val="0"/>
        <w:spacing w:before="280" w:line="480" w:lineRule="auto"/>
        <w:jc w:val="center"/>
        <w:rPr>
          <w:rFonts w:ascii="Times New Roman" w:eastAsia="Times New Roman" w:hAnsi="Times New Roman" w:cs="Times New Roman"/>
          <w:b/>
          <w:bCs/>
          <w:i/>
          <w:iCs/>
        </w:rPr>
      </w:pPr>
      <w:r>
        <w:br w:type="page"/>
      </w:r>
    </w:p>
    <w:p w14:paraId="55392F3B" w14:textId="77777777" w:rsidR="008E22DA" w:rsidRDefault="008E22DA">
      <w:pPr>
        <w:pStyle w:val="Heading3"/>
        <w:keepNext w:val="0"/>
        <w:keepLines w:val="0"/>
        <w:spacing w:before="280" w:line="480" w:lineRule="auto"/>
        <w:rPr>
          <w:rFonts w:ascii="Times New Roman" w:eastAsia="Times New Roman" w:hAnsi="Times New Roman" w:cs="Times New Roman"/>
          <w:b/>
          <w:bCs/>
          <w:color w:val="000000"/>
          <w:sz w:val="26"/>
          <w:szCs w:val="26"/>
        </w:rPr>
      </w:pPr>
      <w:bookmarkStart w:id="1" w:name="_heading=h.aeowwrnxwjhb" w:colFirst="0" w:colLast="0"/>
      <w:bookmarkEnd w:id="1"/>
    </w:p>
    <w:p w14:paraId="55392F3C" w14:textId="77777777" w:rsidR="008E22DA" w:rsidRDefault="008E22DA">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2" w:name="_heading=h.taxy1t5f6uce" w:colFirst="0" w:colLast="0"/>
      <w:bookmarkEnd w:id="2"/>
    </w:p>
    <w:p w14:paraId="55392F3D"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3" w:name="_heading=h.vmhq3yeap2as" w:colFirst="0" w:colLast="0"/>
      <w:bookmarkEnd w:id="3"/>
      <w:r>
        <w:rPr>
          <w:rFonts w:ascii="Times New Roman" w:eastAsia="Times New Roman" w:hAnsi="Times New Roman" w:cs="Times New Roman"/>
          <w:b/>
          <w:bCs/>
          <w:color w:val="000000"/>
          <w:sz w:val="24"/>
          <w:szCs w:val="24"/>
        </w:rPr>
        <w:t xml:space="preserve">Introduction and Company Context </w:t>
      </w:r>
    </w:p>
    <w:p w14:paraId="55392F3E"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PLC is a company that can be described as one of the largest grocery stores in the United Kingdom providing millions of customers with a large base of physical stores and a highly developed online shopping platform. The company is operating in a very competitive low-margin, price-sensitive, and </w:t>
      </w:r>
      <w:proofErr w:type="spellStart"/>
      <w:r>
        <w:rPr>
          <w:rFonts w:ascii="Times New Roman" w:eastAsia="Times New Roman" w:hAnsi="Times New Roman" w:cs="Times New Roman"/>
          <w:sz w:val="24"/>
          <w:szCs w:val="24"/>
        </w:rPr>
        <w:t>digitalising</w:t>
      </w:r>
      <w:proofErr w:type="spellEnd"/>
      <w:r>
        <w:rPr>
          <w:rFonts w:ascii="Times New Roman" w:eastAsia="Times New Roman" w:hAnsi="Times New Roman" w:cs="Times New Roman"/>
          <w:sz w:val="24"/>
          <w:szCs w:val="24"/>
        </w:rPr>
        <w:t xml:space="preserve"> grocery retail industry. Over the last few years, the UK grocery retailers have been under intense pressure to align the pricing in the online and offline operations to meet the needs of this shifting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economic uncertainty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w:t>
      </w:r>
    </w:p>
    <w:p w14:paraId="55392F3F"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has a large selection of food and non-food items with well-established lines of Tesco Value, Tesco Standard, and Tesco Finest. Retailers now use private labels as a major strategic means of differentiating themselves as well as exercise control over their prices and quality (</w:t>
      </w:r>
      <w:proofErr w:type="spellStart"/>
      <w:r>
        <w:rPr>
          <w:rFonts w:ascii="Times New Roman" w:eastAsia="Times New Roman" w:hAnsi="Times New Roman" w:cs="Times New Roman"/>
          <w:sz w:val="24"/>
          <w:szCs w:val="24"/>
        </w:rPr>
        <w:t>Gielens</w:t>
      </w:r>
      <w:proofErr w:type="spellEnd"/>
      <w:r>
        <w:rPr>
          <w:rFonts w:ascii="Times New Roman" w:eastAsia="Times New Roman" w:hAnsi="Times New Roman" w:cs="Times New Roman"/>
          <w:sz w:val="24"/>
          <w:szCs w:val="24"/>
        </w:rPr>
        <w:t xml:space="preserve"> et al., 2021). Digital technologies are also widely used by the company to enhance customer experience, especially online grocery service and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promotions, which become more significant to profitability in multichannel retailing (Fernandes et al., 2026).</w:t>
      </w:r>
    </w:p>
    <w:p w14:paraId="55392F40"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key aspect of the strategy of Tesco is its loyalty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named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which allows the company to obtain a more comprehensive customer data and to offer specific consumer segments. It is demonstrated that the concept of 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contributes to the long-customer relationship and repeat purchasing in the grocery retail (Nesset et al., 2021). Nevertheless, the increased application of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pricing and offers also creates ethical and social issues, which the retailers need to address with caution (Jung, Widmar and Lusk, 2024).</w:t>
      </w:r>
    </w:p>
    <w:p w14:paraId="55392F41"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the report is to critically examine the existing segmentation, targeting, and positioning (STP) strategies of Tesco, and its marketing mix strategy. Using the appropriate marketing theory, the report will seek to identify the effectiveness of Tesco in balancing its strategic choices with the needs of its customers and the competitive environment in the market (Kotler and Keller, 2009).</w:t>
      </w:r>
    </w:p>
    <w:p w14:paraId="55392F42"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4" w:name="_heading=h.vgrc9u7ww999" w:colFirst="0" w:colLast="0"/>
      <w:bookmarkEnd w:id="4"/>
      <w:r>
        <w:rPr>
          <w:rFonts w:ascii="Times New Roman" w:eastAsia="Times New Roman" w:hAnsi="Times New Roman" w:cs="Times New Roman"/>
          <w:b/>
          <w:bCs/>
          <w:color w:val="000000"/>
          <w:sz w:val="24"/>
          <w:szCs w:val="24"/>
        </w:rPr>
        <w:t xml:space="preserve">Market Context: UK Grocery Retail and Key Trends </w:t>
      </w:r>
    </w:p>
    <w:p w14:paraId="55392F43"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grocery market is among the most competitive retail markets which are typified by stiff price competition, high operations expenses and low profitability. Major retail chains are all closely vying on price, convenience and value, discount retailers remain putting pressure on the older players. The online grocery channel has proved to be a particularly tricky area of pricing as the retailer needs to strike a balance between dynamic pricing, promotions, and delivery costs and stay competitive and transparent to the consumers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w:t>
      </w:r>
    </w:p>
    <w:p w14:paraId="55392F44"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key macro trends in the UK grocery sector is the ongoing development of online and omnichannel purchasing. Consumers are becoming more demanding when it comes to physical stores and online service delivery and collection that is seamlessly integrated and flexible in nature. According to research, the knowledge of the reliability of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across channels is the key to enhancing profitability and efficiency of service in online grocery retailing (Fernandes et al., 2026). Consequently, supermarkets in the United Kingdom are investing in digital structures and data analytics to enhance its demand and operation management.</w:t>
      </w:r>
    </w:p>
    <w:p w14:paraId="55392F45"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trend is the growing role of the use of private label products. The retailers of the UK are increasingly employing own-brand ranges to provide value substitutes to national brands but still providing quality differentiation at different levels. The positioning is no longer that of a low-cost choice, and instead the management of the private label is taken to help support a brand image, innovation, and control of margins (</w:t>
      </w:r>
      <w:proofErr w:type="spellStart"/>
      <w:r>
        <w:rPr>
          <w:rFonts w:ascii="Times New Roman" w:eastAsia="Times New Roman" w:hAnsi="Times New Roman" w:cs="Times New Roman"/>
          <w:sz w:val="24"/>
          <w:szCs w:val="24"/>
        </w:rPr>
        <w:t>Gielens</w:t>
      </w:r>
      <w:proofErr w:type="spellEnd"/>
      <w:r>
        <w:rPr>
          <w:rFonts w:ascii="Times New Roman" w:eastAsia="Times New Roman" w:hAnsi="Times New Roman" w:cs="Times New Roman"/>
          <w:sz w:val="24"/>
          <w:szCs w:val="24"/>
        </w:rPr>
        <w:t xml:space="preserve"> et al., 2021). This is especially applicable at times of economic strain when consumers are increasingly price sensitive.</w:t>
      </w:r>
    </w:p>
    <w:p w14:paraId="55392F46"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customer data have also taken the centre stage in competition in the UK grocery market. With the help of the schemes of loyalty, retailers are able to get comprehensive purchasing information that can be shared to tailor offers and enhance customer retention. Research reports that these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enhance long-term relationships and boost the rate of shopping in case they are effectively handled (Nesset et al., 2021). Nevertheless,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pricing and promotions create ethical and social issues, particularly in terms of fairness and transparency, and retailers should pay extra attention to this matter (Jung, Widmar and Lusk, 2024).</w:t>
      </w:r>
    </w:p>
    <w:p w14:paraId="55392F47"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a great market orientation and positioning are essential in this saturated environment. The greater the alignment of retailers with customer needs and </w:t>
      </w:r>
      <w:r>
        <w:rPr>
          <w:rFonts w:ascii="Times New Roman" w:eastAsia="Times New Roman" w:hAnsi="Times New Roman" w:cs="Times New Roman"/>
          <w:color w:val="0A0A0A"/>
          <w:sz w:val="24"/>
          <w:szCs w:val="24"/>
          <w:shd w:val="clear" w:color="auto" w:fill="F3F5F6"/>
        </w:rPr>
        <w:t>the clarity of the value proposition they provide</w:t>
      </w:r>
      <w:r>
        <w:rPr>
          <w:rFonts w:ascii="Times New Roman" w:eastAsia="Times New Roman" w:hAnsi="Times New Roman" w:cs="Times New Roman"/>
          <w:sz w:val="24"/>
          <w:szCs w:val="24"/>
        </w:rPr>
        <w:t xml:space="preserve"> the more promising is the result of the brand performance of retailers (Iyer et al., 2019). Comprehensively, the UK grocery industry requires advanced market segmentation, targeting, and pricing and branding mixes to maintain competitiveness (Kotler and Keller, 2009).</w:t>
      </w:r>
    </w:p>
    <w:p w14:paraId="55392F48"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5" w:name="_heading=h.7p9bwa2mhai9" w:colFirst="0" w:colLast="0"/>
      <w:bookmarkEnd w:id="5"/>
      <w:r>
        <w:rPr>
          <w:rFonts w:ascii="Times New Roman" w:eastAsia="Times New Roman" w:hAnsi="Times New Roman" w:cs="Times New Roman"/>
          <w:b/>
          <w:bCs/>
          <w:color w:val="000000"/>
          <w:sz w:val="24"/>
          <w:szCs w:val="24"/>
        </w:rPr>
        <w:t xml:space="preserve">Segmentation: Bases and Segment Profiles </w:t>
      </w:r>
    </w:p>
    <w:p w14:paraId="55392F49"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segmentation entails the subdivision of a general market into smaller and distinct groups of consumers with similar needs,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or attributes. The level of segmentation in the UK grocery industry is very important since customers vary in shopping rationales, price sensitivity, and channel preferences (Kotler and Keller, 2009).</w:t>
      </w:r>
    </w:p>
    <w:p w14:paraId="55392F4A"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mostly uses demographic segmentation which focuses on the household according to income, family size and life stage. As an illustration, cost-conscious buyers and those with big families will tend to buy value-oriented own-label products, whereas premium ranges can be allocated to high-income shoppers. The studies emphasize that the strategy of the personal label can be developed to satisfy the demands of various income groups using different levels of quality and prices (</w:t>
      </w:r>
      <w:proofErr w:type="spellStart"/>
      <w:r>
        <w:rPr>
          <w:rFonts w:ascii="Times New Roman" w:eastAsia="Times New Roman" w:hAnsi="Times New Roman" w:cs="Times New Roman"/>
          <w:sz w:val="24"/>
          <w:szCs w:val="24"/>
        </w:rPr>
        <w:t>Gielens</w:t>
      </w:r>
      <w:proofErr w:type="spellEnd"/>
      <w:r>
        <w:rPr>
          <w:rFonts w:ascii="Times New Roman" w:eastAsia="Times New Roman" w:hAnsi="Times New Roman" w:cs="Times New Roman"/>
          <w:sz w:val="24"/>
          <w:szCs w:val="24"/>
        </w:rPr>
        <w:t xml:space="preserve"> et al., 2021). This enables the retailers to cater to different segments without watering down brand identity.</w:t>
      </w:r>
    </w:p>
    <w:p w14:paraId="55392F4B"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focus of Tesco is also on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segmentation, especially by using the loyalty card information. The shopping frequency, basket size, switching of brands and responsiveness to promotions are used to determine different segments of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Research indicates that 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offer an in-depth analysis of consumer buying behavior that helps retailers to formulate specific offers and individual promotions (Burgess, </w:t>
      </w:r>
      <w:proofErr w:type="spellStart"/>
      <w:r>
        <w:rPr>
          <w:rFonts w:ascii="Times New Roman" w:eastAsia="Times New Roman" w:hAnsi="Times New Roman" w:cs="Times New Roman"/>
          <w:sz w:val="24"/>
          <w:szCs w:val="24"/>
        </w:rPr>
        <w:t>Suhag</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Skatova</w:t>
      </w:r>
      <w:proofErr w:type="spellEnd"/>
      <w:r>
        <w:rPr>
          <w:rFonts w:ascii="Times New Roman" w:eastAsia="Times New Roman" w:hAnsi="Times New Roman" w:cs="Times New Roman"/>
          <w:sz w:val="24"/>
          <w:szCs w:val="24"/>
        </w:rPr>
        <w:t>, 2025). This knowledge enhances better segmentation and enhances marketing.</w:t>
      </w:r>
    </w:p>
    <w:p w14:paraId="55392F4C"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online grocery shopping has led to the increase of the importance of channel-based segmentation. There are customers who value convenience and time rate using online delivery, and those who are interested in price-checking or checking products in the store. The awareness of these differences assists retailers in </w:t>
      </w:r>
      <w:proofErr w:type="spellStart"/>
      <w:r>
        <w:rPr>
          <w:rFonts w:ascii="Times New Roman" w:eastAsia="Times New Roman" w:hAnsi="Times New Roman" w:cs="Times New Roman"/>
          <w:sz w:val="24"/>
          <w:szCs w:val="24"/>
        </w:rPr>
        <w:t>maximising</w:t>
      </w:r>
      <w:proofErr w:type="spellEnd"/>
      <w:r>
        <w:rPr>
          <w:rFonts w:ascii="Times New Roman" w:eastAsia="Times New Roman" w:hAnsi="Times New Roman" w:cs="Times New Roman"/>
          <w:sz w:val="24"/>
          <w:szCs w:val="24"/>
        </w:rPr>
        <w:t xml:space="preserve"> the channel-based service design and profitability (Fernandes et al., 2026).</w:t>
      </w:r>
    </w:p>
    <w:p w14:paraId="55392F4D"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Tesco also puts into consideration price sensitivity as a base of segmentation particularly in online settings where the consumer can easily compare the prices. The pricing strategies on the internet usually vary based on the varying consumer reaction to the promotions and discounts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 In general, the multi-dimensional segmentation strategy helps Tesco to respond to the needs of various customers and be competitive in the dynamic retailing landscape.</w:t>
      </w:r>
    </w:p>
    <w:p w14:paraId="55392F4E"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6" w:name="_heading=h.tecv7pmf8dtf" w:colFirst="0" w:colLast="0"/>
      <w:bookmarkEnd w:id="6"/>
      <w:r>
        <w:rPr>
          <w:rFonts w:ascii="Times New Roman" w:eastAsia="Times New Roman" w:hAnsi="Times New Roman" w:cs="Times New Roman"/>
          <w:b/>
          <w:bCs/>
          <w:color w:val="000000"/>
          <w:sz w:val="24"/>
          <w:szCs w:val="24"/>
        </w:rPr>
        <w:t xml:space="preserve">Targeting: Target Choice and Justification </w:t>
      </w:r>
    </w:p>
    <w:p w14:paraId="55392F4F"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Targeting Belief: This process involves identifying preferred market segments to which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decides to serve and devoting resources to serve those segments. The retailers within the UK grocery market generally choose the differentiated targeting channel, where they serve various customer segments by targeting with unique value propositions and do not concentrate on a niche market (Kotler and Keller, 2009).</w:t>
      </w:r>
    </w:p>
    <w:p w14:paraId="55392F50"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mass-market households, which are the main target market of Tesco, comprise families, working professionals, and price-conscious consumers who are interested in convenience, value of money, and product variety. The beauty segment is enticing because it is big and with a high purchase rate which promotes constant revenue generation. Differentiation pricing and promotion can enable the retailers to attract these consumers but at the same time maintain the margin especially in the online channel where price sensitivity is very high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w:t>
      </w:r>
    </w:p>
    <w:p w14:paraId="55392F51"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secondary target groups involves digital and convenience-loving shoppers who are fond of online shopping of groceries and tailor-made promotions. These customers attach importance to time-saving options like home delivery and click-and-collect, and customized suggestions. Evidence suggests that the study of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different channels helps retailers to enhance service design and profitability, which should warrant the strategic approach to this segment (Fernandes et al., 2026).</w:t>
      </w:r>
    </w:p>
    <w:p w14:paraId="55392F52"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has another strategic approach of capturing loyal customers via the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Targeting based on loyalty will enable the company to target high-value and repeat buyers through providing </w:t>
      </w:r>
      <w:proofErr w:type="spellStart"/>
      <w:r>
        <w:rPr>
          <w:rFonts w:ascii="Times New Roman" w:eastAsia="Times New Roman" w:hAnsi="Times New Roman" w:cs="Times New Roman"/>
          <w:sz w:val="24"/>
          <w:szCs w:val="24"/>
        </w:rPr>
        <w:t>individualised</w:t>
      </w:r>
      <w:proofErr w:type="spellEnd"/>
      <w:r>
        <w:rPr>
          <w:rFonts w:ascii="Times New Roman" w:eastAsia="Times New Roman" w:hAnsi="Times New Roman" w:cs="Times New Roman"/>
          <w:sz w:val="24"/>
          <w:szCs w:val="24"/>
        </w:rPr>
        <w:t xml:space="preserve"> discounts and rewards. Research indicates that customer retention and long-term buying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are more enhanced by 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in line with customer needs (Nesset et al., 2021). Also,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product suggestions and offers have been demonstrated to have a positive impact on the purchasing choices in online grocery settings (Hallikainen et al., 2022).</w:t>
      </w:r>
    </w:p>
    <w:p w14:paraId="55392F53"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rationale behind the targeting strategy of Tesco is in its robust market orientation and wide customer base. Through the simultaneous appeal to numerous segments with the same brand values, Tesco will be able to create a good market-driven asset, including brand recognition and customer loyalty, which helps generate a sustained competitive advantage (Sharp, Dawes and Victory, 2024).</w:t>
      </w:r>
    </w:p>
    <w:p w14:paraId="55392F54"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7" w:name="_heading=h.vpftotankhq7" w:colFirst="0" w:colLast="0"/>
      <w:bookmarkEnd w:id="7"/>
      <w:r>
        <w:rPr>
          <w:rFonts w:ascii="Times New Roman" w:eastAsia="Times New Roman" w:hAnsi="Times New Roman" w:cs="Times New Roman"/>
          <w:b/>
          <w:bCs/>
          <w:color w:val="000000"/>
          <w:sz w:val="24"/>
          <w:szCs w:val="24"/>
        </w:rPr>
        <w:t xml:space="preserve">Positioning: Value Proposition, Positioning Statement, and Proof Points </w:t>
      </w:r>
    </w:p>
    <w:p w14:paraId="55392F55"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Positioning is used to refer to the way a brand is created to take a unique and desirable space in the mind of the target consumers. Positioning is necessary in the UK food market which is highly competitive and aims at distinguishing a range of products that have the same prices and variety (Kotler and Keller, 2009).</w:t>
      </w:r>
    </w:p>
    <w:p w14:paraId="55392F56"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value proposition of Tesco is developed based on the provision of high quality products at relatively low prices and high levels of convenience. The company tries to satisfy the needs of everyday shopping and provide flexibility with the help of both real shops and digital. The key point in this proposal is the competitive pricing, especially in the case of online grocery retailing, where a customer can find it easy to compare prices among retailers. Studies indicate that suitable pricing models allow online groceries to sustain the perceived value and preserve profitability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w:t>
      </w:r>
    </w:p>
    <w:p w14:paraId="55392F57"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specific positioning statement about Tesco can be formulated as follows: To the households in the UK who prefer to have convenient, affordable grocery shopping, Tesco provides a wide range of quality food and household goods with the help of trusted pricing and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rewards both in-store and online. Such a positioning goes hand in hand with the high market orientation of Tesco, which connects customer knowledge to better brand performance (Iyer et al., 2019).</w:t>
      </w:r>
    </w:p>
    <w:p w14:paraId="55392F58"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positioning is supported through Tesco proofs in a number of ways. Its hierarchical private label brand portfolio exhibits quality and value at various levels and differentiates as well as gives its customers a choice (</w:t>
      </w:r>
      <w:proofErr w:type="spellStart"/>
      <w:r>
        <w:rPr>
          <w:rFonts w:ascii="Times New Roman" w:eastAsia="Times New Roman" w:hAnsi="Times New Roman" w:cs="Times New Roman"/>
          <w:sz w:val="24"/>
          <w:szCs w:val="24"/>
        </w:rPr>
        <w:t>Gielens</w:t>
      </w:r>
      <w:proofErr w:type="spellEnd"/>
      <w:r>
        <w:rPr>
          <w:rFonts w:ascii="Times New Roman" w:eastAsia="Times New Roman" w:hAnsi="Times New Roman" w:cs="Times New Roman"/>
          <w:sz w:val="24"/>
          <w:szCs w:val="24"/>
        </w:rPr>
        <w:t xml:space="preserve"> et al., 2021). The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of loyalty offers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offers which increase the perceived value and customer relationship, which has proven successful in the grocery retailing business (Nesset et al., 2021).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product suggestions and targeted ads that are more likely to be used in online contexts additionally serve Tesco in terms of positioning by enhancing relevance and convenience when shopping (Hallikainen et al., 2022).</w:t>
      </w:r>
    </w:p>
    <w:p w14:paraId="55392F59"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the uniformity of delivery in terms of the pricing, quality of products, and customer experience helps Tesco build brand assets and competitive advantage in the long term and gain strong positions in the grocery market (Sharp, Dawes and Victory, 2024).</w:t>
      </w:r>
    </w:p>
    <w:p w14:paraId="55392F5A"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8" w:name="_heading=h.vcz03raeyk6x" w:colFirst="0" w:colLast="0"/>
      <w:bookmarkEnd w:id="8"/>
      <w:r>
        <w:rPr>
          <w:rFonts w:ascii="Times New Roman" w:eastAsia="Times New Roman" w:hAnsi="Times New Roman" w:cs="Times New Roman"/>
          <w:b/>
          <w:bCs/>
          <w:color w:val="000000"/>
          <w:sz w:val="24"/>
          <w:szCs w:val="24"/>
        </w:rPr>
        <w:t xml:space="preserve">Marketing Mix (7Ps) Analysis </w:t>
      </w:r>
    </w:p>
    <w:p w14:paraId="55392F5B"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mix describes how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provide its value by the combination of a strategic set of decisions. The reason why the 7Ps must be well integrated in the grocery retailing is because the sector has high competition and no barriers to switching (Kotler and Keller, 2009).</w:t>
      </w:r>
    </w:p>
    <w:p w14:paraId="55392F5C"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Product. </w:t>
      </w:r>
      <w:r>
        <w:rPr>
          <w:rFonts w:ascii="Times New Roman" w:eastAsia="Times New Roman" w:hAnsi="Times New Roman" w:cs="Times New Roman"/>
          <w:sz w:val="24"/>
          <w:szCs w:val="24"/>
        </w:rPr>
        <w:t>Tesco has a broad and diversified product range which includes fresh food, packaged products, household products, and non-food products. One of its strong points is that it has a tiered private label strategy consisting of value, standard and premium lines. This structure enables Tesco to provide the customers with varying income levels and quality expectations and to control pricing and margins. The studies indicate that effectively operated levels of the private label improve the differentiation and raise the retailer brand equity (</w:t>
      </w:r>
      <w:proofErr w:type="spellStart"/>
      <w:r>
        <w:rPr>
          <w:rFonts w:ascii="Times New Roman" w:eastAsia="Times New Roman" w:hAnsi="Times New Roman" w:cs="Times New Roman"/>
          <w:sz w:val="24"/>
          <w:szCs w:val="24"/>
        </w:rPr>
        <w:t>Gielens</w:t>
      </w:r>
      <w:proofErr w:type="spellEnd"/>
      <w:r>
        <w:rPr>
          <w:rFonts w:ascii="Times New Roman" w:eastAsia="Times New Roman" w:hAnsi="Times New Roman" w:cs="Times New Roman"/>
          <w:sz w:val="24"/>
          <w:szCs w:val="24"/>
        </w:rPr>
        <w:t xml:space="preserve"> et al., 2021). The perceived quality and price of private labels is particularly critical in the domain of online environments to manage customer trust (Wang et al., 2025).</w:t>
      </w:r>
    </w:p>
    <w:p w14:paraId="55392F5D"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Price</w:t>
      </w:r>
      <w:r>
        <w:rPr>
          <w:rFonts w:ascii="Times New Roman" w:eastAsia="Times New Roman" w:hAnsi="Times New Roman" w:cs="Times New Roman"/>
          <w:sz w:val="24"/>
          <w:szCs w:val="24"/>
        </w:rPr>
        <w:t>. Tesco uses a mixture of everyday low pricing (EDLP) and promotional pricing, which has been promoted by discounts in terms of loyalty. This mixed strategy is useful in drawing price-sensitive consumers and being flexible to market competition. The price of online grocery should be properly balanced because regular promotions are able to affect the demand yet also decrease the margins in case they cannot be properly managed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xml:space="preserve">, 2024). The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pricing allows Tesco to customize the discounts without compromising the price competitiveness.</w:t>
      </w:r>
    </w:p>
    <w:p w14:paraId="55392F5E"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Place.</w:t>
      </w:r>
      <w:r>
        <w:rPr>
          <w:rFonts w:ascii="Times New Roman" w:eastAsia="Times New Roman" w:hAnsi="Times New Roman" w:cs="Times New Roman"/>
          <w:sz w:val="24"/>
          <w:szCs w:val="24"/>
        </w:rPr>
        <w:t xml:space="preserve"> Tesco has a wide network of omnichannel distribution networks comprising supermarkets, small shops, and a robust online presence. The customers would have the option of home delivery or the click-and-collect service that would make the experience more convenient and accessible. Research indicates that the design of online grocery services is essential to the attainment of multichannel profitability and customer satisfaction to a variety of customer expectations (Fernandes et al., 2026).</w:t>
      </w:r>
    </w:p>
    <w:p w14:paraId="55392F5F"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Promotion.</w:t>
      </w:r>
      <w:r>
        <w:rPr>
          <w:rFonts w:ascii="Times New Roman" w:eastAsia="Times New Roman" w:hAnsi="Times New Roman" w:cs="Times New Roman"/>
          <w:sz w:val="24"/>
          <w:szCs w:val="24"/>
        </w:rPr>
        <w:t xml:space="preserve"> Promotion is geared towards digital and relationship management with customers (CRM). Tesco leverages the information available through its loyalty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to provide customers with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offers, targeted emails, and promotions with the help of the app.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recommendations and price promotion have been reported to have a positive impact on the purchase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online grocery shopping (Hallikainen et al., 2022). Nevertheless, retailers should also be open to prevent complaints among consumers that the personalized pricing is unfair (Jung, Widmar and Lusk, 2024).</w:t>
      </w:r>
    </w:p>
    <w:p w14:paraId="55392F60"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People.</w:t>
      </w:r>
      <w:r>
        <w:rPr>
          <w:rFonts w:ascii="Times New Roman" w:eastAsia="Times New Roman" w:hAnsi="Times New Roman" w:cs="Times New Roman"/>
          <w:sz w:val="24"/>
          <w:szCs w:val="24"/>
        </w:rPr>
        <w:t xml:space="preserve"> The employees are essential in service delivery, especially in-store employees as well as delivery people. Customers become satisfied and trustful of the company due to the friendly and knowledgeable staff, which strengthens brand perceptions and loyalty (Nesset et al., 2021).</w:t>
      </w:r>
    </w:p>
    <w:p w14:paraId="55392F61"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Process.</w:t>
      </w:r>
      <w:r>
        <w:rPr>
          <w:rFonts w:ascii="Times New Roman" w:eastAsia="Times New Roman" w:hAnsi="Times New Roman" w:cs="Times New Roman"/>
          <w:sz w:val="24"/>
          <w:szCs w:val="24"/>
        </w:rPr>
        <w:t xml:space="preserve"> The operations of Tesco are supported by efficient processes and their examples are the management of the inventory, the check out systems and the fulfilment of the orders via the Internet. Efficient processes enhance reliability of the service and minimize customer effort, which is essential when shopping in the grocery store frequently (Fernandes et al., 2026).</w:t>
      </w:r>
    </w:p>
    <w:p w14:paraId="55392F62"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Physical Evidence.</w:t>
      </w:r>
      <w:r>
        <w:rPr>
          <w:rFonts w:ascii="Times New Roman" w:eastAsia="Times New Roman" w:hAnsi="Times New Roman" w:cs="Times New Roman"/>
          <w:sz w:val="24"/>
          <w:szCs w:val="24"/>
        </w:rPr>
        <w:t xml:space="preserve"> Instances of quality and reliability can be seen in the physical stores, in the packaging, uniforms, and online interfaces like the Tesco app. Regular physical and digital branding assists in creating great market-based resources and in aiding sustainable competitive edge (Sharp, Dawes and Victory, 2024).</w:t>
      </w:r>
    </w:p>
    <w:p w14:paraId="55392F63"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9" w:name="_heading=h.rr7ic7cngnsq" w:colFirst="0" w:colLast="0"/>
      <w:bookmarkEnd w:id="9"/>
      <w:r>
        <w:rPr>
          <w:rFonts w:ascii="Times New Roman" w:eastAsia="Times New Roman" w:hAnsi="Times New Roman" w:cs="Times New Roman"/>
          <w:b/>
          <w:bCs/>
          <w:color w:val="000000"/>
          <w:sz w:val="24"/>
          <w:szCs w:val="24"/>
        </w:rPr>
        <w:t xml:space="preserve">Implementation Plan: Actions and Timeline </w:t>
      </w:r>
    </w:p>
    <w:p w14:paraId="55392F64"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strategy by Tesco needs to be implemented in a systematic, gradual process to align the customer needs and the operational capacity with the performance over the long-term. Successful implementation requires clear planning and coordination within the departments (Kotler and Keller, 2009).</w:t>
      </w:r>
    </w:p>
    <w:p w14:paraId="55392F65"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short-term interventions (0-6 months) should be aimed at enhancing the use of data to make decisions. Tesco can also continue using the data of the </w:t>
      </w:r>
      <w:proofErr w:type="spellStart"/>
      <w:r>
        <w:rPr>
          <w:rFonts w:ascii="Times New Roman" w:eastAsia="Times New Roman" w:hAnsi="Times New Roman" w:cs="Times New Roman"/>
          <w:sz w:val="24"/>
          <w:szCs w:val="24"/>
        </w:rPr>
        <w:t>Clubcards</w:t>
      </w:r>
      <w:proofErr w:type="spellEnd"/>
      <w:r>
        <w:rPr>
          <w:rFonts w:ascii="Times New Roman" w:eastAsia="Times New Roman" w:hAnsi="Times New Roman" w:cs="Times New Roman"/>
          <w:sz w:val="24"/>
          <w:szCs w:val="24"/>
        </w:rPr>
        <w:t xml:space="preserve"> to better segment the customers and to target promotions more precisely. Proper use of loyalty data has been found to offer useful information on purchasing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influence specific marketing strategies (Burgess, </w:t>
      </w:r>
      <w:proofErr w:type="spellStart"/>
      <w:r>
        <w:rPr>
          <w:rFonts w:ascii="Times New Roman" w:eastAsia="Times New Roman" w:hAnsi="Times New Roman" w:cs="Times New Roman"/>
          <w:sz w:val="24"/>
          <w:szCs w:val="24"/>
        </w:rPr>
        <w:t>Suhag</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Skatova</w:t>
      </w:r>
      <w:proofErr w:type="spellEnd"/>
      <w:r>
        <w:rPr>
          <w:rFonts w:ascii="Times New Roman" w:eastAsia="Times New Roman" w:hAnsi="Times New Roman" w:cs="Times New Roman"/>
          <w:sz w:val="24"/>
          <w:szCs w:val="24"/>
        </w:rPr>
        <w:t>, 2025). Online pricing strategy is another aspect that Tesco should review during this stage in order to be transparent and consistent between channels, especially when it comes to responding to competition in online based grocery retailing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w:t>
      </w:r>
    </w:p>
    <w:p w14:paraId="55392F66"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6-18-month actions should focus on the online service design and operational efficiency improvement. Customer satisfaction and profitability in omnichannel retailing can be improved through enhancing the order fulfilment procedures and delivery reliability and website or apps usability (Fernandes et al., 2026). Meanwhile, Tesco can also refine its own approach to the personal label strategy by revisiting the approaches to quality and prices to create a clear distinction and value perception among the customer segments (</w:t>
      </w:r>
      <w:proofErr w:type="spellStart"/>
      <w:r>
        <w:rPr>
          <w:rFonts w:ascii="Times New Roman" w:eastAsia="Times New Roman" w:hAnsi="Times New Roman" w:cs="Times New Roman"/>
          <w:sz w:val="24"/>
          <w:szCs w:val="24"/>
        </w:rPr>
        <w:t>Gielens</w:t>
      </w:r>
      <w:proofErr w:type="spellEnd"/>
      <w:r>
        <w:rPr>
          <w:rFonts w:ascii="Times New Roman" w:eastAsia="Times New Roman" w:hAnsi="Times New Roman" w:cs="Times New Roman"/>
          <w:sz w:val="24"/>
          <w:szCs w:val="24"/>
        </w:rPr>
        <w:t xml:space="preserve"> et al., 2021).</w:t>
      </w:r>
    </w:p>
    <w:p w14:paraId="55392F67"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long-term measures (18-36 months) are to be aimed at maintaining the brand popularity and customer loyalty. The consistent brand communication and further investment in 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will assist in developing high market-based assets like trust and brand familiarity (Sharp, Dawes and Victory, 2024). At each stage, Tesco has to track ethical implications of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pricing to ensure fairness and trust in the company and its clients (Jung, Widmar and Lusk, 2024).</w:t>
      </w:r>
    </w:p>
    <w:p w14:paraId="55392F68"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10" w:name="_heading=h.t1p8welxm3s5" w:colFirst="0" w:colLast="0"/>
      <w:bookmarkEnd w:id="10"/>
      <w:r>
        <w:rPr>
          <w:rFonts w:ascii="Times New Roman" w:eastAsia="Times New Roman" w:hAnsi="Times New Roman" w:cs="Times New Roman"/>
          <w:b/>
          <w:bCs/>
          <w:color w:val="000000"/>
          <w:sz w:val="24"/>
          <w:szCs w:val="24"/>
        </w:rPr>
        <w:t xml:space="preserve">Measurement and KPIs: What Success Looks Like </w:t>
      </w:r>
    </w:p>
    <w:p w14:paraId="55392F69"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mix of financial,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and brand-related KPIs can be used to measure the success of the marketing strategy of Tesco. The main ones are the rise in sales, market share, and online profits, which demonstrate the success of pricing and </w:t>
      </w:r>
      <w:proofErr w:type="spellStart"/>
      <w:r>
        <w:rPr>
          <w:rFonts w:ascii="Times New Roman" w:eastAsia="Times New Roman" w:hAnsi="Times New Roman" w:cs="Times New Roman"/>
          <w:sz w:val="24"/>
          <w:szCs w:val="24"/>
        </w:rPr>
        <w:t>omnichannel</w:t>
      </w:r>
      <w:proofErr w:type="spellEnd"/>
      <w:r>
        <w:rPr>
          <w:rFonts w:ascii="Times New Roman" w:eastAsia="Times New Roman" w:hAnsi="Times New Roman" w:cs="Times New Roman"/>
          <w:sz w:val="24"/>
          <w:szCs w:val="24"/>
        </w:rPr>
        <w:t xml:space="preserve"> strategies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 The effect of the personalized promotions and relationship-building activities can be measured using customer-focused metrics like the loyalty card usage, repeat purchase rates, and basket size (Nesset et al., 2021). Also, measures of customer satisfaction and brand strength offer an idea about long-term competitive advantage since the strong brand assets are strongly associated with the long-term performance in retail markets (Sharp, Dawes and Victory, 2024).</w:t>
      </w:r>
    </w:p>
    <w:p w14:paraId="55392F6A"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11" w:name="_heading=h.22ejk4gojv4u" w:colFirst="0" w:colLast="0"/>
      <w:bookmarkEnd w:id="11"/>
      <w:r>
        <w:rPr>
          <w:rFonts w:ascii="Times New Roman" w:eastAsia="Times New Roman" w:hAnsi="Times New Roman" w:cs="Times New Roman"/>
          <w:b/>
          <w:bCs/>
          <w:color w:val="000000"/>
          <w:sz w:val="24"/>
          <w:szCs w:val="24"/>
        </w:rPr>
        <w:t xml:space="preserve">Conclusion </w:t>
      </w:r>
    </w:p>
    <w:p w14:paraId="55392F6B"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critically analyzed the segmentation and targeting and positioning strategies of Tesco company and its marketing mix in the UK grocery retailing market. The analysis reveals that Tesco is doing a good job in its data-driven segmentation, differentiated targeting and an explicit value-based positioning to meet the diverse needs of the customers in a very competitive environment. Its good portfolio on the strong private labels, its omnichannel and its loyalty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can be helpful not only in the short-term performance, but in the long-term brand strength. Nevertheless, the further attention to the ethical use of data, efficiency of the services, and effective communication of values will be necessary to remain competitive and customer-confident in the changing digital retailing environment.</w:t>
      </w:r>
    </w:p>
    <w:p w14:paraId="55392F6C" w14:textId="77777777" w:rsidR="008E22DA" w:rsidRDefault="008E22DA">
      <w:pPr>
        <w:spacing w:before="240" w:after="240" w:line="480" w:lineRule="auto"/>
        <w:jc w:val="both"/>
        <w:rPr>
          <w:rFonts w:ascii="Times New Roman" w:eastAsia="Times New Roman" w:hAnsi="Times New Roman" w:cs="Times New Roman"/>
          <w:sz w:val="24"/>
          <w:szCs w:val="24"/>
        </w:rPr>
      </w:pPr>
    </w:p>
    <w:p w14:paraId="55392F6D" w14:textId="77777777" w:rsidR="008E22DA" w:rsidRDefault="009F6813">
      <w:pPr>
        <w:spacing w:line="480" w:lineRule="auto"/>
        <w:jc w:val="both"/>
        <w:rPr>
          <w:rFonts w:ascii="Times New Roman" w:eastAsia="Times New Roman" w:hAnsi="Times New Roman" w:cs="Times New Roman"/>
          <w:sz w:val="24"/>
          <w:szCs w:val="24"/>
        </w:rPr>
      </w:pPr>
      <w:r>
        <w:br w:type="page"/>
      </w:r>
    </w:p>
    <w:p w14:paraId="55392F6E" w14:textId="77777777" w:rsidR="008E22DA" w:rsidRDefault="008E22DA">
      <w:pPr>
        <w:spacing w:line="480" w:lineRule="auto"/>
        <w:jc w:val="both"/>
        <w:rPr>
          <w:rFonts w:ascii="Times New Roman" w:eastAsia="Times New Roman" w:hAnsi="Times New Roman" w:cs="Times New Roman"/>
          <w:sz w:val="24"/>
          <w:szCs w:val="24"/>
        </w:rPr>
      </w:pPr>
    </w:p>
    <w:p w14:paraId="55392F6F" w14:textId="77777777" w:rsidR="008E22DA" w:rsidRDefault="009F68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References</w:t>
      </w:r>
    </w:p>
    <w:p w14:paraId="55392F70"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Aparicio, D., </w:t>
      </w:r>
      <w:proofErr w:type="spellStart"/>
      <w:r>
        <w:rPr>
          <w:rFonts w:ascii="Times New Roman" w:eastAsia="Times New Roman" w:hAnsi="Times New Roman" w:cs="Times New Roman"/>
          <w:color w:val="222222"/>
          <w:sz w:val="24"/>
          <w:szCs w:val="24"/>
          <w:highlight w:val="white"/>
        </w:rPr>
        <w:t>Metzman</w:t>
      </w:r>
      <w:proofErr w:type="spellEnd"/>
      <w:r>
        <w:rPr>
          <w:rFonts w:ascii="Times New Roman" w:eastAsia="Times New Roman" w:hAnsi="Times New Roman" w:cs="Times New Roman"/>
          <w:color w:val="222222"/>
          <w:sz w:val="24"/>
          <w:szCs w:val="24"/>
          <w:highlight w:val="white"/>
        </w:rPr>
        <w:t xml:space="preserve">, Z. and </w:t>
      </w:r>
      <w:proofErr w:type="spellStart"/>
      <w:r>
        <w:rPr>
          <w:rFonts w:ascii="Times New Roman" w:eastAsia="Times New Roman" w:hAnsi="Times New Roman" w:cs="Times New Roman"/>
          <w:color w:val="222222"/>
          <w:sz w:val="24"/>
          <w:szCs w:val="24"/>
          <w:highlight w:val="white"/>
        </w:rPr>
        <w:t>Rigobon</w:t>
      </w:r>
      <w:proofErr w:type="spellEnd"/>
      <w:r>
        <w:rPr>
          <w:rFonts w:ascii="Times New Roman" w:eastAsia="Times New Roman" w:hAnsi="Times New Roman" w:cs="Times New Roman"/>
          <w:color w:val="222222"/>
          <w:sz w:val="24"/>
          <w:szCs w:val="24"/>
          <w:highlight w:val="white"/>
        </w:rPr>
        <w:t xml:space="preserve">, R., 2024. The pricing strategies of online grocery retailers. </w:t>
      </w:r>
      <w:r>
        <w:rPr>
          <w:rFonts w:ascii="Times New Roman" w:eastAsia="Times New Roman" w:hAnsi="Times New Roman" w:cs="Times New Roman"/>
          <w:i/>
          <w:iCs/>
          <w:color w:val="222222"/>
          <w:sz w:val="24"/>
          <w:szCs w:val="24"/>
          <w:highlight w:val="white"/>
        </w:rPr>
        <w:t>Quantitative Marketing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22</w:t>
      </w:r>
      <w:r>
        <w:rPr>
          <w:rFonts w:ascii="Times New Roman" w:eastAsia="Times New Roman" w:hAnsi="Times New Roman" w:cs="Times New Roman"/>
          <w:color w:val="222222"/>
          <w:sz w:val="24"/>
          <w:szCs w:val="24"/>
          <w:highlight w:val="white"/>
        </w:rPr>
        <w:t>(1), pp.1-21.</w:t>
      </w:r>
      <w:hyperlink r:id="rId6">
        <w:r>
          <w:rPr>
            <w:rFonts w:ascii="Times New Roman" w:eastAsia="Times New Roman" w:hAnsi="Times New Roman" w:cs="Times New Roman"/>
            <w:color w:val="1155CC"/>
            <w:sz w:val="24"/>
            <w:szCs w:val="24"/>
            <w:highlight w:val="white"/>
            <w:u w:val="single"/>
          </w:rPr>
          <w:t>https://link.springer.com/content/pdf/10.1007/s11129-023-09273-w.pdf</w:t>
        </w:r>
      </w:hyperlink>
    </w:p>
    <w:p w14:paraId="55392F71"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Burgess, R., Suhag, A. and </w:t>
      </w:r>
      <w:proofErr w:type="spellStart"/>
      <w:r>
        <w:rPr>
          <w:rFonts w:ascii="Times New Roman" w:eastAsia="Times New Roman" w:hAnsi="Times New Roman" w:cs="Times New Roman"/>
          <w:color w:val="222222"/>
          <w:sz w:val="24"/>
          <w:szCs w:val="24"/>
          <w:highlight w:val="white"/>
        </w:rPr>
        <w:t>Skatova</w:t>
      </w:r>
      <w:proofErr w:type="spellEnd"/>
      <w:r>
        <w:rPr>
          <w:rFonts w:ascii="Times New Roman" w:eastAsia="Times New Roman" w:hAnsi="Times New Roman" w:cs="Times New Roman"/>
          <w:color w:val="222222"/>
          <w:sz w:val="24"/>
          <w:szCs w:val="24"/>
          <w:highlight w:val="white"/>
        </w:rPr>
        <w:t xml:space="preserve">, A., 2025. Exploring the use of supermarket loyalty card data in health research: A scoping review. </w:t>
      </w:r>
      <w:r>
        <w:rPr>
          <w:rFonts w:ascii="Times New Roman" w:eastAsia="Times New Roman" w:hAnsi="Times New Roman" w:cs="Times New Roman"/>
          <w:i/>
          <w:iCs/>
          <w:color w:val="222222"/>
          <w:sz w:val="24"/>
          <w:szCs w:val="24"/>
          <w:highlight w:val="white"/>
        </w:rPr>
        <w:t>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247</w:t>
      </w:r>
      <w:r>
        <w:rPr>
          <w:rFonts w:ascii="Times New Roman" w:eastAsia="Times New Roman" w:hAnsi="Times New Roman" w:cs="Times New Roman"/>
          <w:color w:val="222222"/>
          <w:sz w:val="24"/>
          <w:szCs w:val="24"/>
          <w:highlight w:val="white"/>
        </w:rPr>
        <w:t>, p.105848.</w:t>
      </w:r>
      <w:hyperlink r:id="rId7">
        <w:r>
          <w:rPr>
            <w:rFonts w:ascii="Times New Roman" w:eastAsia="Times New Roman" w:hAnsi="Times New Roman" w:cs="Times New Roman"/>
            <w:color w:val="1155CC"/>
            <w:sz w:val="24"/>
            <w:szCs w:val="24"/>
            <w:highlight w:val="white"/>
            <w:u w:val="single"/>
          </w:rPr>
          <w:t>https://www.sciencedirect.com/science/article/pii/S003335062500294X</w:t>
        </w:r>
      </w:hyperlink>
    </w:p>
    <w:p w14:paraId="55392F72"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Cortez, R.M., Clarke, A.H. and Freytag, P.V., 2021. B2B market segmentation: A systematic review and research agenda. </w:t>
      </w:r>
      <w:r>
        <w:rPr>
          <w:rFonts w:ascii="Times New Roman" w:eastAsia="Times New Roman" w:hAnsi="Times New Roman" w:cs="Times New Roman"/>
          <w:i/>
          <w:iCs/>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126</w:t>
      </w:r>
      <w:r>
        <w:rPr>
          <w:rFonts w:ascii="Times New Roman" w:eastAsia="Times New Roman" w:hAnsi="Times New Roman" w:cs="Times New Roman"/>
          <w:color w:val="222222"/>
          <w:sz w:val="24"/>
          <w:szCs w:val="24"/>
          <w:highlight w:val="white"/>
        </w:rPr>
        <w:t>, pp.415-428.</w:t>
      </w:r>
      <w:hyperlink r:id="rId8">
        <w:r>
          <w:rPr>
            <w:rFonts w:ascii="Times New Roman" w:eastAsia="Times New Roman" w:hAnsi="Times New Roman" w:cs="Times New Roman"/>
            <w:color w:val="1155CC"/>
            <w:sz w:val="24"/>
            <w:szCs w:val="24"/>
            <w:highlight w:val="white"/>
            <w:u w:val="single"/>
          </w:rPr>
          <w:t>https://portal.findresearcher.sdu.dk/files/180049214/B2B_Market_Segmentation_JBR_accepted_1.pdf</w:t>
        </w:r>
      </w:hyperlink>
    </w:p>
    <w:p w14:paraId="55392F73"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Fernandes, D., Neves-Moreira, F., Amorim, P. and </w:t>
      </w:r>
      <w:proofErr w:type="spellStart"/>
      <w:r>
        <w:rPr>
          <w:rFonts w:ascii="Times New Roman" w:eastAsia="Times New Roman" w:hAnsi="Times New Roman" w:cs="Times New Roman"/>
          <w:color w:val="222222"/>
          <w:sz w:val="24"/>
          <w:szCs w:val="24"/>
          <w:highlight w:val="white"/>
        </w:rPr>
        <w:t>Fransoo</w:t>
      </w:r>
      <w:proofErr w:type="spellEnd"/>
      <w:r>
        <w:rPr>
          <w:rFonts w:ascii="Times New Roman" w:eastAsia="Times New Roman" w:hAnsi="Times New Roman" w:cs="Times New Roman"/>
          <w:color w:val="222222"/>
          <w:sz w:val="24"/>
          <w:szCs w:val="24"/>
          <w:highlight w:val="white"/>
        </w:rPr>
        <w:t xml:space="preserve">, J.C., 2026. Optimizing Online Grocery Service: from Customer Understanding to Multichannel Profitability. </w:t>
      </w:r>
      <w:r>
        <w:rPr>
          <w:rFonts w:ascii="Times New Roman" w:eastAsia="Times New Roman" w:hAnsi="Times New Roman" w:cs="Times New Roman"/>
          <w:i/>
          <w:iCs/>
          <w:color w:val="222222"/>
          <w:sz w:val="24"/>
          <w:szCs w:val="24"/>
          <w:highlight w:val="white"/>
        </w:rPr>
        <w:t>European Journal of Operational Research</w:t>
      </w:r>
      <w:r>
        <w:rPr>
          <w:rFonts w:ascii="Times New Roman" w:eastAsia="Times New Roman" w:hAnsi="Times New Roman" w:cs="Times New Roman"/>
          <w:color w:val="222222"/>
          <w:sz w:val="24"/>
          <w:szCs w:val="24"/>
          <w:highlight w:val="white"/>
        </w:rPr>
        <w:t>.</w:t>
      </w:r>
      <w:hyperlink r:id="rId9">
        <w:r>
          <w:rPr>
            <w:rFonts w:ascii="Times New Roman" w:eastAsia="Times New Roman" w:hAnsi="Times New Roman" w:cs="Times New Roman"/>
            <w:color w:val="1155CC"/>
            <w:sz w:val="24"/>
            <w:szCs w:val="24"/>
            <w:highlight w:val="white"/>
            <w:u w:val="single"/>
          </w:rPr>
          <w:t>https://www.sciencedirect.com/science/article/pii/S0377221726000937</w:t>
        </w:r>
      </w:hyperlink>
    </w:p>
    <w:p w14:paraId="55392F74"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Gielens</w:t>
      </w:r>
      <w:proofErr w:type="spellEnd"/>
      <w:r>
        <w:rPr>
          <w:rFonts w:ascii="Times New Roman" w:eastAsia="Times New Roman" w:hAnsi="Times New Roman" w:cs="Times New Roman"/>
          <w:color w:val="222222"/>
          <w:sz w:val="24"/>
          <w:szCs w:val="24"/>
          <w:highlight w:val="white"/>
        </w:rPr>
        <w:t xml:space="preserve">, K., Ma, Y., </w:t>
      </w:r>
      <w:proofErr w:type="spellStart"/>
      <w:r>
        <w:rPr>
          <w:rFonts w:ascii="Times New Roman" w:eastAsia="Times New Roman" w:hAnsi="Times New Roman" w:cs="Times New Roman"/>
          <w:color w:val="222222"/>
          <w:sz w:val="24"/>
          <w:szCs w:val="24"/>
          <w:highlight w:val="white"/>
        </w:rPr>
        <w:t>Namin</w:t>
      </w:r>
      <w:proofErr w:type="spellEnd"/>
      <w:r>
        <w:rPr>
          <w:rFonts w:ascii="Times New Roman" w:eastAsia="Times New Roman" w:hAnsi="Times New Roman" w:cs="Times New Roman"/>
          <w:color w:val="222222"/>
          <w:sz w:val="24"/>
          <w:szCs w:val="24"/>
          <w:highlight w:val="white"/>
        </w:rPr>
        <w:t xml:space="preserve">, A., Sethuraman, R., Smith, R.J., Bachtel, R.C. and Jervis, S., 2021. The future of private labels: towards a smart private label strategy. </w:t>
      </w:r>
      <w:r>
        <w:rPr>
          <w:rFonts w:ascii="Times New Roman" w:eastAsia="Times New Roman" w:hAnsi="Times New Roman" w:cs="Times New Roman"/>
          <w:i/>
          <w:iCs/>
          <w:color w:val="222222"/>
          <w:sz w:val="24"/>
          <w:szCs w:val="24"/>
          <w:highlight w:val="white"/>
        </w:rPr>
        <w:t>Journal of Retailing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97</w:t>
      </w:r>
      <w:r>
        <w:rPr>
          <w:rFonts w:ascii="Times New Roman" w:eastAsia="Times New Roman" w:hAnsi="Times New Roman" w:cs="Times New Roman"/>
          <w:color w:val="222222"/>
          <w:sz w:val="24"/>
          <w:szCs w:val="24"/>
          <w:highlight w:val="white"/>
        </w:rPr>
        <w:t>(1), pp.99-115.</w:t>
      </w:r>
      <w:hyperlink r:id="rId10">
        <w:r>
          <w:rPr>
            <w:rFonts w:ascii="Times New Roman" w:eastAsia="Times New Roman" w:hAnsi="Times New Roman" w:cs="Times New Roman"/>
            <w:color w:val="1155CC"/>
            <w:sz w:val="24"/>
            <w:szCs w:val="24"/>
            <w:highlight w:val="white"/>
            <w:u w:val="single"/>
          </w:rPr>
          <w:t>https://profrajsethuraman.net/Papers/Dr.%20Raj%20Sethuraman%20Publications/JR_4-The_Future_of_Private_Labels_Towards%20a_Smart_Private_Label_Strategy.pdf</w:t>
        </w:r>
      </w:hyperlink>
    </w:p>
    <w:p w14:paraId="55392F75"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Hallikainen, H., Luongo, M., Dhir, A. and Laukkanen, T., 2022. Consequences of personalized product recommendations and price promotions in online grocery shopping. </w:t>
      </w:r>
      <w:r>
        <w:rPr>
          <w:rFonts w:ascii="Times New Roman" w:eastAsia="Times New Roman" w:hAnsi="Times New Roman" w:cs="Times New Roman"/>
          <w:i/>
          <w:iCs/>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69</w:t>
      </w:r>
      <w:r>
        <w:rPr>
          <w:rFonts w:ascii="Times New Roman" w:eastAsia="Times New Roman" w:hAnsi="Times New Roman" w:cs="Times New Roman"/>
          <w:color w:val="222222"/>
          <w:sz w:val="24"/>
          <w:szCs w:val="24"/>
          <w:highlight w:val="white"/>
        </w:rPr>
        <w:t>, p.103088.</w:t>
      </w:r>
      <w:hyperlink r:id="rId11">
        <w:r>
          <w:rPr>
            <w:rFonts w:ascii="Times New Roman" w:eastAsia="Times New Roman" w:hAnsi="Times New Roman" w:cs="Times New Roman"/>
            <w:color w:val="1155CC"/>
            <w:sz w:val="24"/>
            <w:szCs w:val="24"/>
            <w:highlight w:val="white"/>
            <w:u w:val="single"/>
          </w:rPr>
          <w:t>https://www.sciencedirect.com/science/article/pii/S0969698922001813</w:t>
        </w:r>
      </w:hyperlink>
    </w:p>
    <w:p w14:paraId="55392F76"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Iyer, P., Davari, A., </w:t>
      </w:r>
      <w:proofErr w:type="spellStart"/>
      <w:r>
        <w:rPr>
          <w:rFonts w:ascii="Times New Roman" w:eastAsia="Times New Roman" w:hAnsi="Times New Roman" w:cs="Times New Roman"/>
          <w:color w:val="222222"/>
          <w:sz w:val="24"/>
          <w:szCs w:val="24"/>
          <w:highlight w:val="white"/>
        </w:rPr>
        <w:t>Zolfagharian</w:t>
      </w:r>
      <w:proofErr w:type="spellEnd"/>
      <w:r>
        <w:rPr>
          <w:rFonts w:ascii="Times New Roman" w:eastAsia="Times New Roman" w:hAnsi="Times New Roman" w:cs="Times New Roman"/>
          <w:color w:val="222222"/>
          <w:sz w:val="24"/>
          <w:szCs w:val="24"/>
          <w:highlight w:val="white"/>
        </w:rPr>
        <w:t xml:space="preserve">, M. and Paswan, A., 2019. Market orientation, positioning strategy and brand performance. </w:t>
      </w:r>
      <w:r>
        <w:rPr>
          <w:rFonts w:ascii="Times New Roman" w:eastAsia="Times New Roman" w:hAnsi="Times New Roman" w:cs="Times New Roman"/>
          <w:i/>
          <w:iCs/>
          <w:color w:val="222222"/>
          <w:sz w:val="24"/>
          <w:szCs w:val="24"/>
          <w:highlight w:val="white"/>
        </w:rPr>
        <w:t>Industrial Marketing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81</w:t>
      </w:r>
      <w:r>
        <w:rPr>
          <w:rFonts w:ascii="Times New Roman" w:eastAsia="Times New Roman" w:hAnsi="Times New Roman" w:cs="Times New Roman"/>
          <w:color w:val="222222"/>
          <w:sz w:val="24"/>
          <w:szCs w:val="24"/>
          <w:highlight w:val="white"/>
        </w:rPr>
        <w:t>, pp.16-29.</w:t>
      </w:r>
      <w:hyperlink r:id="rId12">
        <w:r>
          <w:rPr>
            <w:rFonts w:ascii="Times New Roman" w:eastAsia="Times New Roman" w:hAnsi="Times New Roman" w:cs="Times New Roman"/>
            <w:color w:val="1155CC"/>
            <w:sz w:val="24"/>
            <w:szCs w:val="24"/>
            <w:highlight w:val="white"/>
            <w:u w:val="single"/>
          </w:rPr>
          <w:t>https://www.academia.edu/download/110899399/j.indmarman.2018.11.00420240127-1-abb8l3.pdf</w:t>
        </w:r>
      </w:hyperlink>
    </w:p>
    <w:p w14:paraId="55392F77"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Jung, J., Widmar, N.O. and Lusk, J.L., 2024. Societal implications of personalized pricing in online grocery shopping. </w:t>
      </w:r>
      <w:r>
        <w:rPr>
          <w:rFonts w:ascii="Times New Roman" w:eastAsia="Times New Roman" w:hAnsi="Times New Roman" w:cs="Times New Roman"/>
          <w:i/>
          <w:iCs/>
          <w:color w:val="222222"/>
          <w:sz w:val="24"/>
          <w:szCs w:val="24"/>
          <w:highlight w:val="white"/>
        </w:rPr>
        <w:t>Food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w:t>
      </w:r>
      <w:r>
        <w:rPr>
          <w:rFonts w:ascii="Times New Roman" w:eastAsia="Times New Roman" w:hAnsi="Times New Roman" w:cs="Times New Roman"/>
          <w:color w:val="222222"/>
          <w:sz w:val="24"/>
          <w:szCs w:val="24"/>
          <w:highlight w:val="white"/>
        </w:rPr>
        <w:t>(1), p.8.</w:t>
      </w:r>
      <w:hyperlink r:id="rId13">
        <w:r>
          <w:rPr>
            <w:rFonts w:ascii="Times New Roman" w:eastAsia="Times New Roman" w:hAnsi="Times New Roman" w:cs="Times New Roman"/>
            <w:color w:val="1155CC"/>
            <w:sz w:val="24"/>
            <w:szCs w:val="24"/>
            <w:highlight w:val="white"/>
            <w:u w:val="single"/>
          </w:rPr>
          <w:t>https://link.springer.com/content/pdf/10.1007/s41055-024-00142-0.pdf</w:t>
        </w:r>
      </w:hyperlink>
      <w:r>
        <w:rPr>
          <w:rFonts w:ascii="Times New Roman" w:eastAsia="Times New Roman" w:hAnsi="Times New Roman" w:cs="Times New Roman"/>
          <w:color w:val="222222"/>
          <w:sz w:val="24"/>
          <w:szCs w:val="24"/>
          <w:highlight w:val="white"/>
        </w:rPr>
        <w:br/>
        <w:t xml:space="preserve">Kottler, P. and Keller, K.L., 2009. Marketing management. </w:t>
      </w:r>
      <w:r>
        <w:rPr>
          <w:rFonts w:ascii="Times New Roman" w:eastAsia="Times New Roman" w:hAnsi="Times New Roman" w:cs="Times New Roman"/>
          <w:i/>
          <w:iCs/>
          <w:color w:val="222222"/>
          <w:sz w:val="24"/>
          <w:szCs w:val="24"/>
          <w:highlight w:val="white"/>
        </w:rPr>
        <w:t>Jakarta: Erlangga</w:t>
      </w:r>
      <w:r>
        <w:rPr>
          <w:rFonts w:ascii="Times New Roman" w:eastAsia="Times New Roman" w:hAnsi="Times New Roman" w:cs="Times New Roman"/>
          <w:color w:val="222222"/>
          <w:sz w:val="24"/>
          <w:szCs w:val="24"/>
          <w:highlight w:val="white"/>
        </w:rPr>
        <w:t>.</w:t>
      </w:r>
      <w:hyperlink r:id="rId14">
        <w:r>
          <w:rPr>
            <w:rFonts w:ascii="Times New Roman" w:eastAsia="Times New Roman" w:hAnsi="Times New Roman" w:cs="Times New Roman"/>
            <w:color w:val="1155CC"/>
            <w:sz w:val="24"/>
            <w:szCs w:val="24"/>
            <w:highlight w:val="white"/>
            <w:u w:val="single"/>
          </w:rPr>
          <w:t>https://www.uoguelph.ca/mcs/sites/uoguelph.ca.mcs/files/public/Advanced%20Marketing%20MCS%203000%20Course%20Outline%20-%20Fall%202010.pdf</w:t>
        </w:r>
      </w:hyperlink>
    </w:p>
    <w:p w14:paraId="55392F78"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Nesset, E., Bergem, O., Nervik, B., Sørlie, E.S. and Helgesen, Ø., 2021. Building chain loyalty in grocery retailing by means of loyalty programs–A study of ‘the Norwegian case’. </w:t>
      </w:r>
      <w:r>
        <w:rPr>
          <w:rFonts w:ascii="Times New Roman" w:eastAsia="Times New Roman" w:hAnsi="Times New Roman" w:cs="Times New Roman"/>
          <w:i/>
          <w:iCs/>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60</w:t>
      </w:r>
      <w:r>
        <w:rPr>
          <w:rFonts w:ascii="Times New Roman" w:eastAsia="Times New Roman" w:hAnsi="Times New Roman" w:cs="Times New Roman"/>
          <w:color w:val="222222"/>
          <w:sz w:val="24"/>
          <w:szCs w:val="24"/>
          <w:highlight w:val="white"/>
        </w:rPr>
        <w:t>, p.102450.</w:t>
      </w:r>
      <w:hyperlink r:id="rId15">
        <w:r>
          <w:rPr>
            <w:rFonts w:ascii="Times New Roman" w:eastAsia="Times New Roman" w:hAnsi="Times New Roman" w:cs="Times New Roman"/>
            <w:color w:val="1155CC"/>
            <w:sz w:val="24"/>
            <w:szCs w:val="24"/>
            <w:highlight w:val="white"/>
            <w:u w:val="single"/>
          </w:rPr>
          <w:t>https://www.sciencedirect.com/science/article/pii/S0969698921000163</w:t>
        </w:r>
      </w:hyperlink>
    </w:p>
    <w:p w14:paraId="55392F79"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Sharp, B., Dawes, J. and Victory, K., 2024. The market-based assets theory of brand competition. </w:t>
      </w:r>
      <w:r>
        <w:rPr>
          <w:rFonts w:ascii="Times New Roman" w:eastAsia="Times New Roman" w:hAnsi="Times New Roman" w:cs="Times New Roman"/>
          <w:i/>
          <w:iCs/>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76</w:t>
      </w:r>
      <w:r>
        <w:rPr>
          <w:rFonts w:ascii="Times New Roman" w:eastAsia="Times New Roman" w:hAnsi="Times New Roman" w:cs="Times New Roman"/>
          <w:color w:val="222222"/>
          <w:sz w:val="24"/>
          <w:szCs w:val="24"/>
          <w:highlight w:val="white"/>
        </w:rPr>
        <w:t>, p.103566.</w:t>
      </w:r>
      <w:hyperlink r:id="rId16">
        <w:r>
          <w:rPr>
            <w:rFonts w:ascii="Times New Roman" w:eastAsia="Times New Roman" w:hAnsi="Times New Roman" w:cs="Times New Roman"/>
            <w:color w:val="1155CC"/>
            <w:sz w:val="24"/>
            <w:szCs w:val="24"/>
            <w:highlight w:val="white"/>
            <w:u w:val="single"/>
          </w:rPr>
          <w:t>https://www.sciencedirect.com/science/article/pii/S096969892300317X</w:t>
        </w:r>
      </w:hyperlink>
    </w:p>
    <w:p w14:paraId="55392F7A"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X., Zhang, L., Qin, Y. and Wang, Y., 2025. Private Brand Product on Online Retailing Platforms: Pricing and Quality Management. </w:t>
      </w:r>
      <w:r>
        <w:rPr>
          <w:rFonts w:ascii="Times New Roman" w:eastAsia="Times New Roman" w:hAnsi="Times New Roman" w:cs="Times New Roman"/>
          <w:i/>
          <w:iCs/>
          <w:color w:val="222222"/>
          <w:sz w:val="24"/>
          <w:szCs w:val="24"/>
          <w:highlight w:val="white"/>
        </w:rPr>
        <w:t>Journal of Theoretical and Applied Electronic Commerce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20</w:t>
      </w:r>
      <w:r>
        <w:rPr>
          <w:rFonts w:ascii="Times New Roman" w:eastAsia="Times New Roman" w:hAnsi="Times New Roman" w:cs="Times New Roman"/>
          <w:color w:val="222222"/>
          <w:sz w:val="24"/>
          <w:szCs w:val="24"/>
          <w:highlight w:val="white"/>
        </w:rPr>
        <w:t>(3), p.170.</w:t>
      </w:r>
      <w:hyperlink r:id="rId17">
        <w:r>
          <w:rPr>
            <w:rFonts w:ascii="Times New Roman" w:eastAsia="Times New Roman" w:hAnsi="Times New Roman" w:cs="Times New Roman"/>
            <w:color w:val="1155CC"/>
            <w:sz w:val="24"/>
            <w:szCs w:val="24"/>
            <w:highlight w:val="white"/>
            <w:u w:val="single"/>
          </w:rPr>
          <w:t>https://www.mdpi.com/0718-1876/20/3/170</w:t>
        </w:r>
      </w:hyperlink>
    </w:p>
    <w:p w14:paraId="55392F7B" w14:textId="77777777" w:rsidR="008E22DA" w:rsidRDefault="008E22DA">
      <w:pPr>
        <w:widowControl w:val="0"/>
        <w:spacing w:line="480" w:lineRule="auto"/>
        <w:jc w:val="both"/>
        <w:rPr>
          <w:rFonts w:ascii="Times New Roman" w:eastAsia="Times New Roman" w:hAnsi="Times New Roman" w:cs="Times New Roman"/>
          <w:sz w:val="24"/>
          <w:szCs w:val="24"/>
        </w:rPr>
      </w:pPr>
    </w:p>
    <w:p w14:paraId="55392F7C"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br/>
      </w:r>
    </w:p>
    <w:p w14:paraId="55392F7D" w14:textId="77777777" w:rsidR="008E22DA" w:rsidRDefault="008E22DA">
      <w:pPr>
        <w:spacing w:line="480" w:lineRule="auto"/>
        <w:jc w:val="both"/>
        <w:rPr>
          <w:rFonts w:ascii="Times New Roman" w:eastAsia="Times New Roman" w:hAnsi="Times New Roman" w:cs="Times New Roman"/>
          <w:color w:val="222222"/>
          <w:sz w:val="20"/>
          <w:szCs w:val="20"/>
          <w:highlight w:val="white"/>
        </w:rPr>
      </w:pPr>
    </w:p>
    <w:sectPr w:rsidR="008E22D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Bold r:id="rId1" w:fontKey="{25A02122-3335-4863-AD71-51D8642EF700}"/>
  </w:font>
  <w:font w:name="Calibri">
    <w:panose1 w:val="020F0502020204030204"/>
    <w:charset w:val="00"/>
    <w:family w:val="swiss"/>
    <w:pitch w:val="variable"/>
    <w:sig w:usb0="E4002EFF" w:usb1="C200ACFF" w:usb2="00000009" w:usb3="00000000" w:csb0="000001FF" w:csb1="00000000"/>
    <w:embedRegular r:id="rId2" w:fontKey="{FA17B4FF-5CE6-4AA5-AAC8-100639EE183F}"/>
  </w:font>
  <w:font w:name="Cambria">
    <w:panose1 w:val="02040503050406030204"/>
    <w:charset w:val="00"/>
    <w:family w:val="roman"/>
    <w:pitch w:val="variable"/>
    <w:sig w:usb0="E00006FF" w:usb1="420024FF" w:usb2="02000000" w:usb3="00000000" w:csb0="0000019F" w:csb1="00000000"/>
    <w:embedRegular r:id="rId3" w:fontKey="{991EBB9B-4C7B-44CC-8AD6-49DC398D0F1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22DA"/>
    <w:rsid w:val="00115239"/>
    <w:rsid w:val="00256D58"/>
    <w:rsid w:val="0027276C"/>
    <w:rsid w:val="00400B37"/>
    <w:rsid w:val="005B2368"/>
    <w:rsid w:val="007257D7"/>
    <w:rsid w:val="0076080C"/>
    <w:rsid w:val="00770689"/>
    <w:rsid w:val="00782E6F"/>
    <w:rsid w:val="00791877"/>
    <w:rsid w:val="00865C6F"/>
    <w:rsid w:val="008C1DAA"/>
    <w:rsid w:val="008E22DA"/>
    <w:rsid w:val="009A2376"/>
    <w:rsid w:val="009F6813"/>
    <w:rsid w:val="00AB4A4B"/>
    <w:rsid w:val="00BF4E75"/>
    <w:rsid w:val="00E26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92F3A"/>
  <w15:docId w15:val="{A31EED37-E659-2D40-A7D4-E4EE0688E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character" w:styleId="Strong">
    <w:name w:val="Strong"/>
    <w:basedOn w:val="DefaultParagraphFont"/>
    <w:uiPriority w:val="22"/>
    <w:qFormat/>
    <w:rsid w:val="007706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ortal.findresearcher.sdu.dk/files/180049214/B2B_Market_Segmentation_JBR_accepted_1.pdf" TargetMode="External"/><Relationship Id="rId13" Type="http://schemas.openxmlformats.org/officeDocument/2006/relationships/hyperlink" Target="https://link.springer.com/content/pdf/10.1007/s41055-024-00142-0.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irect.com/science/article/pii/S003335062500294X" TargetMode="External"/><Relationship Id="rId12" Type="http://schemas.openxmlformats.org/officeDocument/2006/relationships/hyperlink" Target="https://www.academia.edu/download/110899399/j.indmarman.2018.11.00420240127-1-abb8l3.pdf" TargetMode="External"/><Relationship Id="rId17" Type="http://schemas.openxmlformats.org/officeDocument/2006/relationships/hyperlink" Target="https://www.mdpi.com/0718-1876/20/3/170" TargetMode="External"/><Relationship Id="rId2" Type="http://schemas.openxmlformats.org/officeDocument/2006/relationships/styles" Target="styles.xml"/><Relationship Id="rId16" Type="http://schemas.openxmlformats.org/officeDocument/2006/relationships/hyperlink" Target="https://www.sciencedirect.com/science/article/pii/S096969892300317X" TargetMode="External"/><Relationship Id="rId1" Type="http://schemas.openxmlformats.org/officeDocument/2006/relationships/customXml" Target="../customXml/item1.xml"/><Relationship Id="rId6" Type="http://schemas.openxmlformats.org/officeDocument/2006/relationships/hyperlink" Target="https://link.springer.com/content/pdf/10.1007/s11129-023-09273-w.pdf" TargetMode="External"/><Relationship Id="rId11" Type="http://schemas.openxmlformats.org/officeDocument/2006/relationships/hyperlink" Target="https://www.sciencedirect.com/science/article/pii/S0969698922001813" TargetMode="External"/><Relationship Id="rId5" Type="http://schemas.openxmlformats.org/officeDocument/2006/relationships/image" Target="media/image1.png"/><Relationship Id="rId15" Type="http://schemas.openxmlformats.org/officeDocument/2006/relationships/hyperlink" Target="https://www.sciencedirect.com/science/article/pii/S0969698921000163" TargetMode="External"/><Relationship Id="rId10" Type="http://schemas.openxmlformats.org/officeDocument/2006/relationships/hyperlink" Target="https://profrajsethuraman.net/Papers/Dr.%20Raj%20Sethuraman%20Publications/JR_4-The_Future_of_Private_Labels_Towards%20a_Smart_Private_Label_Strategy.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pii/S0377221726000937" TargetMode="External"/><Relationship Id="rId14" Type="http://schemas.openxmlformats.org/officeDocument/2006/relationships/hyperlink" Target="https://www.uoguelph.ca/mcs/sites/uoguelph.ca.mcs/files/public/Advanced%20Marketing%20MCS%203000%20Course%20Outline%20-%20Fall%202010.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7moSPS4HsF+QaitKmMEpg3xaHQ==">CgMxLjAyDmgucnNnZnVzZG90djAzMg5oLmFlb3d3cm54d2poYjIOaC50YXh5MXQ1ZjZ1Y2UyDmgudm1ocTN5ZWFwMmFzMg5oLnZncmM5dTd3dzk5OTIOaC43cDlid2EybWhhaTkyDmgudGVjdjdwbWY4ZHRmMg5oLnZwZnRvdGFua2hxNzIOaC52Y3owM3JhZXlrNngyDmgucnI3aWM3Y25nbnNxMg5oLnQxcDh3ZWx4bTNzNTIOaC4yMmVqazRnb2p2NHU4AHIhMVlETi01SkJtcXljQlRmSHprWWh3VUNEeThKcVNaTHV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3669</Words>
  <Characters>20917</Characters>
  <Application>Microsoft Office Word</Application>
  <DocSecurity>0</DocSecurity>
  <Lines>174</Lines>
  <Paragraphs>49</Paragraphs>
  <ScaleCrop>false</ScaleCrop>
  <Company/>
  <LinksUpToDate>false</LinksUpToDate>
  <CharactersWithSpaces>24537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 Saibel (2420427)</cp:lastModifiedBy>
  <cp:revision>2</cp:revision>
  <dcterms:created xsi:type="dcterms:W3CDTF">2026-03-07T16:20:00Z</dcterms:created>
  <dcterms:modified xsi:type="dcterms:W3CDTF">2026-03-07T16:20:00Z</dcterms:modified>
</cp:coreProperties>
</file>