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43AF5" w14:textId="77777777" w:rsidR="00E11E78" w:rsidRDefault="00E11E78" w:rsidP="00960EC2">
      <w:pPr>
        <w:spacing w:line="360" w:lineRule="auto"/>
        <w:jc w:val="both"/>
        <w:rPr>
          <w:rFonts w:ascii="Times New Roman" w:hAnsi="Times New Roman" w:cs="Times New Roman"/>
          <w:b/>
          <w:bCs/>
          <w:sz w:val="24"/>
          <w:szCs w:val="24"/>
        </w:rPr>
      </w:pPr>
    </w:p>
    <w:p w14:paraId="25A75E0F" w14:textId="77777777" w:rsidR="00E11E78" w:rsidRDefault="00E11E78" w:rsidP="00960EC2">
      <w:pPr>
        <w:spacing w:line="360" w:lineRule="auto"/>
        <w:jc w:val="both"/>
        <w:rPr>
          <w:rFonts w:ascii="Times New Roman" w:hAnsi="Times New Roman" w:cs="Times New Roman"/>
          <w:b/>
          <w:bCs/>
          <w:sz w:val="24"/>
          <w:szCs w:val="24"/>
        </w:rPr>
      </w:pPr>
    </w:p>
    <w:p w14:paraId="6D66EA97" w14:textId="77777777" w:rsidR="00E11E78" w:rsidRDefault="00E11E78" w:rsidP="00960EC2">
      <w:pPr>
        <w:spacing w:line="360" w:lineRule="auto"/>
        <w:jc w:val="both"/>
        <w:rPr>
          <w:rFonts w:ascii="Times New Roman" w:hAnsi="Times New Roman" w:cs="Times New Roman"/>
          <w:b/>
          <w:bCs/>
          <w:sz w:val="24"/>
          <w:szCs w:val="24"/>
        </w:rPr>
      </w:pPr>
    </w:p>
    <w:p w14:paraId="36231775" w14:textId="77777777" w:rsidR="00E11E78" w:rsidRDefault="00E11E78" w:rsidP="00960EC2">
      <w:pPr>
        <w:spacing w:line="360" w:lineRule="auto"/>
        <w:jc w:val="both"/>
        <w:rPr>
          <w:rFonts w:ascii="Times New Roman" w:hAnsi="Times New Roman" w:cs="Times New Roman"/>
          <w:b/>
          <w:bCs/>
          <w:sz w:val="24"/>
          <w:szCs w:val="24"/>
        </w:rPr>
      </w:pPr>
    </w:p>
    <w:p w14:paraId="7DEDC15D" w14:textId="52C19ACA" w:rsidR="00E11E78" w:rsidRDefault="00E11E78" w:rsidP="00960EC2">
      <w:pPr>
        <w:spacing w:line="360" w:lineRule="auto"/>
        <w:jc w:val="both"/>
        <w:rPr>
          <w:rFonts w:ascii="Times New Roman" w:hAnsi="Times New Roman" w:cs="Times New Roman"/>
          <w:b/>
          <w:bCs/>
          <w:sz w:val="44"/>
          <w:szCs w:val="44"/>
        </w:rPr>
      </w:pPr>
      <w:r>
        <w:rPr>
          <w:rFonts w:ascii="Times New Roman" w:hAnsi="Times New Roman" w:cs="Times New Roman"/>
          <w:b/>
          <w:bCs/>
          <w:sz w:val="36"/>
          <w:szCs w:val="36"/>
        </w:rPr>
        <w:t xml:space="preserve">          </w:t>
      </w:r>
      <w:r w:rsidRPr="00E11E78">
        <w:rPr>
          <w:rFonts w:ascii="Times New Roman" w:hAnsi="Times New Roman" w:cs="Times New Roman"/>
          <w:b/>
          <w:bCs/>
          <w:sz w:val="44"/>
          <w:szCs w:val="44"/>
        </w:rPr>
        <w:t>Strategic Review of Royal Dutch Shell Plc.</w:t>
      </w:r>
    </w:p>
    <w:p w14:paraId="1B4D554C" w14:textId="77777777" w:rsidR="00E11E78" w:rsidRDefault="00E11E78" w:rsidP="00960EC2">
      <w:pPr>
        <w:spacing w:line="360" w:lineRule="auto"/>
        <w:jc w:val="both"/>
        <w:rPr>
          <w:rFonts w:ascii="Times New Roman" w:hAnsi="Times New Roman" w:cs="Times New Roman"/>
          <w:b/>
          <w:bCs/>
          <w:sz w:val="44"/>
          <w:szCs w:val="44"/>
        </w:rPr>
      </w:pPr>
    </w:p>
    <w:p w14:paraId="7B8A74F1" w14:textId="77777777" w:rsidR="00E11E78" w:rsidRDefault="00E11E78" w:rsidP="00960EC2">
      <w:pPr>
        <w:spacing w:line="360" w:lineRule="auto"/>
        <w:jc w:val="both"/>
        <w:rPr>
          <w:rFonts w:ascii="Times New Roman" w:hAnsi="Times New Roman" w:cs="Times New Roman"/>
          <w:b/>
          <w:bCs/>
          <w:sz w:val="44"/>
          <w:szCs w:val="44"/>
        </w:rPr>
      </w:pPr>
    </w:p>
    <w:p w14:paraId="21C966A4" w14:textId="77777777" w:rsidR="00E11E78" w:rsidRDefault="00E11E78" w:rsidP="00960EC2">
      <w:pPr>
        <w:spacing w:line="360" w:lineRule="auto"/>
        <w:jc w:val="both"/>
        <w:rPr>
          <w:rFonts w:ascii="Times New Roman" w:hAnsi="Times New Roman" w:cs="Times New Roman"/>
          <w:b/>
          <w:bCs/>
          <w:sz w:val="44"/>
          <w:szCs w:val="44"/>
        </w:rPr>
      </w:pPr>
    </w:p>
    <w:p w14:paraId="53EB90BA" w14:textId="77777777" w:rsidR="00E11E78" w:rsidRDefault="00E11E78" w:rsidP="00960EC2">
      <w:pPr>
        <w:spacing w:line="360" w:lineRule="auto"/>
        <w:jc w:val="both"/>
        <w:rPr>
          <w:rFonts w:ascii="Times New Roman" w:hAnsi="Times New Roman" w:cs="Times New Roman"/>
          <w:b/>
          <w:bCs/>
          <w:sz w:val="44"/>
          <w:szCs w:val="44"/>
        </w:rPr>
      </w:pPr>
    </w:p>
    <w:p w14:paraId="44B84F40" w14:textId="77777777" w:rsidR="00E11E78" w:rsidRDefault="00E11E78" w:rsidP="00960EC2">
      <w:pPr>
        <w:spacing w:line="360" w:lineRule="auto"/>
        <w:jc w:val="both"/>
        <w:rPr>
          <w:rFonts w:ascii="Times New Roman" w:hAnsi="Times New Roman" w:cs="Times New Roman"/>
          <w:b/>
          <w:bCs/>
          <w:sz w:val="44"/>
          <w:szCs w:val="44"/>
        </w:rPr>
      </w:pPr>
    </w:p>
    <w:p w14:paraId="41989A69" w14:textId="77777777" w:rsidR="00E11E78" w:rsidRDefault="00E11E78" w:rsidP="00960EC2">
      <w:pPr>
        <w:spacing w:line="360" w:lineRule="auto"/>
        <w:jc w:val="both"/>
        <w:rPr>
          <w:rFonts w:ascii="Times New Roman" w:hAnsi="Times New Roman" w:cs="Times New Roman"/>
          <w:b/>
          <w:bCs/>
          <w:sz w:val="44"/>
          <w:szCs w:val="44"/>
        </w:rPr>
      </w:pPr>
    </w:p>
    <w:p w14:paraId="4574865B" w14:textId="77777777" w:rsidR="00E11E78" w:rsidRDefault="00E11E78" w:rsidP="00960EC2">
      <w:pPr>
        <w:spacing w:line="360" w:lineRule="auto"/>
        <w:jc w:val="both"/>
        <w:rPr>
          <w:rFonts w:ascii="Times New Roman" w:hAnsi="Times New Roman" w:cs="Times New Roman"/>
          <w:b/>
          <w:bCs/>
          <w:sz w:val="44"/>
          <w:szCs w:val="44"/>
        </w:rPr>
      </w:pPr>
    </w:p>
    <w:p w14:paraId="68C76C13" w14:textId="790DA397" w:rsidR="00E11E78" w:rsidRDefault="00145CB9" w:rsidP="00960EC2">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Student: Lachezar Dimitrov</w:t>
      </w:r>
    </w:p>
    <w:p w14:paraId="7A9F2CDE" w14:textId="36FC6B66" w:rsidR="00145CB9" w:rsidRDefault="00145CB9" w:rsidP="00960EC2">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Student number: 1915922</w:t>
      </w:r>
    </w:p>
    <w:p w14:paraId="79C88C38" w14:textId="3D405AF6" w:rsidR="00145CB9" w:rsidRDefault="00145CB9" w:rsidP="00960EC2">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Module: Strategic Management and Sustainability </w:t>
      </w:r>
    </w:p>
    <w:p w14:paraId="1EDF1590" w14:textId="2FF0899D" w:rsidR="00145CB9" w:rsidRDefault="00145CB9" w:rsidP="00960EC2">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Module Code: LCBB6004</w:t>
      </w:r>
    </w:p>
    <w:p w14:paraId="247219E2" w14:textId="019D40BB" w:rsidR="00E11E78" w:rsidRPr="00145CB9" w:rsidRDefault="00145CB9" w:rsidP="00960EC2">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Lecturer: Dr Stephen </w:t>
      </w:r>
      <w:proofErr w:type="spellStart"/>
      <w:r>
        <w:rPr>
          <w:rFonts w:ascii="Times New Roman" w:hAnsi="Times New Roman" w:cs="Times New Roman"/>
          <w:b/>
          <w:bCs/>
          <w:sz w:val="36"/>
          <w:szCs w:val="36"/>
        </w:rPr>
        <w:t>Asafo</w:t>
      </w:r>
      <w:proofErr w:type="spellEnd"/>
    </w:p>
    <w:p w14:paraId="2284E499" w14:textId="77777777" w:rsidR="00E11E78" w:rsidRPr="00E11E78" w:rsidRDefault="00E11E78" w:rsidP="00960EC2">
      <w:pPr>
        <w:spacing w:line="360" w:lineRule="auto"/>
        <w:jc w:val="both"/>
        <w:rPr>
          <w:rFonts w:ascii="Times New Roman" w:hAnsi="Times New Roman" w:cs="Times New Roman"/>
          <w:b/>
          <w:bCs/>
          <w:sz w:val="44"/>
          <w:szCs w:val="44"/>
        </w:rPr>
      </w:pPr>
    </w:p>
    <w:p w14:paraId="58FB3EF4" w14:textId="205B70CB" w:rsidR="00E11E78" w:rsidRDefault="00E11E78" w:rsidP="00145CB9">
      <w:pPr>
        <w:spacing w:line="360" w:lineRule="auto"/>
        <w:jc w:val="both"/>
        <w:rPr>
          <w:rFonts w:ascii="Times New Roman" w:hAnsi="Times New Roman" w:cs="Times New Roman"/>
          <w:b/>
          <w:bCs/>
          <w:sz w:val="24"/>
          <w:szCs w:val="24"/>
        </w:rPr>
      </w:pPr>
    </w:p>
    <w:sdt>
      <w:sdtPr>
        <w:id w:val="761181214"/>
        <w:docPartObj>
          <w:docPartGallery w:val="Table of Contents"/>
          <w:docPartUnique/>
        </w:docPartObj>
      </w:sdtPr>
      <w:sdtEndPr>
        <w:rPr>
          <w:rFonts w:asciiTheme="minorHAnsi" w:eastAsiaTheme="minorHAnsi" w:hAnsiTheme="minorHAnsi" w:cstheme="minorBidi"/>
          <w:noProof/>
          <w:color w:val="auto"/>
          <w:kern w:val="2"/>
          <w:sz w:val="22"/>
          <w:szCs w:val="22"/>
          <w:lang w:val="en-IN"/>
          <w14:ligatures w14:val="standardContextual"/>
        </w:rPr>
      </w:sdtEndPr>
      <w:sdtContent>
        <w:p w14:paraId="7BBD2BB9" w14:textId="6D75DE68" w:rsidR="00187F9C" w:rsidRDefault="00187F9C">
          <w:pPr>
            <w:pStyle w:val="TOCHeading"/>
          </w:pPr>
          <w:r>
            <w:t>Table of Contents</w:t>
          </w:r>
        </w:p>
        <w:p w14:paraId="5C855AE9" w14:textId="60C168EB" w:rsidR="00187F9C" w:rsidRDefault="00187F9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5680179" w:history="1">
            <w:r w:rsidRPr="005E2F61">
              <w:rPr>
                <w:rStyle w:val="Hyperlink"/>
                <w:noProof/>
              </w:rPr>
              <w:t>Executive Summary</w:t>
            </w:r>
            <w:r>
              <w:rPr>
                <w:noProof/>
                <w:webHidden/>
              </w:rPr>
              <w:tab/>
            </w:r>
            <w:r>
              <w:rPr>
                <w:noProof/>
                <w:webHidden/>
              </w:rPr>
              <w:fldChar w:fldCharType="begin"/>
            </w:r>
            <w:r>
              <w:rPr>
                <w:noProof/>
                <w:webHidden/>
              </w:rPr>
              <w:instrText xml:space="preserve"> PAGEREF _Toc175680179 \h </w:instrText>
            </w:r>
            <w:r>
              <w:rPr>
                <w:noProof/>
                <w:webHidden/>
              </w:rPr>
            </w:r>
            <w:r>
              <w:rPr>
                <w:noProof/>
                <w:webHidden/>
              </w:rPr>
              <w:fldChar w:fldCharType="separate"/>
            </w:r>
            <w:r>
              <w:rPr>
                <w:noProof/>
                <w:webHidden/>
              </w:rPr>
              <w:t>4</w:t>
            </w:r>
            <w:r>
              <w:rPr>
                <w:noProof/>
                <w:webHidden/>
              </w:rPr>
              <w:fldChar w:fldCharType="end"/>
            </w:r>
          </w:hyperlink>
        </w:p>
        <w:p w14:paraId="02FD821A" w14:textId="70E4ECF5" w:rsidR="00187F9C" w:rsidRDefault="00187F9C">
          <w:pPr>
            <w:pStyle w:val="TOC1"/>
            <w:tabs>
              <w:tab w:val="right" w:leader="dot" w:pos="9016"/>
            </w:tabs>
            <w:rPr>
              <w:noProof/>
            </w:rPr>
          </w:pPr>
          <w:hyperlink w:anchor="_Toc175680180" w:history="1">
            <w:r w:rsidRPr="005E2F61">
              <w:rPr>
                <w:rStyle w:val="Hyperlink"/>
                <w:noProof/>
              </w:rPr>
              <w:t>Introduction</w:t>
            </w:r>
            <w:r>
              <w:rPr>
                <w:noProof/>
                <w:webHidden/>
              </w:rPr>
              <w:tab/>
            </w:r>
            <w:r>
              <w:rPr>
                <w:noProof/>
                <w:webHidden/>
              </w:rPr>
              <w:fldChar w:fldCharType="begin"/>
            </w:r>
            <w:r>
              <w:rPr>
                <w:noProof/>
                <w:webHidden/>
              </w:rPr>
              <w:instrText xml:space="preserve"> PAGEREF _Toc175680180 \h </w:instrText>
            </w:r>
            <w:r>
              <w:rPr>
                <w:noProof/>
                <w:webHidden/>
              </w:rPr>
            </w:r>
            <w:r>
              <w:rPr>
                <w:noProof/>
                <w:webHidden/>
              </w:rPr>
              <w:fldChar w:fldCharType="separate"/>
            </w:r>
            <w:r>
              <w:rPr>
                <w:noProof/>
                <w:webHidden/>
              </w:rPr>
              <w:t>4</w:t>
            </w:r>
            <w:r>
              <w:rPr>
                <w:noProof/>
                <w:webHidden/>
              </w:rPr>
              <w:fldChar w:fldCharType="end"/>
            </w:r>
          </w:hyperlink>
        </w:p>
        <w:p w14:paraId="5274D0AC" w14:textId="30AB20A3" w:rsidR="00187F9C" w:rsidRDefault="00187F9C">
          <w:pPr>
            <w:pStyle w:val="TOC1"/>
            <w:tabs>
              <w:tab w:val="right" w:leader="dot" w:pos="9016"/>
            </w:tabs>
            <w:rPr>
              <w:noProof/>
            </w:rPr>
          </w:pPr>
          <w:hyperlink w:anchor="_Toc175680181" w:history="1">
            <w:r w:rsidRPr="005E2F61">
              <w:rPr>
                <w:rStyle w:val="Hyperlink"/>
                <w:noProof/>
              </w:rPr>
              <w:t>Business strategies</w:t>
            </w:r>
            <w:r>
              <w:rPr>
                <w:noProof/>
                <w:webHidden/>
              </w:rPr>
              <w:tab/>
            </w:r>
            <w:r>
              <w:rPr>
                <w:noProof/>
                <w:webHidden/>
              </w:rPr>
              <w:fldChar w:fldCharType="begin"/>
            </w:r>
            <w:r>
              <w:rPr>
                <w:noProof/>
                <w:webHidden/>
              </w:rPr>
              <w:instrText xml:space="preserve"> PAGEREF _Toc175680181 \h </w:instrText>
            </w:r>
            <w:r>
              <w:rPr>
                <w:noProof/>
                <w:webHidden/>
              </w:rPr>
            </w:r>
            <w:r>
              <w:rPr>
                <w:noProof/>
                <w:webHidden/>
              </w:rPr>
              <w:fldChar w:fldCharType="separate"/>
            </w:r>
            <w:r>
              <w:rPr>
                <w:noProof/>
                <w:webHidden/>
              </w:rPr>
              <w:t>4</w:t>
            </w:r>
            <w:r>
              <w:rPr>
                <w:noProof/>
                <w:webHidden/>
              </w:rPr>
              <w:fldChar w:fldCharType="end"/>
            </w:r>
          </w:hyperlink>
        </w:p>
        <w:p w14:paraId="66763D49" w14:textId="1B22CF3D" w:rsidR="00187F9C" w:rsidRDefault="00187F9C">
          <w:pPr>
            <w:pStyle w:val="TOC1"/>
            <w:tabs>
              <w:tab w:val="right" w:leader="dot" w:pos="9016"/>
            </w:tabs>
            <w:rPr>
              <w:noProof/>
            </w:rPr>
          </w:pPr>
          <w:hyperlink w:anchor="_Toc175680182" w:history="1">
            <w:r w:rsidRPr="005E2F61">
              <w:rPr>
                <w:rStyle w:val="Hyperlink"/>
                <w:noProof/>
              </w:rPr>
              <w:t>Diversification and innovation.</w:t>
            </w:r>
            <w:r>
              <w:rPr>
                <w:noProof/>
                <w:webHidden/>
              </w:rPr>
              <w:tab/>
            </w:r>
            <w:r>
              <w:rPr>
                <w:noProof/>
                <w:webHidden/>
              </w:rPr>
              <w:fldChar w:fldCharType="begin"/>
            </w:r>
            <w:r>
              <w:rPr>
                <w:noProof/>
                <w:webHidden/>
              </w:rPr>
              <w:instrText xml:space="preserve"> PAGEREF _Toc175680182 \h </w:instrText>
            </w:r>
            <w:r>
              <w:rPr>
                <w:noProof/>
                <w:webHidden/>
              </w:rPr>
            </w:r>
            <w:r>
              <w:rPr>
                <w:noProof/>
                <w:webHidden/>
              </w:rPr>
              <w:fldChar w:fldCharType="separate"/>
            </w:r>
            <w:r>
              <w:rPr>
                <w:noProof/>
                <w:webHidden/>
              </w:rPr>
              <w:t>4</w:t>
            </w:r>
            <w:r>
              <w:rPr>
                <w:noProof/>
                <w:webHidden/>
              </w:rPr>
              <w:fldChar w:fldCharType="end"/>
            </w:r>
          </w:hyperlink>
        </w:p>
        <w:p w14:paraId="611A1274" w14:textId="0E71A694" w:rsidR="00187F9C" w:rsidRDefault="00187F9C">
          <w:pPr>
            <w:pStyle w:val="TOC1"/>
            <w:tabs>
              <w:tab w:val="right" w:leader="dot" w:pos="9016"/>
            </w:tabs>
            <w:rPr>
              <w:noProof/>
            </w:rPr>
          </w:pPr>
          <w:hyperlink w:anchor="_Toc175680183" w:history="1">
            <w:r w:rsidRPr="005E2F61">
              <w:rPr>
                <w:rStyle w:val="Hyperlink"/>
                <w:noProof/>
              </w:rPr>
              <w:t>Cost Leadership</w:t>
            </w:r>
            <w:r>
              <w:rPr>
                <w:noProof/>
                <w:webHidden/>
              </w:rPr>
              <w:tab/>
            </w:r>
            <w:r>
              <w:rPr>
                <w:noProof/>
                <w:webHidden/>
              </w:rPr>
              <w:fldChar w:fldCharType="begin"/>
            </w:r>
            <w:r>
              <w:rPr>
                <w:noProof/>
                <w:webHidden/>
              </w:rPr>
              <w:instrText xml:space="preserve"> PAGEREF _Toc175680183 \h </w:instrText>
            </w:r>
            <w:r>
              <w:rPr>
                <w:noProof/>
                <w:webHidden/>
              </w:rPr>
            </w:r>
            <w:r>
              <w:rPr>
                <w:noProof/>
                <w:webHidden/>
              </w:rPr>
              <w:fldChar w:fldCharType="separate"/>
            </w:r>
            <w:r>
              <w:rPr>
                <w:noProof/>
                <w:webHidden/>
              </w:rPr>
              <w:t>5</w:t>
            </w:r>
            <w:r>
              <w:rPr>
                <w:noProof/>
                <w:webHidden/>
              </w:rPr>
              <w:fldChar w:fldCharType="end"/>
            </w:r>
          </w:hyperlink>
        </w:p>
        <w:p w14:paraId="4042CC6C" w14:textId="644C5919" w:rsidR="00187F9C" w:rsidRDefault="00187F9C">
          <w:pPr>
            <w:pStyle w:val="TOC1"/>
            <w:tabs>
              <w:tab w:val="right" w:leader="dot" w:pos="9016"/>
            </w:tabs>
            <w:rPr>
              <w:noProof/>
            </w:rPr>
          </w:pPr>
          <w:hyperlink w:anchor="_Toc175680184" w:history="1">
            <w:r w:rsidRPr="005E2F61">
              <w:rPr>
                <w:rStyle w:val="Hyperlink"/>
                <w:noProof/>
              </w:rPr>
              <w:t>Vertical Integration</w:t>
            </w:r>
            <w:r>
              <w:rPr>
                <w:noProof/>
                <w:webHidden/>
              </w:rPr>
              <w:tab/>
            </w:r>
            <w:r>
              <w:rPr>
                <w:noProof/>
                <w:webHidden/>
              </w:rPr>
              <w:fldChar w:fldCharType="begin"/>
            </w:r>
            <w:r>
              <w:rPr>
                <w:noProof/>
                <w:webHidden/>
              </w:rPr>
              <w:instrText xml:space="preserve"> PAGEREF _Toc175680184 \h </w:instrText>
            </w:r>
            <w:r>
              <w:rPr>
                <w:noProof/>
                <w:webHidden/>
              </w:rPr>
            </w:r>
            <w:r>
              <w:rPr>
                <w:noProof/>
                <w:webHidden/>
              </w:rPr>
              <w:fldChar w:fldCharType="separate"/>
            </w:r>
            <w:r>
              <w:rPr>
                <w:noProof/>
                <w:webHidden/>
              </w:rPr>
              <w:t>6</w:t>
            </w:r>
            <w:r>
              <w:rPr>
                <w:noProof/>
                <w:webHidden/>
              </w:rPr>
              <w:fldChar w:fldCharType="end"/>
            </w:r>
          </w:hyperlink>
        </w:p>
        <w:p w14:paraId="5DA934BB" w14:textId="042DEAE0" w:rsidR="00187F9C" w:rsidRDefault="00187F9C">
          <w:pPr>
            <w:pStyle w:val="TOC1"/>
            <w:tabs>
              <w:tab w:val="right" w:leader="dot" w:pos="9016"/>
            </w:tabs>
            <w:rPr>
              <w:noProof/>
            </w:rPr>
          </w:pPr>
          <w:hyperlink w:anchor="_Toc175680185" w:history="1">
            <w:r w:rsidRPr="005E2F61">
              <w:rPr>
                <w:rStyle w:val="Hyperlink"/>
                <w:noProof/>
              </w:rPr>
              <w:t>Strategic Partnerships and Alliances</w:t>
            </w:r>
            <w:r>
              <w:rPr>
                <w:noProof/>
                <w:webHidden/>
              </w:rPr>
              <w:tab/>
            </w:r>
            <w:r>
              <w:rPr>
                <w:noProof/>
                <w:webHidden/>
              </w:rPr>
              <w:fldChar w:fldCharType="begin"/>
            </w:r>
            <w:r>
              <w:rPr>
                <w:noProof/>
                <w:webHidden/>
              </w:rPr>
              <w:instrText xml:space="preserve"> PAGEREF _Toc175680185 \h </w:instrText>
            </w:r>
            <w:r>
              <w:rPr>
                <w:noProof/>
                <w:webHidden/>
              </w:rPr>
            </w:r>
            <w:r>
              <w:rPr>
                <w:noProof/>
                <w:webHidden/>
              </w:rPr>
              <w:fldChar w:fldCharType="separate"/>
            </w:r>
            <w:r>
              <w:rPr>
                <w:noProof/>
                <w:webHidden/>
              </w:rPr>
              <w:t>6</w:t>
            </w:r>
            <w:r>
              <w:rPr>
                <w:noProof/>
                <w:webHidden/>
              </w:rPr>
              <w:fldChar w:fldCharType="end"/>
            </w:r>
          </w:hyperlink>
        </w:p>
        <w:p w14:paraId="3F58E08C" w14:textId="5C18B751" w:rsidR="00187F9C" w:rsidRDefault="00187F9C">
          <w:pPr>
            <w:pStyle w:val="TOC1"/>
            <w:tabs>
              <w:tab w:val="right" w:leader="dot" w:pos="9016"/>
            </w:tabs>
            <w:rPr>
              <w:noProof/>
            </w:rPr>
          </w:pPr>
          <w:hyperlink w:anchor="_Toc175680186" w:history="1">
            <w:r w:rsidRPr="005E2F61">
              <w:rPr>
                <w:rStyle w:val="Hyperlink"/>
                <w:noProof/>
              </w:rPr>
              <w:t>External Environment Analysis</w:t>
            </w:r>
            <w:r>
              <w:rPr>
                <w:noProof/>
                <w:webHidden/>
              </w:rPr>
              <w:tab/>
            </w:r>
            <w:r>
              <w:rPr>
                <w:noProof/>
                <w:webHidden/>
              </w:rPr>
              <w:fldChar w:fldCharType="begin"/>
            </w:r>
            <w:r>
              <w:rPr>
                <w:noProof/>
                <w:webHidden/>
              </w:rPr>
              <w:instrText xml:space="preserve"> PAGEREF _Toc175680186 \h </w:instrText>
            </w:r>
            <w:r>
              <w:rPr>
                <w:noProof/>
                <w:webHidden/>
              </w:rPr>
            </w:r>
            <w:r>
              <w:rPr>
                <w:noProof/>
                <w:webHidden/>
              </w:rPr>
              <w:fldChar w:fldCharType="separate"/>
            </w:r>
            <w:r>
              <w:rPr>
                <w:noProof/>
                <w:webHidden/>
              </w:rPr>
              <w:t>7</w:t>
            </w:r>
            <w:r>
              <w:rPr>
                <w:noProof/>
                <w:webHidden/>
              </w:rPr>
              <w:fldChar w:fldCharType="end"/>
            </w:r>
          </w:hyperlink>
        </w:p>
        <w:p w14:paraId="4FAB22F1" w14:textId="748DCDA1" w:rsidR="00187F9C" w:rsidRDefault="00187F9C">
          <w:pPr>
            <w:pStyle w:val="TOC1"/>
            <w:tabs>
              <w:tab w:val="right" w:leader="dot" w:pos="9016"/>
            </w:tabs>
            <w:rPr>
              <w:noProof/>
            </w:rPr>
          </w:pPr>
          <w:hyperlink w:anchor="_Toc175680187" w:history="1">
            <w:r w:rsidRPr="005E2F61">
              <w:rPr>
                <w:rStyle w:val="Hyperlink"/>
                <w:noProof/>
              </w:rPr>
              <w:t>Resources and Capabilities</w:t>
            </w:r>
            <w:r>
              <w:rPr>
                <w:noProof/>
                <w:webHidden/>
              </w:rPr>
              <w:tab/>
            </w:r>
            <w:r>
              <w:rPr>
                <w:noProof/>
                <w:webHidden/>
              </w:rPr>
              <w:fldChar w:fldCharType="begin"/>
            </w:r>
            <w:r>
              <w:rPr>
                <w:noProof/>
                <w:webHidden/>
              </w:rPr>
              <w:instrText xml:space="preserve"> PAGEREF _Toc175680187 \h </w:instrText>
            </w:r>
            <w:r>
              <w:rPr>
                <w:noProof/>
                <w:webHidden/>
              </w:rPr>
            </w:r>
            <w:r>
              <w:rPr>
                <w:noProof/>
                <w:webHidden/>
              </w:rPr>
              <w:fldChar w:fldCharType="separate"/>
            </w:r>
            <w:r>
              <w:rPr>
                <w:noProof/>
                <w:webHidden/>
              </w:rPr>
              <w:t>7</w:t>
            </w:r>
            <w:r>
              <w:rPr>
                <w:noProof/>
                <w:webHidden/>
              </w:rPr>
              <w:fldChar w:fldCharType="end"/>
            </w:r>
          </w:hyperlink>
        </w:p>
        <w:p w14:paraId="73684759" w14:textId="66813589" w:rsidR="00187F9C" w:rsidRDefault="00187F9C">
          <w:pPr>
            <w:pStyle w:val="TOC1"/>
            <w:tabs>
              <w:tab w:val="right" w:leader="dot" w:pos="9016"/>
            </w:tabs>
            <w:rPr>
              <w:noProof/>
            </w:rPr>
          </w:pPr>
          <w:hyperlink w:anchor="_Toc175680188" w:history="1">
            <w:r w:rsidRPr="005E2F61">
              <w:rPr>
                <w:rStyle w:val="Hyperlink"/>
                <w:noProof/>
              </w:rPr>
              <w:t>Physical Assets</w:t>
            </w:r>
            <w:r>
              <w:rPr>
                <w:noProof/>
                <w:webHidden/>
              </w:rPr>
              <w:tab/>
            </w:r>
            <w:r>
              <w:rPr>
                <w:noProof/>
                <w:webHidden/>
              </w:rPr>
              <w:fldChar w:fldCharType="begin"/>
            </w:r>
            <w:r>
              <w:rPr>
                <w:noProof/>
                <w:webHidden/>
              </w:rPr>
              <w:instrText xml:space="preserve"> PAGEREF _Toc175680188 \h </w:instrText>
            </w:r>
            <w:r>
              <w:rPr>
                <w:noProof/>
                <w:webHidden/>
              </w:rPr>
            </w:r>
            <w:r>
              <w:rPr>
                <w:noProof/>
                <w:webHidden/>
              </w:rPr>
              <w:fldChar w:fldCharType="separate"/>
            </w:r>
            <w:r>
              <w:rPr>
                <w:noProof/>
                <w:webHidden/>
              </w:rPr>
              <w:t>8</w:t>
            </w:r>
            <w:r>
              <w:rPr>
                <w:noProof/>
                <w:webHidden/>
              </w:rPr>
              <w:fldChar w:fldCharType="end"/>
            </w:r>
          </w:hyperlink>
        </w:p>
        <w:p w14:paraId="02860C55" w14:textId="55DBBEE9" w:rsidR="00187F9C" w:rsidRDefault="00187F9C">
          <w:pPr>
            <w:pStyle w:val="TOC1"/>
            <w:tabs>
              <w:tab w:val="right" w:leader="dot" w:pos="9016"/>
            </w:tabs>
            <w:rPr>
              <w:noProof/>
            </w:rPr>
          </w:pPr>
          <w:hyperlink w:anchor="_Toc175680189" w:history="1">
            <w:r w:rsidRPr="005E2F61">
              <w:rPr>
                <w:rStyle w:val="Hyperlink"/>
                <w:noProof/>
              </w:rPr>
              <w:t>Intangible Assets</w:t>
            </w:r>
            <w:r>
              <w:rPr>
                <w:noProof/>
                <w:webHidden/>
              </w:rPr>
              <w:tab/>
            </w:r>
            <w:r>
              <w:rPr>
                <w:noProof/>
                <w:webHidden/>
              </w:rPr>
              <w:fldChar w:fldCharType="begin"/>
            </w:r>
            <w:r>
              <w:rPr>
                <w:noProof/>
                <w:webHidden/>
              </w:rPr>
              <w:instrText xml:space="preserve"> PAGEREF _Toc175680189 \h </w:instrText>
            </w:r>
            <w:r>
              <w:rPr>
                <w:noProof/>
                <w:webHidden/>
              </w:rPr>
            </w:r>
            <w:r>
              <w:rPr>
                <w:noProof/>
                <w:webHidden/>
              </w:rPr>
              <w:fldChar w:fldCharType="separate"/>
            </w:r>
            <w:r>
              <w:rPr>
                <w:noProof/>
                <w:webHidden/>
              </w:rPr>
              <w:t>8</w:t>
            </w:r>
            <w:r>
              <w:rPr>
                <w:noProof/>
                <w:webHidden/>
              </w:rPr>
              <w:fldChar w:fldCharType="end"/>
            </w:r>
          </w:hyperlink>
        </w:p>
        <w:p w14:paraId="6B93DB0A" w14:textId="5C5AEEEE" w:rsidR="00187F9C" w:rsidRDefault="00187F9C">
          <w:pPr>
            <w:pStyle w:val="TOC1"/>
            <w:tabs>
              <w:tab w:val="right" w:leader="dot" w:pos="9016"/>
            </w:tabs>
            <w:rPr>
              <w:noProof/>
            </w:rPr>
          </w:pPr>
          <w:hyperlink w:anchor="_Toc175680190" w:history="1">
            <w:r w:rsidRPr="005E2F61">
              <w:rPr>
                <w:rStyle w:val="Hyperlink"/>
                <w:noProof/>
              </w:rPr>
              <w:t>Strategy implementation success – analysis</w:t>
            </w:r>
            <w:r>
              <w:rPr>
                <w:noProof/>
                <w:webHidden/>
              </w:rPr>
              <w:tab/>
            </w:r>
            <w:r>
              <w:rPr>
                <w:noProof/>
                <w:webHidden/>
              </w:rPr>
              <w:fldChar w:fldCharType="begin"/>
            </w:r>
            <w:r>
              <w:rPr>
                <w:noProof/>
                <w:webHidden/>
              </w:rPr>
              <w:instrText xml:space="preserve"> PAGEREF _Toc175680190 \h </w:instrText>
            </w:r>
            <w:r>
              <w:rPr>
                <w:noProof/>
                <w:webHidden/>
              </w:rPr>
            </w:r>
            <w:r>
              <w:rPr>
                <w:noProof/>
                <w:webHidden/>
              </w:rPr>
              <w:fldChar w:fldCharType="separate"/>
            </w:r>
            <w:r>
              <w:rPr>
                <w:noProof/>
                <w:webHidden/>
              </w:rPr>
              <w:t>9</w:t>
            </w:r>
            <w:r>
              <w:rPr>
                <w:noProof/>
                <w:webHidden/>
              </w:rPr>
              <w:fldChar w:fldCharType="end"/>
            </w:r>
          </w:hyperlink>
        </w:p>
        <w:p w14:paraId="2246F763" w14:textId="0151EE9F" w:rsidR="00187F9C" w:rsidRDefault="00187F9C">
          <w:pPr>
            <w:pStyle w:val="TOC1"/>
            <w:tabs>
              <w:tab w:val="right" w:leader="dot" w:pos="9016"/>
            </w:tabs>
            <w:rPr>
              <w:noProof/>
            </w:rPr>
          </w:pPr>
          <w:hyperlink w:anchor="_Toc175680191" w:history="1">
            <w:r w:rsidRPr="005E2F61">
              <w:rPr>
                <w:rStyle w:val="Hyperlink"/>
                <w:noProof/>
              </w:rPr>
              <w:t>Sustainability and Environmental Considerations</w:t>
            </w:r>
            <w:r>
              <w:rPr>
                <w:noProof/>
                <w:webHidden/>
              </w:rPr>
              <w:tab/>
            </w:r>
            <w:r>
              <w:rPr>
                <w:noProof/>
                <w:webHidden/>
              </w:rPr>
              <w:fldChar w:fldCharType="begin"/>
            </w:r>
            <w:r>
              <w:rPr>
                <w:noProof/>
                <w:webHidden/>
              </w:rPr>
              <w:instrText xml:space="preserve"> PAGEREF _Toc175680191 \h </w:instrText>
            </w:r>
            <w:r>
              <w:rPr>
                <w:noProof/>
                <w:webHidden/>
              </w:rPr>
            </w:r>
            <w:r>
              <w:rPr>
                <w:noProof/>
                <w:webHidden/>
              </w:rPr>
              <w:fldChar w:fldCharType="separate"/>
            </w:r>
            <w:r>
              <w:rPr>
                <w:noProof/>
                <w:webHidden/>
              </w:rPr>
              <w:t>9</w:t>
            </w:r>
            <w:r>
              <w:rPr>
                <w:noProof/>
                <w:webHidden/>
              </w:rPr>
              <w:fldChar w:fldCharType="end"/>
            </w:r>
          </w:hyperlink>
        </w:p>
        <w:p w14:paraId="178D58D3" w14:textId="00BC9C9A" w:rsidR="00187F9C" w:rsidRDefault="00187F9C">
          <w:pPr>
            <w:pStyle w:val="TOC1"/>
            <w:tabs>
              <w:tab w:val="right" w:leader="dot" w:pos="9016"/>
            </w:tabs>
            <w:rPr>
              <w:noProof/>
            </w:rPr>
          </w:pPr>
          <w:hyperlink w:anchor="_Toc175680192" w:history="1">
            <w:r w:rsidRPr="005E2F61">
              <w:rPr>
                <w:rStyle w:val="Hyperlink"/>
                <w:noProof/>
              </w:rPr>
              <w:t>Future Strategic Direction and Recommendations</w:t>
            </w:r>
            <w:r>
              <w:rPr>
                <w:noProof/>
                <w:webHidden/>
              </w:rPr>
              <w:tab/>
            </w:r>
            <w:r>
              <w:rPr>
                <w:noProof/>
                <w:webHidden/>
              </w:rPr>
              <w:fldChar w:fldCharType="begin"/>
            </w:r>
            <w:r>
              <w:rPr>
                <w:noProof/>
                <w:webHidden/>
              </w:rPr>
              <w:instrText xml:space="preserve"> PAGEREF _Toc175680192 \h </w:instrText>
            </w:r>
            <w:r>
              <w:rPr>
                <w:noProof/>
                <w:webHidden/>
              </w:rPr>
            </w:r>
            <w:r>
              <w:rPr>
                <w:noProof/>
                <w:webHidden/>
              </w:rPr>
              <w:fldChar w:fldCharType="separate"/>
            </w:r>
            <w:r>
              <w:rPr>
                <w:noProof/>
                <w:webHidden/>
              </w:rPr>
              <w:t>10</w:t>
            </w:r>
            <w:r>
              <w:rPr>
                <w:noProof/>
                <w:webHidden/>
              </w:rPr>
              <w:fldChar w:fldCharType="end"/>
            </w:r>
          </w:hyperlink>
        </w:p>
        <w:p w14:paraId="2495518C" w14:textId="6A55F679" w:rsidR="00187F9C" w:rsidRDefault="00187F9C">
          <w:pPr>
            <w:pStyle w:val="TOC1"/>
            <w:tabs>
              <w:tab w:val="right" w:leader="dot" w:pos="9016"/>
            </w:tabs>
            <w:rPr>
              <w:noProof/>
            </w:rPr>
          </w:pPr>
          <w:hyperlink w:anchor="_Toc175680193" w:history="1">
            <w:r w:rsidRPr="005E2F61">
              <w:rPr>
                <w:rStyle w:val="Hyperlink"/>
                <w:noProof/>
              </w:rPr>
              <w:t>Strategic Options</w:t>
            </w:r>
            <w:r>
              <w:rPr>
                <w:noProof/>
                <w:webHidden/>
              </w:rPr>
              <w:tab/>
            </w:r>
            <w:r>
              <w:rPr>
                <w:noProof/>
                <w:webHidden/>
              </w:rPr>
              <w:fldChar w:fldCharType="begin"/>
            </w:r>
            <w:r>
              <w:rPr>
                <w:noProof/>
                <w:webHidden/>
              </w:rPr>
              <w:instrText xml:space="preserve"> PAGEREF _Toc175680193 \h </w:instrText>
            </w:r>
            <w:r>
              <w:rPr>
                <w:noProof/>
                <w:webHidden/>
              </w:rPr>
            </w:r>
            <w:r>
              <w:rPr>
                <w:noProof/>
                <w:webHidden/>
              </w:rPr>
              <w:fldChar w:fldCharType="separate"/>
            </w:r>
            <w:r>
              <w:rPr>
                <w:noProof/>
                <w:webHidden/>
              </w:rPr>
              <w:t>10</w:t>
            </w:r>
            <w:r>
              <w:rPr>
                <w:noProof/>
                <w:webHidden/>
              </w:rPr>
              <w:fldChar w:fldCharType="end"/>
            </w:r>
          </w:hyperlink>
        </w:p>
        <w:p w14:paraId="0F6638DC" w14:textId="29F2E671" w:rsidR="00187F9C" w:rsidRDefault="00187F9C">
          <w:pPr>
            <w:pStyle w:val="TOC1"/>
            <w:tabs>
              <w:tab w:val="right" w:leader="dot" w:pos="9016"/>
            </w:tabs>
            <w:rPr>
              <w:noProof/>
            </w:rPr>
          </w:pPr>
          <w:hyperlink w:anchor="_Toc175680194" w:history="1">
            <w:r w:rsidRPr="005E2F61">
              <w:rPr>
                <w:rStyle w:val="Hyperlink"/>
                <w:noProof/>
              </w:rPr>
              <w:t>Recommendations</w:t>
            </w:r>
            <w:r>
              <w:rPr>
                <w:noProof/>
                <w:webHidden/>
              </w:rPr>
              <w:tab/>
            </w:r>
            <w:r>
              <w:rPr>
                <w:noProof/>
                <w:webHidden/>
              </w:rPr>
              <w:fldChar w:fldCharType="begin"/>
            </w:r>
            <w:r>
              <w:rPr>
                <w:noProof/>
                <w:webHidden/>
              </w:rPr>
              <w:instrText xml:space="preserve"> PAGEREF _Toc175680194 \h </w:instrText>
            </w:r>
            <w:r>
              <w:rPr>
                <w:noProof/>
                <w:webHidden/>
              </w:rPr>
            </w:r>
            <w:r>
              <w:rPr>
                <w:noProof/>
                <w:webHidden/>
              </w:rPr>
              <w:fldChar w:fldCharType="separate"/>
            </w:r>
            <w:r>
              <w:rPr>
                <w:noProof/>
                <w:webHidden/>
              </w:rPr>
              <w:t>11</w:t>
            </w:r>
            <w:r>
              <w:rPr>
                <w:noProof/>
                <w:webHidden/>
              </w:rPr>
              <w:fldChar w:fldCharType="end"/>
            </w:r>
          </w:hyperlink>
        </w:p>
        <w:p w14:paraId="5FA010F5" w14:textId="2F6D42B5" w:rsidR="00187F9C" w:rsidRDefault="00187F9C">
          <w:pPr>
            <w:pStyle w:val="TOC1"/>
            <w:tabs>
              <w:tab w:val="right" w:leader="dot" w:pos="9016"/>
            </w:tabs>
            <w:rPr>
              <w:noProof/>
            </w:rPr>
          </w:pPr>
          <w:hyperlink w:anchor="_Toc175680195" w:history="1">
            <w:r w:rsidRPr="005E2F61">
              <w:rPr>
                <w:rStyle w:val="Hyperlink"/>
                <w:noProof/>
              </w:rPr>
              <w:t>Conclusion</w:t>
            </w:r>
            <w:r>
              <w:rPr>
                <w:noProof/>
                <w:webHidden/>
              </w:rPr>
              <w:tab/>
            </w:r>
            <w:r>
              <w:rPr>
                <w:noProof/>
                <w:webHidden/>
              </w:rPr>
              <w:fldChar w:fldCharType="begin"/>
            </w:r>
            <w:r>
              <w:rPr>
                <w:noProof/>
                <w:webHidden/>
              </w:rPr>
              <w:instrText xml:space="preserve"> PAGEREF _Toc175680195 \h </w:instrText>
            </w:r>
            <w:r>
              <w:rPr>
                <w:noProof/>
                <w:webHidden/>
              </w:rPr>
            </w:r>
            <w:r>
              <w:rPr>
                <w:noProof/>
                <w:webHidden/>
              </w:rPr>
              <w:fldChar w:fldCharType="separate"/>
            </w:r>
            <w:r>
              <w:rPr>
                <w:noProof/>
                <w:webHidden/>
              </w:rPr>
              <w:t>11</w:t>
            </w:r>
            <w:r>
              <w:rPr>
                <w:noProof/>
                <w:webHidden/>
              </w:rPr>
              <w:fldChar w:fldCharType="end"/>
            </w:r>
          </w:hyperlink>
        </w:p>
        <w:p w14:paraId="1AB77A52" w14:textId="52380E4C" w:rsidR="00187F9C" w:rsidRDefault="00187F9C">
          <w:pPr>
            <w:pStyle w:val="TOC1"/>
            <w:tabs>
              <w:tab w:val="right" w:leader="dot" w:pos="9016"/>
            </w:tabs>
            <w:rPr>
              <w:noProof/>
            </w:rPr>
          </w:pPr>
          <w:hyperlink w:anchor="_Toc175680196" w:history="1">
            <w:r w:rsidRPr="005E2F61">
              <w:rPr>
                <w:rStyle w:val="Hyperlink"/>
                <w:noProof/>
              </w:rPr>
              <w:t>References</w:t>
            </w:r>
            <w:r>
              <w:rPr>
                <w:noProof/>
                <w:webHidden/>
              </w:rPr>
              <w:tab/>
            </w:r>
            <w:r>
              <w:rPr>
                <w:noProof/>
                <w:webHidden/>
              </w:rPr>
              <w:fldChar w:fldCharType="begin"/>
            </w:r>
            <w:r>
              <w:rPr>
                <w:noProof/>
                <w:webHidden/>
              </w:rPr>
              <w:instrText xml:space="preserve"> PAGEREF _Toc175680196 \h </w:instrText>
            </w:r>
            <w:r>
              <w:rPr>
                <w:noProof/>
                <w:webHidden/>
              </w:rPr>
            </w:r>
            <w:r>
              <w:rPr>
                <w:noProof/>
                <w:webHidden/>
              </w:rPr>
              <w:fldChar w:fldCharType="separate"/>
            </w:r>
            <w:r>
              <w:rPr>
                <w:noProof/>
                <w:webHidden/>
              </w:rPr>
              <w:t>11</w:t>
            </w:r>
            <w:r>
              <w:rPr>
                <w:noProof/>
                <w:webHidden/>
              </w:rPr>
              <w:fldChar w:fldCharType="end"/>
            </w:r>
          </w:hyperlink>
        </w:p>
        <w:p w14:paraId="23434C93" w14:textId="4B894DAE" w:rsidR="00187F9C" w:rsidRDefault="00187F9C">
          <w:r>
            <w:rPr>
              <w:b/>
              <w:bCs/>
              <w:noProof/>
            </w:rPr>
            <w:fldChar w:fldCharType="end"/>
          </w:r>
        </w:p>
      </w:sdtContent>
    </w:sdt>
    <w:p w14:paraId="3DEE5BF2" w14:textId="77777777" w:rsidR="00187F9C" w:rsidRDefault="00187F9C" w:rsidP="00E11E78">
      <w:pPr>
        <w:pStyle w:val="Heading1"/>
      </w:pPr>
    </w:p>
    <w:p w14:paraId="42733301" w14:textId="77777777" w:rsidR="00187F9C" w:rsidRDefault="00187F9C">
      <w:pPr>
        <w:rPr>
          <w:rFonts w:asciiTheme="majorHAnsi" w:eastAsiaTheme="majorEastAsia" w:hAnsiTheme="majorHAnsi" w:cstheme="majorBidi"/>
          <w:color w:val="2F5496" w:themeColor="accent1" w:themeShade="BF"/>
          <w:sz w:val="32"/>
          <w:szCs w:val="32"/>
        </w:rPr>
      </w:pPr>
      <w:r>
        <w:br w:type="page"/>
      </w:r>
    </w:p>
    <w:p w14:paraId="228BABB4" w14:textId="77777777" w:rsidR="00187F9C" w:rsidRDefault="00187F9C" w:rsidP="00E11E78">
      <w:pPr>
        <w:pStyle w:val="Heading1"/>
      </w:pPr>
    </w:p>
    <w:p w14:paraId="01D428B7" w14:textId="57C2A4A4" w:rsidR="005F5319" w:rsidRPr="00187F9C" w:rsidRDefault="005F5319" w:rsidP="00187F9C">
      <w:pPr>
        <w:pStyle w:val="Heading1"/>
      </w:pPr>
      <w:bookmarkStart w:id="0" w:name="_Toc175680179"/>
      <w:r w:rsidRPr="00E11E78">
        <w:t>Executive Summary</w:t>
      </w:r>
      <w:bookmarkEnd w:id="0"/>
    </w:p>
    <w:p w14:paraId="432AA555"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 xml:space="preserve">This is a comprehensive strategic report on Royal Dutch Shell Plc., covering the corporate and business strategies adopted and how effective their implementation is. Making use of different strategic frameworks, this identifies and </w:t>
      </w:r>
      <w:proofErr w:type="spellStart"/>
      <w:r w:rsidRPr="00960EC2">
        <w:rPr>
          <w:rFonts w:ascii="Times New Roman" w:hAnsi="Times New Roman" w:cs="Times New Roman"/>
          <w:sz w:val="24"/>
          <w:szCs w:val="24"/>
        </w:rPr>
        <w:t>analyzes</w:t>
      </w:r>
      <w:proofErr w:type="spellEnd"/>
      <w:r w:rsidRPr="00960EC2">
        <w:rPr>
          <w:rFonts w:ascii="Times New Roman" w:hAnsi="Times New Roman" w:cs="Times New Roman"/>
          <w:sz w:val="24"/>
          <w:szCs w:val="24"/>
        </w:rPr>
        <w:t xml:space="preserve"> the key strategies, resources, and capabilities for Shell. It evaluates the success in achieving a competitive advantage and assesses the efforts towards being sustainable and environmentally responsible. After that, it deals with providing recommendations for future strategic directions to boost competitiveness and sustainability practices in the future.</w:t>
      </w:r>
    </w:p>
    <w:p w14:paraId="56159834" w14:textId="77777777" w:rsidR="005F5319" w:rsidRPr="00960EC2" w:rsidRDefault="005F5319" w:rsidP="00E11E78">
      <w:pPr>
        <w:pStyle w:val="Heading1"/>
      </w:pPr>
      <w:bookmarkStart w:id="1" w:name="_Toc175680180"/>
      <w:r w:rsidRPr="00960EC2">
        <w:t>Introduction</w:t>
      </w:r>
      <w:bookmarkEnd w:id="1"/>
    </w:p>
    <w:p w14:paraId="3EB6202F" w14:textId="77777777" w:rsidR="00F46D4E"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 xml:space="preserve">Royal Dutch Shell Plc., commonly known as Shell, is a British-Dutch multinational oil and gas company incorporated in 1907. Working in more than 70 countries and producing a wide portfolio from exploration to production, refining, and petrochemicals, no doubt Shell is among the top-notch energy companies across the globe. The changing global energy landscape toward cleaner and more sustainable sources poses severe challenges and opportunities for Shell. This report strategically reviews the current strategies adopted by Shell and how effectively they are implemented. This paper provides insights into, and recommends future strategic directions. The strategies identified by this paper in the context of Shell are key business and corporate strategies. </w:t>
      </w:r>
    </w:p>
    <w:p w14:paraId="4EB3BA22" w14:textId="22E9D282" w:rsidR="00F46D4E" w:rsidRPr="004F5AC9" w:rsidRDefault="005F5319" w:rsidP="00E11E78">
      <w:pPr>
        <w:pStyle w:val="Heading1"/>
      </w:pPr>
      <w:bookmarkStart w:id="2" w:name="_Toc175680181"/>
      <w:r w:rsidRPr="004F5AC9">
        <w:t>Business strategies</w:t>
      </w:r>
      <w:bookmarkEnd w:id="2"/>
    </w:p>
    <w:p w14:paraId="157CEA12" w14:textId="5DAEC98E" w:rsidR="005F5319" w:rsidRPr="004F5AC9" w:rsidRDefault="00F46D4E" w:rsidP="00E11E78">
      <w:pPr>
        <w:pStyle w:val="Heading1"/>
      </w:pPr>
      <w:bookmarkStart w:id="3" w:name="_Toc175680182"/>
      <w:r w:rsidRPr="004F5AC9">
        <w:t>D</w:t>
      </w:r>
      <w:r w:rsidR="005F5319" w:rsidRPr="004F5AC9">
        <w:t>iversification and innovation.</w:t>
      </w:r>
      <w:bookmarkEnd w:id="3"/>
    </w:p>
    <w:p w14:paraId="742C6C95"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Shell's diversification strategy can be noted in the company's growth beyond traditional oil and gas business lines into renewable energy sources like wind, solar power, and biofuels. This means that the move is a response by the group to global trends on sustainability and an increase in regulatory pressures in relation to cutting carbon emissions. Through diversification, therefore, Shell stands to reduce its risks from the volatile oil and gas market while riding out newer opportunities unfolding in the green energy sector.</w:t>
      </w:r>
    </w:p>
    <w:p w14:paraId="4B40676B" w14:textId="351F079F"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 xml:space="preserve">Diversification is a growth strategy involving entry into new markets with new products to reduce dependence on any one market and take advantage of the opportunities for growth. Research shows that diversification reduces risks related to the volatility of the existing markets and exploits new opportunities. It has been proved by Montgomery and </w:t>
      </w:r>
      <w:proofErr w:type="spellStart"/>
      <w:r w:rsidRPr="00960EC2">
        <w:rPr>
          <w:rFonts w:ascii="Times New Roman" w:hAnsi="Times New Roman" w:cs="Times New Roman"/>
          <w:sz w:val="24"/>
          <w:szCs w:val="24"/>
        </w:rPr>
        <w:t>Wernerfelt</w:t>
      </w:r>
      <w:proofErr w:type="spellEnd"/>
      <w:r w:rsidRPr="00960EC2">
        <w:rPr>
          <w:rFonts w:ascii="Times New Roman" w:hAnsi="Times New Roman" w:cs="Times New Roman"/>
          <w:sz w:val="24"/>
          <w:szCs w:val="24"/>
        </w:rPr>
        <w:t xml:space="preserve"> that </w:t>
      </w:r>
      <w:r w:rsidRPr="00960EC2">
        <w:rPr>
          <w:rFonts w:ascii="Times New Roman" w:hAnsi="Times New Roman" w:cs="Times New Roman"/>
          <w:sz w:val="24"/>
          <w:szCs w:val="24"/>
        </w:rPr>
        <w:lastRenderedPageBreak/>
        <w:t xml:space="preserve">diversification creates value when firms have some unique resources or capabilities which can be applied in a new context. Evidence for Shell's diversification strategy amply comes from its increasing investments in renewable energy. According to a 2022 report by the company, it has </w:t>
      </w:r>
      <w:proofErr w:type="spellStart"/>
      <w:r w:rsidRPr="00960EC2">
        <w:rPr>
          <w:rFonts w:ascii="Times New Roman" w:hAnsi="Times New Roman" w:cs="Times New Roman"/>
          <w:sz w:val="24"/>
          <w:szCs w:val="24"/>
        </w:rPr>
        <w:t>funneled</w:t>
      </w:r>
      <w:proofErr w:type="spellEnd"/>
      <w:r w:rsidRPr="00960EC2">
        <w:rPr>
          <w:rFonts w:ascii="Times New Roman" w:hAnsi="Times New Roman" w:cs="Times New Roman"/>
          <w:sz w:val="24"/>
          <w:szCs w:val="24"/>
        </w:rPr>
        <w:t xml:space="preserve"> more than $2 billion into renewable energy projects in developing solar and wind energy plants and farms, which rightly points to a commitment to changing toward a more sustainable energy future. The dynamic capabilities theory, proposed by Teece, Pisano, and </w:t>
      </w:r>
      <w:proofErr w:type="spellStart"/>
      <w:r w:rsidRPr="00960EC2">
        <w:rPr>
          <w:rFonts w:ascii="Times New Roman" w:hAnsi="Times New Roman" w:cs="Times New Roman"/>
          <w:sz w:val="24"/>
          <w:szCs w:val="24"/>
        </w:rPr>
        <w:t>Shuen</w:t>
      </w:r>
      <w:proofErr w:type="spellEnd"/>
      <w:r w:rsidRPr="00960EC2">
        <w:rPr>
          <w:rFonts w:ascii="Times New Roman" w:hAnsi="Times New Roman" w:cs="Times New Roman"/>
          <w:sz w:val="24"/>
          <w:szCs w:val="24"/>
        </w:rPr>
        <w:t xml:space="preserve"> </w:t>
      </w:r>
      <w:r w:rsidR="00B64157" w:rsidRPr="00960EC2">
        <w:rPr>
          <w:rFonts w:ascii="Times New Roman" w:hAnsi="Times New Roman" w:cs="Times New Roman"/>
          <w:sz w:val="24"/>
          <w:szCs w:val="24"/>
        </w:rPr>
        <w:t>(</w:t>
      </w:r>
      <w:r w:rsidRPr="00960EC2">
        <w:rPr>
          <w:rFonts w:ascii="Times New Roman" w:hAnsi="Times New Roman" w:cs="Times New Roman"/>
          <w:sz w:val="24"/>
          <w:szCs w:val="24"/>
        </w:rPr>
        <w:t>1997</w:t>
      </w:r>
      <w:r w:rsidR="00B64157" w:rsidRPr="00960EC2">
        <w:rPr>
          <w:rFonts w:ascii="Times New Roman" w:hAnsi="Times New Roman" w:cs="Times New Roman"/>
          <w:sz w:val="24"/>
          <w:szCs w:val="24"/>
        </w:rPr>
        <w:t>)</w:t>
      </w:r>
      <w:r w:rsidRPr="00960EC2">
        <w:rPr>
          <w:rFonts w:ascii="Times New Roman" w:hAnsi="Times New Roman" w:cs="Times New Roman"/>
          <w:sz w:val="24"/>
          <w:szCs w:val="24"/>
        </w:rPr>
        <w:t>, deals with the firm's ability to adapt and reconfigure its resources in time to respond to changed environments. According to Eisenhardt and Martin</w:t>
      </w:r>
      <w:r w:rsidR="00B64157" w:rsidRPr="00960EC2">
        <w:rPr>
          <w:rFonts w:ascii="Times New Roman" w:hAnsi="Times New Roman" w:cs="Times New Roman"/>
          <w:sz w:val="24"/>
          <w:szCs w:val="24"/>
        </w:rPr>
        <w:t xml:space="preserve"> (2000)</w:t>
      </w:r>
      <w:r w:rsidRPr="00960EC2">
        <w:rPr>
          <w:rFonts w:ascii="Times New Roman" w:hAnsi="Times New Roman" w:cs="Times New Roman"/>
          <w:sz w:val="24"/>
          <w:szCs w:val="24"/>
        </w:rPr>
        <w:t>, dynamic capabilities are the drivers that enable firms to acquire a competitive advantage by way of adaptation of strategies and resources in response to changes in markets. Those firms which are capable of developing and fine-tuning their dynamic capabilities can sail more effectively through volatile industries and new technologies or innovations. By investing in renewable energy, Shell is utilizing its dynamic capabilities to stay competitive in a world of changing energy.</w:t>
      </w:r>
    </w:p>
    <w:p w14:paraId="00CC5FEC" w14:textId="77777777" w:rsidR="005F5319" w:rsidRPr="00960EC2" w:rsidRDefault="005F5319" w:rsidP="00E11E78">
      <w:pPr>
        <w:pStyle w:val="Heading1"/>
      </w:pPr>
      <w:bookmarkStart w:id="4" w:name="_Toc175680183"/>
      <w:r w:rsidRPr="00960EC2">
        <w:t>Cost Leadership</w:t>
      </w:r>
      <w:bookmarkEnd w:id="4"/>
    </w:p>
    <w:p w14:paraId="3B88915D" w14:textId="00082ECA"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Shell has a cost leadership strategy, which means that the company can achieve economies of scale and operational efficiency with the chief objective of competitive pricing for its products, thus remaining profitable even in low-price environments. Using Porter's generic strategies framework, there exist three main ways through which a firm is able to gain a competitive advantage: cost leadership, differentiation, and focus. As a result, the Cost Leadership strategy would help the firm become the lowest-cost producer in the industry, and therefore, charge lower prices or get higher profit margins. Cost leadership is established in scholarly research as an effective way to outperform rivals through efficient operations and scale economies. According to Barney</w:t>
      </w:r>
      <w:r w:rsidR="00B64157" w:rsidRPr="00960EC2">
        <w:rPr>
          <w:rFonts w:ascii="Times New Roman" w:hAnsi="Times New Roman" w:cs="Times New Roman"/>
          <w:sz w:val="24"/>
          <w:szCs w:val="24"/>
        </w:rPr>
        <w:t xml:space="preserve"> (</w:t>
      </w:r>
      <w:r w:rsidRPr="00960EC2">
        <w:rPr>
          <w:rFonts w:ascii="Times New Roman" w:hAnsi="Times New Roman" w:cs="Times New Roman"/>
          <w:sz w:val="24"/>
          <w:szCs w:val="24"/>
        </w:rPr>
        <w:t>1991</w:t>
      </w:r>
      <w:r w:rsidR="00B64157" w:rsidRPr="00960EC2">
        <w:rPr>
          <w:rFonts w:ascii="Times New Roman" w:hAnsi="Times New Roman" w:cs="Times New Roman"/>
          <w:sz w:val="24"/>
          <w:szCs w:val="24"/>
        </w:rPr>
        <w:t>)</w:t>
      </w:r>
      <w:r w:rsidRPr="00960EC2">
        <w:rPr>
          <w:rFonts w:ascii="Times New Roman" w:hAnsi="Times New Roman" w:cs="Times New Roman"/>
          <w:sz w:val="24"/>
          <w:szCs w:val="24"/>
        </w:rPr>
        <w:t xml:space="preserve"> and </w:t>
      </w:r>
      <w:proofErr w:type="spellStart"/>
      <w:r w:rsidRPr="00960EC2">
        <w:rPr>
          <w:rFonts w:ascii="Times New Roman" w:hAnsi="Times New Roman" w:cs="Times New Roman"/>
          <w:sz w:val="24"/>
          <w:szCs w:val="24"/>
        </w:rPr>
        <w:t>Rumelt</w:t>
      </w:r>
      <w:proofErr w:type="spellEnd"/>
      <w:r w:rsidRPr="00960EC2">
        <w:rPr>
          <w:rFonts w:ascii="Times New Roman" w:hAnsi="Times New Roman" w:cs="Times New Roman"/>
          <w:sz w:val="24"/>
          <w:szCs w:val="24"/>
        </w:rPr>
        <w:t xml:space="preserve"> </w:t>
      </w:r>
      <w:r w:rsidR="00B64157" w:rsidRPr="00960EC2">
        <w:rPr>
          <w:rFonts w:ascii="Times New Roman" w:hAnsi="Times New Roman" w:cs="Times New Roman"/>
          <w:sz w:val="24"/>
          <w:szCs w:val="24"/>
        </w:rPr>
        <w:t>(</w:t>
      </w:r>
      <w:r w:rsidRPr="00960EC2">
        <w:rPr>
          <w:rFonts w:ascii="Times New Roman" w:hAnsi="Times New Roman" w:cs="Times New Roman"/>
          <w:sz w:val="24"/>
          <w:szCs w:val="24"/>
        </w:rPr>
        <w:t>1984</w:t>
      </w:r>
      <w:r w:rsidR="00B64157" w:rsidRPr="00960EC2">
        <w:rPr>
          <w:rFonts w:ascii="Times New Roman" w:hAnsi="Times New Roman" w:cs="Times New Roman"/>
          <w:sz w:val="24"/>
          <w:szCs w:val="24"/>
        </w:rPr>
        <w:t>)</w:t>
      </w:r>
      <w:r w:rsidRPr="00960EC2">
        <w:rPr>
          <w:rFonts w:ascii="Times New Roman" w:hAnsi="Times New Roman" w:cs="Times New Roman"/>
          <w:sz w:val="24"/>
          <w:szCs w:val="24"/>
        </w:rPr>
        <w:t xml:space="preserve"> a focus on cost reduction and efficiency will make firms establish superior performance and profitability. Advanced drilling technologies that Shell implemented reduced the cost of extracting oil and gas; hence, higher profit margins could be maintained even in a low-price environment</w:t>
      </w:r>
      <w:r w:rsidR="00B64157" w:rsidRPr="00960EC2">
        <w:rPr>
          <w:rFonts w:ascii="Times New Roman" w:hAnsi="Times New Roman" w:cs="Times New Roman"/>
          <w:sz w:val="24"/>
          <w:szCs w:val="24"/>
        </w:rPr>
        <w:t xml:space="preserve"> (</w:t>
      </w:r>
      <w:r w:rsidRPr="00960EC2">
        <w:rPr>
          <w:rFonts w:ascii="Times New Roman" w:hAnsi="Times New Roman" w:cs="Times New Roman"/>
          <w:sz w:val="24"/>
          <w:szCs w:val="24"/>
        </w:rPr>
        <w:t>Shell</w:t>
      </w:r>
      <w:r w:rsidR="00B64157" w:rsidRPr="00960EC2">
        <w:rPr>
          <w:rFonts w:ascii="Times New Roman" w:hAnsi="Times New Roman" w:cs="Times New Roman"/>
          <w:sz w:val="24"/>
          <w:szCs w:val="24"/>
        </w:rPr>
        <w:t xml:space="preserve"> annual report, </w:t>
      </w:r>
      <w:r w:rsidRPr="00960EC2">
        <w:rPr>
          <w:rFonts w:ascii="Times New Roman" w:hAnsi="Times New Roman" w:cs="Times New Roman"/>
          <w:sz w:val="24"/>
          <w:szCs w:val="24"/>
        </w:rPr>
        <w:t>2022</w:t>
      </w:r>
      <w:r w:rsidR="00B64157" w:rsidRPr="00960EC2">
        <w:rPr>
          <w:rFonts w:ascii="Times New Roman" w:hAnsi="Times New Roman" w:cs="Times New Roman"/>
          <w:sz w:val="24"/>
          <w:szCs w:val="24"/>
        </w:rPr>
        <w:t>)</w:t>
      </w:r>
      <w:r w:rsidRPr="00960EC2">
        <w:rPr>
          <w:rFonts w:ascii="Times New Roman" w:hAnsi="Times New Roman" w:cs="Times New Roman"/>
          <w:sz w:val="24"/>
          <w:szCs w:val="24"/>
        </w:rPr>
        <w:t xml:space="preserve">. The theory of Economies of Scale suggests that if a firm increases the quantity produced, its average cost per unit will decline due to greater efficiency in using resources and also by spreading its fixed cost over a large output. </w:t>
      </w:r>
      <w:proofErr w:type="spellStart"/>
      <w:r w:rsidRPr="00960EC2">
        <w:rPr>
          <w:rFonts w:ascii="Times New Roman" w:hAnsi="Times New Roman" w:cs="Times New Roman"/>
          <w:sz w:val="24"/>
          <w:szCs w:val="24"/>
        </w:rPr>
        <w:t>Panzar</w:t>
      </w:r>
      <w:proofErr w:type="spellEnd"/>
      <w:r w:rsidRPr="00960EC2">
        <w:rPr>
          <w:rFonts w:ascii="Times New Roman" w:hAnsi="Times New Roman" w:cs="Times New Roman"/>
          <w:sz w:val="24"/>
          <w:szCs w:val="24"/>
        </w:rPr>
        <w:t xml:space="preserve"> and </w:t>
      </w:r>
      <w:proofErr w:type="spellStart"/>
      <w:r w:rsidRPr="00960EC2">
        <w:rPr>
          <w:rFonts w:ascii="Times New Roman" w:hAnsi="Times New Roman" w:cs="Times New Roman"/>
          <w:sz w:val="24"/>
          <w:szCs w:val="24"/>
        </w:rPr>
        <w:t>Rosse</w:t>
      </w:r>
      <w:proofErr w:type="spellEnd"/>
      <w:r w:rsidRPr="00960EC2">
        <w:rPr>
          <w:rFonts w:ascii="Times New Roman" w:hAnsi="Times New Roman" w:cs="Times New Roman"/>
          <w:sz w:val="24"/>
          <w:szCs w:val="24"/>
        </w:rPr>
        <w:t xml:space="preserve"> </w:t>
      </w:r>
      <w:r w:rsidR="00B64157" w:rsidRPr="00960EC2">
        <w:rPr>
          <w:rFonts w:ascii="Times New Roman" w:hAnsi="Times New Roman" w:cs="Times New Roman"/>
          <w:sz w:val="24"/>
          <w:szCs w:val="24"/>
        </w:rPr>
        <w:t xml:space="preserve">(1987) </w:t>
      </w:r>
      <w:r w:rsidRPr="00960EC2">
        <w:rPr>
          <w:rFonts w:ascii="Times New Roman" w:hAnsi="Times New Roman" w:cs="Times New Roman"/>
          <w:sz w:val="24"/>
          <w:szCs w:val="24"/>
        </w:rPr>
        <w:t xml:space="preserve">show that larger firms get lower per-unit costs, thereby paving a way to charge competitively low prices and gaining higher profit margins. Organizations that benefit from economies of scale can enjoy both cost advantages and also maintain a superior market position. In light of the fact that Shell's upstream business </w:t>
      </w:r>
      <w:r w:rsidRPr="00960EC2">
        <w:rPr>
          <w:rFonts w:ascii="Times New Roman" w:hAnsi="Times New Roman" w:cs="Times New Roman"/>
          <w:sz w:val="24"/>
          <w:szCs w:val="24"/>
        </w:rPr>
        <w:lastRenderedPageBreak/>
        <w:t>is capable of realizing economies of scale in its operations, this only helps to further cement its positioning as an overall cost leader in the industry.</w:t>
      </w:r>
    </w:p>
    <w:p w14:paraId="2D531CE4" w14:textId="77777777" w:rsidR="005F5319" w:rsidRPr="00960EC2" w:rsidRDefault="005F5319" w:rsidP="00E11E78">
      <w:pPr>
        <w:pStyle w:val="Heading1"/>
      </w:pPr>
      <w:bookmarkStart w:id="5" w:name="_Toc175680184"/>
      <w:r w:rsidRPr="00960EC2">
        <w:t>Vertical Integration</w:t>
      </w:r>
      <w:bookmarkEnd w:id="5"/>
    </w:p>
    <w:p w14:paraId="68883529" w14:textId="4AE441B9"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Shell employs the vertical integration type of business strategy because it owns and operates upstream, exploration, and production businesses, along with those engaged in the downstream operations of refining, distribution, and marketing. This integration provides better control of the supply chain to Shell, reduces dependence on third-party suppliers, and enhances its cost management and product quality capability. According to The Resource-Based View, through vertical integration, Shell could capture more value from operations by reducing transaction costs and increasing process efficiency</w:t>
      </w:r>
      <w:r w:rsidR="004F5AC9">
        <w:rPr>
          <w:rFonts w:ascii="Times New Roman" w:hAnsi="Times New Roman" w:cs="Times New Roman"/>
          <w:sz w:val="24"/>
          <w:szCs w:val="24"/>
        </w:rPr>
        <w:t xml:space="preserve"> (</w:t>
      </w:r>
      <w:proofErr w:type="spellStart"/>
      <w:r w:rsidR="004F5AC9" w:rsidRPr="00A752ED">
        <w:t>Panayides</w:t>
      </w:r>
      <w:proofErr w:type="spellEnd"/>
      <w:r w:rsidR="004F5AC9">
        <w:t xml:space="preserve"> et al, 2015)</w:t>
      </w:r>
      <w:r w:rsidRPr="00960EC2">
        <w:rPr>
          <w:rFonts w:ascii="Times New Roman" w:hAnsi="Times New Roman" w:cs="Times New Roman"/>
          <w:sz w:val="24"/>
          <w:szCs w:val="24"/>
        </w:rPr>
        <w:t xml:space="preserve">. The Resource-Based View contends that firms enjoy a competitive advantage by owning and controlling valuable, rare, inimitable, and non-substitutable resources. Vertical integration will help in controlling all stages of the value chain and enhance the firm's value capture, thus reducing transaction costs. Empirical studies generally conformed to this notion by trying to establish benefits that vertical integration confers in competitive advantage through improved control of resources and efficiency. Williamson (1985) quotes the benefit of vertical integration in decreasing reliance on outside suppliers and improving operational efficiency. Moreover, Grant (1991) remarks that those firms that are using any special capabilities effectively through vertical integration can gain competitive advantages and superior performance. </w:t>
      </w:r>
    </w:p>
    <w:p w14:paraId="4C6C6589" w14:textId="77777777" w:rsidR="005F5319" w:rsidRPr="00960EC2" w:rsidRDefault="005F5319" w:rsidP="00960EC2">
      <w:pPr>
        <w:spacing w:line="360" w:lineRule="auto"/>
        <w:jc w:val="both"/>
        <w:rPr>
          <w:rFonts w:ascii="Times New Roman" w:hAnsi="Times New Roman" w:cs="Times New Roman"/>
          <w:sz w:val="24"/>
          <w:szCs w:val="24"/>
        </w:rPr>
      </w:pPr>
    </w:p>
    <w:p w14:paraId="75800FAF" w14:textId="77777777" w:rsidR="005F5319" w:rsidRPr="00960EC2" w:rsidRDefault="005F5319" w:rsidP="00E11E78">
      <w:pPr>
        <w:pStyle w:val="Heading1"/>
      </w:pPr>
      <w:bookmarkStart w:id="6" w:name="_Toc175680185"/>
      <w:r w:rsidRPr="00960EC2">
        <w:t>Strategic Partnerships and Alliances</w:t>
      </w:r>
      <w:bookmarkEnd w:id="6"/>
    </w:p>
    <w:p w14:paraId="4CE6A163" w14:textId="2DE7B7D0"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As a result, Shell has been engaged in establishing strategic partnerships and alliances with various stakeholders, including governments, NGOs, and other corporations. Of course, such partnerships will become very important for Shell to further increase its market presence, access new resources, and enhance its reputation as a socially responsible corporation. For instance, the corporate social responsibility that Shell exhibits through its community development partnership with the Living Earth Foundation illustrates that it is always involved in the process of sustainable development. Strategic partnerships also allow Shell to co-share the risks and costs of mega-projects, particularly those on renewable energy. Strategic Alliance Theory</w:t>
      </w:r>
      <w:r w:rsidR="00541670" w:rsidRPr="00960EC2">
        <w:rPr>
          <w:rFonts w:ascii="Times New Roman" w:hAnsi="Times New Roman" w:cs="Times New Roman"/>
          <w:sz w:val="24"/>
          <w:szCs w:val="24"/>
        </w:rPr>
        <w:t xml:space="preserve"> </w:t>
      </w:r>
      <w:r w:rsidR="00337AC5" w:rsidRPr="00960EC2">
        <w:rPr>
          <w:rFonts w:ascii="Times New Roman" w:hAnsi="Times New Roman" w:cs="Times New Roman"/>
          <w:sz w:val="24"/>
          <w:szCs w:val="24"/>
        </w:rPr>
        <w:t xml:space="preserve"> </w:t>
      </w:r>
      <w:r w:rsidRPr="00960EC2">
        <w:rPr>
          <w:rFonts w:ascii="Times New Roman" w:hAnsi="Times New Roman" w:cs="Times New Roman"/>
          <w:sz w:val="24"/>
          <w:szCs w:val="24"/>
        </w:rPr>
        <w:t>deals with the collaborative relationship of firms toward achieving common goals or securing access to complementary resources</w:t>
      </w:r>
      <w:r w:rsidR="004F5AC9">
        <w:rPr>
          <w:rFonts w:ascii="Times New Roman" w:hAnsi="Times New Roman" w:cs="Times New Roman"/>
          <w:sz w:val="24"/>
          <w:szCs w:val="24"/>
        </w:rPr>
        <w:t xml:space="preserve"> (</w:t>
      </w:r>
      <w:proofErr w:type="spellStart"/>
      <w:r w:rsidR="004F5AC9" w:rsidRPr="00A752ED">
        <w:t>Emami</w:t>
      </w:r>
      <w:proofErr w:type="spellEnd"/>
      <w:r w:rsidR="004F5AC9">
        <w:t xml:space="preserve"> et al, 2022)</w:t>
      </w:r>
      <w:r w:rsidRPr="00960EC2">
        <w:rPr>
          <w:rFonts w:ascii="Times New Roman" w:hAnsi="Times New Roman" w:cs="Times New Roman"/>
          <w:sz w:val="24"/>
          <w:szCs w:val="24"/>
        </w:rPr>
        <w:t xml:space="preserve">. Strategic alliances can offer firms an opportunity for market growth, risk-sharing, and capability learning from alliance </w:t>
      </w:r>
      <w:r w:rsidRPr="00960EC2">
        <w:rPr>
          <w:rFonts w:ascii="Times New Roman" w:hAnsi="Times New Roman" w:cs="Times New Roman"/>
          <w:sz w:val="24"/>
          <w:szCs w:val="24"/>
        </w:rPr>
        <w:lastRenderedPageBreak/>
        <w:t>partners. Alliances can facilitate innovation, market access, and resources that a firm may not have independently, as has been shown by research. Kale et al. (2002) have reported that strategic alliances are a source of competitive advantage since strategic alliances allow firms to share knowledge and access resources. Strategic alliances can also facilitate corporate social responsibility and sustainability goals by collaborations of firms with other stakeholders thus showing the strategic rationale for alliance formation.</w:t>
      </w:r>
    </w:p>
    <w:p w14:paraId="46CA33B2" w14:textId="30F09283" w:rsidR="005F5319" w:rsidRPr="00960EC2" w:rsidRDefault="005F5319" w:rsidP="00E11E78">
      <w:pPr>
        <w:pStyle w:val="Heading1"/>
      </w:pPr>
      <w:bookmarkStart w:id="7" w:name="_Toc175680186"/>
      <w:r w:rsidRPr="00960EC2">
        <w:t>External Environment</w:t>
      </w:r>
      <w:r w:rsidR="00F46D4E" w:rsidRPr="00960EC2">
        <w:t xml:space="preserve"> Analysis</w:t>
      </w:r>
      <w:bookmarkEnd w:id="7"/>
    </w:p>
    <w:p w14:paraId="562E209C"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The external environment has a huge impact on the strategic positioning of Shell. The pressure from regulators, arising from international environmental treaties such as the Paris Agreement, continuously on the rise, forces Shell to change the way it conducts its business. For example, the Green Deal of the European Union sets ambitious targets for the reduction of GHG, which impacts the strategic focus for Shell and requires heavy investments in renewable sources of energy in order for it to meet these regulations (European Commission, 2020). Shell's action to address these policies accentuates the growing importance of strategy alignment in enhancing global environmental standards to cushion against regulatory risks and enhance sustainability performance.</w:t>
      </w:r>
    </w:p>
    <w:p w14:paraId="42A5DE8F"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The economic instability, particularly oil price volatility, makes Shell's financial position vulnerable. According to various literature, oil price volatility is a primary factor of being under intense financial pressure that forces energy companies to participate in activities of portfolio diversification. Volatility is why Shell wants to shift its strategy to renewable energy; it is trying to put the revenue streams on firmer ground and reduce its dependence on traditional oil markets. The shift in consumer demand towards sustainability and ethics is what drives social responsibility in Shell and community engagement. Technological innovation in the field of renewable energy and digital technology also influences the strategy of Shell because these innovations facilitate the creation of new channels for carbon reduction and enhance operational efficiency.</w:t>
      </w:r>
    </w:p>
    <w:p w14:paraId="7057DE47" w14:textId="77777777" w:rsidR="005F5319" w:rsidRPr="00960EC2" w:rsidRDefault="005F5319" w:rsidP="00E11E78">
      <w:pPr>
        <w:pStyle w:val="Heading1"/>
      </w:pPr>
      <w:bookmarkStart w:id="8" w:name="_Toc175680187"/>
      <w:r w:rsidRPr="00960EC2">
        <w:t>Resources and Capabilities</w:t>
      </w:r>
      <w:bookmarkEnd w:id="8"/>
    </w:p>
    <w:p w14:paraId="75F72AD2"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Shell's strategic move is backed by an impressive and stringent set of resources and capabilities, which assist the company in sustaining its competitive advantage in the global Energy Market.</w:t>
      </w:r>
    </w:p>
    <w:p w14:paraId="2632C32F" w14:textId="77777777" w:rsidR="005F5319" w:rsidRPr="00960EC2" w:rsidRDefault="005F5319" w:rsidP="00960EC2">
      <w:pPr>
        <w:spacing w:line="360" w:lineRule="auto"/>
        <w:jc w:val="both"/>
        <w:rPr>
          <w:rFonts w:ascii="Times New Roman" w:hAnsi="Times New Roman" w:cs="Times New Roman"/>
          <w:b/>
          <w:bCs/>
          <w:sz w:val="24"/>
          <w:szCs w:val="24"/>
        </w:rPr>
      </w:pPr>
      <w:r w:rsidRPr="00960EC2">
        <w:rPr>
          <w:rFonts w:ascii="Times New Roman" w:hAnsi="Times New Roman" w:cs="Times New Roman"/>
          <w:b/>
          <w:bCs/>
          <w:sz w:val="24"/>
          <w:szCs w:val="24"/>
        </w:rPr>
        <w:t>Tangible Resources</w:t>
      </w:r>
    </w:p>
    <w:p w14:paraId="0476B686"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lastRenderedPageBreak/>
        <w:t>Shell's strategy pursuits significantly rely upon the financial resources of the organization. In 2016, Shell reported revenues of $233.6 billion, thereby showcasing its enormous financial capacity to invest in large projects and R&amp;D initiatives. This financial prowess of the company not only enables Shell to work but also helps them sustain themselves on the basis of market fluctuations and invest in future growth areas like renewable energy. For example, Shell's financial capacity has advantageously positioned it to invest intensive capital in research in traditional energy and new technologies, hence giving the company a competitive edge. This is as reflected in the group's 2016 annual report that lays emphasis on the company's immense investment in research.</w:t>
      </w:r>
    </w:p>
    <w:p w14:paraId="15DD5CF0" w14:textId="77777777" w:rsidR="004F5AC9" w:rsidRPr="004F5AC9" w:rsidRDefault="005F5319" w:rsidP="00E11E78">
      <w:pPr>
        <w:pStyle w:val="Heading1"/>
      </w:pPr>
      <w:bookmarkStart w:id="9" w:name="_Toc175680188"/>
      <w:r w:rsidRPr="004F5AC9">
        <w:t>Physical Assets</w:t>
      </w:r>
      <w:bookmarkEnd w:id="9"/>
    </w:p>
    <w:p w14:paraId="5944DAFD" w14:textId="099CFA5B"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 xml:space="preserve"> In this dimension of capabilities, Shell owns enormous infrastructure across the globe, including in excess of 4</w:t>
      </w:r>
      <w:r w:rsidR="004F5AC9">
        <w:rPr>
          <w:rFonts w:ascii="Times New Roman" w:hAnsi="Times New Roman" w:cs="Times New Roman"/>
          <w:sz w:val="24"/>
          <w:szCs w:val="24"/>
        </w:rPr>
        <w:t>6</w:t>
      </w:r>
      <w:r w:rsidRPr="00960EC2">
        <w:rPr>
          <w:rFonts w:ascii="Times New Roman" w:hAnsi="Times New Roman" w:cs="Times New Roman"/>
          <w:sz w:val="24"/>
          <w:szCs w:val="24"/>
        </w:rPr>
        <w:t>,000 service stations, numerous various refineries, and leading-edge exploration and production facilities</w:t>
      </w:r>
      <w:r w:rsidR="004F5AC9">
        <w:rPr>
          <w:rFonts w:ascii="Times New Roman" w:hAnsi="Times New Roman" w:cs="Times New Roman"/>
          <w:sz w:val="24"/>
          <w:szCs w:val="24"/>
        </w:rPr>
        <w:t xml:space="preserve"> (Shell annual report. 2022)</w:t>
      </w:r>
      <w:r w:rsidRPr="00960EC2">
        <w:rPr>
          <w:rFonts w:ascii="Times New Roman" w:hAnsi="Times New Roman" w:cs="Times New Roman"/>
          <w:sz w:val="24"/>
          <w:szCs w:val="24"/>
        </w:rPr>
        <w:t>. This infrastructure provides Shell with an intricate control over various stages of the value chain of oil and gas, right from the extraction to distribution stage. Indeed, Shell's extensive exploration sites, including deep-water drilling and far-flung onshore operations, are fitted with technologically sophisticated devices that enable efficient and safe extraction processes.</w:t>
      </w:r>
    </w:p>
    <w:p w14:paraId="41921179" w14:textId="77777777" w:rsidR="005F5319" w:rsidRPr="00960EC2" w:rsidRDefault="005F5319" w:rsidP="00E11E78">
      <w:pPr>
        <w:pStyle w:val="Heading1"/>
      </w:pPr>
      <w:bookmarkStart w:id="10" w:name="_Toc175680189"/>
      <w:r w:rsidRPr="00960EC2">
        <w:t>Intangible Assets</w:t>
      </w:r>
      <w:bookmarkEnd w:id="10"/>
    </w:p>
    <w:p w14:paraId="1BB52893"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 xml:space="preserve">The brand image of Shell is a significant intangible asset. With a history extending over one hundred years, the existence of the company has firmly rooted the brand into consumers' minds, with a sense of reliability and quality, proving to be an invaluable factor in gaining a competitive advantage. This reputation helps not only in capturing customers but also in strategic partnerships and obtaining regulatory approval. Apart from the business value it creates for shareholders, CSR practices of Shell, such as Shell </w:t>
      </w:r>
      <w:proofErr w:type="spellStart"/>
      <w:r w:rsidRPr="00960EC2">
        <w:rPr>
          <w:rFonts w:ascii="Times New Roman" w:hAnsi="Times New Roman" w:cs="Times New Roman"/>
          <w:sz w:val="24"/>
          <w:szCs w:val="24"/>
        </w:rPr>
        <w:t>LiveWIRE</w:t>
      </w:r>
      <w:proofErr w:type="spellEnd"/>
      <w:r w:rsidRPr="00960EC2">
        <w:rPr>
          <w:rFonts w:ascii="Times New Roman" w:hAnsi="Times New Roman" w:cs="Times New Roman"/>
          <w:sz w:val="24"/>
          <w:szCs w:val="24"/>
        </w:rPr>
        <w:t>, have greatly helped build a better image for the brand and create what is called social license.</w:t>
      </w:r>
    </w:p>
    <w:p w14:paraId="0FE24C2C"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Another critical intangible resource for Shell is technological expertise. The company's investment in advanced technologies, in particular, seismic imaging and digital technologies such as AI and IoT, has contributed immensely to its enhanced operational efficiency and innovation capacity. These technological advancements will help the firm optimize its operations to reduce costs and fuel innovation in both traditional and renewable energy sectors.</w:t>
      </w:r>
    </w:p>
    <w:p w14:paraId="7790F35F" w14:textId="77777777" w:rsidR="005F5319" w:rsidRPr="00960EC2" w:rsidRDefault="005F5319" w:rsidP="00960EC2">
      <w:pPr>
        <w:spacing w:line="360" w:lineRule="auto"/>
        <w:jc w:val="both"/>
        <w:rPr>
          <w:rFonts w:ascii="Times New Roman" w:hAnsi="Times New Roman" w:cs="Times New Roman"/>
          <w:b/>
          <w:bCs/>
          <w:sz w:val="24"/>
          <w:szCs w:val="24"/>
        </w:rPr>
      </w:pPr>
      <w:r w:rsidRPr="00960EC2">
        <w:rPr>
          <w:rFonts w:ascii="Times New Roman" w:hAnsi="Times New Roman" w:cs="Times New Roman"/>
          <w:sz w:val="24"/>
          <w:szCs w:val="24"/>
        </w:rPr>
        <w:t xml:space="preserve">On top of these, human resources at Shell are equally an important component of its strategic success. With nearly 94,000 employees worldwide, the business has a broad pool of employees </w:t>
      </w:r>
      <w:r w:rsidRPr="00960EC2">
        <w:rPr>
          <w:rFonts w:ascii="Times New Roman" w:hAnsi="Times New Roman" w:cs="Times New Roman"/>
          <w:sz w:val="24"/>
          <w:szCs w:val="24"/>
        </w:rPr>
        <w:lastRenderedPageBreak/>
        <w:t xml:space="preserve">who are considerably skilled in various aspects. The business investment in talent development through the company's initiative, for instance, Shell </w:t>
      </w:r>
      <w:proofErr w:type="spellStart"/>
      <w:r w:rsidRPr="00960EC2">
        <w:rPr>
          <w:rFonts w:ascii="Times New Roman" w:hAnsi="Times New Roman" w:cs="Times New Roman"/>
          <w:sz w:val="24"/>
          <w:szCs w:val="24"/>
        </w:rPr>
        <w:t>LiveWIRE</w:t>
      </w:r>
      <w:proofErr w:type="spellEnd"/>
      <w:r w:rsidRPr="00960EC2">
        <w:rPr>
          <w:rFonts w:ascii="Times New Roman" w:hAnsi="Times New Roman" w:cs="Times New Roman"/>
          <w:sz w:val="24"/>
          <w:szCs w:val="24"/>
        </w:rPr>
        <w:t xml:space="preserve"> and other forms of training programs, has played an important role in growing entrepreneurship as well as enhancing competencies among its workforce. Such commitment to people development underpins the approach of Shell to innovation and operational excellence.</w:t>
      </w:r>
    </w:p>
    <w:p w14:paraId="0ED576FB" w14:textId="77777777" w:rsidR="005F5319" w:rsidRPr="00960EC2" w:rsidRDefault="005F5319" w:rsidP="00E11E78">
      <w:pPr>
        <w:pStyle w:val="Heading1"/>
      </w:pPr>
      <w:bookmarkStart w:id="11" w:name="_Toc175680190"/>
      <w:r w:rsidRPr="00960EC2">
        <w:t>Strategy implementation success – analysis</w:t>
      </w:r>
      <w:bookmarkEnd w:id="11"/>
    </w:p>
    <w:p w14:paraId="3B80A104" w14:textId="146C852D"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 xml:space="preserve">Evidently, one of the best strategic decisions taken by the organization has been to integrate </w:t>
      </w:r>
      <w:r w:rsidR="00A07422" w:rsidRPr="00960EC2">
        <w:rPr>
          <w:rFonts w:ascii="Times New Roman" w:hAnsi="Times New Roman" w:cs="Times New Roman"/>
          <w:sz w:val="24"/>
          <w:szCs w:val="24"/>
        </w:rPr>
        <w:t xml:space="preserve">operations </w:t>
      </w:r>
      <w:r w:rsidRPr="00960EC2">
        <w:rPr>
          <w:rFonts w:ascii="Times New Roman" w:hAnsi="Times New Roman" w:cs="Times New Roman"/>
          <w:sz w:val="24"/>
          <w:szCs w:val="24"/>
        </w:rPr>
        <w:t>vertically, which made operations easier, less costly, and helped Shell remain competitive within the energy market. Through taking control of different stages of value starting from exploration to the retail level, Shell was able to optimize operations and hence product quality. Such strategic alignment aided the firm in having an edge over peer group companies with respect to price and operational efficiency.</w:t>
      </w:r>
    </w:p>
    <w:p w14:paraId="50ADED98"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Diversification into renewable sources of energy is yet another element that testifies to the successful strategy implementation in Shell. Investments in wind, solar, and biofuels indicate a clean process of the Company in changing energy demands and positioning itself at the forefront in the shift toward sustainable energy supplies. The diversification reduced not only the exposure to declining fossil fuel demand but also opened new channels for growth.</w:t>
      </w:r>
    </w:p>
    <w:p w14:paraId="3B80C393"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Notwithstanding these successes, it remains a challenge to transform Shell fully into sustainable energy; environmental concerns are at stake. Meaningful investment in new technologies and infrastructure for renewable energies reduces profitability in the short run. Outstanding amongst the environmental and social risk factors in its legacy operations include carbon emissions and community impacts.</w:t>
      </w:r>
    </w:p>
    <w:p w14:paraId="55DBB2B2" w14:textId="77777777" w:rsidR="005F5319" w:rsidRPr="00960EC2" w:rsidRDefault="005F5319" w:rsidP="00187F9C">
      <w:pPr>
        <w:pStyle w:val="Heading1"/>
      </w:pPr>
      <w:bookmarkStart w:id="12" w:name="_Toc175680191"/>
      <w:r w:rsidRPr="00960EC2">
        <w:t>Sustainability and Environmental Considerations</w:t>
      </w:r>
      <w:bookmarkEnd w:id="12"/>
    </w:p>
    <w:p w14:paraId="68633DC3"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Sustainability is core to Shell's long-term strategy and competitive positioning. The company has been involved in various initiatives to reduce its impact on the environment and contribute to the development of a low-carbon economy.</w:t>
      </w:r>
    </w:p>
    <w:p w14:paraId="42455FA5"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 xml:space="preserve">It has shown commitment to CSR through investment in community development, education, and health. It encourages young entrepreneurs with its initiative called Shell </w:t>
      </w:r>
      <w:proofErr w:type="spellStart"/>
      <w:r w:rsidRPr="00960EC2">
        <w:rPr>
          <w:rFonts w:ascii="Times New Roman" w:hAnsi="Times New Roman" w:cs="Times New Roman"/>
          <w:sz w:val="24"/>
          <w:szCs w:val="24"/>
        </w:rPr>
        <w:t>LiveWIRE</w:t>
      </w:r>
      <w:proofErr w:type="spellEnd"/>
      <w:r w:rsidRPr="00960EC2">
        <w:rPr>
          <w:rFonts w:ascii="Times New Roman" w:hAnsi="Times New Roman" w:cs="Times New Roman"/>
          <w:sz w:val="24"/>
          <w:szCs w:val="24"/>
        </w:rPr>
        <w:t xml:space="preserve"> and thereby boosts economic growth in emerging regions. Therefore, it improves the reputation and strengthens the social license to operate of the company.</w:t>
      </w:r>
    </w:p>
    <w:p w14:paraId="7A7315CE" w14:textId="7EABAB8B"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lastRenderedPageBreak/>
        <w:t xml:space="preserve">The company has, over the recent past, engaged itself in a number of low-carbon energy solution developments. Of course, investments in wind, solar, and hydrogen technologies are a surefire route toward lessening its carbon footprint even more and contributing toward global sustainability goals, </w:t>
      </w:r>
      <w:r w:rsidR="00A07422" w:rsidRPr="00960EC2">
        <w:rPr>
          <w:rFonts w:ascii="Times New Roman" w:hAnsi="Times New Roman" w:cs="Times New Roman"/>
          <w:sz w:val="24"/>
          <w:szCs w:val="24"/>
        </w:rPr>
        <w:t>(</w:t>
      </w:r>
      <w:r w:rsidRPr="00960EC2">
        <w:rPr>
          <w:rFonts w:ascii="Times New Roman" w:hAnsi="Times New Roman" w:cs="Times New Roman"/>
          <w:sz w:val="24"/>
          <w:szCs w:val="24"/>
        </w:rPr>
        <w:t xml:space="preserve">Shell </w:t>
      </w:r>
      <w:r w:rsidR="00A07422" w:rsidRPr="00960EC2">
        <w:rPr>
          <w:rFonts w:ascii="Times New Roman" w:hAnsi="Times New Roman" w:cs="Times New Roman"/>
          <w:sz w:val="24"/>
          <w:szCs w:val="24"/>
        </w:rPr>
        <w:t xml:space="preserve">annual </w:t>
      </w:r>
      <w:r w:rsidRPr="00960EC2">
        <w:rPr>
          <w:rFonts w:ascii="Times New Roman" w:hAnsi="Times New Roman" w:cs="Times New Roman"/>
          <w:sz w:val="24"/>
          <w:szCs w:val="24"/>
        </w:rPr>
        <w:t>reports</w:t>
      </w:r>
      <w:r w:rsidR="00A07422" w:rsidRPr="00960EC2">
        <w:rPr>
          <w:rFonts w:ascii="Times New Roman" w:hAnsi="Times New Roman" w:cs="Times New Roman"/>
          <w:sz w:val="24"/>
          <w:szCs w:val="24"/>
        </w:rPr>
        <w:t xml:space="preserve">, </w:t>
      </w:r>
      <w:r w:rsidRPr="00960EC2">
        <w:rPr>
          <w:rFonts w:ascii="Times New Roman" w:hAnsi="Times New Roman" w:cs="Times New Roman"/>
          <w:sz w:val="24"/>
          <w:szCs w:val="24"/>
        </w:rPr>
        <w:t>2020</w:t>
      </w:r>
      <w:r w:rsidR="00A07422" w:rsidRPr="00960EC2">
        <w:rPr>
          <w:rFonts w:ascii="Times New Roman" w:hAnsi="Times New Roman" w:cs="Times New Roman"/>
          <w:sz w:val="24"/>
          <w:szCs w:val="24"/>
        </w:rPr>
        <w:t>)</w:t>
      </w:r>
      <w:r w:rsidRPr="00960EC2">
        <w:rPr>
          <w:rFonts w:ascii="Times New Roman" w:hAnsi="Times New Roman" w:cs="Times New Roman"/>
          <w:sz w:val="24"/>
          <w:szCs w:val="24"/>
        </w:rPr>
        <w:t>. On the other hand, Shell is also advancing CCS projects, such as the Quest facility in Alberta, Canada, to cut the level of greenhouse gases emitted into the atmosphere.</w:t>
      </w:r>
    </w:p>
    <w:p w14:paraId="2C186A03"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Sustainability reporting by Shell, which is conducted in accord with globally acknowledged standards like GRI and TCFD, makes information available on their environmental impacts and progress on carbon reduction goals. Such reporting creates trust with stakeholders and demonstrates that a company is at the peak of accountability and continual improvement in sustainability practice.</w:t>
      </w:r>
    </w:p>
    <w:p w14:paraId="3FA7B767" w14:textId="77777777" w:rsidR="005F5319" w:rsidRPr="00960EC2" w:rsidRDefault="005F5319" w:rsidP="00E11E78">
      <w:pPr>
        <w:pStyle w:val="Heading1"/>
      </w:pPr>
      <w:bookmarkStart w:id="13" w:name="_Toc175680192"/>
      <w:r w:rsidRPr="00960EC2">
        <w:t>Future Strategic Direction and Recommendations</w:t>
      </w:r>
      <w:bookmarkEnd w:id="13"/>
    </w:p>
    <w:p w14:paraId="2033BABE" w14:textId="77777777" w:rsidR="005F5319" w:rsidRPr="00960EC2" w:rsidRDefault="005F5319" w:rsidP="00E11E78">
      <w:pPr>
        <w:pStyle w:val="Heading1"/>
      </w:pPr>
      <w:bookmarkStart w:id="14" w:name="_Toc175680193"/>
      <w:r w:rsidRPr="00960EC2">
        <w:t>Strategic Options</w:t>
      </w:r>
      <w:bookmarkEnd w:id="14"/>
    </w:p>
    <w:p w14:paraId="7B8FDA12" w14:textId="77777777"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 xml:space="preserve">The following strategic directions will help Shell remain competitive and responsive to the fast-changing energy environment: </w:t>
      </w:r>
    </w:p>
    <w:p w14:paraId="58ADD694" w14:textId="1AE0F726"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1. At a time of heightened global environmental concerns, increasing investment in projects for solar, wind, and other forms of renewable energy will serve to cement the position of Shell as a leader in sustainable energy and meet increasingly stringent environmental regulations and consumer demand.</w:t>
      </w:r>
    </w:p>
    <w:p w14:paraId="200DD74A" w14:textId="437625D3"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2.: Focusing on the continuous development and application of leading-edge technologies for the effective production of energy and reduction of emissions, so as to improve operational efficiency and environmental performance.</w:t>
      </w:r>
    </w:p>
    <w:p w14:paraId="4E08FE76" w14:textId="2695F243"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3. Operationalising sustainability in all its activities and decision-making processes to help raise its reputation as a company, besides compliance with international standards on the environment.</w:t>
      </w:r>
    </w:p>
    <w:p w14:paraId="4A16C0C5" w14:textId="617BA950"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4. Joining forces with technology companies, research institutions, and energy companies has the ability to share knowledge and co-develop innovative solutions to address the issues in sustainable energies.</w:t>
      </w:r>
    </w:p>
    <w:p w14:paraId="65EE1F7A" w14:textId="77777777" w:rsidR="005F5319" w:rsidRPr="00960EC2" w:rsidRDefault="005F5319" w:rsidP="00E11E78">
      <w:pPr>
        <w:pStyle w:val="Heading1"/>
      </w:pPr>
      <w:bookmarkStart w:id="15" w:name="_Toc175680194"/>
      <w:r w:rsidRPr="00960EC2">
        <w:lastRenderedPageBreak/>
        <w:t>Recommendations</w:t>
      </w:r>
      <w:bookmarkEnd w:id="15"/>
    </w:p>
    <w:p w14:paraId="7B3A8A52" w14:textId="601B4C02"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1. Shell needs to develop a comprehensive and transparent sustainability strategy that is aligned with international goals, in particular, the Paris Agreement.</w:t>
      </w:r>
    </w:p>
    <w:p w14:paraId="0FD9676D" w14:textId="123FE2CA"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2. A clear display of metrics for sustainability reporting, accompanied by detailed progress updates, will increase stakeholders' trust in Shell's commitments to environmental accountability.</w:t>
      </w:r>
    </w:p>
    <w:p w14:paraId="226168FC" w14:textId="37EC0EBD"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3. A deeper community engagement will help the group to leave a better social impact on communities and their economy, thereby creating goodwill and a stable operating environment.</w:t>
      </w:r>
    </w:p>
    <w:p w14:paraId="0E0561B8" w14:textId="75FE3AB4" w:rsidR="005F5319"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4. Integrating sustainable practices along the supply chain will reduce environmental impacts and increase overall efficiency and resilience.</w:t>
      </w:r>
    </w:p>
    <w:p w14:paraId="4C4DF9F6" w14:textId="77777777" w:rsidR="005F5319" w:rsidRPr="00960EC2" w:rsidRDefault="005F5319" w:rsidP="00E11E78">
      <w:pPr>
        <w:pStyle w:val="Heading1"/>
      </w:pPr>
      <w:bookmarkStart w:id="16" w:name="_Toc175680195"/>
      <w:r w:rsidRPr="00960EC2">
        <w:t>Conclusion</w:t>
      </w:r>
      <w:bookmarkEnd w:id="16"/>
    </w:p>
    <w:p w14:paraId="70E4D7D9" w14:textId="667B3499" w:rsidR="001C4A1F" w:rsidRPr="00960EC2" w:rsidRDefault="005F5319" w:rsidP="00960EC2">
      <w:pPr>
        <w:spacing w:line="360" w:lineRule="auto"/>
        <w:jc w:val="both"/>
        <w:rPr>
          <w:rFonts w:ascii="Times New Roman" w:hAnsi="Times New Roman" w:cs="Times New Roman"/>
          <w:sz w:val="24"/>
          <w:szCs w:val="24"/>
        </w:rPr>
      </w:pPr>
      <w:r w:rsidRPr="00960EC2">
        <w:rPr>
          <w:rFonts w:ascii="Times New Roman" w:hAnsi="Times New Roman" w:cs="Times New Roman"/>
          <w:sz w:val="24"/>
          <w:szCs w:val="24"/>
        </w:rPr>
        <w:t>Royal Dutch Shell Plc. has embraced workable strategic planning and implementation that has kept it afloat in the global energy market based on diversification, vertical integration, and strategic partnerships. The firm had considerably operationalized very huge resources and capability elements of the company in very good alignment with its strategies, thereby making it operationally efficient and competitive. However, considering that the energy industry is fast undergoing a transition to sustainability, what is needed at present by the group is an aggressive push for renewable energy investments and environmental stewardship. Only by adopting the recommended strategic directions and enhancing the practice of sustainability can Shell be assured of long-term success and leadership in the changing energy landscape.</w:t>
      </w:r>
    </w:p>
    <w:p w14:paraId="58E3DB9E" w14:textId="77777777" w:rsidR="00E11E78" w:rsidRDefault="00E11E78" w:rsidP="00E11E78">
      <w:pPr>
        <w:pStyle w:val="Heading1"/>
      </w:pPr>
    </w:p>
    <w:p w14:paraId="0476CB2E" w14:textId="2309A652" w:rsidR="00960EC2" w:rsidRPr="00E11E78" w:rsidRDefault="00960EC2" w:rsidP="00E11E78">
      <w:pPr>
        <w:pStyle w:val="Heading1"/>
      </w:pPr>
      <w:bookmarkStart w:id="17" w:name="_Toc175680196"/>
      <w:r w:rsidRPr="00960EC2">
        <w:t>References</w:t>
      </w:r>
      <w:bookmarkEnd w:id="17"/>
    </w:p>
    <w:p w14:paraId="64612E2D"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Ansoff, H. I. (1957). </w:t>
      </w:r>
      <w:r w:rsidRPr="00960EC2">
        <w:rPr>
          <w:rFonts w:ascii="Times New Roman" w:hAnsi="Times New Roman" w:cs="Times New Roman"/>
          <w:i/>
          <w:iCs/>
          <w:sz w:val="24"/>
          <w:szCs w:val="24"/>
        </w:rPr>
        <w:t>Strategies for Diversification</w:t>
      </w:r>
      <w:r w:rsidRPr="00960EC2">
        <w:rPr>
          <w:rFonts w:ascii="Times New Roman" w:hAnsi="Times New Roman" w:cs="Times New Roman"/>
          <w:sz w:val="24"/>
          <w:szCs w:val="24"/>
        </w:rPr>
        <w:t>. Harvard Business Review, 35(5), 113-124.</w:t>
      </w:r>
    </w:p>
    <w:p w14:paraId="7F3552E7"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Barney, J. (1991). </w:t>
      </w:r>
      <w:r w:rsidRPr="00960EC2">
        <w:rPr>
          <w:rFonts w:ascii="Times New Roman" w:hAnsi="Times New Roman" w:cs="Times New Roman"/>
          <w:i/>
          <w:iCs/>
          <w:sz w:val="24"/>
          <w:szCs w:val="24"/>
        </w:rPr>
        <w:t>Firm Resources and Sustained Competitive Advantage</w:t>
      </w:r>
      <w:r w:rsidRPr="00960EC2">
        <w:rPr>
          <w:rFonts w:ascii="Times New Roman" w:hAnsi="Times New Roman" w:cs="Times New Roman"/>
          <w:sz w:val="24"/>
          <w:szCs w:val="24"/>
        </w:rPr>
        <w:t>. Journal of Management, 17(1), 99-120.</w:t>
      </w:r>
    </w:p>
    <w:p w14:paraId="3BBA70F6"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Chandler, A. D. (1962). </w:t>
      </w:r>
      <w:r w:rsidRPr="00960EC2">
        <w:rPr>
          <w:rFonts w:ascii="Times New Roman" w:hAnsi="Times New Roman" w:cs="Times New Roman"/>
          <w:i/>
          <w:iCs/>
          <w:sz w:val="24"/>
          <w:szCs w:val="24"/>
        </w:rPr>
        <w:t>Strategy and Structure: Chapters in the History of the Industrial Enterprise</w:t>
      </w:r>
      <w:r w:rsidRPr="00960EC2">
        <w:rPr>
          <w:rFonts w:ascii="Times New Roman" w:hAnsi="Times New Roman" w:cs="Times New Roman"/>
          <w:sz w:val="24"/>
          <w:szCs w:val="24"/>
        </w:rPr>
        <w:t>. MIT Press.</w:t>
      </w:r>
    </w:p>
    <w:p w14:paraId="7A8C6FBF"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lastRenderedPageBreak/>
        <w:t xml:space="preserve">Dyer, J. H., &amp; Singh, H. (1998). </w:t>
      </w:r>
      <w:r w:rsidRPr="00960EC2">
        <w:rPr>
          <w:rFonts w:ascii="Times New Roman" w:hAnsi="Times New Roman" w:cs="Times New Roman"/>
          <w:i/>
          <w:iCs/>
          <w:sz w:val="24"/>
          <w:szCs w:val="24"/>
        </w:rPr>
        <w:t>The Relational View: Cooperative Strategy and Sources of Interorganizational Competitive Advantage</w:t>
      </w:r>
      <w:r w:rsidRPr="00960EC2">
        <w:rPr>
          <w:rFonts w:ascii="Times New Roman" w:hAnsi="Times New Roman" w:cs="Times New Roman"/>
          <w:sz w:val="24"/>
          <w:szCs w:val="24"/>
        </w:rPr>
        <w:t>. Academy of Management Review, 23(4), 660-679.</w:t>
      </w:r>
    </w:p>
    <w:p w14:paraId="78A7DF2E"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Eisenhardt, K. M., &amp; Martin, J. A. (2000). </w:t>
      </w:r>
      <w:r w:rsidRPr="00960EC2">
        <w:rPr>
          <w:rFonts w:ascii="Times New Roman" w:hAnsi="Times New Roman" w:cs="Times New Roman"/>
          <w:i/>
          <w:iCs/>
          <w:sz w:val="24"/>
          <w:szCs w:val="24"/>
        </w:rPr>
        <w:t>Dynamic Capabilities: What Are They?</w:t>
      </w:r>
      <w:r w:rsidRPr="00960EC2">
        <w:rPr>
          <w:rFonts w:ascii="Times New Roman" w:hAnsi="Times New Roman" w:cs="Times New Roman"/>
          <w:sz w:val="24"/>
          <w:szCs w:val="24"/>
        </w:rPr>
        <w:t>. Strategic Management Journal, 21(10-11), 1105-1121.</w:t>
      </w:r>
    </w:p>
    <w:p w14:paraId="5B29DE05"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European Commission. (2020). </w:t>
      </w:r>
      <w:r w:rsidRPr="00960EC2">
        <w:rPr>
          <w:rFonts w:ascii="Times New Roman" w:hAnsi="Times New Roman" w:cs="Times New Roman"/>
          <w:i/>
          <w:iCs/>
          <w:sz w:val="24"/>
          <w:szCs w:val="24"/>
        </w:rPr>
        <w:t>The European Green Deal</w:t>
      </w:r>
      <w:r w:rsidRPr="00960EC2">
        <w:rPr>
          <w:rFonts w:ascii="Times New Roman" w:hAnsi="Times New Roman" w:cs="Times New Roman"/>
          <w:sz w:val="24"/>
          <w:szCs w:val="24"/>
        </w:rPr>
        <w:t xml:space="preserve">. Retrieved from </w:t>
      </w:r>
      <w:hyperlink r:id="rId6" w:tgtFrame="_new" w:history="1">
        <w:r w:rsidRPr="00960EC2">
          <w:rPr>
            <w:rStyle w:val="Hyperlink"/>
            <w:rFonts w:ascii="Times New Roman" w:hAnsi="Times New Roman" w:cs="Times New Roman"/>
            <w:sz w:val="24"/>
            <w:szCs w:val="24"/>
          </w:rPr>
          <w:t>https://ec.europa.eu/info/strategy/justice-and-fundamental-rights_en</w:t>
        </w:r>
      </w:hyperlink>
    </w:p>
    <w:p w14:paraId="70375ED3"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Grant, R. M. (1991). </w:t>
      </w:r>
      <w:r w:rsidRPr="00960EC2">
        <w:rPr>
          <w:rFonts w:ascii="Times New Roman" w:hAnsi="Times New Roman" w:cs="Times New Roman"/>
          <w:i/>
          <w:iCs/>
          <w:sz w:val="24"/>
          <w:szCs w:val="24"/>
        </w:rPr>
        <w:t>The Resource-Based Theory of Competitive Advantage: Implications for Strategy Formulation</w:t>
      </w:r>
      <w:r w:rsidRPr="00960EC2">
        <w:rPr>
          <w:rFonts w:ascii="Times New Roman" w:hAnsi="Times New Roman" w:cs="Times New Roman"/>
          <w:sz w:val="24"/>
          <w:szCs w:val="24"/>
        </w:rPr>
        <w:t>. California Management Review, 33(3), 114-135.</w:t>
      </w:r>
    </w:p>
    <w:p w14:paraId="173DABE8"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Hamilton, J. D. (2009). </w:t>
      </w:r>
      <w:r w:rsidRPr="00960EC2">
        <w:rPr>
          <w:rFonts w:ascii="Times New Roman" w:hAnsi="Times New Roman" w:cs="Times New Roman"/>
          <w:i/>
          <w:iCs/>
          <w:sz w:val="24"/>
          <w:szCs w:val="24"/>
        </w:rPr>
        <w:t>Understanding Crude Oil Prices</w:t>
      </w:r>
      <w:r w:rsidRPr="00960EC2">
        <w:rPr>
          <w:rFonts w:ascii="Times New Roman" w:hAnsi="Times New Roman" w:cs="Times New Roman"/>
          <w:sz w:val="24"/>
          <w:szCs w:val="24"/>
        </w:rPr>
        <w:t>. NBER Working Paper No. 14492.</w:t>
      </w:r>
    </w:p>
    <w:p w14:paraId="33F8A272"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IEA. (2021). </w:t>
      </w:r>
      <w:r w:rsidRPr="00960EC2">
        <w:rPr>
          <w:rFonts w:ascii="Times New Roman" w:hAnsi="Times New Roman" w:cs="Times New Roman"/>
          <w:i/>
          <w:iCs/>
          <w:sz w:val="24"/>
          <w:szCs w:val="24"/>
        </w:rPr>
        <w:t>World Energy Investment 2021</w:t>
      </w:r>
      <w:r w:rsidRPr="00960EC2">
        <w:rPr>
          <w:rFonts w:ascii="Times New Roman" w:hAnsi="Times New Roman" w:cs="Times New Roman"/>
          <w:sz w:val="24"/>
          <w:szCs w:val="24"/>
        </w:rPr>
        <w:t>. International Energy Agency. Retrieved from https://www.iea.org/reports/world-energy-investment-2021</w:t>
      </w:r>
    </w:p>
    <w:p w14:paraId="647CCDF9"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Kale, P., Dyer, J. H., &amp; Singh, H. (2002). </w:t>
      </w:r>
      <w:r w:rsidRPr="00960EC2">
        <w:rPr>
          <w:rFonts w:ascii="Times New Roman" w:hAnsi="Times New Roman" w:cs="Times New Roman"/>
          <w:i/>
          <w:iCs/>
          <w:sz w:val="24"/>
          <w:szCs w:val="24"/>
        </w:rPr>
        <w:t>Alliance Capability, Stock Market Response, and Long-Term Alliance Success: The Role of the Alliance Function</w:t>
      </w:r>
      <w:r w:rsidRPr="00960EC2">
        <w:rPr>
          <w:rFonts w:ascii="Times New Roman" w:hAnsi="Times New Roman" w:cs="Times New Roman"/>
          <w:sz w:val="24"/>
          <w:szCs w:val="24"/>
        </w:rPr>
        <w:t>. Strategic Management Journal, 23(8), 747-767.</w:t>
      </w:r>
    </w:p>
    <w:p w14:paraId="22F6AC24"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McWilliams, A., &amp; Siegel, D. (2001). </w:t>
      </w:r>
      <w:r w:rsidRPr="00960EC2">
        <w:rPr>
          <w:rFonts w:ascii="Times New Roman" w:hAnsi="Times New Roman" w:cs="Times New Roman"/>
          <w:i/>
          <w:iCs/>
          <w:sz w:val="24"/>
          <w:szCs w:val="24"/>
        </w:rPr>
        <w:t>Corporate Social Responsibility: A Theory of the Firm Perspective</w:t>
      </w:r>
      <w:r w:rsidRPr="00960EC2">
        <w:rPr>
          <w:rFonts w:ascii="Times New Roman" w:hAnsi="Times New Roman" w:cs="Times New Roman"/>
          <w:sz w:val="24"/>
          <w:szCs w:val="24"/>
        </w:rPr>
        <w:t>. Academy of Management Review, 26(1), 117-127.</w:t>
      </w:r>
    </w:p>
    <w:p w14:paraId="6C369D05"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Montgomery, C. A., &amp; </w:t>
      </w:r>
      <w:proofErr w:type="spellStart"/>
      <w:r w:rsidRPr="00960EC2">
        <w:rPr>
          <w:rFonts w:ascii="Times New Roman" w:hAnsi="Times New Roman" w:cs="Times New Roman"/>
          <w:sz w:val="24"/>
          <w:szCs w:val="24"/>
        </w:rPr>
        <w:t>Wernerfelt</w:t>
      </w:r>
      <w:proofErr w:type="spellEnd"/>
      <w:r w:rsidRPr="00960EC2">
        <w:rPr>
          <w:rFonts w:ascii="Times New Roman" w:hAnsi="Times New Roman" w:cs="Times New Roman"/>
          <w:sz w:val="24"/>
          <w:szCs w:val="24"/>
        </w:rPr>
        <w:t xml:space="preserve">, B. (1988). </w:t>
      </w:r>
      <w:r w:rsidRPr="00960EC2">
        <w:rPr>
          <w:rFonts w:ascii="Times New Roman" w:hAnsi="Times New Roman" w:cs="Times New Roman"/>
          <w:i/>
          <w:iCs/>
          <w:sz w:val="24"/>
          <w:szCs w:val="24"/>
        </w:rPr>
        <w:t>Diversification, Ricardian Rent, and Tobin’s q</w:t>
      </w:r>
      <w:r w:rsidRPr="00960EC2">
        <w:rPr>
          <w:rFonts w:ascii="Times New Roman" w:hAnsi="Times New Roman" w:cs="Times New Roman"/>
          <w:sz w:val="24"/>
          <w:szCs w:val="24"/>
        </w:rPr>
        <w:t>. RAND Journal of Economics, 19(4), 623-632.</w:t>
      </w:r>
    </w:p>
    <w:p w14:paraId="0632AEA6"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proofErr w:type="spellStart"/>
      <w:r w:rsidRPr="00960EC2">
        <w:rPr>
          <w:rFonts w:ascii="Times New Roman" w:hAnsi="Times New Roman" w:cs="Times New Roman"/>
          <w:sz w:val="24"/>
          <w:szCs w:val="24"/>
          <w:lang w:val="pt-BR"/>
        </w:rPr>
        <w:t>Panzar</w:t>
      </w:r>
      <w:proofErr w:type="spellEnd"/>
      <w:r w:rsidRPr="00960EC2">
        <w:rPr>
          <w:rFonts w:ascii="Times New Roman" w:hAnsi="Times New Roman" w:cs="Times New Roman"/>
          <w:sz w:val="24"/>
          <w:szCs w:val="24"/>
          <w:lang w:val="pt-BR"/>
        </w:rPr>
        <w:t xml:space="preserve">, J. C., &amp; </w:t>
      </w:r>
      <w:proofErr w:type="spellStart"/>
      <w:r w:rsidRPr="00960EC2">
        <w:rPr>
          <w:rFonts w:ascii="Times New Roman" w:hAnsi="Times New Roman" w:cs="Times New Roman"/>
          <w:sz w:val="24"/>
          <w:szCs w:val="24"/>
          <w:lang w:val="pt-BR"/>
        </w:rPr>
        <w:t>Rosse</w:t>
      </w:r>
      <w:proofErr w:type="spellEnd"/>
      <w:r w:rsidRPr="00960EC2">
        <w:rPr>
          <w:rFonts w:ascii="Times New Roman" w:hAnsi="Times New Roman" w:cs="Times New Roman"/>
          <w:sz w:val="24"/>
          <w:szCs w:val="24"/>
          <w:lang w:val="pt-BR"/>
        </w:rPr>
        <w:t xml:space="preserve">, J. N. (1987). </w:t>
      </w:r>
      <w:r w:rsidRPr="00960EC2">
        <w:rPr>
          <w:rFonts w:ascii="Times New Roman" w:hAnsi="Times New Roman" w:cs="Times New Roman"/>
          <w:i/>
          <w:iCs/>
          <w:sz w:val="24"/>
          <w:szCs w:val="24"/>
        </w:rPr>
        <w:t>Testing for Monopoly Equilibrium</w:t>
      </w:r>
      <w:r w:rsidRPr="00960EC2">
        <w:rPr>
          <w:rFonts w:ascii="Times New Roman" w:hAnsi="Times New Roman" w:cs="Times New Roman"/>
          <w:sz w:val="24"/>
          <w:szCs w:val="24"/>
        </w:rPr>
        <w:t>. Journal of Industrial Economics, 35(4), 443-456.</w:t>
      </w:r>
    </w:p>
    <w:p w14:paraId="6162C416"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Porter, M. E. (1980). </w:t>
      </w:r>
      <w:r w:rsidRPr="00960EC2">
        <w:rPr>
          <w:rFonts w:ascii="Times New Roman" w:hAnsi="Times New Roman" w:cs="Times New Roman"/>
          <w:i/>
          <w:iCs/>
          <w:sz w:val="24"/>
          <w:szCs w:val="24"/>
        </w:rPr>
        <w:t xml:space="preserve">Competitive Strategy: Techniques for </w:t>
      </w:r>
      <w:proofErr w:type="spellStart"/>
      <w:r w:rsidRPr="00960EC2">
        <w:rPr>
          <w:rFonts w:ascii="Times New Roman" w:hAnsi="Times New Roman" w:cs="Times New Roman"/>
          <w:i/>
          <w:iCs/>
          <w:sz w:val="24"/>
          <w:szCs w:val="24"/>
        </w:rPr>
        <w:t>Analyzing</w:t>
      </w:r>
      <w:proofErr w:type="spellEnd"/>
      <w:r w:rsidRPr="00960EC2">
        <w:rPr>
          <w:rFonts w:ascii="Times New Roman" w:hAnsi="Times New Roman" w:cs="Times New Roman"/>
          <w:i/>
          <w:iCs/>
          <w:sz w:val="24"/>
          <w:szCs w:val="24"/>
        </w:rPr>
        <w:t xml:space="preserve"> Industries and Competitors</w:t>
      </w:r>
      <w:r w:rsidRPr="00960EC2">
        <w:rPr>
          <w:rFonts w:ascii="Times New Roman" w:hAnsi="Times New Roman" w:cs="Times New Roman"/>
          <w:sz w:val="24"/>
          <w:szCs w:val="24"/>
        </w:rPr>
        <w:t>. Free Press.</w:t>
      </w:r>
    </w:p>
    <w:p w14:paraId="25095929"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Shell. (2016). </w:t>
      </w:r>
      <w:r w:rsidRPr="00960EC2">
        <w:rPr>
          <w:rFonts w:ascii="Times New Roman" w:hAnsi="Times New Roman" w:cs="Times New Roman"/>
          <w:i/>
          <w:iCs/>
          <w:sz w:val="24"/>
          <w:szCs w:val="24"/>
        </w:rPr>
        <w:t>Annual Report and Form 20-F 2016</w:t>
      </w:r>
      <w:r w:rsidRPr="00960EC2">
        <w:rPr>
          <w:rFonts w:ascii="Times New Roman" w:hAnsi="Times New Roman" w:cs="Times New Roman"/>
          <w:sz w:val="24"/>
          <w:szCs w:val="24"/>
        </w:rPr>
        <w:t>. Retrieved from https://www.shell.com/investors/financial-reporting/annual-report.html</w:t>
      </w:r>
    </w:p>
    <w:p w14:paraId="72AE3336"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Shell. (2018). </w:t>
      </w:r>
      <w:r w:rsidRPr="00960EC2">
        <w:rPr>
          <w:rFonts w:ascii="Times New Roman" w:hAnsi="Times New Roman" w:cs="Times New Roman"/>
          <w:i/>
          <w:iCs/>
          <w:sz w:val="24"/>
          <w:szCs w:val="24"/>
        </w:rPr>
        <w:t>Annual Report and Form 20-F 2018</w:t>
      </w:r>
      <w:r w:rsidRPr="00960EC2">
        <w:rPr>
          <w:rFonts w:ascii="Times New Roman" w:hAnsi="Times New Roman" w:cs="Times New Roman"/>
          <w:sz w:val="24"/>
          <w:szCs w:val="24"/>
        </w:rPr>
        <w:t>. Retrieved from https://www.shell.com/investors/financial-reporting/annual-report.html</w:t>
      </w:r>
    </w:p>
    <w:p w14:paraId="1FEF9D19"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Shell. (2020). </w:t>
      </w:r>
      <w:r w:rsidRPr="00960EC2">
        <w:rPr>
          <w:rFonts w:ascii="Times New Roman" w:hAnsi="Times New Roman" w:cs="Times New Roman"/>
          <w:i/>
          <w:iCs/>
          <w:sz w:val="24"/>
          <w:szCs w:val="24"/>
        </w:rPr>
        <w:t>Sustainability Report 2020</w:t>
      </w:r>
      <w:r w:rsidRPr="00960EC2">
        <w:rPr>
          <w:rFonts w:ascii="Times New Roman" w:hAnsi="Times New Roman" w:cs="Times New Roman"/>
          <w:sz w:val="24"/>
          <w:szCs w:val="24"/>
        </w:rPr>
        <w:t>. Retrieved from https://www.shell.com/sustainability/sustainability-reports.html</w:t>
      </w:r>
    </w:p>
    <w:p w14:paraId="466A92EF" w14:textId="77777777" w:rsidR="00960EC2" w:rsidRPr="00960EC2" w:rsidRDefault="00960EC2" w:rsidP="00960EC2">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Shell. (2021). </w:t>
      </w:r>
      <w:r w:rsidRPr="00960EC2">
        <w:rPr>
          <w:rFonts w:ascii="Times New Roman" w:hAnsi="Times New Roman" w:cs="Times New Roman"/>
          <w:i/>
          <w:iCs/>
          <w:sz w:val="24"/>
          <w:szCs w:val="24"/>
        </w:rPr>
        <w:t>Annual Report and Form 20-F 2021</w:t>
      </w:r>
      <w:r w:rsidRPr="00960EC2">
        <w:rPr>
          <w:rFonts w:ascii="Times New Roman" w:hAnsi="Times New Roman" w:cs="Times New Roman"/>
          <w:sz w:val="24"/>
          <w:szCs w:val="24"/>
        </w:rPr>
        <w:t>. Retrieved from https://www.shell.com/investors/financial-reporting/annual-report.html</w:t>
      </w:r>
    </w:p>
    <w:p w14:paraId="23F489F7" w14:textId="77777777" w:rsidR="004F5AC9" w:rsidRDefault="00960EC2" w:rsidP="004F5AC9">
      <w:pPr>
        <w:pStyle w:val="ListParagraph"/>
        <w:numPr>
          <w:ilvl w:val="0"/>
          <w:numId w:val="6"/>
        </w:numPr>
        <w:spacing w:line="360" w:lineRule="auto"/>
        <w:ind w:left="360"/>
        <w:jc w:val="both"/>
        <w:rPr>
          <w:rFonts w:ascii="Times New Roman" w:hAnsi="Times New Roman" w:cs="Times New Roman"/>
          <w:sz w:val="24"/>
          <w:szCs w:val="24"/>
        </w:rPr>
      </w:pPr>
      <w:r w:rsidRPr="00960EC2">
        <w:rPr>
          <w:rFonts w:ascii="Times New Roman" w:hAnsi="Times New Roman" w:cs="Times New Roman"/>
          <w:sz w:val="24"/>
          <w:szCs w:val="24"/>
        </w:rPr>
        <w:t xml:space="preserve">Williamson, O. E. (1985). </w:t>
      </w:r>
      <w:r w:rsidRPr="00960EC2">
        <w:rPr>
          <w:rFonts w:ascii="Times New Roman" w:hAnsi="Times New Roman" w:cs="Times New Roman"/>
          <w:i/>
          <w:iCs/>
          <w:sz w:val="24"/>
          <w:szCs w:val="24"/>
        </w:rPr>
        <w:t>The Economic Institutions of Capitalism: Firms, Markets, Relational Contracting</w:t>
      </w:r>
      <w:r w:rsidRPr="00960EC2">
        <w:rPr>
          <w:rFonts w:ascii="Times New Roman" w:hAnsi="Times New Roman" w:cs="Times New Roman"/>
          <w:sz w:val="24"/>
          <w:szCs w:val="24"/>
        </w:rPr>
        <w:t>. Free Press.</w:t>
      </w:r>
    </w:p>
    <w:p w14:paraId="5AC0E475" w14:textId="77777777" w:rsidR="004F5AC9" w:rsidRPr="004F5AC9" w:rsidRDefault="004F5AC9" w:rsidP="004F5AC9">
      <w:pPr>
        <w:pStyle w:val="ListParagraph"/>
        <w:numPr>
          <w:ilvl w:val="0"/>
          <w:numId w:val="6"/>
        </w:numPr>
        <w:spacing w:line="360" w:lineRule="auto"/>
        <w:ind w:left="360"/>
        <w:jc w:val="both"/>
        <w:rPr>
          <w:rFonts w:ascii="Times New Roman" w:hAnsi="Times New Roman" w:cs="Times New Roman"/>
          <w:sz w:val="24"/>
          <w:szCs w:val="24"/>
        </w:rPr>
      </w:pPr>
      <w:proofErr w:type="spellStart"/>
      <w:r w:rsidRPr="004F5AC9">
        <w:rPr>
          <w:rFonts w:ascii="Times New Roman" w:hAnsi="Times New Roman" w:cs="Times New Roman"/>
          <w:sz w:val="24"/>
          <w:szCs w:val="24"/>
        </w:rPr>
        <w:lastRenderedPageBreak/>
        <w:t>Panayides</w:t>
      </w:r>
      <w:proofErr w:type="spellEnd"/>
      <w:r w:rsidRPr="004F5AC9">
        <w:rPr>
          <w:rFonts w:ascii="Times New Roman" w:hAnsi="Times New Roman" w:cs="Times New Roman"/>
          <w:sz w:val="24"/>
          <w:szCs w:val="24"/>
        </w:rPr>
        <w:t xml:space="preserve">, </w:t>
      </w:r>
      <w:proofErr w:type="spellStart"/>
      <w:r w:rsidRPr="004F5AC9">
        <w:rPr>
          <w:rFonts w:ascii="Times New Roman" w:hAnsi="Times New Roman" w:cs="Times New Roman"/>
          <w:sz w:val="24"/>
          <w:szCs w:val="24"/>
        </w:rPr>
        <w:t>Photis</w:t>
      </w:r>
      <w:proofErr w:type="spellEnd"/>
      <w:r w:rsidRPr="004F5AC9">
        <w:rPr>
          <w:rFonts w:ascii="Times New Roman" w:hAnsi="Times New Roman" w:cs="Times New Roman"/>
          <w:sz w:val="24"/>
          <w:szCs w:val="24"/>
        </w:rPr>
        <w:t xml:space="preserve"> &amp; Andreou, Panayiotis &amp; Louca, Christodoulos. (2015). The impact of vertical integration on inventory turnover and operating performance. International Journal of Logistics Research and Applications. 19. 1-21. 10.1080/13675567.2015.1070815.</w:t>
      </w:r>
    </w:p>
    <w:p w14:paraId="2D7D2CCD" w14:textId="1240CB38" w:rsidR="004F5AC9" w:rsidRPr="004F5AC9" w:rsidRDefault="004F5AC9" w:rsidP="004F5AC9">
      <w:pPr>
        <w:pStyle w:val="ListParagraph"/>
        <w:numPr>
          <w:ilvl w:val="0"/>
          <w:numId w:val="6"/>
        </w:numPr>
        <w:spacing w:line="360" w:lineRule="auto"/>
        <w:ind w:left="360"/>
        <w:jc w:val="both"/>
        <w:rPr>
          <w:rFonts w:ascii="Times New Roman" w:hAnsi="Times New Roman" w:cs="Times New Roman"/>
          <w:sz w:val="24"/>
          <w:szCs w:val="24"/>
        </w:rPr>
      </w:pPr>
      <w:r w:rsidRPr="004F5AC9">
        <w:rPr>
          <w:rFonts w:ascii="Times New Roman" w:hAnsi="Times New Roman" w:cs="Times New Roman"/>
          <w:sz w:val="24"/>
          <w:szCs w:val="24"/>
        </w:rPr>
        <w:t>Emami, A., Welsh, D. H. B., Davari, A., &amp; Rezazadeh, A. (2022). Examining the relationship between strategic alliances and the performance of small entrepreneurial firms in telecommunications. </w:t>
      </w:r>
      <w:r w:rsidRPr="004F5AC9">
        <w:rPr>
          <w:rFonts w:ascii="Times New Roman" w:hAnsi="Times New Roman" w:cs="Times New Roman"/>
          <w:i/>
          <w:iCs/>
          <w:sz w:val="24"/>
          <w:szCs w:val="24"/>
        </w:rPr>
        <w:t>International Entrepreneurship and Management Journal</w:t>
      </w:r>
      <w:r w:rsidRPr="004F5AC9">
        <w:rPr>
          <w:rFonts w:ascii="Times New Roman" w:hAnsi="Times New Roman" w:cs="Times New Roman"/>
          <w:sz w:val="24"/>
          <w:szCs w:val="24"/>
        </w:rPr>
        <w:t>, </w:t>
      </w:r>
      <w:r w:rsidRPr="004F5AC9">
        <w:rPr>
          <w:rFonts w:ascii="Times New Roman" w:hAnsi="Times New Roman" w:cs="Times New Roman"/>
          <w:i/>
          <w:iCs/>
          <w:sz w:val="24"/>
          <w:szCs w:val="24"/>
        </w:rPr>
        <w:t>18</w:t>
      </w:r>
      <w:r w:rsidRPr="004F5AC9">
        <w:rPr>
          <w:rFonts w:ascii="Times New Roman" w:hAnsi="Times New Roman" w:cs="Times New Roman"/>
          <w:sz w:val="24"/>
          <w:szCs w:val="24"/>
        </w:rPr>
        <w:t xml:space="preserve">(2), 637–662. </w:t>
      </w:r>
      <w:hyperlink r:id="rId7" w:history="1">
        <w:r w:rsidRPr="004F5AC9">
          <w:rPr>
            <w:rStyle w:val="Hyperlink"/>
            <w:rFonts w:ascii="Times New Roman" w:hAnsi="Times New Roman" w:cs="Times New Roman"/>
            <w:sz w:val="24"/>
            <w:szCs w:val="24"/>
          </w:rPr>
          <w:t>https://doi.org/10.1007/s11365-021-00781-3</w:t>
        </w:r>
      </w:hyperlink>
    </w:p>
    <w:p w14:paraId="1C46D4DF" w14:textId="77777777" w:rsidR="00960EC2" w:rsidRPr="00960EC2" w:rsidRDefault="00960EC2" w:rsidP="00960EC2">
      <w:pPr>
        <w:spacing w:line="360" w:lineRule="auto"/>
        <w:jc w:val="both"/>
        <w:rPr>
          <w:rFonts w:ascii="Times New Roman" w:hAnsi="Times New Roman" w:cs="Times New Roman"/>
          <w:sz w:val="24"/>
          <w:szCs w:val="24"/>
        </w:rPr>
      </w:pPr>
    </w:p>
    <w:sectPr w:rsidR="00960EC2" w:rsidRPr="00960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22972"/>
    <w:multiLevelType w:val="multilevel"/>
    <w:tmpl w:val="58563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2B7A0C"/>
    <w:multiLevelType w:val="multilevel"/>
    <w:tmpl w:val="F4224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19649B"/>
    <w:multiLevelType w:val="multilevel"/>
    <w:tmpl w:val="AEEE7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280A40"/>
    <w:multiLevelType w:val="hybridMultilevel"/>
    <w:tmpl w:val="B7B056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00C0876"/>
    <w:multiLevelType w:val="hybridMultilevel"/>
    <w:tmpl w:val="896EE370"/>
    <w:lvl w:ilvl="0" w:tplc="752EEC64">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1230F82"/>
    <w:multiLevelType w:val="hybridMultilevel"/>
    <w:tmpl w:val="2F6242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64900832">
    <w:abstractNumId w:val="5"/>
  </w:num>
  <w:num w:numId="2" w16cid:durableId="1651247189">
    <w:abstractNumId w:val="4"/>
  </w:num>
  <w:num w:numId="3" w16cid:durableId="1045062199">
    <w:abstractNumId w:val="1"/>
  </w:num>
  <w:num w:numId="4" w16cid:durableId="1358316679">
    <w:abstractNumId w:val="0"/>
  </w:num>
  <w:num w:numId="5" w16cid:durableId="848564608">
    <w:abstractNumId w:val="2"/>
  </w:num>
  <w:num w:numId="6" w16cid:durableId="11411151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A1F"/>
    <w:rsid w:val="00131DFD"/>
    <w:rsid w:val="00145CB9"/>
    <w:rsid w:val="00187F9C"/>
    <w:rsid w:val="001C4A1F"/>
    <w:rsid w:val="00337AC5"/>
    <w:rsid w:val="004C2FEA"/>
    <w:rsid w:val="004F5AC9"/>
    <w:rsid w:val="00541670"/>
    <w:rsid w:val="005F04E6"/>
    <w:rsid w:val="005F5319"/>
    <w:rsid w:val="00647413"/>
    <w:rsid w:val="00960EC2"/>
    <w:rsid w:val="00A07422"/>
    <w:rsid w:val="00AE352C"/>
    <w:rsid w:val="00AF5923"/>
    <w:rsid w:val="00AF768A"/>
    <w:rsid w:val="00B32D42"/>
    <w:rsid w:val="00B5280D"/>
    <w:rsid w:val="00B64157"/>
    <w:rsid w:val="00CD0F0D"/>
    <w:rsid w:val="00D53E4D"/>
    <w:rsid w:val="00E11E78"/>
    <w:rsid w:val="00F46D4E"/>
    <w:rsid w:val="00FD7D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4584A"/>
  <w15:chartTrackingRefBased/>
  <w15:docId w15:val="{F5A656A8-7FAD-40FB-8791-19FEE9579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E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A1F"/>
    <w:pPr>
      <w:ind w:left="720"/>
      <w:contextualSpacing/>
    </w:pPr>
  </w:style>
  <w:style w:type="character" w:styleId="Hyperlink">
    <w:name w:val="Hyperlink"/>
    <w:basedOn w:val="DefaultParagraphFont"/>
    <w:uiPriority w:val="99"/>
    <w:unhideWhenUsed/>
    <w:rsid w:val="00960EC2"/>
    <w:rPr>
      <w:color w:val="0563C1" w:themeColor="hyperlink"/>
      <w:u w:val="single"/>
    </w:rPr>
  </w:style>
  <w:style w:type="character" w:customStyle="1" w:styleId="Heading1Char">
    <w:name w:val="Heading 1 Char"/>
    <w:basedOn w:val="DefaultParagraphFont"/>
    <w:link w:val="Heading1"/>
    <w:uiPriority w:val="9"/>
    <w:rsid w:val="00E11E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7F9C"/>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87F9C"/>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187F9C"/>
    <w:pPr>
      <w:spacing w:before="120" w:after="0"/>
      <w:ind w:left="220"/>
    </w:pPr>
    <w:rPr>
      <w:rFonts w:cstheme="minorHAnsi"/>
      <w:b/>
      <w:bCs/>
    </w:rPr>
  </w:style>
  <w:style w:type="paragraph" w:styleId="TOC3">
    <w:name w:val="toc 3"/>
    <w:basedOn w:val="Normal"/>
    <w:next w:val="Normal"/>
    <w:autoRedefine/>
    <w:uiPriority w:val="39"/>
    <w:semiHidden/>
    <w:unhideWhenUsed/>
    <w:rsid w:val="00187F9C"/>
    <w:pPr>
      <w:spacing w:after="0"/>
      <w:ind w:left="440"/>
    </w:pPr>
    <w:rPr>
      <w:rFonts w:cstheme="minorHAnsi"/>
      <w:sz w:val="20"/>
      <w:szCs w:val="20"/>
    </w:rPr>
  </w:style>
  <w:style w:type="paragraph" w:styleId="TOC4">
    <w:name w:val="toc 4"/>
    <w:basedOn w:val="Normal"/>
    <w:next w:val="Normal"/>
    <w:autoRedefine/>
    <w:uiPriority w:val="39"/>
    <w:semiHidden/>
    <w:unhideWhenUsed/>
    <w:rsid w:val="00187F9C"/>
    <w:pPr>
      <w:spacing w:after="0"/>
      <w:ind w:left="660"/>
    </w:pPr>
    <w:rPr>
      <w:rFonts w:cstheme="minorHAnsi"/>
      <w:sz w:val="20"/>
      <w:szCs w:val="20"/>
    </w:rPr>
  </w:style>
  <w:style w:type="paragraph" w:styleId="TOC5">
    <w:name w:val="toc 5"/>
    <w:basedOn w:val="Normal"/>
    <w:next w:val="Normal"/>
    <w:autoRedefine/>
    <w:uiPriority w:val="39"/>
    <w:semiHidden/>
    <w:unhideWhenUsed/>
    <w:rsid w:val="00187F9C"/>
    <w:pPr>
      <w:spacing w:after="0"/>
      <w:ind w:left="880"/>
    </w:pPr>
    <w:rPr>
      <w:rFonts w:cstheme="minorHAnsi"/>
      <w:sz w:val="20"/>
      <w:szCs w:val="20"/>
    </w:rPr>
  </w:style>
  <w:style w:type="paragraph" w:styleId="TOC6">
    <w:name w:val="toc 6"/>
    <w:basedOn w:val="Normal"/>
    <w:next w:val="Normal"/>
    <w:autoRedefine/>
    <w:uiPriority w:val="39"/>
    <w:semiHidden/>
    <w:unhideWhenUsed/>
    <w:rsid w:val="00187F9C"/>
    <w:pPr>
      <w:spacing w:after="0"/>
      <w:ind w:left="1100"/>
    </w:pPr>
    <w:rPr>
      <w:rFonts w:cstheme="minorHAnsi"/>
      <w:sz w:val="20"/>
      <w:szCs w:val="20"/>
    </w:rPr>
  </w:style>
  <w:style w:type="paragraph" w:styleId="TOC7">
    <w:name w:val="toc 7"/>
    <w:basedOn w:val="Normal"/>
    <w:next w:val="Normal"/>
    <w:autoRedefine/>
    <w:uiPriority w:val="39"/>
    <w:semiHidden/>
    <w:unhideWhenUsed/>
    <w:rsid w:val="00187F9C"/>
    <w:pPr>
      <w:spacing w:after="0"/>
      <w:ind w:left="1320"/>
    </w:pPr>
    <w:rPr>
      <w:rFonts w:cstheme="minorHAnsi"/>
      <w:sz w:val="20"/>
      <w:szCs w:val="20"/>
    </w:rPr>
  </w:style>
  <w:style w:type="paragraph" w:styleId="TOC8">
    <w:name w:val="toc 8"/>
    <w:basedOn w:val="Normal"/>
    <w:next w:val="Normal"/>
    <w:autoRedefine/>
    <w:uiPriority w:val="39"/>
    <w:semiHidden/>
    <w:unhideWhenUsed/>
    <w:rsid w:val="00187F9C"/>
    <w:pPr>
      <w:spacing w:after="0"/>
      <w:ind w:left="1540"/>
    </w:pPr>
    <w:rPr>
      <w:rFonts w:cstheme="minorHAnsi"/>
      <w:sz w:val="20"/>
      <w:szCs w:val="20"/>
    </w:rPr>
  </w:style>
  <w:style w:type="paragraph" w:styleId="TOC9">
    <w:name w:val="toc 9"/>
    <w:basedOn w:val="Normal"/>
    <w:next w:val="Normal"/>
    <w:autoRedefine/>
    <w:uiPriority w:val="39"/>
    <w:semiHidden/>
    <w:unhideWhenUsed/>
    <w:rsid w:val="00187F9C"/>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9002">
      <w:bodyDiv w:val="1"/>
      <w:marLeft w:val="0"/>
      <w:marRight w:val="0"/>
      <w:marTop w:val="0"/>
      <w:marBottom w:val="0"/>
      <w:divBdr>
        <w:top w:val="none" w:sz="0" w:space="0" w:color="auto"/>
        <w:left w:val="none" w:sz="0" w:space="0" w:color="auto"/>
        <w:bottom w:val="none" w:sz="0" w:space="0" w:color="auto"/>
        <w:right w:val="none" w:sz="0" w:space="0" w:color="auto"/>
      </w:divBdr>
    </w:div>
    <w:div w:id="146290410">
      <w:bodyDiv w:val="1"/>
      <w:marLeft w:val="0"/>
      <w:marRight w:val="0"/>
      <w:marTop w:val="0"/>
      <w:marBottom w:val="0"/>
      <w:divBdr>
        <w:top w:val="none" w:sz="0" w:space="0" w:color="auto"/>
        <w:left w:val="none" w:sz="0" w:space="0" w:color="auto"/>
        <w:bottom w:val="none" w:sz="0" w:space="0" w:color="auto"/>
        <w:right w:val="none" w:sz="0" w:space="0" w:color="auto"/>
      </w:divBdr>
    </w:div>
    <w:div w:id="179395544">
      <w:bodyDiv w:val="1"/>
      <w:marLeft w:val="0"/>
      <w:marRight w:val="0"/>
      <w:marTop w:val="0"/>
      <w:marBottom w:val="0"/>
      <w:divBdr>
        <w:top w:val="none" w:sz="0" w:space="0" w:color="auto"/>
        <w:left w:val="none" w:sz="0" w:space="0" w:color="auto"/>
        <w:bottom w:val="none" w:sz="0" w:space="0" w:color="auto"/>
        <w:right w:val="none" w:sz="0" w:space="0" w:color="auto"/>
      </w:divBdr>
    </w:div>
    <w:div w:id="336008574">
      <w:bodyDiv w:val="1"/>
      <w:marLeft w:val="0"/>
      <w:marRight w:val="0"/>
      <w:marTop w:val="0"/>
      <w:marBottom w:val="0"/>
      <w:divBdr>
        <w:top w:val="none" w:sz="0" w:space="0" w:color="auto"/>
        <w:left w:val="none" w:sz="0" w:space="0" w:color="auto"/>
        <w:bottom w:val="none" w:sz="0" w:space="0" w:color="auto"/>
        <w:right w:val="none" w:sz="0" w:space="0" w:color="auto"/>
      </w:divBdr>
    </w:div>
    <w:div w:id="447239320">
      <w:bodyDiv w:val="1"/>
      <w:marLeft w:val="0"/>
      <w:marRight w:val="0"/>
      <w:marTop w:val="0"/>
      <w:marBottom w:val="0"/>
      <w:divBdr>
        <w:top w:val="none" w:sz="0" w:space="0" w:color="auto"/>
        <w:left w:val="none" w:sz="0" w:space="0" w:color="auto"/>
        <w:bottom w:val="none" w:sz="0" w:space="0" w:color="auto"/>
        <w:right w:val="none" w:sz="0" w:space="0" w:color="auto"/>
      </w:divBdr>
    </w:div>
    <w:div w:id="493450712">
      <w:bodyDiv w:val="1"/>
      <w:marLeft w:val="0"/>
      <w:marRight w:val="0"/>
      <w:marTop w:val="0"/>
      <w:marBottom w:val="0"/>
      <w:divBdr>
        <w:top w:val="none" w:sz="0" w:space="0" w:color="auto"/>
        <w:left w:val="none" w:sz="0" w:space="0" w:color="auto"/>
        <w:bottom w:val="none" w:sz="0" w:space="0" w:color="auto"/>
        <w:right w:val="none" w:sz="0" w:space="0" w:color="auto"/>
      </w:divBdr>
    </w:div>
    <w:div w:id="1554778776">
      <w:bodyDiv w:val="1"/>
      <w:marLeft w:val="0"/>
      <w:marRight w:val="0"/>
      <w:marTop w:val="0"/>
      <w:marBottom w:val="0"/>
      <w:divBdr>
        <w:top w:val="none" w:sz="0" w:space="0" w:color="auto"/>
        <w:left w:val="none" w:sz="0" w:space="0" w:color="auto"/>
        <w:bottom w:val="none" w:sz="0" w:space="0" w:color="auto"/>
        <w:right w:val="none" w:sz="0" w:space="0" w:color="auto"/>
      </w:divBdr>
    </w:div>
    <w:div w:id="160985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07/s11365-021-0078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c.europa.eu/info/strategy/justice-and-fundamental-rights_e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26944-6343-8C46-B9F7-D3A39277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3616</Words>
  <Characters>20615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Lachezar Dimitrov (1915922)</cp:lastModifiedBy>
  <cp:revision>3</cp:revision>
  <dcterms:created xsi:type="dcterms:W3CDTF">2024-08-27T18:41:00Z</dcterms:created>
  <dcterms:modified xsi:type="dcterms:W3CDTF">2024-08-27T18:43:00Z</dcterms:modified>
</cp:coreProperties>
</file>