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FCECE" w:themeFill="background2" w:themeFillShade="E5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B02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FCECE" w:themeFill="background2" w:themeFillShade="E5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shd w:val="clear" w:color="auto" w:fill="CFCECE" w:themeFill="background2" w:themeFillShade="E5"/>
          </w:tcPr>
          <w:p w14:paraId="01080E74"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                  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ASSESSMENT 2 SPECIFICATION</w:t>
            </w:r>
          </w:p>
        </w:tc>
      </w:tr>
    </w:tbl>
    <w:p w14:paraId="76028327">
      <w:pPr>
        <w:rPr>
          <w:rFonts w:hint="default" w:ascii="Times New Roman" w:hAnsi="Times New Roman" w:cs="Times New Roman"/>
          <w:sz w:val="20"/>
          <w:szCs w:val="20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2"/>
        <w:gridCol w:w="2132"/>
        <w:gridCol w:w="2131"/>
        <w:gridCol w:w="2131"/>
      </w:tblGrid>
      <w:tr w14:paraId="4160D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6" w:type="dxa"/>
            <w:shd w:val="clear" w:color="auto" w:fill="CFCECE" w:themeFill="background2" w:themeFillShade="E5"/>
          </w:tcPr>
          <w:p w14:paraId="0EAFBA57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Student name:</w:t>
            </w:r>
          </w:p>
        </w:tc>
        <w:tc>
          <w:tcPr>
            <w:tcW w:w="2134" w:type="dxa"/>
            <w:gridSpan w:val="2"/>
          </w:tcPr>
          <w:p w14:paraId="1696CF21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 xml:space="preserve"> Yuze Tang</w:t>
            </w:r>
          </w:p>
        </w:tc>
        <w:tc>
          <w:tcPr>
            <w:tcW w:w="2131" w:type="dxa"/>
            <w:shd w:val="clear" w:color="auto" w:fill="CFCECE" w:themeFill="background2" w:themeFillShade="E5"/>
          </w:tcPr>
          <w:p w14:paraId="42B99D65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Student ID number:</w:t>
            </w:r>
          </w:p>
        </w:tc>
        <w:tc>
          <w:tcPr>
            <w:tcW w:w="2131" w:type="dxa"/>
          </w:tcPr>
          <w:p w14:paraId="223E968B">
            <w:pPr>
              <w:ind w:firstLine="402" w:firstLineChars="200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2500218</w:t>
            </w:r>
          </w:p>
        </w:tc>
      </w:tr>
      <w:tr w14:paraId="7470F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3"/>
            <w:shd w:val="clear" w:color="auto" w:fill="CFCECE" w:themeFill="background2" w:themeFillShade="E5"/>
          </w:tcPr>
          <w:p w14:paraId="3722CE84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Programme:</w:t>
            </w:r>
          </w:p>
        </w:tc>
        <w:tc>
          <w:tcPr>
            <w:tcW w:w="4262" w:type="dxa"/>
            <w:gridSpan w:val="2"/>
          </w:tcPr>
          <w:p w14:paraId="58676EF7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Business Management</w:t>
            </w:r>
          </w:p>
        </w:tc>
      </w:tr>
      <w:tr w14:paraId="63954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3"/>
            <w:shd w:val="clear" w:color="auto" w:fill="CFCECE" w:themeFill="background2" w:themeFillShade="E5"/>
          </w:tcPr>
          <w:p w14:paraId="50744C6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Module:</w:t>
            </w:r>
          </w:p>
          <w:p w14:paraId="43A4299A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4262" w:type="dxa"/>
            <w:gridSpan w:val="2"/>
          </w:tcPr>
          <w:p w14:paraId="0E120FF4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Contemporary Issues in Management</w:t>
            </w:r>
          </w:p>
        </w:tc>
      </w:tr>
      <w:tr w14:paraId="0E84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gridSpan w:val="2"/>
            <w:shd w:val="clear" w:color="auto" w:fill="CFCECE" w:themeFill="background2" w:themeFillShade="E5"/>
          </w:tcPr>
          <w:p w14:paraId="6DF84C34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Module code:</w:t>
            </w:r>
          </w:p>
        </w:tc>
        <w:tc>
          <w:tcPr>
            <w:tcW w:w="2132" w:type="dxa"/>
          </w:tcPr>
          <w:p w14:paraId="7F0B0BAB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BMBM6003</w:t>
            </w:r>
          </w:p>
        </w:tc>
        <w:tc>
          <w:tcPr>
            <w:tcW w:w="2131" w:type="dxa"/>
            <w:shd w:val="clear" w:color="auto" w:fill="CFCECE" w:themeFill="background2" w:themeFillShade="E5"/>
          </w:tcPr>
          <w:p w14:paraId="4DE7E7D5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Contribution to Overall Module Assessment (%):</w:t>
            </w:r>
          </w:p>
        </w:tc>
        <w:tc>
          <w:tcPr>
            <w:tcW w:w="2131" w:type="dxa"/>
          </w:tcPr>
          <w:p w14:paraId="0B9CA550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50%</w:t>
            </w:r>
          </w:p>
        </w:tc>
      </w:tr>
      <w:tr w14:paraId="4D542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gridSpan w:val="2"/>
            <w:shd w:val="clear" w:color="auto" w:fill="CFCECE" w:themeFill="background2" w:themeFillShade="E5"/>
          </w:tcPr>
          <w:p w14:paraId="43328E36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Lecturer:</w:t>
            </w:r>
          </w:p>
        </w:tc>
        <w:tc>
          <w:tcPr>
            <w:tcW w:w="2132" w:type="dxa"/>
          </w:tcPr>
          <w:p w14:paraId="6D7A13C1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Robyn Griffiths</w:t>
            </w:r>
          </w:p>
        </w:tc>
        <w:tc>
          <w:tcPr>
            <w:tcW w:w="2131" w:type="dxa"/>
            <w:shd w:val="clear" w:color="auto" w:fill="CFCECE" w:themeFill="background2" w:themeFillShade="E5"/>
          </w:tcPr>
          <w:p w14:paraId="7CCFDD77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Internal Verifier:</w:t>
            </w:r>
          </w:p>
        </w:tc>
        <w:tc>
          <w:tcPr>
            <w:tcW w:w="2131" w:type="dxa"/>
          </w:tcPr>
          <w:p w14:paraId="218AC5FF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</w:p>
        </w:tc>
      </w:tr>
      <w:tr w14:paraId="79E83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gridSpan w:val="2"/>
            <w:shd w:val="clear" w:color="auto" w:fill="CFCECE" w:themeFill="background2" w:themeFillShade="E5"/>
          </w:tcPr>
          <w:p w14:paraId="49C49BA3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Assignment Title:</w:t>
            </w:r>
          </w:p>
        </w:tc>
        <w:tc>
          <w:tcPr>
            <w:tcW w:w="2132" w:type="dxa"/>
          </w:tcPr>
          <w:p w14:paraId="77B33ACB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Challenges Facing Managers in the Modern Organisation</w:t>
            </w:r>
          </w:p>
        </w:tc>
        <w:tc>
          <w:tcPr>
            <w:tcW w:w="2131" w:type="dxa"/>
            <w:shd w:val="clear" w:color="auto" w:fill="CFCECE" w:themeFill="background2" w:themeFillShade="E5"/>
          </w:tcPr>
          <w:p w14:paraId="3DAA40D1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Word count (or equivalent):</w:t>
            </w:r>
          </w:p>
        </w:tc>
        <w:tc>
          <w:tcPr>
            <w:tcW w:w="2131" w:type="dxa"/>
          </w:tcPr>
          <w:p w14:paraId="65C1E60D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15-minute Presentation</w:t>
            </w:r>
          </w:p>
        </w:tc>
      </w:tr>
      <w:tr w14:paraId="454B4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gridSpan w:val="2"/>
            <w:shd w:val="clear" w:color="auto" w:fill="CFCECE" w:themeFill="background2" w:themeFillShade="E5"/>
          </w:tcPr>
          <w:p w14:paraId="44A15942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Submission deadline:</w:t>
            </w:r>
          </w:p>
        </w:tc>
        <w:tc>
          <w:tcPr>
            <w:tcW w:w="2132" w:type="dxa"/>
          </w:tcPr>
          <w:p w14:paraId="24BE333B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17/12/2025</w:t>
            </w:r>
          </w:p>
        </w:tc>
        <w:tc>
          <w:tcPr>
            <w:tcW w:w="2131" w:type="dxa"/>
            <w:shd w:val="clear" w:color="auto" w:fill="CFCECE" w:themeFill="background2" w:themeFillShade="E5"/>
          </w:tcPr>
          <w:p w14:paraId="6D213292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Return date of provisional marks &amp; written feedback:</w:t>
            </w:r>
          </w:p>
        </w:tc>
        <w:tc>
          <w:tcPr>
            <w:tcW w:w="2131" w:type="dxa"/>
          </w:tcPr>
          <w:p w14:paraId="77A10E42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25/01/2026</w:t>
            </w:r>
          </w:p>
        </w:tc>
      </w:tr>
      <w:tr w14:paraId="1F5DE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3"/>
            <w:shd w:val="clear" w:color="auto" w:fill="CFCECE" w:themeFill="background2" w:themeFillShade="E5"/>
          </w:tcPr>
          <w:p w14:paraId="5151122B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Submission method:</w:t>
            </w:r>
          </w:p>
        </w:tc>
        <w:tc>
          <w:tcPr>
            <w:tcW w:w="4262" w:type="dxa"/>
            <w:gridSpan w:val="2"/>
          </w:tcPr>
          <w:p w14:paraId="3628518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All written assessments, where practical and possible, must be submitted via </w:t>
            </w:r>
          </w:p>
          <w:p w14:paraId="30E85F9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Turnitin unless otherwise instructed by the Lecturer. (Please DO NOT put this </w:t>
            </w:r>
          </w:p>
          <w:p w14:paraId="224A122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assessment specification into Turnitin or it will match many similarities with </w:t>
            </w:r>
          </w:p>
          <w:p w14:paraId="66DA8E9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other students’ submissions.) </w:t>
            </w:r>
          </w:p>
          <w:p w14:paraId="3343A99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eastAsia="Arial-BoldMT" w:cs="Times New Roman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Alternative submission method (if applicable): </w:t>
            </w:r>
          </w:p>
          <w:p w14:paraId="7146F2A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eastAsia="Arial-BoldMT" w:cs="Times New Roman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Late submission of the assessment will result in a late penalty mark. </w:t>
            </w:r>
          </w:p>
          <w:p w14:paraId="5AF1ED2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Penalties for late submission: Up to one week late, maximum mark of 40%. </w:t>
            </w:r>
          </w:p>
          <w:p w14:paraId="325BE5C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Over one week late, 0%. Only the Extenuating Circumstances Panel may </w:t>
            </w:r>
          </w:p>
          <w:p w14:paraId="3C39675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0"/>
                <w:szCs w:val="20"/>
                <w:lang w:val="en-US" w:eastAsia="zh-CN" w:bidi="ar"/>
              </w:rPr>
              <w:t>approve a change to submission dates.</w:t>
            </w:r>
          </w:p>
          <w:p w14:paraId="0CC8AE55"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 w14:paraId="04434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3"/>
            <w:shd w:val="clear" w:color="auto" w:fill="CFCECE" w:themeFill="background2" w:themeFillShade="E5"/>
          </w:tcPr>
          <w:p w14:paraId="2BA6BAE1">
            <w:pP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Academic honesty/ referencing:</w:t>
            </w:r>
          </w:p>
        </w:tc>
        <w:tc>
          <w:tcPr>
            <w:tcW w:w="4262" w:type="dxa"/>
            <w:gridSpan w:val="2"/>
          </w:tcPr>
          <w:p w14:paraId="78CD972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Academic honesty is required. In the main body of your submission you must </w:t>
            </w:r>
          </w:p>
          <w:p w14:paraId="753B86E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give credit to authors on whose research and ideas your work is based. Append </w:t>
            </w:r>
          </w:p>
          <w:p w14:paraId="2F2C6B7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to your submission a reference list that indicates the books, articles, etc. that </w:t>
            </w:r>
          </w:p>
          <w:p w14:paraId="7D685EE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you have used, cited or quoted in order to complete this assessment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.</w:t>
            </w:r>
          </w:p>
          <w:p w14:paraId="6B2845E9"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 w14:paraId="07305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  <w:shd w:val="clear" w:color="auto" w:fill="CFCECE" w:themeFill="background2" w:themeFillShade="E5"/>
          </w:tcPr>
          <w:p w14:paraId="0844BED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Arial-BoldMT" w:cs="Times New Roman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Module Learning Outcomes </w:t>
            </w:r>
          </w:p>
          <w:p w14:paraId="3D709D7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Arial-BoldMT" w:cs="Times New Roman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(from module syllabus)</w:t>
            </w:r>
          </w:p>
          <w:p w14:paraId="13CB0504"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 w14:paraId="7EF9D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 w14:paraId="68B6331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201F1E"/>
                <w:kern w:val="0"/>
                <w:sz w:val="20"/>
                <w:szCs w:val="20"/>
                <w:lang w:val="en-US" w:eastAsia="zh-CN" w:bidi="ar"/>
              </w:rPr>
              <w:t xml:space="preserve">Upon the successful completion of this assessment, the student should be able to demonstrate the ability </w:t>
            </w:r>
          </w:p>
          <w:p w14:paraId="2C2A8C2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201F1E"/>
                <w:kern w:val="0"/>
                <w:sz w:val="20"/>
                <w:szCs w:val="20"/>
                <w:lang w:val="en-US" w:eastAsia="zh-CN" w:bidi="ar"/>
              </w:rPr>
              <w:t xml:space="preserve">to: </w:t>
            </w:r>
          </w:p>
          <w:p w14:paraId="6F2D26C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201F1E"/>
                <w:kern w:val="0"/>
                <w:sz w:val="20"/>
                <w:szCs w:val="20"/>
                <w:lang w:val="en-US" w:eastAsia="zh-CN" w:bidi="ar"/>
              </w:rPr>
              <w:t xml:space="preserve">Analyse problems arising in a select number of contemporary management/organisational topics and </w:t>
            </w:r>
          </w:p>
          <w:p w14:paraId="6F442F5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201F1E"/>
                <w:kern w:val="0"/>
                <w:sz w:val="20"/>
                <w:szCs w:val="20"/>
                <w:lang w:val="en-US" w:eastAsia="zh-CN" w:bidi="ar"/>
              </w:rPr>
              <w:t xml:space="preserve">themes including, but not limited to, bureaucracy and post bureaucracy, scientific management, team </w:t>
            </w:r>
          </w:p>
          <w:p w14:paraId="776B53E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color w:val="201F1E"/>
                <w:kern w:val="0"/>
                <w:sz w:val="20"/>
                <w:szCs w:val="20"/>
                <w:lang w:val="en-US" w:eastAsia="zh-CN" w:bidi="ar"/>
              </w:rPr>
              <w:t>working, and ethical decision making and argue coherently for acceptable solutions.</w:t>
            </w:r>
          </w:p>
        </w:tc>
      </w:tr>
    </w:tbl>
    <w:p w14:paraId="3F1F33F5">
      <w:pPr>
        <w:rPr>
          <w:rFonts w:hint="default" w:ascii="Times New Roman" w:hAnsi="Times New Roman" w:cs="Times New Roman"/>
          <w:sz w:val="20"/>
          <w:szCs w:val="20"/>
        </w:rPr>
      </w:pPr>
    </w:p>
    <w:p w14:paraId="7BDD0118">
      <w:pPr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</w:p>
    <w:p w14:paraId="2EA207D5">
      <w:pPr>
        <w:rPr>
          <w:rFonts w:hint="default" w:ascii="Times New Roman" w:hAnsi="Times New Roman" w:cs="Times New Roman" w:eastAsiaTheme="minorEastAsia"/>
          <w:sz w:val="20"/>
          <w:szCs w:val="20"/>
          <w:lang w:eastAsia="zh-CN"/>
        </w:rPr>
      </w:pPr>
      <w:bookmarkStart w:id="0" w:name="_GoBack"/>
      <w:bookmarkEnd w:id="0"/>
    </w:p>
    <w:p w14:paraId="07CC4D2D">
      <w:pPr>
        <w:rPr>
          <w:rFonts w:hint="eastAsia" w:eastAsiaTheme="minorEastAsia"/>
          <w:sz w:val="20"/>
          <w:szCs w:val="20"/>
          <w:lang w:eastAsia="zh-CN"/>
        </w:rPr>
      </w:pPr>
    </w:p>
    <w:p w14:paraId="69C0D8C0">
      <w:pPr>
        <w:rPr>
          <w:rFonts w:hint="eastAsia" w:eastAsiaTheme="minorEastAsia"/>
          <w:sz w:val="20"/>
          <w:szCs w:val="20"/>
          <w:lang w:eastAsia="zh-CN"/>
        </w:rPr>
      </w:pPr>
    </w:p>
    <w:p w14:paraId="72D89018">
      <w:pPr>
        <w:rPr>
          <w:rFonts w:hint="eastAsia" w:eastAsiaTheme="minorEastAsia"/>
          <w:sz w:val="20"/>
          <w:szCs w:val="20"/>
          <w:lang w:eastAsia="zh-CN"/>
        </w:rPr>
      </w:pPr>
    </w:p>
    <w:p w14:paraId="0695D9D3">
      <w:pPr>
        <w:rPr>
          <w:rFonts w:hint="eastAsia" w:eastAsiaTheme="minorEastAsia"/>
          <w:sz w:val="20"/>
          <w:szCs w:val="20"/>
          <w:lang w:eastAsia="zh-CN"/>
        </w:rPr>
      </w:pPr>
    </w:p>
    <w:p w14:paraId="5F354BDB">
      <w:pPr>
        <w:rPr>
          <w:rFonts w:hint="eastAsia" w:eastAsiaTheme="minorEastAsia"/>
          <w:sz w:val="20"/>
          <w:szCs w:val="20"/>
          <w:lang w:eastAsia="zh-CN"/>
        </w:rPr>
      </w:pPr>
    </w:p>
    <w:p w14:paraId="26EF65E9">
      <w:pPr>
        <w:rPr>
          <w:rFonts w:hint="eastAsia" w:eastAsiaTheme="minorEastAsia"/>
          <w:sz w:val="20"/>
          <w:szCs w:val="20"/>
          <w:lang w:eastAsia="zh-CN"/>
        </w:rPr>
      </w:pPr>
    </w:p>
    <w:p w14:paraId="38DEE12A">
      <w:pPr>
        <w:rPr>
          <w:rFonts w:hint="eastAsia" w:eastAsiaTheme="minorEastAsia"/>
          <w:sz w:val="20"/>
          <w:szCs w:val="20"/>
          <w:lang w:eastAsia="zh-CN"/>
        </w:rPr>
      </w:pPr>
    </w:p>
    <w:p w14:paraId="265C48BF">
      <w:pPr>
        <w:rPr>
          <w:rFonts w:hint="eastAsia" w:eastAsiaTheme="minorEastAsia"/>
          <w:sz w:val="20"/>
          <w:szCs w:val="20"/>
          <w:lang w:eastAsia="zh-CN"/>
        </w:rPr>
      </w:pPr>
    </w:p>
    <w:p w14:paraId="4470247B">
      <w:pPr>
        <w:rPr>
          <w:rFonts w:hint="eastAsia" w:eastAsiaTheme="minorEastAsia"/>
          <w:sz w:val="20"/>
          <w:szCs w:val="20"/>
          <w:lang w:eastAsia="zh-CN"/>
        </w:rPr>
      </w:pPr>
    </w:p>
    <w:p w14:paraId="0D8168EB">
      <w:pPr>
        <w:rPr>
          <w:rFonts w:hint="eastAsia" w:eastAsiaTheme="minorEastAsia"/>
          <w:sz w:val="20"/>
          <w:szCs w:val="20"/>
          <w:lang w:eastAsia="zh-CN"/>
        </w:rPr>
      </w:pPr>
    </w:p>
    <w:p w14:paraId="75827A6B">
      <w:pPr>
        <w:rPr>
          <w:rFonts w:hint="eastAsia" w:eastAsiaTheme="minorEastAsia"/>
          <w:sz w:val="20"/>
          <w:szCs w:val="20"/>
          <w:lang w:eastAsia="zh-CN"/>
        </w:rPr>
      </w:pPr>
    </w:p>
    <w:p w14:paraId="4C8758F7">
      <w:pPr>
        <w:rPr>
          <w:rFonts w:hint="eastAsia" w:eastAsiaTheme="minorEastAsia"/>
          <w:sz w:val="20"/>
          <w:szCs w:val="20"/>
          <w:lang w:eastAsia="zh-CN"/>
        </w:rPr>
      </w:pPr>
    </w:p>
    <w:p w14:paraId="6727FB29">
      <w:pPr>
        <w:rPr>
          <w:rFonts w:hint="eastAsia" w:eastAsiaTheme="minorEastAsia"/>
          <w:sz w:val="20"/>
          <w:szCs w:val="20"/>
          <w:lang w:eastAsia="zh-CN"/>
        </w:rPr>
      </w:pPr>
    </w:p>
    <w:p w14:paraId="1AC596AE">
      <w:pPr>
        <w:rPr>
          <w:rFonts w:hint="eastAsia" w:eastAsiaTheme="minorEastAsia"/>
          <w:sz w:val="20"/>
          <w:szCs w:val="20"/>
          <w:lang w:eastAsia="zh-CN"/>
        </w:rPr>
      </w:pPr>
    </w:p>
    <w:p w14:paraId="5C86EEA1">
      <w:pPr>
        <w:rPr>
          <w:rFonts w:hint="eastAsia" w:eastAsiaTheme="minorEastAsia"/>
          <w:sz w:val="20"/>
          <w:szCs w:val="20"/>
          <w:lang w:eastAsia="zh-CN"/>
        </w:rPr>
      </w:pPr>
    </w:p>
    <w:p w14:paraId="00C65D9A">
      <w:pPr>
        <w:rPr>
          <w:rFonts w:hint="eastAsia" w:eastAsiaTheme="minorEastAsia"/>
          <w:sz w:val="20"/>
          <w:szCs w:val="20"/>
          <w:lang w:eastAsia="zh-CN"/>
        </w:rPr>
      </w:pPr>
    </w:p>
    <w:p w14:paraId="7EF2D609">
      <w:pPr>
        <w:rPr>
          <w:rFonts w:hint="eastAsia" w:eastAsiaTheme="minorEastAsia"/>
          <w:sz w:val="20"/>
          <w:szCs w:val="20"/>
          <w:lang w:eastAsia="zh-CN"/>
        </w:rPr>
      </w:pPr>
    </w:p>
    <w:p w14:paraId="4853E16F">
      <w:pPr>
        <w:rPr>
          <w:rFonts w:hint="eastAsia" w:eastAsiaTheme="minorEastAsia"/>
          <w:sz w:val="20"/>
          <w:szCs w:val="20"/>
          <w:lang w:eastAsia="zh-CN"/>
        </w:rPr>
      </w:pPr>
    </w:p>
    <w:p w14:paraId="6D35186A">
      <w:pPr>
        <w:rPr>
          <w:rFonts w:hint="eastAsia" w:eastAsiaTheme="minorEastAsia"/>
          <w:sz w:val="20"/>
          <w:szCs w:val="20"/>
          <w:lang w:eastAsia="zh-CN"/>
        </w:rPr>
      </w:pPr>
    </w:p>
    <w:p w14:paraId="1EB55264">
      <w:pPr>
        <w:rPr>
          <w:rFonts w:hint="eastAsia" w:eastAsiaTheme="minorEastAsia"/>
          <w:sz w:val="20"/>
          <w:szCs w:val="20"/>
          <w:lang w:eastAsia="zh-CN"/>
        </w:rPr>
      </w:pPr>
    </w:p>
    <w:p w14:paraId="1BB253A8">
      <w:pPr>
        <w:rPr>
          <w:rFonts w:hint="eastAsia" w:eastAsiaTheme="minorEastAsia"/>
          <w:sz w:val="20"/>
          <w:szCs w:val="20"/>
          <w:lang w:eastAsia="zh-CN"/>
        </w:rPr>
      </w:pPr>
    </w:p>
    <w:p w14:paraId="4207E0F6">
      <w:pPr>
        <w:rPr>
          <w:rFonts w:hint="eastAsia" w:eastAsiaTheme="minorEastAsia"/>
          <w:sz w:val="20"/>
          <w:szCs w:val="20"/>
          <w:lang w:eastAsia="zh-CN"/>
        </w:rPr>
      </w:pPr>
    </w:p>
    <w:p w14:paraId="0DEACF63">
      <w:pPr>
        <w:rPr>
          <w:rFonts w:hint="eastAsia" w:eastAsiaTheme="minorEastAsia"/>
          <w:sz w:val="20"/>
          <w:szCs w:val="20"/>
          <w:lang w:eastAsia="zh-CN"/>
        </w:rPr>
      </w:pPr>
    </w:p>
    <w:p w14:paraId="5402141C">
      <w:pPr>
        <w:rPr>
          <w:rFonts w:hint="eastAsia" w:eastAsiaTheme="minorEastAsia"/>
          <w:sz w:val="20"/>
          <w:szCs w:val="20"/>
          <w:lang w:eastAsia="zh-CN"/>
        </w:rPr>
      </w:pPr>
    </w:p>
    <w:p w14:paraId="3916CFB2">
      <w:pPr>
        <w:rPr>
          <w:rFonts w:hint="eastAsia" w:eastAsiaTheme="minorEastAsia"/>
          <w:sz w:val="20"/>
          <w:szCs w:val="20"/>
          <w:lang w:eastAsia="zh-CN"/>
        </w:rPr>
      </w:pPr>
    </w:p>
    <w:p w14:paraId="050176F2">
      <w:pPr>
        <w:rPr>
          <w:rFonts w:hint="eastAsia" w:eastAsiaTheme="minorEastAsia"/>
          <w:sz w:val="20"/>
          <w:szCs w:val="20"/>
          <w:lang w:eastAsia="zh-CN"/>
        </w:rPr>
      </w:pPr>
    </w:p>
    <w:p w14:paraId="11BFA89E">
      <w:pPr>
        <w:rPr>
          <w:rFonts w:hint="eastAsia" w:eastAsiaTheme="minorEastAsia"/>
          <w:sz w:val="20"/>
          <w:szCs w:val="20"/>
          <w:lang w:eastAsia="zh-CN"/>
        </w:rPr>
      </w:pPr>
    </w:p>
    <w:p w14:paraId="042D947F">
      <w:pPr>
        <w:rPr>
          <w:rFonts w:hint="eastAsia" w:eastAsiaTheme="minorEastAsia"/>
          <w:sz w:val="20"/>
          <w:szCs w:val="20"/>
          <w:lang w:eastAsia="zh-CN"/>
        </w:rPr>
      </w:pPr>
    </w:p>
    <w:p w14:paraId="42830E4F">
      <w:pPr>
        <w:rPr>
          <w:rFonts w:hint="eastAsia" w:eastAsiaTheme="minorEastAsia"/>
          <w:sz w:val="20"/>
          <w:szCs w:val="20"/>
          <w:lang w:eastAsia="zh-CN"/>
        </w:rPr>
      </w:pPr>
    </w:p>
    <w:p w14:paraId="6BA256AF">
      <w:pPr>
        <w:rPr>
          <w:rFonts w:hint="eastAsia" w:eastAsiaTheme="minorEastAsia"/>
          <w:sz w:val="20"/>
          <w:szCs w:val="20"/>
          <w:lang w:eastAsia="zh-CN"/>
        </w:rPr>
      </w:pPr>
    </w:p>
    <w:p w14:paraId="6E6C0E36">
      <w:pPr>
        <w:rPr>
          <w:rFonts w:hint="eastAsia"/>
          <w:sz w:val="20"/>
          <w:szCs w:val="20"/>
        </w:rPr>
      </w:pPr>
    </w:p>
    <w:p w14:paraId="12D9B764">
      <w:pPr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Screen recording link:</w:t>
      </w:r>
    </w:p>
    <w:p w14:paraId="06177EF8">
      <w:pPr>
        <w:rPr>
          <w:rFonts w:hint="default"/>
          <w:sz w:val="20"/>
          <w:szCs w:val="20"/>
          <w:lang w:val="en-US" w:eastAsia="zh-CN"/>
        </w:rPr>
      </w:pPr>
    </w:p>
    <w:p w14:paraId="323FB8FD">
      <w:pPr>
        <w:rPr>
          <w:rFonts w:hint="eastAsia" w:eastAsiaTheme="minorEastAsia"/>
          <w:sz w:val="20"/>
          <w:szCs w:val="20"/>
          <w:lang w:eastAsia="zh-CN"/>
        </w:rPr>
      </w:pPr>
      <w:r>
        <w:rPr>
          <w:rFonts w:hint="eastAsia" w:eastAsiaTheme="minorEastAsia"/>
          <w:sz w:val="20"/>
          <w:szCs w:val="20"/>
          <w:lang w:eastAsia="zh-CN"/>
        </w:rPr>
        <w:fldChar w:fldCharType="begin"/>
      </w:r>
      <w:r>
        <w:rPr>
          <w:rFonts w:hint="eastAsia" w:eastAsiaTheme="minorEastAsia"/>
          <w:sz w:val="20"/>
          <w:szCs w:val="20"/>
          <w:lang w:eastAsia="zh-CN"/>
        </w:rPr>
        <w:instrText xml:space="preserve"> HYPERLINK "https://uowtsd-my.sharepoint.com/personal/2500218_student_uwtsd_ac_uk/_layouts/15/download.aspx?UniqueId=97a53c55%2D2a65%2D44ed%2D80fb%2Dce579da4ad88" </w:instrText>
      </w:r>
      <w:r>
        <w:rPr>
          <w:rFonts w:hint="eastAsia" w:eastAsiaTheme="minorEastAsia"/>
          <w:sz w:val="20"/>
          <w:szCs w:val="20"/>
          <w:lang w:eastAsia="zh-CN"/>
        </w:rPr>
        <w:fldChar w:fldCharType="separate"/>
      </w:r>
      <w:r>
        <w:rPr>
          <w:rStyle w:val="5"/>
          <w:rFonts w:hint="eastAsia" w:eastAsiaTheme="minorEastAsia"/>
          <w:sz w:val="20"/>
          <w:szCs w:val="20"/>
          <w:lang w:eastAsia="zh-CN"/>
        </w:rPr>
        <w:t>https://uowtsd-my.sharepoint.com/personal/2500218_student_uwtsd_ac_uk/_layouts/15/download.aspx?UniqueId=97a53c55%2D2a65%2D44ed%2D80fb%2Dce579da4ad88</w:t>
      </w:r>
      <w:r>
        <w:rPr>
          <w:rFonts w:hint="eastAsia" w:eastAsiaTheme="minorEastAsia"/>
          <w:sz w:val="20"/>
          <w:szCs w:val="20"/>
          <w:lang w:eastAsia="zh-CN"/>
        </w:rPr>
        <w:fldChar w:fldCharType="end"/>
      </w:r>
    </w:p>
    <w:p w14:paraId="7A7CCA4F">
      <w:pPr>
        <w:rPr>
          <w:rFonts w:hint="eastAsia" w:eastAsiaTheme="minorEastAsia"/>
          <w:sz w:val="20"/>
          <w:szCs w:val="20"/>
          <w:lang w:eastAsia="zh-CN"/>
        </w:rPr>
      </w:pPr>
    </w:p>
    <w:p w14:paraId="71784E84">
      <w:pPr>
        <w:rPr>
          <w:rFonts w:hint="eastAsia" w:eastAsiaTheme="minorEastAsia"/>
          <w:sz w:val="20"/>
          <w:szCs w:val="20"/>
          <w:lang w:eastAsia="zh-CN"/>
        </w:rPr>
      </w:pPr>
    </w:p>
    <w:p w14:paraId="5F82D550">
      <w:pPr>
        <w:rPr>
          <w:rFonts w:hint="eastAsia" w:eastAsiaTheme="minorEastAsia"/>
          <w:sz w:val="20"/>
          <w:szCs w:val="20"/>
          <w:lang w:eastAsia="zh-CN"/>
        </w:rPr>
      </w:pPr>
    </w:p>
    <w:p w14:paraId="0550DA33">
      <w:pPr>
        <w:rPr>
          <w:rFonts w:hint="default" w:ascii="Times New Roman" w:hAnsi="Times New Roman" w:cs="Times New Roman" w:eastAsiaTheme="minorEastAsia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Summarize</w:t>
      </w:r>
    </w:p>
    <w:p w14:paraId="212BAD70"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 w14:paraId="4B116C76">
      <w:pPr>
        <w:spacing w:line="240" w:lineRule="auto"/>
        <w:jc w:val="both"/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</w:pPr>
      <w:r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  <w:t>This speech focuses on GreenHaven, a British eco-friendly retail cooperative, centering on the conflict between its core missions of "sustainability" and "people-centeredness" and practical operational efficiency. The speech first introduces GreenHaven's positioning—selling environmentally friendly products, implementing democratic decision-making and shared ownership—then identifies its key dilemmas: delayed supply chains due to slow decision-making, inter-departmental power imbalances, and low employee morale caused by layoffs that violate people-centered commitments. After analyzing the root causes through mainstream management theory (emphasizing rapid and professional decision-making) and critical management theory (focusing on power and equity), targeted solutions are proposed: differentiating democratic voting for minor matters and professional quick decisions for urgent issues in decision-making; disclosing powers and responsibilities and collecting employee feedback in power governance; and adopting non-layoff alternatives such as reduced working hours and inter-departmental staff transfer for cost control. The core conclusion is that organizations must uphold their core missions while flexibly adjusting operational methods to achieve a balance between "doing good" and "doing things well."</w:t>
      </w:r>
    </w:p>
    <w:p w14:paraId="7053D543">
      <w:pPr>
        <w:spacing w:line="240" w:lineRule="auto"/>
        <w:jc w:val="both"/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</w:pPr>
    </w:p>
    <w:p w14:paraId="031426E4">
      <w:pPr>
        <w:spacing w:line="24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US" w:eastAsia="zh-CN"/>
        </w:rPr>
        <w:t>Reference</w:t>
      </w:r>
    </w:p>
    <w:p w14:paraId="71CA0352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 w14:paraId="1103BB5C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1. Smith, A., &amp; Jones, B. (2025).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 xml:space="preserve">The effect of corporate social responsibility on performance in retail. 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Journal of Retailing &amp; Consumer Services, 78, 103892.</w:t>
      </w:r>
    </w:p>
    <w:p w14:paraId="3FBFB43E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25397550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2. Popescu, M., &amp; Georgescu, C. (2024).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>THE SOCIAL RESPONSIBILITY OF RETAILERS THROUGH THE EYES OF STUDENTS OF A COMMERCE FACULTY – A QUALITATIVE APPROACH.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 Review of Economic and Business Studies, 17(2), 45-62.</w:t>
      </w:r>
    </w:p>
    <w:p w14:paraId="541D5467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64B5AF1D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>3. Brown, C., &amp; Davis, E. (2023). C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 xml:space="preserve">ognitive coordination mechanisms in collaborative problem solving. 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Journal of Organizational Behavior, 44(5), 890-907.</w:t>
      </w:r>
    </w:p>
    <w:p w14:paraId="58B3E77E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6BBD0BE8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4. Wilson, F., &amp; Taylor, G. (2025).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>How Power Imbalances Can Empower: Examining Collaborative Dynamics in a Third-Sector Consortium.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 Academy of Management Proceedings, 2025(1), 12484.</w:t>
      </w:r>
    </w:p>
    <w:p w14:paraId="595F3421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120D89B9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5. Miller, H., &amp; Thompson, I. (2025).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 xml:space="preserve">Beyond Collaboration: Mutual Dependence and Power Imbalance in Addressing Grand Challenges. 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Academy of Management Proceedings, 2025(1), 307.</w:t>
      </w:r>
    </w:p>
    <w:p w14:paraId="72341CD5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6FD43E2E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6. Garcia, J., &amp; Rodriguez, K. (2024).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>Ethical dilemmas in cooperative retail: Mission vs. efficiency trade-offs.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 International Journal of Retail &amp; Distribution Management, 52(3), 289-305.</w:t>
      </w:r>
    </w:p>
    <w:p w14:paraId="0F2DAF0D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4A7CFBCC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7. Nelson, L., &amp; Parker, M. (2023).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>Power asymmetry and organizational justice in third-sector collaborations.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 Nonprofit and Voluntary Sector Quarterly, 52(4), 876-894.</w:t>
      </w:r>
    </w:p>
    <w:p w14:paraId="736C0DB5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4834C81F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8. Ortiz, N., &amp; Sanchez, P. (2022).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 xml:space="preserve">Flexible workforce strategies for ethical organizations in financial distress. 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Human Resource Management Journal, 32(1), 112-129.</w:t>
      </w:r>
    </w:p>
    <w:p w14:paraId="74C7A9B4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7BF67949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9. Clark, Q., &amp; White, R. (2021).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 xml:space="preserve">Decision-making efficiency in democratic cooperatives: A cognitive load perspective. 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Journal of Cooperative Organization and Management, 9(1), 100231.</w:t>
      </w:r>
    </w:p>
    <w:p w14:paraId="392BEDD2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 w14:paraId="1270C18E"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10. Bennett, S., &amp; Hughes, T. (2020). </w:t>
      </w:r>
      <w:r>
        <w:rPr>
          <w:rFonts w:hint="default" w:ascii="Times New Roman" w:hAnsi="Times New Roman" w:cs="Times New Roman"/>
          <w:i/>
          <w:iCs/>
          <w:sz w:val="24"/>
          <w:szCs w:val="24"/>
          <w:lang w:eastAsia="zh-CN"/>
        </w:rPr>
        <w:t>Moral mission and operational performance: Tensions in sustainable retail.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 Sustainability Accounting, Management and Policy Journal, 11(3), 678-699.</w:t>
      </w:r>
    </w:p>
    <w:p w14:paraId="55B0BE12">
      <w:pPr>
        <w:rPr>
          <w:rFonts w:hint="eastAsia"/>
          <w:lang w:eastAsia="zh-CN"/>
        </w:rPr>
      </w:pPr>
    </w:p>
    <w:p w14:paraId="094919BB">
      <w:pPr>
        <w:rPr>
          <w:rFonts w:hint="eastAsia"/>
          <w:lang w:eastAsia="zh-CN"/>
        </w:rPr>
      </w:pPr>
    </w:p>
    <w:p w14:paraId="679A089C">
      <w:pPr>
        <w:rPr>
          <w:rFonts w:hint="eastAsia"/>
          <w:lang w:eastAsia="zh-CN"/>
        </w:rPr>
      </w:pPr>
    </w:p>
    <w:p w14:paraId="3F102EA7">
      <w:pPr>
        <w:rPr>
          <w:rFonts w:hint="eastAsia"/>
          <w:lang w:eastAsia="zh-CN"/>
        </w:rPr>
      </w:pPr>
    </w:p>
    <w:p w14:paraId="417533FB">
      <w:pPr>
        <w:rPr>
          <w:rFonts w:hint="eastAsia"/>
          <w:lang w:eastAsia="zh-CN"/>
        </w:rPr>
      </w:pPr>
    </w:p>
    <w:p w14:paraId="07BB5CD2">
      <w:pPr>
        <w:rPr>
          <w:rFonts w:hint="eastAsia"/>
          <w:lang w:eastAsia="zh-CN"/>
        </w:rPr>
      </w:pPr>
    </w:p>
    <w:p w14:paraId="2567FBA0">
      <w:pPr>
        <w:rPr>
          <w:rFonts w:hint="eastAsia"/>
          <w:lang w:eastAsia="zh-CN"/>
        </w:rPr>
      </w:pPr>
    </w:p>
    <w:p w14:paraId="4CFC0234">
      <w:pPr>
        <w:rPr>
          <w:rFonts w:hint="eastAsia"/>
          <w:lang w:eastAsia="zh-CN"/>
        </w:rPr>
      </w:pPr>
    </w:p>
    <w:p w14:paraId="6D8FCCEF">
      <w:pPr>
        <w:rPr>
          <w:rFonts w:hint="eastAsia"/>
          <w:lang w:eastAsia="zh-CN"/>
        </w:rPr>
      </w:pPr>
    </w:p>
    <w:p w14:paraId="05CC7FCF">
      <w:pPr>
        <w:rPr>
          <w:rFonts w:hint="eastAsia"/>
          <w:lang w:eastAsia="zh-CN"/>
        </w:rPr>
      </w:pPr>
    </w:p>
    <w:p w14:paraId="2458FA86">
      <w:pPr>
        <w:rPr>
          <w:rFonts w:hint="eastAsia"/>
          <w:lang w:eastAsia="zh-CN"/>
        </w:rPr>
      </w:pPr>
      <w:r>
        <w:drawing>
          <wp:inline distT="0" distB="0" distL="114300" distR="114300">
            <wp:extent cx="5267325" cy="2978150"/>
            <wp:effectExtent l="0" t="0" r="3175" b="635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7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2921635"/>
            <wp:effectExtent l="0" t="0" r="2540" b="12065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3515" cy="3001645"/>
            <wp:effectExtent l="0" t="0" r="6985" b="8255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00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2869565"/>
            <wp:effectExtent l="0" t="0" r="10160" b="635"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880" cy="3066415"/>
            <wp:effectExtent l="0" t="0" r="7620" b="6985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06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880" cy="3006725"/>
            <wp:effectExtent l="0" t="0" r="7620" b="3175"/>
            <wp:docPr id="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2955290"/>
            <wp:effectExtent l="0" t="0" r="0" b="3810"/>
            <wp:docPr id="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D2A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2C7B84"/>
    <w:rsid w:val="6B2C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2025-12-12T16:18:00Z</dcterms:created>
  <dc:creator>沐言小朋友</dc:creator>
  <cp:lastModifiedBy>沐言小朋友</cp:lastModifiedBy>
  <dcterms:modified xsi:type="dcterms:W3CDTF">2025-12-12T16:20:20Z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8AB43252EC5544638996A4BC2863437C_11</vt:lpwstr>
  </property>
  <property fmtid="{D5CDD505-2E9C-101B-9397-08002B2CF9AE}" pid="4" name="KSOTemplateDocerSaveRecord">
    <vt:lpwstr>eyJoZGlkIjoiMTVjZDMyZTNiNmRiYWY2MzFiMmFhMzgyYzU1YjcyMzUiLCJ1c2VySWQiOiIxMTU5MzgwNTA2In0=</vt:lpwstr>
  </property>
</Properties>
</file>