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839ED" w14:textId="7DA842DF" w:rsidR="00FC4019" w:rsidRDefault="00FC4019">
      <w:pPr>
        <w:pStyle w:val="Title"/>
        <w:jc w:val="center"/>
      </w:pPr>
      <w:r>
        <w:fldChar w:fldCharType="begin"/>
      </w:r>
      <w:r>
        <w:instrText xml:space="preserve"> INCLUDEPICTURE "/Users/roxanamaria/Library/Group Containers/UBF8T346G9.ms/WebArchiveCopyPasteTempFiles/com.microsoft.Word/university-of-wales-trinity-saint-david-logo-vector.png" \* MERGEFORMATINET </w:instrText>
      </w:r>
      <w:r>
        <w:fldChar w:fldCharType="separate"/>
      </w:r>
      <w:r>
        <w:rPr>
          <w:noProof/>
        </w:rPr>
        <w:drawing>
          <wp:inline distT="0" distB="0" distL="0" distR="0" wp14:anchorId="2F36E6B1" wp14:editId="4A3F3ECC">
            <wp:extent cx="3447448" cy="1915964"/>
            <wp:effectExtent l="0" t="0" r="0" b="1905"/>
            <wp:docPr id="2033305874"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305874"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1934" cy="1918457"/>
                    </a:xfrm>
                    <a:prstGeom prst="rect">
                      <a:avLst/>
                    </a:prstGeom>
                    <a:noFill/>
                    <a:ln>
                      <a:noFill/>
                    </a:ln>
                  </pic:spPr>
                </pic:pic>
              </a:graphicData>
            </a:graphic>
          </wp:inline>
        </w:drawing>
      </w:r>
      <w:r>
        <w:fldChar w:fldCharType="end"/>
      </w:r>
    </w:p>
    <w:p w14:paraId="61F5DAB4" w14:textId="40EEAAB8" w:rsidR="00850821" w:rsidRDefault="003F528F">
      <w:pPr>
        <w:pStyle w:val="Title"/>
        <w:jc w:val="center"/>
      </w:pPr>
      <w:r>
        <w:t>Virtual Wards in England</w:t>
      </w:r>
    </w:p>
    <w:p w14:paraId="2FD41F02" w14:textId="77777777" w:rsidR="00850821" w:rsidRPr="00FC4019" w:rsidRDefault="003F528F">
      <w:pPr>
        <w:jc w:val="center"/>
        <w:rPr>
          <w:color w:val="000000" w:themeColor="text1"/>
          <w:sz w:val="32"/>
          <w:szCs w:val="36"/>
        </w:rPr>
      </w:pPr>
      <w:r w:rsidRPr="00FC4019">
        <w:rPr>
          <w:b/>
          <w:color w:val="000000" w:themeColor="text1"/>
          <w:sz w:val="40"/>
          <w:szCs w:val="36"/>
        </w:rPr>
        <w:t>A critical evaluation of digital transformation in health and social care</w:t>
      </w:r>
    </w:p>
    <w:p w14:paraId="77B64D9D" w14:textId="77777777" w:rsidR="00850821" w:rsidRPr="00FC4019" w:rsidRDefault="003F528F">
      <w:pPr>
        <w:jc w:val="center"/>
        <w:rPr>
          <w:color w:val="000000" w:themeColor="text1"/>
          <w:sz w:val="32"/>
          <w:szCs w:val="36"/>
        </w:rPr>
      </w:pPr>
      <w:r w:rsidRPr="00FC4019">
        <w:rPr>
          <w:color w:val="000000" w:themeColor="text1"/>
          <w:sz w:val="32"/>
          <w:szCs w:val="36"/>
        </w:rPr>
        <w:t>BMHP6026 Digital Transformation in the Health and Care Professions | Component 1 Written Report</w:t>
      </w:r>
    </w:p>
    <w:p w14:paraId="28B2F7C7" w14:textId="77777777" w:rsidR="00FC4019" w:rsidRDefault="00FC4019">
      <w:pPr>
        <w:pStyle w:val="Heading1"/>
      </w:pPr>
    </w:p>
    <w:p w14:paraId="1FCF7DBD" w14:textId="77777777" w:rsidR="00FC4019" w:rsidRDefault="00FC4019" w:rsidP="00FC4019"/>
    <w:p w14:paraId="43B641AD" w14:textId="77777777" w:rsidR="00FC4019" w:rsidRDefault="00FC4019" w:rsidP="00FC4019"/>
    <w:p w14:paraId="72E7AF63" w14:textId="77777777" w:rsidR="00FC4019" w:rsidRDefault="00FC4019" w:rsidP="00FC4019"/>
    <w:p w14:paraId="6B4BC593" w14:textId="77777777" w:rsidR="00FC4019" w:rsidRDefault="00FC4019" w:rsidP="00FC4019"/>
    <w:p w14:paraId="524C75B3" w14:textId="77777777" w:rsidR="00FC4019" w:rsidRDefault="00FC4019" w:rsidP="00FC4019"/>
    <w:p w14:paraId="35D662D9" w14:textId="77777777" w:rsidR="00FC4019" w:rsidRDefault="00FC4019" w:rsidP="00FC4019"/>
    <w:p w14:paraId="61764251" w14:textId="77777777" w:rsidR="00FC4019" w:rsidRDefault="00FC4019" w:rsidP="00FC4019"/>
    <w:p w14:paraId="3E26DC87" w14:textId="77777777" w:rsidR="00FC4019" w:rsidRDefault="00FC4019" w:rsidP="00FC4019"/>
    <w:p w14:paraId="7E64C36D" w14:textId="77777777" w:rsidR="00FC4019" w:rsidRDefault="00FC4019" w:rsidP="00FC4019"/>
    <w:p w14:paraId="6F573144" w14:textId="77777777" w:rsidR="00FC4019" w:rsidRDefault="00FC4019" w:rsidP="00FC4019"/>
    <w:p w14:paraId="3C0B4E4A" w14:textId="77777777" w:rsidR="00FC4019" w:rsidRDefault="00FC4019" w:rsidP="00FC4019"/>
    <w:p w14:paraId="2F10C2F8" w14:textId="77777777" w:rsidR="00FC4019" w:rsidRDefault="00FC4019" w:rsidP="00FC4019"/>
    <w:p w14:paraId="768CB565" w14:textId="77777777" w:rsidR="00FC4019" w:rsidRDefault="00FC4019" w:rsidP="00FC4019"/>
    <w:p w14:paraId="215DE7A6" w14:textId="77777777" w:rsidR="00FC4019" w:rsidRDefault="00FC4019" w:rsidP="00FC4019"/>
    <w:p w14:paraId="6E1BCB78" w14:textId="77777777" w:rsidR="00FC4019" w:rsidRDefault="00FC4019" w:rsidP="00FC4019"/>
    <w:p w14:paraId="78C53F4B" w14:textId="77777777" w:rsidR="00FC4019" w:rsidRDefault="00FC4019" w:rsidP="00FC4019"/>
    <w:p w14:paraId="7C50B07E" w14:textId="77777777" w:rsidR="00FC4019" w:rsidRDefault="00FC4019" w:rsidP="00FC4019"/>
    <w:p w14:paraId="2F09CEE6" w14:textId="77777777" w:rsidR="00FC4019" w:rsidRDefault="00FC4019" w:rsidP="00FC4019"/>
    <w:p w14:paraId="5C499FD3" w14:textId="77777777" w:rsidR="00FC4019" w:rsidRDefault="00FC4019" w:rsidP="00FC4019"/>
    <w:p w14:paraId="050045AF" w14:textId="77777777" w:rsidR="00FC4019" w:rsidRDefault="00FC4019" w:rsidP="00FC4019"/>
    <w:p w14:paraId="58A7FFFE" w14:textId="77777777" w:rsidR="00FC4019" w:rsidRDefault="00FC4019" w:rsidP="00FC4019"/>
    <w:p w14:paraId="6F0EE7DC" w14:textId="77777777" w:rsidR="00FC4019" w:rsidRDefault="00FC4019" w:rsidP="00FC4019"/>
    <w:p w14:paraId="58FE5DF1" w14:textId="77777777" w:rsidR="00FC4019" w:rsidRDefault="00FC4019" w:rsidP="00FC4019"/>
    <w:p w14:paraId="4E9EE61C" w14:textId="77777777" w:rsidR="00FC4019" w:rsidRPr="00FC4019" w:rsidRDefault="00FC4019" w:rsidP="00FC4019"/>
    <w:sdt>
      <w:sdtPr>
        <w:rPr>
          <w:rFonts w:ascii="Aptos" w:eastAsiaTheme="minorEastAsia" w:hAnsi="Aptos" w:cstheme="minorBidi"/>
          <w:b w:val="0"/>
          <w:bCs w:val="0"/>
          <w:color w:val="232B34"/>
          <w:sz w:val="21"/>
          <w:szCs w:val="22"/>
        </w:rPr>
        <w:id w:val="-1754815351"/>
        <w:docPartObj>
          <w:docPartGallery w:val="Table of Contents"/>
          <w:docPartUnique/>
        </w:docPartObj>
      </w:sdtPr>
      <w:sdtEndPr>
        <w:rPr>
          <w:noProof/>
        </w:rPr>
      </w:sdtEndPr>
      <w:sdtContent>
        <w:p w14:paraId="2D04241C" w14:textId="7D875425" w:rsidR="00FC4019" w:rsidRDefault="00FC4019">
          <w:pPr>
            <w:pStyle w:val="TOCHeading"/>
          </w:pPr>
          <w:r>
            <w:t>Table of Contents</w:t>
          </w:r>
        </w:p>
        <w:p w14:paraId="1D6233BC" w14:textId="3328DAFC" w:rsidR="00FC4019" w:rsidRDefault="00FC4019">
          <w:pPr>
            <w:pStyle w:val="TOC1"/>
            <w:tabs>
              <w:tab w:val="right" w:leader="dot" w:pos="9638"/>
            </w:tabs>
            <w:rPr>
              <w:noProof/>
            </w:rPr>
          </w:pPr>
          <w:r>
            <w:rPr>
              <w:b w:val="0"/>
              <w:bCs w:val="0"/>
            </w:rPr>
            <w:fldChar w:fldCharType="begin"/>
          </w:r>
          <w:r>
            <w:rPr>
              <w:b w:val="0"/>
              <w:bCs w:val="0"/>
            </w:rPr>
            <w:instrText xml:space="preserve"> TOC \o "1-3" \h \z \u </w:instrText>
          </w:r>
          <w:r>
            <w:rPr>
              <w:b w:val="0"/>
              <w:bCs w:val="0"/>
            </w:rPr>
            <w:fldChar w:fldCharType="separate"/>
          </w:r>
          <w:hyperlink w:anchor="_Toc243249770" w:history="1">
            <w:r w:rsidRPr="005D67CE">
              <w:rPr>
                <w:rStyle w:val="Hyperlink"/>
                <w:noProof/>
              </w:rPr>
              <w:t>Introduction</w:t>
            </w:r>
            <w:r>
              <w:rPr>
                <w:noProof/>
                <w:webHidden/>
              </w:rPr>
              <w:tab/>
            </w:r>
            <w:r>
              <w:rPr>
                <w:noProof/>
                <w:webHidden/>
              </w:rPr>
              <w:fldChar w:fldCharType="begin"/>
            </w:r>
            <w:r>
              <w:rPr>
                <w:noProof/>
                <w:webHidden/>
              </w:rPr>
              <w:instrText xml:space="preserve"> PAGEREF _Toc243249770 \h </w:instrText>
            </w:r>
            <w:r>
              <w:rPr>
                <w:noProof/>
                <w:webHidden/>
              </w:rPr>
            </w:r>
            <w:r>
              <w:rPr>
                <w:noProof/>
                <w:webHidden/>
              </w:rPr>
              <w:fldChar w:fldCharType="separate"/>
            </w:r>
            <w:r>
              <w:rPr>
                <w:noProof/>
                <w:webHidden/>
              </w:rPr>
              <w:t>1</w:t>
            </w:r>
            <w:r>
              <w:rPr>
                <w:noProof/>
                <w:webHidden/>
              </w:rPr>
              <w:fldChar w:fldCharType="end"/>
            </w:r>
          </w:hyperlink>
        </w:p>
        <w:p w14:paraId="5B6778C1" w14:textId="7CAB7517" w:rsidR="00FC4019" w:rsidRDefault="00FC4019">
          <w:pPr>
            <w:pStyle w:val="TOC1"/>
            <w:tabs>
              <w:tab w:val="right" w:leader="dot" w:pos="9638"/>
            </w:tabs>
            <w:rPr>
              <w:noProof/>
            </w:rPr>
          </w:pPr>
          <w:hyperlink w:anchor="_Toc243249771" w:history="1">
            <w:r w:rsidRPr="005D67CE">
              <w:rPr>
                <w:rStyle w:val="Hyperlink"/>
                <w:noProof/>
              </w:rPr>
              <w:t>The innovation and its implementation</w:t>
            </w:r>
            <w:r>
              <w:rPr>
                <w:noProof/>
                <w:webHidden/>
              </w:rPr>
              <w:tab/>
            </w:r>
            <w:r>
              <w:rPr>
                <w:noProof/>
                <w:webHidden/>
              </w:rPr>
              <w:fldChar w:fldCharType="begin"/>
            </w:r>
            <w:r>
              <w:rPr>
                <w:noProof/>
                <w:webHidden/>
              </w:rPr>
              <w:instrText xml:space="preserve"> PAGEREF _Toc243249771 \h </w:instrText>
            </w:r>
            <w:r>
              <w:rPr>
                <w:noProof/>
                <w:webHidden/>
              </w:rPr>
            </w:r>
            <w:r>
              <w:rPr>
                <w:noProof/>
                <w:webHidden/>
              </w:rPr>
              <w:fldChar w:fldCharType="separate"/>
            </w:r>
            <w:r>
              <w:rPr>
                <w:noProof/>
                <w:webHidden/>
              </w:rPr>
              <w:t>1</w:t>
            </w:r>
            <w:r>
              <w:rPr>
                <w:noProof/>
                <w:webHidden/>
              </w:rPr>
              <w:fldChar w:fldCharType="end"/>
            </w:r>
          </w:hyperlink>
        </w:p>
        <w:p w14:paraId="2B906C91" w14:textId="5FF74463" w:rsidR="00FC4019" w:rsidRDefault="00FC4019">
          <w:pPr>
            <w:pStyle w:val="TOC1"/>
            <w:tabs>
              <w:tab w:val="right" w:leader="dot" w:pos="9638"/>
            </w:tabs>
            <w:rPr>
              <w:noProof/>
            </w:rPr>
          </w:pPr>
          <w:hyperlink w:anchor="_Toc243249772" w:history="1">
            <w:r w:rsidRPr="005D67CE">
              <w:rPr>
                <w:rStyle w:val="Hyperlink"/>
                <w:noProof/>
              </w:rPr>
              <w:t>Workforce and professional practice</w:t>
            </w:r>
            <w:r>
              <w:rPr>
                <w:noProof/>
                <w:webHidden/>
              </w:rPr>
              <w:tab/>
            </w:r>
            <w:r>
              <w:rPr>
                <w:noProof/>
                <w:webHidden/>
              </w:rPr>
              <w:fldChar w:fldCharType="begin"/>
            </w:r>
            <w:r>
              <w:rPr>
                <w:noProof/>
                <w:webHidden/>
              </w:rPr>
              <w:instrText xml:space="preserve"> PAGEREF _Toc243249772 \h </w:instrText>
            </w:r>
            <w:r>
              <w:rPr>
                <w:noProof/>
                <w:webHidden/>
              </w:rPr>
            </w:r>
            <w:r>
              <w:rPr>
                <w:noProof/>
                <w:webHidden/>
              </w:rPr>
              <w:fldChar w:fldCharType="separate"/>
            </w:r>
            <w:r>
              <w:rPr>
                <w:noProof/>
                <w:webHidden/>
              </w:rPr>
              <w:t>2</w:t>
            </w:r>
            <w:r>
              <w:rPr>
                <w:noProof/>
                <w:webHidden/>
              </w:rPr>
              <w:fldChar w:fldCharType="end"/>
            </w:r>
          </w:hyperlink>
        </w:p>
        <w:p w14:paraId="5EA1B218" w14:textId="5AABA977" w:rsidR="00FC4019" w:rsidRDefault="00FC4019">
          <w:pPr>
            <w:pStyle w:val="TOC1"/>
            <w:tabs>
              <w:tab w:val="right" w:leader="dot" w:pos="9638"/>
            </w:tabs>
            <w:rPr>
              <w:noProof/>
            </w:rPr>
          </w:pPr>
          <w:hyperlink w:anchor="_Toc243249773" w:history="1">
            <w:r w:rsidRPr="005D67CE">
              <w:rPr>
                <w:rStyle w:val="Hyperlink"/>
                <w:noProof/>
              </w:rPr>
              <w:t>Changes to service delivery</w:t>
            </w:r>
            <w:r>
              <w:rPr>
                <w:noProof/>
                <w:webHidden/>
              </w:rPr>
              <w:tab/>
            </w:r>
            <w:r>
              <w:rPr>
                <w:noProof/>
                <w:webHidden/>
              </w:rPr>
              <w:fldChar w:fldCharType="begin"/>
            </w:r>
            <w:r>
              <w:rPr>
                <w:noProof/>
                <w:webHidden/>
              </w:rPr>
              <w:instrText xml:space="preserve"> PAGEREF _Toc243249773 \h </w:instrText>
            </w:r>
            <w:r>
              <w:rPr>
                <w:noProof/>
                <w:webHidden/>
              </w:rPr>
            </w:r>
            <w:r>
              <w:rPr>
                <w:noProof/>
                <w:webHidden/>
              </w:rPr>
              <w:fldChar w:fldCharType="separate"/>
            </w:r>
            <w:r>
              <w:rPr>
                <w:noProof/>
                <w:webHidden/>
              </w:rPr>
              <w:t>2</w:t>
            </w:r>
            <w:r>
              <w:rPr>
                <w:noProof/>
                <w:webHidden/>
              </w:rPr>
              <w:fldChar w:fldCharType="end"/>
            </w:r>
          </w:hyperlink>
        </w:p>
        <w:p w14:paraId="7C3A1E21" w14:textId="23D20530" w:rsidR="00FC4019" w:rsidRDefault="00FC4019">
          <w:pPr>
            <w:pStyle w:val="TOC1"/>
            <w:tabs>
              <w:tab w:val="right" w:leader="dot" w:pos="9638"/>
            </w:tabs>
            <w:rPr>
              <w:noProof/>
            </w:rPr>
          </w:pPr>
          <w:hyperlink w:anchor="_Toc243249774" w:history="1">
            <w:r w:rsidRPr="005D67CE">
              <w:rPr>
                <w:rStyle w:val="Hyperlink"/>
                <w:noProof/>
              </w:rPr>
              <w:t>Patient and service-user experience</w:t>
            </w:r>
            <w:r>
              <w:rPr>
                <w:noProof/>
                <w:webHidden/>
              </w:rPr>
              <w:tab/>
            </w:r>
            <w:r>
              <w:rPr>
                <w:noProof/>
                <w:webHidden/>
              </w:rPr>
              <w:fldChar w:fldCharType="begin"/>
            </w:r>
            <w:r>
              <w:rPr>
                <w:noProof/>
                <w:webHidden/>
              </w:rPr>
              <w:instrText xml:space="preserve"> PAGEREF _Toc243249774 \h </w:instrText>
            </w:r>
            <w:r>
              <w:rPr>
                <w:noProof/>
                <w:webHidden/>
              </w:rPr>
            </w:r>
            <w:r>
              <w:rPr>
                <w:noProof/>
                <w:webHidden/>
              </w:rPr>
              <w:fldChar w:fldCharType="separate"/>
            </w:r>
            <w:r>
              <w:rPr>
                <w:noProof/>
                <w:webHidden/>
              </w:rPr>
              <w:t>3</w:t>
            </w:r>
            <w:r>
              <w:rPr>
                <w:noProof/>
                <w:webHidden/>
              </w:rPr>
              <w:fldChar w:fldCharType="end"/>
            </w:r>
          </w:hyperlink>
        </w:p>
        <w:p w14:paraId="5CA2C8E7" w14:textId="4BC15B6B" w:rsidR="00FC4019" w:rsidRDefault="00FC4019">
          <w:pPr>
            <w:pStyle w:val="TOC1"/>
            <w:tabs>
              <w:tab w:val="right" w:leader="dot" w:pos="9638"/>
            </w:tabs>
            <w:rPr>
              <w:noProof/>
            </w:rPr>
          </w:pPr>
          <w:hyperlink w:anchor="_Toc243249775" w:history="1">
            <w:r w:rsidRPr="005D67CE">
              <w:rPr>
                <w:rStyle w:val="Hyperlink"/>
                <w:noProof/>
              </w:rPr>
              <w:t>Community, families and co-production</w:t>
            </w:r>
            <w:r>
              <w:rPr>
                <w:noProof/>
                <w:webHidden/>
              </w:rPr>
              <w:tab/>
            </w:r>
            <w:r>
              <w:rPr>
                <w:noProof/>
                <w:webHidden/>
              </w:rPr>
              <w:fldChar w:fldCharType="begin"/>
            </w:r>
            <w:r>
              <w:rPr>
                <w:noProof/>
                <w:webHidden/>
              </w:rPr>
              <w:instrText xml:space="preserve"> PAGEREF _Toc243249775 \h </w:instrText>
            </w:r>
            <w:r>
              <w:rPr>
                <w:noProof/>
                <w:webHidden/>
              </w:rPr>
            </w:r>
            <w:r>
              <w:rPr>
                <w:noProof/>
                <w:webHidden/>
              </w:rPr>
              <w:fldChar w:fldCharType="separate"/>
            </w:r>
            <w:r>
              <w:rPr>
                <w:noProof/>
                <w:webHidden/>
              </w:rPr>
              <w:t>3</w:t>
            </w:r>
            <w:r>
              <w:rPr>
                <w:noProof/>
                <w:webHidden/>
              </w:rPr>
              <w:fldChar w:fldCharType="end"/>
            </w:r>
          </w:hyperlink>
        </w:p>
        <w:p w14:paraId="6C023BED" w14:textId="239FE4CB" w:rsidR="00FC4019" w:rsidRDefault="00FC4019">
          <w:pPr>
            <w:pStyle w:val="TOC1"/>
            <w:tabs>
              <w:tab w:val="right" w:leader="dot" w:pos="9638"/>
            </w:tabs>
            <w:rPr>
              <w:noProof/>
            </w:rPr>
          </w:pPr>
          <w:hyperlink w:anchor="_Toc243249776" w:history="1">
            <w:r w:rsidRPr="005D67CE">
              <w:rPr>
                <w:rStyle w:val="Hyperlink"/>
                <w:noProof/>
              </w:rPr>
              <w:t>Critical considerations for successful implementation</w:t>
            </w:r>
            <w:r>
              <w:rPr>
                <w:noProof/>
                <w:webHidden/>
              </w:rPr>
              <w:tab/>
            </w:r>
            <w:r>
              <w:rPr>
                <w:noProof/>
                <w:webHidden/>
              </w:rPr>
              <w:fldChar w:fldCharType="begin"/>
            </w:r>
            <w:r>
              <w:rPr>
                <w:noProof/>
                <w:webHidden/>
              </w:rPr>
              <w:instrText xml:space="preserve"> PAGEREF _Toc243249776 \h </w:instrText>
            </w:r>
            <w:r>
              <w:rPr>
                <w:noProof/>
                <w:webHidden/>
              </w:rPr>
            </w:r>
            <w:r>
              <w:rPr>
                <w:noProof/>
                <w:webHidden/>
              </w:rPr>
              <w:fldChar w:fldCharType="separate"/>
            </w:r>
            <w:r>
              <w:rPr>
                <w:noProof/>
                <w:webHidden/>
              </w:rPr>
              <w:t>4</w:t>
            </w:r>
            <w:r>
              <w:rPr>
                <w:noProof/>
                <w:webHidden/>
              </w:rPr>
              <w:fldChar w:fldCharType="end"/>
            </w:r>
          </w:hyperlink>
        </w:p>
        <w:p w14:paraId="2CC1F686" w14:textId="674676AA" w:rsidR="00FC4019" w:rsidRDefault="00FC4019">
          <w:pPr>
            <w:pStyle w:val="TOC1"/>
            <w:tabs>
              <w:tab w:val="right" w:leader="dot" w:pos="9638"/>
            </w:tabs>
            <w:rPr>
              <w:noProof/>
            </w:rPr>
          </w:pPr>
          <w:hyperlink w:anchor="_Toc243249777" w:history="1">
            <w:r w:rsidRPr="005D67CE">
              <w:rPr>
                <w:rStyle w:val="Hyperlink"/>
                <w:noProof/>
              </w:rPr>
              <w:t>Assessment of outcomes and accountability</w:t>
            </w:r>
            <w:r>
              <w:rPr>
                <w:noProof/>
                <w:webHidden/>
              </w:rPr>
              <w:tab/>
            </w:r>
            <w:r>
              <w:rPr>
                <w:noProof/>
                <w:webHidden/>
              </w:rPr>
              <w:fldChar w:fldCharType="begin"/>
            </w:r>
            <w:r>
              <w:rPr>
                <w:noProof/>
                <w:webHidden/>
              </w:rPr>
              <w:instrText xml:space="preserve"> PAGEREF _Toc243249777 \h </w:instrText>
            </w:r>
            <w:r>
              <w:rPr>
                <w:noProof/>
                <w:webHidden/>
              </w:rPr>
            </w:r>
            <w:r>
              <w:rPr>
                <w:noProof/>
                <w:webHidden/>
              </w:rPr>
              <w:fldChar w:fldCharType="separate"/>
            </w:r>
            <w:r>
              <w:rPr>
                <w:noProof/>
                <w:webHidden/>
              </w:rPr>
              <w:t>4</w:t>
            </w:r>
            <w:r>
              <w:rPr>
                <w:noProof/>
                <w:webHidden/>
              </w:rPr>
              <w:fldChar w:fldCharType="end"/>
            </w:r>
          </w:hyperlink>
        </w:p>
        <w:p w14:paraId="281B3D16" w14:textId="2026576D" w:rsidR="00FC4019" w:rsidRDefault="00FC4019">
          <w:pPr>
            <w:pStyle w:val="TOC1"/>
            <w:tabs>
              <w:tab w:val="right" w:leader="dot" w:pos="9638"/>
            </w:tabs>
            <w:rPr>
              <w:noProof/>
            </w:rPr>
          </w:pPr>
          <w:hyperlink w:anchor="_Toc243249778" w:history="1">
            <w:r w:rsidRPr="005D67CE">
              <w:rPr>
                <w:rStyle w:val="Hyperlink"/>
                <w:noProof/>
              </w:rPr>
              <w:t>Standards and local adaptation</w:t>
            </w:r>
            <w:r>
              <w:rPr>
                <w:noProof/>
                <w:webHidden/>
              </w:rPr>
              <w:tab/>
            </w:r>
            <w:r>
              <w:rPr>
                <w:noProof/>
                <w:webHidden/>
              </w:rPr>
              <w:fldChar w:fldCharType="begin"/>
            </w:r>
            <w:r>
              <w:rPr>
                <w:noProof/>
                <w:webHidden/>
              </w:rPr>
              <w:instrText xml:space="preserve"> PAGEREF _Toc243249778 \h </w:instrText>
            </w:r>
            <w:r>
              <w:rPr>
                <w:noProof/>
                <w:webHidden/>
              </w:rPr>
            </w:r>
            <w:r>
              <w:rPr>
                <w:noProof/>
                <w:webHidden/>
              </w:rPr>
              <w:fldChar w:fldCharType="separate"/>
            </w:r>
            <w:r>
              <w:rPr>
                <w:noProof/>
                <w:webHidden/>
              </w:rPr>
              <w:t>4</w:t>
            </w:r>
            <w:r>
              <w:rPr>
                <w:noProof/>
                <w:webHidden/>
              </w:rPr>
              <w:fldChar w:fldCharType="end"/>
            </w:r>
          </w:hyperlink>
        </w:p>
        <w:p w14:paraId="380336A1" w14:textId="37DB9B2C" w:rsidR="00FC4019" w:rsidRDefault="00FC4019">
          <w:pPr>
            <w:pStyle w:val="TOC1"/>
            <w:tabs>
              <w:tab w:val="right" w:leader="dot" w:pos="9638"/>
            </w:tabs>
            <w:rPr>
              <w:noProof/>
            </w:rPr>
          </w:pPr>
          <w:hyperlink w:anchor="_Toc243249779" w:history="1">
            <w:r w:rsidRPr="005D67CE">
              <w:rPr>
                <w:rStyle w:val="Hyperlink"/>
                <w:noProof/>
              </w:rPr>
              <w:t>Practical conditions in the home</w:t>
            </w:r>
            <w:r>
              <w:rPr>
                <w:noProof/>
                <w:webHidden/>
              </w:rPr>
              <w:tab/>
            </w:r>
            <w:r>
              <w:rPr>
                <w:noProof/>
                <w:webHidden/>
              </w:rPr>
              <w:fldChar w:fldCharType="begin"/>
            </w:r>
            <w:r>
              <w:rPr>
                <w:noProof/>
                <w:webHidden/>
              </w:rPr>
              <w:instrText xml:space="preserve"> PAGEREF _Toc243249779 \h </w:instrText>
            </w:r>
            <w:r>
              <w:rPr>
                <w:noProof/>
                <w:webHidden/>
              </w:rPr>
            </w:r>
            <w:r>
              <w:rPr>
                <w:noProof/>
                <w:webHidden/>
              </w:rPr>
              <w:fldChar w:fldCharType="separate"/>
            </w:r>
            <w:r>
              <w:rPr>
                <w:noProof/>
                <w:webHidden/>
              </w:rPr>
              <w:t>4</w:t>
            </w:r>
            <w:r>
              <w:rPr>
                <w:noProof/>
                <w:webHidden/>
              </w:rPr>
              <w:fldChar w:fldCharType="end"/>
            </w:r>
          </w:hyperlink>
        </w:p>
        <w:p w14:paraId="6E539CD2" w14:textId="3E6B89E3" w:rsidR="00FC4019" w:rsidRDefault="00FC4019">
          <w:pPr>
            <w:pStyle w:val="TOC1"/>
            <w:tabs>
              <w:tab w:val="right" w:leader="dot" w:pos="9638"/>
            </w:tabs>
            <w:rPr>
              <w:noProof/>
            </w:rPr>
          </w:pPr>
          <w:hyperlink w:anchor="_Toc243249780" w:history="1">
            <w:r w:rsidRPr="005D67CE">
              <w:rPr>
                <w:rStyle w:val="Hyperlink"/>
                <w:noProof/>
              </w:rPr>
              <w:t>Conclusion and recommendations</w:t>
            </w:r>
            <w:r>
              <w:rPr>
                <w:noProof/>
                <w:webHidden/>
              </w:rPr>
              <w:tab/>
            </w:r>
            <w:r>
              <w:rPr>
                <w:noProof/>
                <w:webHidden/>
              </w:rPr>
              <w:fldChar w:fldCharType="begin"/>
            </w:r>
            <w:r>
              <w:rPr>
                <w:noProof/>
                <w:webHidden/>
              </w:rPr>
              <w:instrText xml:space="preserve"> PAGEREF _Toc243249780 \h </w:instrText>
            </w:r>
            <w:r>
              <w:rPr>
                <w:noProof/>
                <w:webHidden/>
              </w:rPr>
            </w:r>
            <w:r>
              <w:rPr>
                <w:noProof/>
                <w:webHidden/>
              </w:rPr>
              <w:fldChar w:fldCharType="separate"/>
            </w:r>
            <w:r>
              <w:rPr>
                <w:noProof/>
                <w:webHidden/>
              </w:rPr>
              <w:t>5</w:t>
            </w:r>
            <w:r>
              <w:rPr>
                <w:noProof/>
                <w:webHidden/>
              </w:rPr>
              <w:fldChar w:fldCharType="end"/>
            </w:r>
          </w:hyperlink>
        </w:p>
        <w:p w14:paraId="18B4186E" w14:textId="2CDF691D" w:rsidR="00FC4019" w:rsidRDefault="00FC4019">
          <w:pPr>
            <w:pStyle w:val="TOC1"/>
            <w:tabs>
              <w:tab w:val="right" w:leader="dot" w:pos="9638"/>
            </w:tabs>
            <w:rPr>
              <w:noProof/>
            </w:rPr>
          </w:pPr>
          <w:hyperlink w:anchor="_Toc243249781" w:history="1">
            <w:r w:rsidRPr="005D67CE">
              <w:rPr>
                <w:rStyle w:val="Hyperlink"/>
                <w:noProof/>
              </w:rPr>
              <w:t>References</w:t>
            </w:r>
            <w:r>
              <w:rPr>
                <w:noProof/>
                <w:webHidden/>
              </w:rPr>
              <w:tab/>
            </w:r>
            <w:r>
              <w:rPr>
                <w:noProof/>
                <w:webHidden/>
              </w:rPr>
              <w:fldChar w:fldCharType="begin"/>
            </w:r>
            <w:r>
              <w:rPr>
                <w:noProof/>
                <w:webHidden/>
              </w:rPr>
              <w:instrText xml:space="preserve"> PAGEREF _Toc243249781 \h </w:instrText>
            </w:r>
            <w:r>
              <w:rPr>
                <w:noProof/>
                <w:webHidden/>
              </w:rPr>
            </w:r>
            <w:r>
              <w:rPr>
                <w:noProof/>
                <w:webHidden/>
              </w:rPr>
              <w:fldChar w:fldCharType="separate"/>
            </w:r>
            <w:r>
              <w:rPr>
                <w:noProof/>
                <w:webHidden/>
              </w:rPr>
              <w:t>5</w:t>
            </w:r>
            <w:r>
              <w:rPr>
                <w:noProof/>
                <w:webHidden/>
              </w:rPr>
              <w:fldChar w:fldCharType="end"/>
            </w:r>
          </w:hyperlink>
        </w:p>
        <w:p w14:paraId="12EA13A7" w14:textId="11D0422C" w:rsidR="00FC4019" w:rsidRDefault="00FC4019">
          <w:r>
            <w:rPr>
              <w:b/>
              <w:bCs/>
              <w:noProof/>
            </w:rPr>
            <w:fldChar w:fldCharType="end"/>
          </w:r>
        </w:p>
      </w:sdtContent>
    </w:sdt>
    <w:p w14:paraId="2C301E14" w14:textId="77777777" w:rsidR="00FC4019" w:rsidRDefault="00FC4019">
      <w:pPr>
        <w:pStyle w:val="Heading1"/>
      </w:pPr>
    </w:p>
    <w:p w14:paraId="6121E112" w14:textId="77777777" w:rsidR="00FC4019" w:rsidRDefault="00FC4019">
      <w:pPr>
        <w:pStyle w:val="Heading1"/>
      </w:pPr>
    </w:p>
    <w:p w14:paraId="6B943394" w14:textId="4CFEAC39" w:rsidR="00850821" w:rsidRDefault="003F528F">
      <w:pPr>
        <w:pStyle w:val="Heading1"/>
      </w:pPr>
      <w:bookmarkStart w:id="0" w:name="_Toc243249770"/>
      <w:r>
        <w:t>Introduction</w:t>
      </w:r>
      <w:bookmarkEnd w:id="0"/>
    </w:p>
    <w:p w14:paraId="622A5EF3" w14:textId="77777777" w:rsidR="003A0A74" w:rsidRDefault="003A0A74" w:rsidP="003A0A74">
      <w:r>
        <w:t>Introduction</w:t>
      </w:r>
    </w:p>
    <w:p w14:paraId="0E8972E3" w14:textId="77777777" w:rsidR="003A0A74" w:rsidRDefault="003A0A74" w:rsidP="003A0A74">
      <w:r>
        <w:t>Home hospitals, or virtual wards, are a form of healthcare service that enables patients to receive short-term hospital-level care from the comfort of their homes with the help of specialty medical teams, remote monitoring, and in-person visits. NHS England implemented the idea of home hospitals following the COVID-19 treatment experience and services that existed in multiple local hospitals across the UK (NHS England, 2022). Developments in technology leading to virtual wards took place in the past ten years and focus on how changes in the workforce and service delivery have affected patients and the preferences of their families and communities. Although virtual wards can be a solution for some selected patients because of the availability of expertise and speed of implementation, the effectiveness of the model is dependent on staffing, efficient technology, acceptable home environment, and hospital choice for patients (National Institute for Health and Care Excellence, 2023b). While it is still uncertain if the attainment of national capacity targets can grant improved outcomes and lower costs, virtual wards should complement community services as well as hospitals (NHS England, 2024).</w:t>
      </w:r>
    </w:p>
    <w:p w14:paraId="4A092370" w14:textId="77777777" w:rsidR="003A0A74" w:rsidRDefault="003A0A74" w:rsidP="003A0A74">
      <w:r>
        <w:t>The innovation and its implementation</w:t>
      </w:r>
    </w:p>
    <w:p w14:paraId="5BA169A2" w14:textId="77777777" w:rsidR="003A0A74" w:rsidRDefault="003A0A74" w:rsidP="003A0A74">
      <w:r>
        <w:t xml:space="preserve">Virtual wards are not limited to video consultations. For a short period of time, a group of specialists provides treatment for patients who would otherwise be hospitalized for the same treatment provided by virtual wards. Depending on the pathway, patients report their symptoms or data via a special app, phone, pulse oximeter, blood pressure monitor, thermometer, or scale (National Institute for Health and Care Excellence, 2023a). Clinicians analyze the data, call the patients, and arrange meetings (NHS England, 2023). For those patients, who do not have the necessary devices or digital skills, the organization provides all necessary equipment, and instructions, and gives a possibility to follow a non-app way. NHS England has a very complex operational structure covering events such as governance, staffing, admission, discharge, escalation, technology, and assessment (Litchfield, 2025).The implementation process was made smooth with the help of national directions and local service designs. NHS England promoted the development of different pathways related to respiratory health, frailty, etc., and it was also focused on accessing virtual bed capacity. According to NHS reports from October 2023, the NHS managed to create 10,421 virtual ward beds, which obviously does not offer any insight into the degree of bed occupancy (NHS England Digital, 2024). The partnership between local healthcare organizations defines the eligibility of patients for the services offered by hospitals, community healthcare organizations, as well as by ambulances and primary care. In particular, the 2023 early value assessment from NICE allows the use of acute respiratory platform technology until more research evidence is presented to dispel particular doubts. </w:t>
      </w:r>
    </w:p>
    <w:p w14:paraId="5A5E65E9" w14:textId="77777777" w:rsidR="003A0A74" w:rsidRDefault="003A0A74" w:rsidP="003A0A74">
      <w:r>
        <w:t>Workforce and professional practice</w:t>
      </w:r>
    </w:p>
    <w:p w14:paraId="7278715C" w14:textId="77777777" w:rsidR="003A0A74" w:rsidRDefault="003A0A74" w:rsidP="003A0A74">
      <w:r>
        <w:t xml:space="preserve">Virtual wards empower healthcare professionals working in various sectors of healthcare. To perform their functions, nurses, pharmacists, doctors, therapists, and supporting personnel can remotely perform evaluations, analyze data, respond to alarms, coordinate home visits, and escalate matters. Healthcare professionals from municipal and hospital healthcare facilities are able to participate in ward rounds (NHS England, 2023a). This ensures teamwork and allows health professionals to provide patient care in a home environment (Parliamentary Office of Science and Technology, 2025). Moreover, digital systems, remote assessment, monitoring of devices, and data interpretation and analysis are required (Health Education England, 2021). Professional judgement is important – abnormal reading cannot make one feel relieved, and normal reading still requires having appropriate context. </w:t>
      </w:r>
    </w:p>
    <w:p w14:paraId="11A1CED6" w14:textId="77777777" w:rsidR="003A0A74" w:rsidRDefault="003A0A74" w:rsidP="003A0A74">
      <w:r>
        <w:t xml:space="preserve">The recruitment of patients is not the only challenge that new degree of healthcare delivery imposes. After that, employees have to check devices, monitor their dashboards, take notes, contact missing individuals, and plan the operation of reviewing efforts (NHS England South East, 2024). Unreliable alerts and broken-up systems can lead to additional data entry and, as a result, </w:t>
      </w:r>
      <w:proofErr w:type="spellStart"/>
      <w:r>
        <w:t>fatigue.Research</w:t>
      </w:r>
      <w:proofErr w:type="spellEnd"/>
      <w:r>
        <w:t xml:space="preserve"> by staff indicates difficulties in implementation of the English program due to limited staffing levels, incompatible objectives, and leadership issues. According to the findings, staff also indicated obstacles to implementation of the digital care including labor and operational issues together with misunderstandings concerning virtual wards and metrics (Shi, 2024). In order to ensure safe introduction of the program, staffing, training, and accountability need to be taken into account while having a reliable platform for face-to-face review. Teams need to create protocols and guidelines for data assessment, alert processing, patient interaction, and out of hours activities. For patients with respiratory virtual wards, it is recommended to be multidisciplinary and to allow self-care and management as part of the plans. This is the reason why technological solutions are considered as services rather than replacement of clinical capacity. In addition to space utilization, assessment of human resources should include staffing levels, workload, alert processing, missed calls, and experience.</w:t>
      </w:r>
    </w:p>
    <w:p w14:paraId="07889753" w14:textId="77777777" w:rsidR="003A0A74" w:rsidRDefault="003A0A74" w:rsidP="003A0A74">
      <w:r>
        <w:t>Implementation changes</w:t>
      </w:r>
    </w:p>
    <w:p w14:paraId="1E220BBE" w14:textId="77777777" w:rsidR="003A0A74" w:rsidRDefault="003A0A74" w:rsidP="003A0A74">
      <w:r>
        <w:t>The first of the changes aimed at allowing hospital level care at home is arranging admission avoidance pathway and early discharge pathway. The difference between these two kinds of pathways is that at home patients ca be evaluated and treated in advance in order to experience early discharge from hospital (GIRFT, 2024). Both pathways are believed to reduce the level of travelling and the risks of healthcare-associated infections as well as free up beds in the hospitals. As part of these pathways, patients may have scheduled consultations, carry out remote vital signs checks, have prescription reviews and undergo therapy. Consequently, patients’ homes become the sites of medical care and patients’ houses should be equipped with privacy, space, connectivity, and coordination.</w:t>
      </w:r>
    </w:p>
    <w:p w14:paraId="1B294188" w14:textId="77777777" w:rsidR="003A0A74" w:rsidRDefault="003A0A74" w:rsidP="003A0A74">
      <w:r>
        <w:t>Teams that analyze data on constant basis together with the use of early signals of potential deterioration of the patients’ conditions can achieve higher level of responsiveness of the medical services. Nonetheless, monitoring tool will only be as valid as responses of the team (Health Foundation, 2023). Consequences of late reviews, wrong criteria application, device caused errors, and poor emergency care might partially undermine the efficiency of the monitoring service (Strategy Unit, 2025).The NHS guidelines stress the importance of clinical suitability, escalation, as well as continuity; it is a requirement from local services to ensure smooth transfer of patients to hospitals in cases where home care is no longer acceptable. However, inpatient diagnosis, round-the-clock surveillance, and urgent treatment cannot be postponed through virtual wards.</w:t>
      </w:r>
    </w:p>
    <w:p w14:paraId="18C3B927" w14:textId="77777777" w:rsidR="003A0A74" w:rsidRDefault="003A0A74" w:rsidP="003A0A74">
      <w:r>
        <w:t>There is evidence to support a cautious approach, but not a universal one. The comprehensive review claimed that providing hospital type treatment in one's home is a complex service model with several components and that technology cannot explain the outcomes (NHS England, 2023b). Thus, the comparative efficiency of platform-based care versus hospital care and home care without the platform remained uncertain, hence NHS sought further investigations. Various regional assessments and NHS reports suggest that different treatment methods may prevent hospitalization or decrease length of stay, however pathways maturity and patient selection is different.</w:t>
      </w:r>
    </w:p>
    <w:p w14:paraId="27A2D03B" w14:textId="77777777" w:rsidR="003A0A74" w:rsidRDefault="003A0A74" w:rsidP="003A0A74">
      <w:r>
        <w:t>Going forward, even though a decrease in inpatient bed days can be deemed as an alternative to placement, early discharge, or proper treatment record, evaluation remains to be done.</w:t>
      </w:r>
    </w:p>
    <w:p w14:paraId="2C1B30B7" w14:textId="77777777" w:rsidR="003A0A74" w:rsidRDefault="003A0A74" w:rsidP="003A0A74">
      <w:r>
        <w:t>Patient Experiences Regarding Services</w:t>
      </w:r>
    </w:p>
    <w:p w14:paraId="2A28A8AF" w14:textId="77777777" w:rsidR="003A0A74" w:rsidRDefault="003A0A74" w:rsidP="003A0A74">
      <w:r>
        <w:t xml:space="preserve">Home care provides patients with the opportunity to proceed with their routine, eat, sleep, and spend time with friends. Remote tools conducted in a way to detect changes in the patient’s condition can help him/her avoided unnecessary trips to hospitals. However, some patients feel more secure having doctor around, which means that home might not be the optimal solution (Walton, 2022). In situations where cognitive dysfunctions, severe health issues, lack of stable accommodation, problems with communication, and little informal care exist in person, alternative solutions are </w:t>
      </w:r>
      <w:proofErr w:type="spellStart"/>
      <w:r>
        <w:t>needed.Reading</w:t>
      </w:r>
      <w:proofErr w:type="spellEnd"/>
      <w:r>
        <w:t xml:space="preserve"> multiple times may cause anxiety in people, and technology may create a feeling of oversight, which is not good (National Institute for Health and Care Excellence, 2023c). The failure of any device or any ambiguity in instructions can undermine one’s morale as well. NHS England’s research into patients’ and </w:t>
      </w:r>
      <w:proofErr w:type="spellStart"/>
      <w:r>
        <w:t>carers’</w:t>
      </w:r>
      <w:proofErr w:type="spellEnd"/>
      <w:r>
        <w:t xml:space="preserve"> experience pointed both at the positive aspects of modern technology, and showed its counterparts, being the necessity of more involvement of </w:t>
      </w:r>
      <w:proofErr w:type="spellStart"/>
      <w:r>
        <w:t>carers</w:t>
      </w:r>
      <w:proofErr w:type="spellEnd"/>
      <w:r>
        <w:t xml:space="preserve"> and better explanation and organization of the care. Also, there are not only telephones and devices needed for successful care, but also human presence and help.</w:t>
      </w:r>
    </w:p>
    <w:p w14:paraId="74DC10FF" w14:textId="77777777" w:rsidR="003A0A74" w:rsidRDefault="003A0A74" w:rsidP="003A0A74">
      <w:r>
        <w:t>Digital exclusion can create disadvantages in terms of access. People can miss a smartphone, data, bandwidth, confidence, speaking English, one’s agility, sight or hearing for using the system. Such barriers may be due to age, poverty, disability, housing, and city (NHS England, 2021). Thus, a digital-first strategy can exclude people from benefits or place more responsibilities on their relatives. Device lending and installation, easy interface and translation, personal and virtual communication opportunities, as well as the ability to refuse being monitored and not lose care are necessary (Parliamentary Office of Science and Technology, 2025). It is necessary to track who can visit a virtual ward and determine their future actions according to NICE’s criteria (Walton, 2022).</w:t>
      </w:r>
    </w:p>
    <w:p w14:paraId="3984F528" w14:textId="77777777" w:rsidR="003A0A74" w:rsidRDefault="003A0A74" w:rsidP="003A0A74">
      <w:r>
        <w:t>Community, families and engagement</w:t>
      </w:r>
    </w:p>
    <w:p w14:paraId="3CBDD660" w14:textId="77777777" w:rsidR="003A0A74" w:rsidRDefault="003A0A74" w:rsidP="003A0A74">
      <w:r>
        <w:t>Virtual wards transform the relationship between patients and care-givers. Home care minimizes travel for both patients and their relatives, which is especially beneficial for those living in rural areas or having disabilities (Walton, 2022). Staying close to one’s family or relatives provides support. On a wider level, the need to free space in hospitals may influence dealing with seasonal demand as well, but if local nursing does not work properly, the effect will be nullified (Strategy Unit, 2025). NHS England designed its framework to rely on integration of healthcare providers instead of purchasing monitoring platform from suppliers (NHS England Digital, 2024).While families can expect to be involved with health care, they might also have some unpaid responsibilities like reminding patients to do their measurements, sorting out technical issues, monitoring their symptoms, and waiting for staff to get in contact with them. The risk of working with such a short-sighted care provider increases if the provider expects that there is a competent caregiver without looking at such aspects as whether the caregiver has got the patient’s consent, what other obligations the person has, and whether the caregiver needs further assistance. With the approval of the patient, it is necessary for the caregiver to obtain relevant contact details, understand how to see the training programs that the patient must take, and know how to report about any problem that appears in the process of providing their services (NHS England, 2022). Those who are responsible for designing the patient pathway must involve people with experiences, caregivers, and other interested parties, such as groups of disabled people and socially disadvantaged groups. When designing the pathway, issues like the patient’s eligibility, language, alert system, and outcomes must be considered rather than just conducting a satisfaction survey after the service has been rendered.</w:t>
      </w:r>
    </w:p>
    <w:p w14:paraId="59D5E85B" w14:textId="77777777" w:rsidR="003A0A74" w:rsidRDefault="003A0A74" w:rsidP="003A0A74">
      <w:r>
        <w:t>Communities must improve their digital infrastructure and conditions in which the patients are receiving social care because such improvements are necessary for health equity and healthcare access. The patient may not have enough comfort, safety, and privacy of the place where the patient can recover (NHS England South East, 2024). Patients may be required to get used to certain medical devices. The organizations responsible for providing the services must realize such issues and help the caregivers (NHS England, 2022). The metrics of quality must take into consideration such aspects as incidents of safety, hospital admissions, death cases, hospitalization rates in general, feedback from patients, and expenses on health care.</w:t>
      </w:r>
    </w:p>
    <w:p w14:paraId="7E3FCFD5" w14:textId="77777777" w:rsidR="003A0A74" w:rsidRDefault="003A0A74" w:rsidP="003A0A74">
      <w:r>
        <w:t>Factors influencing the success of the implementation of the pathway</w:t>
      </w:r>
    </w:p>
    <w:p w14:paraId="71152A58" w14:textId="77777777" w:rsidR="003A0A74" w:rsidRDefault="003A0A74" w:rsidP="003A0A74">
      <w:r>
        <w:t xml:space="preserve">The effectiveness of each particular implementation will always depend on the quality of the pathway and the problems that it serves to address. Admissions and the early discharge have patients with different meetings and staffing </w:t>
      </w:r>
      <w:proofErr w:type="spellStart"/>
      <w:r>
        <w:t>needs.Grouping</w:t>
      </w:r>
      <w:proofErr w:type="spellEnd"/>
      <w:r>
        <w:t xml:space="preserve"> patients together in one efficacy threshold may obscure either that the mode of service in question helps to prevent admissions or merely helps rearranging discharges earlier. For that reason, they are expected to define a certain target group, clinical alternative and pathway from referral to discharge. Given the fact that patients under home monitoring may appear to be healthier than those accommodations, it is necessary to carry out baseline assessment that takes into consideration the disease severity and living conditions of examined groups (NHS England, 2023). In lack of those milestones, the gap in results might be achieved via selection not due to the intervention.</w:t>
      </w:r>
    </w:p>
    <w:p w14:paraId="5406577F" w14:textId="77777777" w:rsidR="003A0A74" w:rsidRDefault="003A0A74" w:rsidP="003A0A74"/>
    <w:p w14:paraId="125781C6" w14:textId="77777777" w:rsidR="003A0A74" w:rsidRDefault="003A0A74" w:rsidP="003A0A74">
      <w:r>
        <w:t>Outcomes measurement in case of accountability issue</w:t>
      </w:r>
    </w:p>
    <w:p w14:paraId="421A4C37" w14:textId="77777777" w:rsidR="003A0A74" w:rsidRDefault="003A0A74" w:rsidP="003A0A74">
      <w:r>
        <w:t xml:space="preserve">Outcomes assessment is expected to separate the concept from process. In this context capacity, admissions, occupancy and response times are just indicators of everyday work of the healthcare service and they do not have anything to do with the care process. Instead the clinical outcomes are expected to be represented by number of escalations, emergency transfers, re-admissions and mortality of patients based on the measures of risk. Possible experience assessment should involve understanding of the plan, communication with the team and involvement (Parliamentary Office of Science and Technology, 2025). Volume of work performed by staff and their confidence is recommended to be assessed. Measuring equality means showing those who benefited from the service and those who did </w:t>
      </w:r>
      <w:proofErr w:type="spellStart"/>
      <w:r>
        <w:t>not.The</w:t>
      </w:r>
      <w:proofErr w:type="spellEnd"/>
      <w:r>
        <w:t xml:space="preserve"> idea of local adaptation must not interfere with protection of patient safety and their rights (Strategy Unit, 2025). Rather, systems need to explain the areas in which the model differs from others, check whether access or outcomes improve, and disseminate knowledge. An optimal balance here ensures that treatment is updated according to local requirements while such safeguards remain intact.</w:t>
      </w:r>
    </w:p>
    <w:p w14:paraId="05EAB82B" w14:textId="77777777" w:rsidR="003A0A74" w:rsidRDefault="003A0A74" w:rsidP="003A0A74">
      <w:r>
        <w:t>There are practical realities of being at home</w:t>
      </w:r>
    </w:p>
    <w:p w14:paraId="18A80976" w14:textId="77777777" w:rsidR="003A0A74" w:rsidRDefault="003A0A74" w:rsidP="003A0A74">
      <w:r>
        <w:t xml:space="preserve">Clinicians act differently at home. Those working in hospitals have greater access to patients and medical equipment. The way assessments are done at home is different; it is done intermittently and is partially based on what is reported by patients or caregivers. Home visits allow for greater observation at the same time leading to excessive consumption of time. This service is aimed at checking whether the living place is appropriate for the patient and whether he or she can manage it at home (Strategy Unit, 2025). If it is the case, there is a risk of too great a burden for the family, or virtual wards may pose danger (National Institute for Health and Care Excellence, 2023c). Given that the condition of the patient is changing, eligibility criteria need to be reviewed rather than discussed only while being </w:t>
      </w:r>
      <w:proofErr w:type="spellStart"/>
      <w:r>
        <w:t>onboarded</w:t>
      </w:r>
      <w:proofErr w:type="spellEnd"/>
      <w:r>
        <w:t xml:space="preserve"> (Shi, 2024).</w:t>
      </w:r>
    </w:p>
    <w:p w14:paraId="017FC46B" w14:textId="77777777" w:rsidR="003A0A74" w:rsidRDefault="003A0A74" w:rsidP="003A0A74">
      <w:r>
        <w:t>Conclusion and recommendations</w:t>
      </w:r>
    </w:p>
    <w:p w14:paraId="1D9EFA77" w14:textId="77777777" w:rsidR="003A0A74" w:rsidRDefault="003A0A74" w:rsidP="003A0A74">
      <w:r>
        <w:t>The virtual ward strategy created by England includes remote monitoring and allows for transforming hospital treatment. It is most effective for those patients who want to receive care at home and are also capable of being provided with the needed level of care. The improvements that can take place include comfort of care, reduction of the need to travel, and fewer patients in the hospitals. Possible risks are failure to notice deterioration of condition, excessive pressure on personnel, unequal access to the service, patients worrying, and not fully compensated care. Current evidence and research is inconsistent and limited.</w:t>
      </w:r>
    </w:p>
    <w:p w14:paraId="48C87B95" w14:textId="76FB668B" w:rsidR="003A0A74" w:rsidRPr="003A0A74" w:rsidRDefault="003A0A74" w:rsidP="003A0A74">
      <w:r>
        <w:t>There are five rules of implementation that need to be followed. Protect patients and ensure safe provision of medical care. Secondly, there should be funds allocated for employing workers, digital platforms, training, home visits, and pathways for early intervention. Thirdly, provide solutions that are non-digital and ensure good assistance to avoid isolation of patients. Fourthly, minimize unpaid work by patients and caregivers when designing pathways. Finally, analyze and share data on safety and costs.</w:t>
      </w:r>
    </w:p>
    <w:p w14:paraId="5FFA9DFB" w14:textId="77777777" w:rsidR="00850821" w:rsidRDefault="003F528F">
      <w:pPr>
        <w:pStyle w:val="Heading1"/>
      </w:pPr>
      <w:bookmarkStart w:id="1" w:name="_Toc243249781"/>
      <w:r>
        <w:t>References</w:t>
      </w:r>
      <w:bookmarkEnd w:id="1"/>
    </w:p>
    <w:p w14:paraId="2C8B9E5F" w14:textId="77777777" w:rsidR="00850821" w:rsidRDefault="003F528F">
      <w:pPr>
        <w:keepLines/>
        <w:spacing w:after="40" w:line="240" w:lineRule="auto"/>
        <w:ind w:left="317" w:hanging="317"/>
      </w:pPr>
      <w:r>
        <w:rPr>
          <w:sz w:val="18"/>
        </w:rPr>
        <w:t>GIRFT (2024) Making the most of virtual wards, including Hospital at Home: practical guidance for clinicians. London: NHS England and Getting It Right First Time.</w:t>
      </w:r>
    </w:p>
    <w:p w14:paraId="0347637B" w14:textId="77777777" w:rsidR="00850821" w:rsidRDefault="003F528F">
      <w:pPr>
        <w:keepLines/>
        <w:spacing w:after="40" w:line="240" w:lineRule="auto"/>
        <w:ind w:left="317" w:hanging="317"/>
      </w:pPr>
      <w:r>
        <w:rPr>
          <w:sz w:val="18"/>
        </w:rPr>
        <w:t>Health Education England (2021) The future of remote care: workforce implications for digital health. London: HEE.</w:t>
      </w:r>
    </w:p>
    <w:p w14:paraId="64C0054D" w14:textId="77777777" w:rsidR="00850821" w:rsidRDefault="003F528F">
      <w:pPr>
        <w:keepLines/>
        <w:spacing w:after="40" w:line="240" w:lineRule="auto"/>
        <w:ind w:left="317" w:hanging="317"/>
      </w:pPr>
      <w:r>
        <w:rPr>
          <w:sz w:val="18"/>
        </w:rPr>
        <w:t>Health Foundation (2023) What do virtual wards look like in England? London: The Health Foundation.</w:t>
      </w:r>
    </w:p>
    <w:p w14:paraId="35984DD7" w14:textId="77777777" w:rsidR="00850821" w:rsidRDefault="003F528F">
      <w:pPr>
        <w:keepLines/>
        <w:spacing w:after="40" w:line="240" w:lineRule="auto"/>
        <w:ind w:left="317" w:hanging="317"/>
      </w:pPr>
      <w:r>
        <w:rPr>
          <w:sz w:val="18"/>
        </w:rPr>
        <w:t>Litchfield, I. et al. (2025) ‘Factors influencing the implementation of a multispecialty virtual ward program in the United Kingdom: qualitative exploration of staff experiences and perspectives’, Journal of Medical Internet Research, 27, e75406.</w:t>
      </w:r>
    </w:p>
    <w:p w14:paraId="2EEF0D0B" w14:textId="77777777" w:rsidR="00850821" w:rsidRDefault="003F528F">
      <w:pPr>
        <w:keepLines/>
        <w:spacing w:after="40" w:line="240" w:lineRule="auto"/>
        <w:ind w:left="317" w:hanging="317"/>
      </w:pPr>
      <w:r>
        <w:rPr>
          <w:sz w:val="18"/>
        </w:rPr>
        <w:t>National Institute for Health and Care Excellence (NICE) (2023a) Virtual ward platform technologies for acute respiratory infections: early value assessment. Health Technology Guidance HTG697. London: NICE.</w:t>
      </w:r>
    </w:p>
    <w:p w14:paraId="23D433F8" w14:textId="77777777" w:rsidR="00850821" w:rsidRDefault="003F528F">
      <w:pPr>
        <w:keepLines/>
        <w:spacing w:after="40" w:line="240" w:lineRule="auto"/>
        <w:ind w:left="317" w:hanging="317"/>
      </w:pPr>
      <w:r>
        <w:rPr>
          <w:sz w:val="18"/>
        </w:rPr>
        <w:t>National Institute for Health and Care Excellence (NICE) (2023b) Acute respiratory infection in over 16s: initial assessment and management including virtual wards (hospital at home). NICE Guideline NG191. London: NICE.</w:t>
      </w:r>
    </w:p>
    <w:p w14:paraId="1EDA63D3" w14:textId="77777777" w:rsidR="00850821" w:rsidRDefault="003F528F">
      <w:pPr>
        <w:keepLines/>
        <w:spacing w:after="40" w:line="240" w:lineRule="auto"/>
        <w:ind w:left="317" w:hanging="317"/>
      </w:pPr>
      <w:r>
        <w:rPr>
          <w:sz w:val="18"/>
        </w:rPr>
        <w:t>National Institute for Health and Care Excellence (NICE) (2023c) Acute respiratory infection in over 16s: initial assessment and management including virtual wards (hospital at home). Quality Standard QS210. London: NICE.</w:t>
      </w:r>
    </w:p>
    <w:p w14:paraId="3B344801" w14:textId="77777777" w:rsidR="00850821" w:rsidRDefault="003F528F">
      <w:pPr>
        <w:keepLines/>
        <w:spacing w:after="40" w:line="240" w:lineRule="auto"/>
        <w:ind w:left="317" w:hanging="317"/>
      </w:pPr>
      <w:r>
        <w:rPr>
          <w:sz w:val="18"/>
        </w:rPr>
        <w:t>NHS England (2021) A guide to setting up technology-enabled virtual wards. London: NHS England.</w:t>
      </w:r>
    </w:p>
    <w:p w14:paraId="5FBB2A99" w14:textId="77777777" w:rsidR="00850821" w:rsidRDefault="003F528F">
      <w:pPr>
        <w:keepLines/>
        <w:spacing w:after="40" w:line="240" w:lineRule="auto"/>
        <w:ind w:left="317" w:hanging="317"/>
      </w:pPr>
      <w:r>
        <w:rPr>
          <w:sz w:val="18"/>
        </w:rPr>
        <w:t>NHS England (2022) COVID virtual ward: standard operating procedure. London: NHS England.</w:t>
      </w:r>
    </w:p>
    <w:p w14:paraId="2A5E206D" w14:textId="77777777" w:rsidR="00850821" w:rsidRDefault="003F528F">
      <w:pPr>
        <w:keepLines/>
        <w:spacing w:after="40" w:line="240" w:lineRule="auto"/>
        <w:ind w:left="317" w:hanging="317"/>
      </w:pPr>
      <w:r>
        <w:rPr>
          <w:sz w:val="18"/>
        </w:rPr>
        <w:t>NHS England (2023) NHS delivers 10,000 virtual ward beds target with hundreds of thousands of patients treated at home. 12 October. London: NHS England.</w:t>
      </w:r>
    </w:p>
    <w:p w14:paraId="780EBE33" w14:textId="77777777" w:rsidR="00850821" w:rsidRDefault="003F528F">
      <w:pPr>
        <w:keepLines/>
        <w:spacing w:after="40" w:line="240" w:lineRule="auto"/>
        <w:ind w:left="317" w:hanging="317"/>
      </w:pPr>
      <w:r>
        <w:rPr>
          <w:sz w:val="18"/>
        </w:rPr>
        <w:t>NHS England (2023a) Delivery plan for recovering urgent and emergency care services. London: NHS England.</w:t>
      </w:r>
    </w:p>
    <w:p w14:paraId="68A3AB1A" w14:textId="77777777" w:rsidR="00850821" w:rsidRDefault="003F528F">
      <w:pPr>
        <w:keepLines/>
        <w:spacing w:after="40" w:line="240" w:lineRule="auto"/>
        <w:ind w:left="317" w:hanging="317"/>
      </w:pPr>
      <w:r>
        <w:rPr>
          <w:sz w:val="18"/>
        </w:rPr>
        <w:t>NHS England (2023b) World-leading NHS virtual wards treat 100,000 patients in a year. 11 March. London: NHS England.</w:t>
      </w:r>
    </w:p>
    <w:p w14:paraId="69E7F8F5" w14:textId="77777777" w:rsidR="00850821" w:rsidRDefault="003F528F">
      <w:pPr>
        <w:keepLines/>
        <w:spacing w:after="40" w:line="240" w:lineRule="auto"/>
        <w:ind w:left="317" w:hanging="317"/>
      </w:pPr>
      <w:r>
        <w:rPr>
          <w:sz w:val="18"/>
        </w:rPr>
        <w:t>NHS England (2024) Virtual wards operational framework. London: NHS England.</w:t>
      </w:r>
    </w:p>
    <w:p w14:paraId="0346BA28" w14:textId="77777777" w:rsidR="00850821" w:rsidRDefault="003F528F">
      <w:pPr>
        <w:keepLines/>
        <w:spacing w:after="40" w:line="240" w:lineRule="auto"/>
        <w:ind w:left="317" w:hanging="317"/>
      </w:pPr>
      <w:r>
        <w:rPr>
          <w:sz w:val="18"/>
        </w:rPr>
        <w:t>NHS England Digital (2024) Virtual wards: information governance guidance. Leeds: NHS England Digital.</w:t>
      </w:r>
    </w:p>
    <w:p w14:paraId="4B603A44" w14:textId="77777777" w:rsidR="00850821" w:rsidRDefault="003F528F">
      <w:pPr>
        <w:keepLines/>
        <w:spacing w:after="40" w:line="240" w:lineRule="auto"/>
        <w:ind w:left="317" w:hanging="317"/>
      </w:pPr>
      <w:r>
        <w:rPr>
          <w:sz w:val="18"/>
        </w:rPr>
        <w:t>NHS England South East (2024) Summary of South East region virtual wards evaluation. London: NHS England.</w:t>
      </w:r>
    </w:p>
    <w:p w14:paraId="45A82337" w14:textId="77777777" w:rsidR="00850821" w:rsidRDefault="003F528F">
      <w:pPr>
        <w:keepLines/>
        <w:spacing w:after="40" w:line="240" w:lineRule="auto"/>
        <w:ind w:left="317" w:hanging="317"/>
      </w:pPr>
      <w:proofErr w:type="spellStart"/>
      <w:r>
        <w:rPr>
          <w:sz w:val="18"/>
        </w:rPr>
        <w:t>O’Cathain</w:t>
      </w:r>
      <w:proofErr w:type="spellEnd"/>
      <w:r>
        <w:rPr>
          <w:sz w:val="18"/>
        </w:rPr>
        <w:t>, A. et al. (2024) ‘The views and experiences of integrated care system commissioners about the adoption and implementation of virtual wards in England: qualitative exploration study’, Journal of Medical Internet Research, 26, e56494.</w:t>
      </w:r>
    </w:p>
    <w:p w14:paraId="5E5BBDA9" w14:textId="77777777" w:rsidR="00850821" w:rsidRDefault="003F528F">
      <w:pPr>
        <w:keepLines/>
        <w:spacing w:after="40" w:line="240" w:lineRule="auto"/>
        <w:ind w:left="317" w:hanging="317"/>
      </w:pPr>
      <w:r>
        <w:rPr>
          <w:sz w:val="18"/>
        </w:rPr>
        <w:t xml:space="preserve">Parliamentary Office of Science and Technology (2025) Virtual wards and hospital at home. </w:t>
      </w:r>
      <w:proofErr w:type="spellStart"/>
      <w:r>
        <w:rPr>
          <w:sz w:val="18"/>
        </w:rPr>
        <w:t>POSTnote</w:t>
      </w:r>
      <w:proofErr w:type="spellEnd"/>
      <w:r>
        <w:rPr>
          <w:sz w:val="18"/>
        </w:rPr>
        <w:t xml:space="preserve"> 744. London: UK Parliament.</w:t>
      </w:r>
    </w:p>
    <w:p w14:paraId="0087DD95" w14:textId="77777777" w:rsidR="00850821" w:rsidRDefault="003F528F">
      <w:pPr>
        <w:keepLines/>
        <w:spacing w:after="40" w:line="240" w:lineRule="auto"/>
        <w:ind w:left="317" w:hanging="317"/>
      </w:pPr>
      <w:r>
        <w:rPr>
          <w:sz w:val="18"/>
        </w:rPr>
        <w:t>Shi, C. et al. (2024) ‘Inpatient-level care at home delivered by virtual wards and hospital at home: a systematic review and meta-analysis of complex interventions’, BMC Medicine, 22, 145.</w:t>
      </w:r>
    </w:p>
    <w:p w14:paraId="774C40CB" w14:textId="77777777" w:rsidR="00850821" w:rsidRDefault="003F528F">
      <w:pPr>
        <w:keepLines/>
        <w:spacing w:after="40" w:line="240" w:lineRule="auto"/>
        <w:ind w:left="317" w:hanging="317"/>
      </w:pPr>
      <w:r>
        <w:rPr>
          <w:sz w:val="18"/>
        </w:rPr>
        <w:t xml:space="preserve">Strategy Unit (2025) Virtual wards: patient and unpaid </w:t>
      </w:r>
      <w:proofErr w:type="spellStart"/>
      <w:r>
        <w:rPr>
          <w:sz w:val="18"/>
        </w:rPr>
        <w:t>carer</w:t>
      </w:r>
      <w:proofErr w:type="spellEnd"/>
      <w:r>
        <w:rPr>
          <w:sz w:val="18"/>
        </w:rPr>
        <w:t xml:space="preserve"> experiences of ‘hospital at home’ care. Birmingham: NHS Midlands and Lancashire Commissioning Support Unit.</w:t>
      </w:r>
    </w:p>
    <w:p w14:paraId="435E9745" w14:textId="77777777" w:rsidR="00850821" w:rsidRDefault="003F528F">
      <w:pPr>
        <w:keepLines/>
        <w:spacing w:after="40" w:line="240" w:lineRule="auto"/>
        <w:ind w:left="317" w:hanging="317"/>
      </w:pPr>
      <w:r>
        <w:rPr>
          <w:sz w:val="18"/>
        </w:rPr>
        <w:t>Walton, H. et al. (2022) ‘Patients’ experiences of, and engagement with, remote home monitoring services for COVID-19 patients: a rapid mixed-methods study’, Health Expectations, 25(5), pp. 2386–2404.</w:t>
      </w:r>
    </w:p>
    <w:sectPr w:rsidR="00850821" w:rsidSect="00034616">
      <w:headerReference w:type="default" r:id="rId9"/>
      <w:footerReference w:type="default" r:id="rId10"/>
      <w:pgSz w:w="12240" w:h="15840"/>
      <w:pgMar w:top="1152"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6641B" w14:textId="77777777" w:rsidR="00C7645A" w:rsidRDefault="00C7645A">
      <w:pPr>
        <w:spacing w:after="0" w:line="240" w:lineRule="auto"/>
      </w:pPr>
      <w:r>
        <w:separator/>
      </w:r>
    </w:p>
  </w:endnote>
  <w:endnote w:type="continuationSeparator" w:id="0">
    <w:p w14:paraId="2352999E" w14:textId="77777777" w:rsidR="00C7645A" w:rsidRDefault="00C76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70E2A" w14:textId="77777777" w:rsidR="00850821" w:rsidRDefault="003F528F">
    <w:pPr>
      <w:pStyle w:val="Footer"/>
      <w:jc w:val="center"/>
    </w:pPr>
    <w:r>
      <w:t xml:space="preserve">Page </w:t>
    </w:r>
    <w:r>
      <w:fldChar w:fldCharType="begin"/>
    </w:r>
    <w:r>
      <w:instrText>PAGE</w:instrText>
    </w:r>
    <w:r>
      <w:fldChar w:fldCharType="separate"/>
    </w:r>
    <w:r w:rsidR="00FC401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E0FEA" w14:textId="77777777" w:rsidR="00C7645A" w:rsidRDefault="00C7645A">
      <w:pPr>
        <w:spacing w:after="0" w:line="240" w:lineRule="auto"/>
      </w:pPr>
      <w:r>
        <w:separator/>
      </w:r>
    </w:p>
  </w:footnote>
  <w:footnote w:type="continuationSeparator" w:id="0">
    <w:p w14:paraId="221FAB59" w14:textId="77777777" w:rsidR="00C7645A" w:rsidRDefault="00C764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8B99F" w14:textId="77777777" w:rsidR="00850821" w:rsidRDefault="003F528F">
    <w:pPr>
      <w:pStyle w:val="Header"/>
      <w:jc w:val="right"/>
    </w:pPr>
    <w:r>
      <w:rPr>
        <w:color w:val="5A646E"/>
        <w:sz w:val="16"/>
      </w:rPr>
      <w:t>BMHP6026  |  Digital Transformation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36845234">
    <w:abstractNumId w:val="8"/>
  </w:num>
  <w:num w:numId="2" w16cid:durableId="623923293">
    <w:abstractNumId w:val="6"/>
  </w:num>
  <w:num w:numId="3" w16cid:durableId="1822502775">
    <w:abstractNumId w:val="5"/>
  </w:num>
  <w:num w:numId="4" w16cid:durableId="1478448354">
    <w:abstractNumId w:val="4"/>
  </w:num>
  <w:num w:numId="5" w16cid:durableId="2047244518">
    <w:abstractNumId w:val="7"/>
  </w:num>
  <w:num w:numId="6" w16cid:durableId="1889561990">
    <w:abstractNumId w:val="3"/>
  </w:num>
  <w:num w:numId="7" w16cid:durableId="349457568">
    <w:abstractNumId w:val="2"/>
  </w:num>
  <w:num w:numId="8" w16cid:durableId="650794610">
    <w:abstractNumId w:val="1"/>
  </w:num>
  <w:num w:numId="9" w16cid:durableId="1329291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36E0C"/>
    <w:rsid w:val="0029639D"/>
    <w:rsid w:val="00326F90"/>
    <w:rsid w:val="003A0A74"/>
    <w:rsid w:val="003F528F"/>
    <w:rsid w:val="005750D0"/>
    <w:rsid w:val="005768A5"/>
    <w:rsid w:val="00850821"/>
    <w:rsid w:val="009F72CB"/>
    <w:rsid w:val="00AA1D8D"/>
    <w:rsid w:val="00B47730"/>
    <w:rsid w:val="00C7645A"/>
    <w:rsid w:val="00CB0664"/>
    <w:rsid w:val="00FC401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B8EA29"/>
  <w14:defaultImageDpi w14:val="300"/>
  <w15:docId w15:val="{B0866AE0-E9B5-084B-8078-0AEF5C4AD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9" w:lineRule="auto"/>
    </w:pPr>
    <w:rPr>
      <w:rFonts w:ascii="Aptos" w:hAnsi="Aptos"/>
      <w:color w:val="232B34"/>
      <w:sz w:val="21"/>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000000"/>
      <w:sz w:val="30"/>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00" w:line="240" w:lineRule="auto"/>
      <w:contextualSpacing/>
    </w:pPr>
    <w:rPr>
      <w:rFonts w:asciiTheme="majorHAnsi" w:eastAsiaTheme="majorEastAsia" w:hAnsiTheme="majorHAnsi" w:cstheme="majorBidi"/>
      <w:b/>
      <w:color w:val="000000"/>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C4019"/>
    <w:pPr>
      <w:spacing w:before="120" w:after="0"/>
    </w:pPr>
    <w:rPr>
      <w:rFonts w:asciiTheme="minorHAnsi" w:hAnsiTheme="minorHAnsi" w:cs="Times New Roman"/>
      <w:b/>
      <w:bCs/>
      <w:i/>
      <w:iCs/>
      <w:sz w:val="24"/>
      <w:szCs w:val="28"/>
    </w:rPr>
  </w:style>
  <w:style w:type="character" w:styleId="Hyperlink">
    <w:name w:val="Hyperlink"/>
    <w:basedOn w:val="DefaultParagraphFont"/>
    <w:uiPriority w:val="99"/>
    <w:unhideWhenUsed/>
    <w:rsid w:val="00FC4019"/>
    <w:rPr>
      <w:color w:val="0000FF" w:themeColor="hyperlink"/>
      <w:u w:val="single"/>
    </w:rPr>
  </w:style>
  <w:style w:type="paragraph" w:styleId="TOC2">
    <w:name w:val="toc 2"/>
    <w:basedOn w:val="Normal"/>
    <w:next w:val="Normal"/>
    <w:autoRedefine/>
    <w:uiPriority w:val="39"/>
    <w:semiHidden/>
    <w:unhideWhenUsed/>
    <w:rsid w:val="00FC4019"/>
    <w:pPr>
      <w:spacing w:before="120" w:after="0"/>
      <w:ind w:left="210"/>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FC4019"/>
    <w:pPr>
      <w:spacing w:after="0"/>
      <w:ind w:left="42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FC4019"/>
    <w:pPr>
      <w:spacing w:after="0"/>
      <w:ind w:left="63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FC4019"/>
    <w:pPr>
      <w:spacing w:after="0"/>
      <w:ind w:left="84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FC4019"/>
    <w:pPr>
      <w:spacing w:after="0"/>
      <w:ind w:left="105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FC4019"/>
    <w:pPr>
      <w:spacing w:after="0"/>
      <w:ind w:left="126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FC4019"/>
    <w:pPr>
      <w:spacing w:after="0"/>
      <w:ind w:left="147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FC4019"/>
    <w:pPr>
      <w:spacing w:after="0"/>
      <w:ind w:left="168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3250</Words>
  <Characters>18528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Butica</dc:creator>
  <cp:keywords/>
  <dc:description/>
  <cp:lastModifiedBy>maria larisa iamandita</cp:lastModifiedBy>
  <cp:revision>2</cp:revision>
  <dcterms:created xsi:type="dcterms:W3CDTF">2026-10-18T20:52:00Z</dcterms:created>
  <dcterms:modified xsi:type="dcterms:W3CDTF">2026-10-18T20:52:00Z</dcterms:modified>
  <cp:category/>
</cp:coreProperties>
</file>