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EFF20E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17772">
              <w:rPr>
                <w:rFonts w:ascii="Times New Roman" w:hAnsi="Times New Roman" w:cs="Times New Roman"/>
                <w:b/>
                <w:color w:val="auto"/>
                <w:sz w:val="48"/>
              </w:rPr>
              <w:t xml:space="preserve">Daisy Sharma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E1FD6E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517772">
              <w:rPr>
                <w:rFonts w:ascii="Times New Roman" w:hAnsi="Times New Roman" w:cs="Times New Roman"/>
                <w:b/>
                <w:color w:val="auto"/>
                <w:sz w:val="48"/>
              </w:rPr>
              <w:t>2329933@stud</w:t>
            </w:r>
            <w:r w:rsidR="005A4B32">
              <w:rPr>
                <w:rFonts w:ascii="Times New Roman" w:hAnsi="Times New Roman" w:cs="Times New Roman"/>
                <w:b/>
                <w:color w:val="auto"/>
                <w:sz w:val="48"/>
              </w:rPr>
              <w:t>en</w:t>
            </w:r>
            <w:r w:rsidR="00517772">
              <w:rPr>
                <w:rFonts w:ascii="Times New Roman" w:hAnsi="Times New Roman" w:cs="Times New Roman"/>
                <w:b/>
                <w:color w:val="auto"/>
                <w:sz w:val="48"/>
              </w:rPr>
              <w:t>t.uwtsd.ac.uk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597487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17772">
              <w:rPr>
                <w:rFonts w:ascii="Times New Roman" w:hAnsi="Times New Roman" w:cs="Times New Roman"/>
                <w:b/>
                <w:color w:val="auto"/>
                <w:sz w:val="48"/>
              </w:rPr>
              <w:t>2329933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83C8E7E" w14:textId="77777777" w:rsidR="00517772" w:rsidRDefault="00BB7FD2" w:rsidP="00FF7EBB">
            <w:pPr>
              <w:jc w:val="both"/>
              <w:rPr>
                <w:sz w:val="24"/>
                <w:szCs w:val="24"/>
              </w:rPr>
            </w:pPr>
            <w:bookmarkStart w:id="0" w:name="_Hlk190014716"/>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532072A8" w14:textId="77777777" w:rsidR="00517772" w:rsidRDefault="00517772" w:rsidP="00FF7EBB">
            <w:pPr>
              <w:jc w:val="both"/>
              <w:rPr>
                <w:sz w:val="24"/>
                <w:szCs w:val="24"/>
              </w:rPr>
            </w:pPr>
          </w:p>
          <w:bookmarkEnd w:id="0"/>
          <w:p w14:paraId="310F203D" w14:textId="77777777" w:rsidR="00573F88" w:rsidRPr="00494CF1" w:rsidRDefault="00573F88" w:rsidP="00D200BE">
            <w:pPr>
              <w:spacing w:line="360" w:lineRule="auto"/>
              <w:jc w:val="both"/>
              <w:rPr>
                <w:sz w:val="24"/>
                <w:szCs w:val="24"/>
              </w:rPr>
            </w:pPr>
            <w:r w:rsidRPr="00494CF1">
              <w:rPr>
                <w:sz w:val="24"/>
                <w:szCs w:val="24"/>
              </w:rPr>
              <w:t>In children’s services, the protection against abuse and harm underpins all aspects of the role. It is the social workers responsibility to ensure the safety, wellbeing and development of a child to ensure they can achieve the best outcomes.</w:t>
            </w:r>
          </w:p>
          <w:p w14:paraId="2C549EE6" w14:textId="77777777" w:rsidR="00573F88" w:rsidRPr="00494CF1" w:rsidRDefault="00573F88" w:rsidP="00D200BE">
            <w:pPr>
              <w:spacing w:line="360" w:lineRule="auto"/>
              <w:rPr>
                <w:sz w:val="24"/>
                <w:szCs w:val="24"/>
              </w:rPr>
            </w:pPr>
            <w:r w:rsidRPr="00494CF1">
              <w:rPr>
                <w:sz w:val="24"/>
                <w:szCs w:val="24"/>
              </w:rPr>
              <w:t xml:space="preserve">  </w:t>
            </w:r>
          </w:p>
          <w:p w14:paraId="4560B61F" w14:textId="15961C8C" w:rsidR="00573F88" w:rsidRPr="00494CF1" w:rsidRDefault="00573F88" w:rsidP="00D200BE">
            <w:pPr>
              <w:spacing w:line="360" w:lineRule="auto"/>
              <w:rPr>
                <w:sz w:val="24"/>
                <w:szCs w:val="24"/>
              </w:rPr>
            </w:pPr>
            <w:r w:rsidRPr="00494CF1">
              <w:rPr>
                <w:sz w:val="24"/>
                <w:szCs w:val="24"/>
              </w:rPr>
              <w:t>In Wales, the Social Services Wellbeing (Wales Act) (2014) (SSW(W)</w:t>
            </w:r>
            <w:r w:rsidR="00494CF1">
              <w:rPr>
                <w:sz w:val="24"/>
                <w:szCs w:val="24"/>
              </w:rPr>
              <w:t>A</w:t>
            </w:r>
            <w:r w:rsidRPr="00494CF1">
              <w:rPr>
                <w:sz w:val="24"/>
                <w:szCs w:val="24"/>
              </w:rPr>
              <w:t>, is the legislation that social workers adhere to. This defines abuse as harm caused by an individual to another person. The NSPCC</w:t>
            </w:r>
            <w:r w:rsidR="00494CF1">
              <w:rPr>
                <w:sz w:val="24"/>
                <w:szCs w:val="24"/>
              </w:rPr>
              <w:t xml:space="preserve"> (2025)</w:t>
            </w:r>
            <w:r w:rsidRPr="00494CF1">
              <w:rPr>
                <w:sz w:val="24"/>
                <w:szCs w:val="24"/>
              </w:rPr>
              <w:t xml:space="preserve"> further outlines abuse against children as physical abuse, such as hitting and burning, sexual abuse including grooming and penetration, and emotional abuse such as making a child feel worthless or purposely unloved. Neglect involves failing to meet a child’s physical and emotional needs. A child can also experience online abuse, exploitation, and trafficking. For example, a child experiencing domestic abuse within the home could be exposed to physical and emotional abuse, as well as neglect if the child’s needs are not being met. </w:t>
            </w:r>
          </w:p>
          <w:p w14:paraId="2A379190" w14:textId="3AD1E859" w:rsidR="00573F88" w:rsidRPr="00494CF1" w:rsidRDefault="00573F88" w:rsidP="00D200BE">
            <w:pPr>
              <w:spacing w:line="360" w:lineRule="auto"/>
              <w:rPr>
                <w:sz w:val="24"/>
                <w:szCs w:val="24"/>
              </w:rPr>
            </w:pPr>
            <w:r w:rsidRPr="00494CF1">
              <w:rPr>
                <w:sz w:val="24"/>
                <w:szCs w:val="24"/>
              </w:rPr>
              <w:t xml:space="preserve"> </w:t>
            </w:r>
            <w:r w:rsidRPr="00494CF1">
              <w:rPr>
                <w:sz w:val="24"/>
                <w:szCs w:val="24"/>
              </w:rPr>
              <w:tab/>
              <w:t>Children’s Social Workers work under the SSW(W)A</w:t>
            </w:r>
            <w:r w:rsidR="00494CF1">
              <w:rPr>
                <w:sz w:val="24"/>
                <w:szCs w:val="24"/>
              </w:rPr>
              <w:t xml:space="preserve"> </w:t>
            </w:r>
            <w:r w:rsidRPr="00494CF1">
              <w:rPr>
                <w:sz w:val="24"/>
                <w:szCs w:val="24"/>
              </w:rPr>
              <w:t xml:space="preserve">(2014) are required to complete a needs assessment of which determines their eligibility for care and support including and safeguarding concerns. This ensures the child’s needs are considered and if they meet the Eligibility Criteria set out in the Act, they are entitled to care and support services. Following this a holistic care plan is developed with the family, child and agencies such as health and </w:t>
            </w:r>
            <w:r w:rsidRPr="00494CF1">
              <w:rPr>
                <w:sz w:val="24"/>
                <w:szCs w:val="24"/>
              </w:rPr>
              <w:lastRenderedPageBreak/>
              <w:t xml:space="preserve">education to support the child and achieve better outcomes. This may include interventions, signposting to partner agencies such as domestic abuse agencies or the foodbank. </w:t>
            </w:r>
          </w:p>
          <w:p w14:paraId="30D81409" w14:textId="77777777" w:rsidR="00573F88" w:rsidRPr="00494CF1" w:rsidRDefault="00573F88" w:rsidP="00D200BE">
            <w:pPr>
              <w:spacing w:line="360" w:lineRule="auto"/>
              <w:rPr>
                <w:sz w:val="24"/>
                <w:szCs w:val="24"/>
              </w:rPr>
            </w:pPr>
          </w:p>
          <w:p w14:paraId="6C856520" w14:textId="71BD7AE9" w:rsidR="00573F88" w:rsidRPr="00494CF1" w:rsidRDefault="00573F88" w:rsidP="00D200BE">
            <w:pPr>
              <w:spacing w:line="360" w:lineRule="auto"/>
              <w:ind w:firstLine="720"/>
              <w:rPr>
                <w:sz w:val="24"/>
                <w:szCs w:val="24"/>
              </w:rPr>
            </w:pPr>
            <w:r w:rsidRPr="00494CF1">
              <w:rPr>
                <w:sz w:val="24"/>
                <w:szCs w:val="24"/>
              </w:rPr>
              <w:t xml:space="preserve">Specifically, section 7 of the Act places the duty on the Local Authority and other agencies to report any safeguarding or wellbeing concerns. This duty is to protect vulnerable people and ensures that any signs of safeguarding is reported and investigated. If there are suspected safeguarding concerns the Local Authority must complete a Section47. This is a </w:t>
            </w:r>
            <w:r w:rsidR="00494CF1">
              <w:rPr>
                <w:sz w:val="24"/>
                <w:szCs w:val="24"/>
              </w:rPr>
              <w:t>d</w:t>
            </w:r>
            <w:r w:rsidRPr="00494CF1">
              <w:rPr>
                <w:sz w:val="24"/>
                <w:szCs w:val="24"/>
              </w:rPr>
              <w:t xml:space="preserve">uty under the Children Act (1989) (Children Act, 1989) to investigate if a child experiencing or is a risk of experiencing significant harm. The Children’s Act (1989) provides the legal framework and gives the Local Authority power to investigate abuse. Domestic abuse, substance misuse and mental health are some factors than can place a child at risk. However, deprivation and poverty can also contribute to harm such as neglect and it is important to have a holistic approach when investigating a child at risk. </w:t>
            </w:r>
          </w:p>
          <w:p w14:paraId="54855DE2" w14:textId="3FBC793F" w:rsidR="00573F88" w:rsidRPr="00494CF1" w:rsidRDefault="00573F88" w:rsidP="00D200BE">
            <w:pPr>
              <w:spacing w:line="360" w:lineRule="auto"/>
              <w:ind w:firstLine="720"/>
              <w:rPr>
                <w:sz w:val="24"/>
                <w:szCs w:val="24"/>
              </w:rPr>
            </w:pPr>
            <w:r w:rsidRPr="00494CF1">
              <w:rPr>
                <w:sz w:val="24"/>
                <w:szCs w:val="24"/>
              </w:rPr>
              <w:t xml:space="preserve">The </w:t>
            </w:r>
            <w:r w:rsidR="00BC5D1F" w:rsidRPr="00494CF1">
              <w:rPr>
                <w:sz w:val="24"/>
                <w:szCs w:val="24"/>
              </w:rPr>
              <w:t>Wales</w:t>
            </w:r>
            <w:r w:rsidRPr="00494CF1">
              <w:rPr>
                <w:sz w:val="24"/>
                <w:szCs w:val="24"/>
              </w:rPr>
              <w:t xml:space="preserve"> Safeguarding Procedures</w:t>
            </w:r>
            <w:r w:rsidR="00BC5D1F" w:rsidRPr="00494CF1">
              <w:rPr>
                <w:sz w:val="24"/>
                <w:szCs w:val="24"/>
              </w:rPr>
              <w:t xml:space="preserve"> (2019)</w:t>
            </w:r>
            <w:r w:rsidRPr="00494CF1">
              <w:rPr>
                <w:sz w:val="24"/>
                <w:szCs w:val="24"/>
              </w:rPr>
              <w:t xml:space="preserve"> (S</w:t>
            </w:r>
            <w:r w:rsidR="00494CF1">
              <w:rPr>
                <w:sz w:val="24"/>
                <w:szCs w:val="24"/>
              </w:rPr>
              <w:t>ocial Care Wales, 2025</w:t>
            </w:r>
            <w:r w:rsidRPr="00494CF1">
              <w:rPr>
                <w:sz w:val="24"/>
                <w:szCs w:val="24"/>
              </w:rPr>
              <w:t xml:space="preserve">) detail the roles and responsibilities of social workers managing at-risk children, supporting legislation, and implementing best practices. These guidelines regulate cross-agency practices in Wales including the role of regional safeguarding boards. For example, boards such as CYSUR (CYSUR, </w:t>
            </w:r>
            <w:r w:rsidR="00D200BE">
              <w:rPr>
                <w:sz w:val="24"/>
                <w:szCs w:val="24"/>
              </w:rPr>
              <w:t>2025</w:t>
            </w:r>
            <w:r w:rsidRPr="00494CF1">
              <w:rPr>
                <w:sz w:val="24"/>
                <w:szCs w:val="24"/>
              </w:rPr>
              <w:t xml:space="preserve">) comprise local authorities, police, probation services, education, health, and social services. They work together to review child protection practices, implement necessary improvements, develop policies, and increase public awareness. These boards are instrumental in protecting vulnerable children and tackling regional issues. </w:t>
            </w:r>
          </w:p>
          <w:p w14:paraId="1B6F7840" w14:textId="77777777" w:rsidR="00573F88" w:rsidRPr="00494CF1" w:rsidRDefault="00573F88" w:rsidP="00D200BE">
            <w:pPr>
              <w:spacing w:line="360" w:lineRule="auto"/>
              <w:rPr>
                <w:sz w:val="24"/>
                <w:szCs w:val="24"/>
              </w:rPr>
            </w:pPr>
            <w:r w:rsidRPr="00494CF1">
              <w:rPr>
                <w:sz w:val="24"/>
                <w:szCs w:val="24"/>
              </w:rPr>
              <w:tab/>
              <w:t xml:space="preserve">There are also Local Authority safeguarding procedures, that a worker is required to adhere to. There is a county safeguarding board as well as safeguarding hub that brings together multiagency approach to decision-making. Safeguarding policy outlines the Local Authorities commitment to safeguarding and provides details of reporting and responding to safeguarding concerns as well as outlining roles and responsibility of employees. Including required training.  </w:t>
            </w:r>
          </w:p>
          <w:p w14:paraId="1E64FE3A" w14:textId="77777777" w:rsidR="00573F88" w:rsidRPr="00494CF1" w:rsidRDefault="00573F88" w:rsidP="00494CF1">
            <w:pPr>
              <w:spacing w:line="360" w:lineRule="auto"/>
              <w:rPr>
                <w:sz w:val="24"/>
                <w:szCs w:val="24"/>
              </w:rPr>
            </w:pPr>
          </w:p>
          <w:p w14:paraId="1FA810D8" w14:textId="77777777" w:rsidR="00795B74" w:rsidRPr="00494CF1" w:rsidRDefault="00795B74" w:rsidP="00494CF1">
            <w:pPr>
              <w:spacing w:line="360" w:lineRule="auto"/>
              <w:ind w:firstLine="720"/>
              <w:rPr>
                <w:sz w:val="24"/>
                <w:szCs w:val="24"/>
              </w:rPr>
            </w:pPr>
          </w:p>
          <w:p w14:paraId="1FBBCFA0" w14:textId="77777777" w:rsidR="006108C9" w:rsidRPr="00494CF1" w:rsidRDefault="006108C9" w:rsidP="00494CF1">
            <w:pPr>
              <w:spacing w:line="360" w:lineRule="auto"/>
              <w:jc w:val="both"/>
              <w:rPr>
                <w:sz w:val="24"/>
                <w:szCs w:val="24"/>
              </w:rPr>
            </w:pPr>
          </w:p>
          <w:p w14:paraId="0318E819" w14:textId="707BB67C" w:rsidR="00FC0334" w:rsidRPr="00494CF1" w:rsidRDefault="00795B74" w:rsidP="00494CF1">
            <w:pPr>
              <w:spacing w:line="360" w:lineRule="auto"/>
              <w:jc w:val="both"/>
              <w:rPr>
                <w:sz w:val="24"/>
                <w:szCs w:val="24"/>
              </w:rPr>
            </w:pPr>
            <w:r w:rsidRPr="00494CF1">
              <w:rPr>
                <w:sz w:val="24"/>
                <w:szCs w:val="24"/>
              </w:rPr>
              <w:t>Word Count 54</w:t>
            </w:r>
            <w:r w:rsidR="00BC5D1F" w:rsidRPr="00494CF1">
              <w:rPr>
                <w:sz w:val="24"/>
                <w:szCs w:val="24"/>
              </w:rPr>
              <w:t>5</w:t>
            </w:r>
            <w:r w:rsidRPr="00494CF1">
              <w:rPr>
                <w:sz w:val="24"/>
                <w:szCs w:val="24"/>
              </w:rPr>
              <w:t xml:space="preserve">. </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5A935F28" w14:textId="77777777" w:rsidR="00C95131" w:rsidRDefault="00C95131" w:rsidP="00D200BE">
            <w:pPr>
              <w:spacing w:line="360" w:lineRule="auto"/>
              <w:jc w:val="both"/>
              <w:rPr>
                <w:sz w:val="24"/>
                <w:szCs w:val="24"/>
              </w:rPr>
            </w:pPr>
            <w:r>
              <w:rPr>
                <w:sz w:val="24"/>
                <w:szCs w:val="24"/>
              </w:rPr>
              <w:t xml:space="preserve">Safeguarding is of equal importance of children’s and adult services to ensure the protection of vulnerable people against harm and abuse and there are categories of abuse that are the same for both childrens and adults such as physical abuse and sexual abuse. However, the approach to safeguarding differs between the two, including the issue and legislative framework around consent and capacity. </w:t>
            </w:r>
          </w:p>
          <w:p w14:paraId="62B654ED" w14:textId="77777777" w:rsidR="00C95131" w:rsidRDefault="00C95131" w:rsidP="00D200BE">
            <w:pPr>
              <w:spacing w:line="360" w:lineRule="auto"/>
              <w:jc w:val="both"/>
              <w:rPr>
                <w:sz w:val="24"/>
                <w:szCs w:val="24"/>
              </w:rPr>
            </w:pPr>
          </w:p>
          <w:p w14:paraId="07E4E84F" w14:textId="77777777" w:rsidR="00C95131" w:rsidRDefault="00C95131" w:rsidP="00D200BE">
            <w:pPr>
              <w:spacing w:line="360" w:lineRule="auto"/>
              <w:jc w:val="both"/>
              <w:rPr>
                <w:sz w:val="24"/>
                <w:szCs w:val="24"/>
              </w:rPr>
            </w:pPr>
            <w:r>
              <w:rPr>
                <w:sz w:val="24"/>
                <w:szCs w:val="24"/>
              </w:rPr>
              <w:t xml:space="preserve">In adult safeguarding, a practitioner must consider the principles of the Mental Capacity Act (2005) this includes that an adult is presumed to have capacity unless proven otherwise. If an Adult lacks capacity, then the specific decision must be made in their best interest, considering their known wishes, values and beliefs. Empowerment and autonomy </w:t>
            </w:r>
            <w:proofErr w:type="gramStart"/>
            <w:r>
              <w:rPr>
                <w:sz w:val="24"/>
                <w:szCs w:val="24"/>
              </w:rPr>
              <w:t>is</w:t>
            </w:r>
            <w:proofErr w:type="gramEnd"/>
            <w:r>
              <w:rPr>
                <w:sz w:val="24"/>
                <w:szCs w:val="24"/>
              </w:rPr>
              <w:t xml:space="preserve"> key in adult safeguarding and adults with capacity have the right to make their own decisions, even if it is unwise. For example, an individual who requires care and support at home including support with washing and dressing to prevent self-neglect has the right to decline this support offered even if they are at risk. </w:t>
            </w:r>
          </w:p>
          <w:p w14:paraId="73B0DADD" w14:textId="77777777" w:rsidR="00C95131" w:rsidRDefault="00C95131" w:rsidP="00D200BE">
            <w:pPr>
              <w:spacing w:line="360" w:lineRule="auto"/>
              <w:jc w:val="both"/>
              <w:rPr>
                <w:sz w:val="24"/>
                <w:szCs w:val="24"/>
              </w:rPr>
            </w:pPr>
          </w:p>
          <w:p w14:paraId="62C94B04" w14:textId="774A0175" w:rsidR="00C95131" w:rsidRDefault="00C95131" w:rsidP="00D200BE">
            <w:pPr>
              <w:spacing w:line="360" w:lineRule="auto"/>
              <w:jc w:val="both"/>
              <w:rPr>
                <w:sz w:val="24"/>
                <w:szCs w:val="24"/>
              </w:rPr>
            </w:pPr>
            <w:r>
              <w:rPr>
                <w:sz w:val="24"/>
                <w:szCs w:val="24"/>
              </w:rPr>
              <w:t>In children’s safeguarding</w:t>
            </w:r>
            <w:r w:rsidR="00573F88">
              <w:rPr>
                <w:sz w:val="24"/>
                <w:szCs w:val="24"/>
              </w:rPr>
              <w:t>, whilst a child should be included in decision-making, they are not able to or have the power to make decisions regarding their care and support</w:t>
            </w:r>
            <w:r>
              <w:rPr>
                <w:sz w:val="24"/>
                <w:szCs w:val="24"/>
              </w:rPr>
              <w:t>. The Children Act (1989) places responsibility with decision making on the parents. However, when the parents’ Parental responsibility is question</w:t>
            </w:r>
            <w:r w:rsidR="00573F88">
              <w:rPr>
                <w:sz w:val="24"/>
                <w:szCs w:val="24"/>
              </w:rPr>
              <w:t>ed</w:t>
            </w:r>
            <w:r>
              <w:rPr>
                <w:sz w:val="24"/>
                <w:szCs w:val="24"/>
              </w:rPr>
              <w:t xml:space="preserve"> and there are</w:t>
            </w:r>
            <w:r w:rsidR="00573F88">
              <w:rPr>
                <w:sz w:val="24"/>
                <w:szCs w:val="24"/>
              </w:rPr>
              <w:t xml:space="preserve"> </w:t>
            </w:r>
            <w:r>
              <w:rPr>
                <w:sz w:val="24"/>
                <w:szCs w:val="24"/>
              </w:rPr>
              <w:t>safeguarding concerns the Local Auhtority can apply to the courts for shared responsibility</w:t>
            </w:r>
            <w:r w:rsidR="004E489F">
              <w:rPr>
                <w:sz w:val="24"/>
                <w:szCs w:val="24"/>
              </w:rPr>
              <w:t>,</w:t>
            </w:r>
            <w:r>
              <w:rPr>
                <w:sz w:val="24"/>
                <w:szCs w:val="24"/>
              </w:rPr>
              <w:t xml:space="preserve"> meaning they have more say regarding decision</w:t>
            </w:r>
            <w:r w:rsidR="004E489F">
              <w:rPr>
                <w:sz w:val="24"/>
                <w:szCs w:val="24"/>
              </w:rPr>
              <w:t>s</w:t>
            </w:r>
            <w:r>
              <w:rPr>
                <w:sz w:val="24"/>
                <w:szCs w:val="24"/>
              </w:rPr>
              <w:t xml:space="preserve"> </w:t>
            </w:r>
            <w:r w:rsidR="004E489F">
              <w:rPr>
                <w:sz w:val="24"/>
                <w:szCs w:val="24"/>
              </w:rPr>
              <w:t>considering what is in the</w:t>
            </w:r>
            <w:r>
              <w:rPr>
                <w:sz w:val="24"/>
                <w:szCs w:val="24"/>
              </w:rPr>
              <w:t xml:space="preserve"> </w:t>
            </w:r>
            <w:r w:rsidR="004E489F">
              <w:rPr>
                <w:sz w:val="24"/>
                <w:szCs w:val="24"/>
              </w:rPr>
              <w:t>child’s</w:t>
            </w:r>
            <w:r>
              <w:rPr>
                <w:sz w:val="24"/>
                <w:szCs w:val="24"/>
              </w:rPr>
              <w:t xml:space="preserve"> best interest. Like in Adults the child’s </w:t>
            </w:r>
            <w:r>
              <w:rPr>
                <w:sz w:val="24"/>
                <w:szCs w:val="24"/>
              </w:rPr>
              <w:lastRenderedPageBreak/>
              <w:t xml:space="preserve">social worker must work in the best interest of the child. The SSW(W)A (2014) states that the child must have a voice including obtaining their thoughts, wishes and feelings. Including offering advocacy services to help children express their views. </w:t>
            </w:r>
          </w:p>
          <w:p w14:paraId="5F4FC6AC" w14:textId="4DCBAE2A" w:rsidR="00C95131" w:rsidRDefault="00C95131" w:rsidP="00D200BE">
            <w:pPr>
              <w:spacing w:line="360" w:lineRule="auto"/>
              <w:jc w:val="both"/>
              <w:rPr>
                <w:sz w:val="24"/>
                <w:szCs w:val="24"/>
              </w:rPr>
            </w:pPr>
            <w:r>
              <w:rPr>
                <w:sz w:val="24"/>
                <w:szCs w:val="24"/>
              </w:rPr>
              <w:tab/>
              <w:t xml:space="preserve">However, considering the wishes and feelings of a child and keeping them safe can be challenging. Practitioners will use the Gillick Competence and Fraser Guidelines to balance whether a child is mature enough to make decisions regarding their care and will refer to a child being “Gillick Competent”. Initially the guidelines were developed </w:t>
            </w:r>
            <w:r w:rsidR="00573F88">
              <w:rPr>
                <w:sz w:val="24"/>
                <w:szCs w:val="24"/>
              </w:rPr>
              <w:t>following</w:t>
            </w:r>
            <w:r>
              <w:rPr>
                <w:sz w:val="24"/>
                <w:szCs w:val="24"/>
              </w:rPr>
              <w:t xml:space="preserve"> case law regarding a child being able to make decisions</w:t>
            </w:r>
            <w:r w:rsidR="00573F88">
              <w:rPr>
                <w:sz w:val="24"/>
                <w:szCs w:val="24"/>
              </w:rPr>
              <w:t xml:space="preserve"> involving</w:t>
            </w:r>
            <w:r>
              <w:rPr>
                <w:sz w:val="24"/>
                <w:szCs w:val="24"/>
              </w:rPr>
              <w:t xml:space="preserve"> medical treatment without their parents’ consent</w:t>
            </w:r>
            <w:r w:rsidRPr="00461A20">
              <w:rPr>
                <w:sz w:val="24"/>
                <w:szCs w:val="24"/>
              </w:rPr>
              <w:t xml:space="preserve"> (Gillick v West Norfolk, 1984)</w:t>
            </w:r>
            <w:r>
              <w:rPr>
                <w:sz w:val="24"/>
                <w:szCs w:val="24"/>
              </w:rPr>
              <w:t xml:space="preserve"> (Cited in NSPCC, </w:t>
            </w:r>
            <w:r w:rsidR="00D200BE">
              <w:rPr>
                <w:sz w:val="24"/>
                <w:szCs w:val="24"/>
              </w:rPr>
              <w:t>2022</w:t>
            </w:r>
            <w:r>
              <w:rPr>
                <w:sz w:val="24"/>
                <w:szCs w:val="24"/>
              </w:rPr>
              <w:t>). Whilst Fraser guidelines still refer to sexual health, the Gillick competence whilst mostly used for medical treatment can also be used for other areas of decision</w:t>
            </w:r>
            <w:r w:rsidR="00573F88">
              <w:rPr>
                <w:sz w:val="24"/>
                <w:szCs w:val="24"/>
              </w:rPr>
              <w:t>-</w:t>
            </w:r>
            <w:r>
              <w:rPr>
                <w:sz w:val="24"/>
                <w:szCs w:val="24"/>
              </w:rPr>
              <w:t xml:space="preserve">making </w:t>
            </w:r>
            <w:r w:rsidR="00713A53">
              <w:rPr>
                <w:sz w:val="24"/>
                <w:szCs w:val="24"/>
              </w:rPr>
              <w:t>including</w:t>
            </w:r>
            <w:r>
              <w:rPr>
                <w:sz w:val="24"/>
                <w:szCs w:val="24"/>
              </w:rPr>
              <w:t xml:space="preserve"> their wishes and feeling regarding living arrangements which conflict from their parents. It considers the child’s ability to understand the issue, risks, and consequences as well as their ability to explain their reasoning and consider alternatives. (NSPCC, </w:t>
            </w:r>
            <w:r w:rsidR="00D200BE">
              <w:rPr>
                <w:sz w:val="24"/>
                <w:szCs w:val="24"/>
              </w:rPr>
              <w:t>2022</w:t>
            </w:r>
            <w:r>
              <w:rPr>
                <w:sz w:val="24"/>
                <w:szCs w:val="24"/>
              </w:rPr>
              <w:t xml:space="preserve">) </w:t>
            </w:r>
          </w:p>
          <w:p w14:paraId="128595BF" w14:textId="77777777" w:rsidR="00C95131" w:rsidRDefault="00C95131" w:rsidP="00C95131">
            <w:pPr>
              <w:jc w:val="both"/>
              <w:rPr>
                <w:sz w:val="24"/>
                <w:szCs w:val="24"/>
              </w:rPr>
            </w:pPr>
          </w:p>
          <w:p w14:paraId="795C6051" w14:textId="77777777" w:rsidR="00FC0334" w:rsidRDefault="00FC0334" w:rsidP="00FC0334">
            <w:pPr>
              <w:jc w:val="both"/>
              <w:rPr>
                <w:sz w:val="24"/>
                <w:szCs w:val="24"/>
              </w:rPr>
            </w:pPr>
          </w:p>
          <w:p w14:paraId="67E7ED72" w14:textId="39132306" w:rsidR="00FC0334" w:rsidRDefault="00C95131" w:rsidP="00FC0334">
            <w:pPr>
              <w:jc w:val="both"/>
              <w:rPr>
                <w:sz w:val="24"/>
                <w:szCs w:val="24"/>
              </w:rPr>
            </w:pPr>
            <w:r>
              <w:rPr>
                <w:sz w:val="24"/>
                <w:szCs w:val="24"/>
              </w:rPr>
              <w:t>Word count 4</w:t>
            </w:r>
            <w:r w:rsidR="00713A53">
              <w:rPr>
                <w:sz w:val="24"/>
                <w:szCs w:val="24"/>
              </w:rPr>
              <w:t xml:space="preserve">40 </w:t>
            </w:r>
            <w:r>
              <w:rPr>
                <w:sz w:val="24"/>
                <w:szCs w:val="24"/>
              </w:rPr>
              <w:t xml:space="preserve"> </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FA42B" w14:textId="77777777" w:rsidR="00267C30" w:rsidRDefault="00267C30">
      <w:r>
        <w:separator/>
      </w:r>
    </w:p>
  </w:endnote>
  <w:endnote w:type="continuationSeparator" w:id="0">
    <w:p w14:paraId="4C23A18B" w14:textId="77777777" w:rsidR="00267C30" w:rsidRDefault="00267C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68605" w14:textId="77777777" w:rsidR="00267C30" w:rsidRDefault="00267C30">
      <w:r>
        <w:separator/>
      </w:r>
    </w:p>
  </w:footnote>
  <w:footnote w:type="continuationSeparator" w:id="0">
    <w:p w14:paraId="363399E3" w14:textId="77777777" w:rsidR="00267C30" w:rsidRDefault="00267C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620D"/>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C30"/>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7C46"/>
    <w:rsid w:val="00354B6D"/>
    <w:rsid w:val="00355210"/>
    <w:rsid w:val="00355CFD"/>
    <w:rsid w:val="00355EA8"/>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327B"/>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DC9"/>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0527"/>
    <w:rsid w:val="00482C17"/>
    <w:rsid w:val="00484CE3"/>
    <w:rsid w:val="004911B4"/>
    <w:rsid w:val="0049196A"/>
    <w:rsid w:val="004923DA"/>
    <w:rsid w:val="00492EEB"/>
    <w:rsid w:val="00493434"/>
    <w:rsid w:val="0049374F"/>
    <w:rsid w:val="00494CF1"/>
    <w:rsid w:val="00495050"/>
    <w:rsid w:val="004968E2"/>
    <w:rsid w:val="004A2A49"/>
    <w:rsid w:val="004A5A64"/>
    <w:rsid w:val="004B4EAA"/>
    <w:rsid w:val="004B5553"/>
    <w:rsid w:val="004B600B"/>
    <w:rsid w:val="004B6822"/>
    <w:rsid w:val="004B69F6"/>
    <w:rsid w:val="004C2D3A"/>
    <w:rsid w:val="004D03C4"/>
    <w:rsid w:val="004D0BF1"/>
    <w:rsid w:val="004D0F4E"/>
    <w:rsid w:val="004D3278"/>
    <w:rsid w:val="004D35A4"/>
    <w:rsid w:val="004D445F"/>
    <w:rsid w:val="004E087B"/>
    <w:rsid w:val="004E44A4"/>
    <w:rsid w:val="004E489F"/>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7772"/>
    <w:rsid w:val="00521123"/>
    <w:rsid w:val="00521221"/>
    <w:rsid w:val="0052250B"/>
    <w:rsid w:val="005305C6"/>
    <w:rsid w:val="00540EEC"/>
    <w:rsid w:val="005414F4"/>
    <w:rsid w:val="00546187"/>
    <w:rsid w:val="00547B11"/>
    <w:rsid w:val="00557D77"/>
    <w:rsid w:val="00562EAA"/>
    <w:rsid w:val="00563B58"/>
    <w:rsid w:val="005640C4"/>
    <w:rsid w:val="0056684C"/>
    <w:rsid w:val="00573F88"/>
    <w:rsid w:val="00574A0C"/>
    <w:rsid w:val="0057780F"/>
    <w:rsid w:val="00581E0A"/>
    <w:rsid w:val="00586D89"/>
    <w:rsid w:val="005877C8"/>
    <w:rsid w:val="00587923"/>
    <w:rsid w:val="00594F9F"/>
    <w:rsid w:val="005A1B4C"/>
    <w:rsid w:val="005A4B32"/>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2425"/>
    <w:rsid w:val="006E481E"/>
    <w:rsid w:val="006E795F"/>
    <w:rsid w:val="006F0862"/>
    <w:rsid w:val="006F1438"/>
    <w:rsid w:val="006F2A9E"/>
    <w:rsid w:val="006F5ED3"/>
    <w:rsid w:val="00700249"/>
    <w:rsid w:val="007069CD"/>
    <w:rsid w:val="00706BB5"/>
    <w:rsid w:val="0071231A"/>
    <w:rsid w:val="00712E90"/>
    <w:rsid w:val="00713A53"/>
    <w:rsid w:val="00713B7E"/>
    <w:rsid w:val="0072678F"/>
    <w:rsid w:val="007276E5"/>
    <w:rsid w:val="00727C4C"/>
    <w:rsid w:val="00734809"/>
    <w:rsid w:val="0073714E"/>
    <w:rsid w:val="007374EF"/>
    <w:rsid w:val="007406E1"/>
    <w:rsid w:val="00743E40"/>
    <w:rsid w:val="00745016"/>
    <w:rsid w:val="00746D6B"/>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B7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1B17"/>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46F"/>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119"/>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3DC0"/>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0EC4"/>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5D1F"/>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5131"/>
    <w:rsid w:val="00CA0894"/>
    <w:rsid w:val="00CA3593"/>
    <w:rsid w:val="00CA5096"/>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00B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62DC"/>
    <w:rsid w:val="00DC1B10"/>
    <w:rsid w:val="00DC2924"/>
    <w:rsid w:val="00DC4729"/>
    <w:rsid w:val="00DC50A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7017"/>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F04"/>
    <w:rsid w:val="00EA4D48"/>
    <w:rsid w:val="00EA7ADF"/>
    <w:rsid w:val="00EB2173"/>
    <w:rsid w:val="00EB62E6"/>
    <w:rsid w:val="00EB695F"/>
    <w:rsid w:val="00EC3A85"/>
    <w:rsid w:val="00EC4B89"/>
    <w:rsid w:val="00EC59A5"/>
    <w:rsid w:val="00EC6E15"/>
    <w:rsid w:val="00ED1B30"/>
    <w:rsid w:val="00ED5D03"/>
    <w:rsid w:val="00EE01ED"/>
    <w:rsid w:val="00EE0544"/>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2E37"/>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946"/>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1179</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Daisy Sharma</cp:lastModifiedBy>
  <cp:revision>2</cp:revision>
  <cp:lastPrinted>2020-02-11T19:20:00Z</cp:lastPrinted>
  <dcterms:created xsi:type="dcterms:W3CDTF">2025-02-17T20:54:00Z</dcterms:created>
  <dcterms:modified xsi:type="dcterms:W3CDTF">2025-02-17T20:54:00Z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