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2D0AB6" w14:textId="4D817841" w:rsidR="00F70C1A" w:rsidRDefault="00F70C1A" w:rsidP="00F70C1A">
      <w:pPr>
        <w:pStyle w:val="NormalWeb"/>
        <w:spacing w:before="0" w:beforeAutospacing="0" w:after="0" w:afterAutospacing="0"/>
        <w:ind w:left="-180" w:right="-334"/>
      </w:pPr>
      <w:r>
        <w:rPr>
          <w:noProof/>
          <w:lang w:eastAsia="en-GB"/>
        </w:rPr>
        <w:drawing>
          <wp:inline distT="0" distB="0" distL="0" distR="0" wp14:anchorId="6704A4A4" wp14:editId="40CB2CC6">
            <wp:extent cx="1911350" cy="640080"/>
            <wp:effectExtent l="25400" t="25400" r="1905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350" cy="640080"/>
                    </a:xfrm>
                    <a:prstGeom prst="rect">
                      <a:avLst/>
                    </a:prstGeom>
                    <a:noFill/>
                    <a:ln w="19050" cmpd="sng">
                      <a:solidFill>
                        <a:srgbClr val="000000"/>
                      </a:solidFill>
                      <a:miter lim="800000"/>
                      <a:headEnd/>
                      <a:tailEnd/>
                    </a:ln>
                    <a:effectLst/>
                  </pic:spPr>
                </pic:pic>
              </a:graphicData>
            </a:graphic>
          </wp:inline>
        </w:drawing>
      </w:r>
    </w:p>
    <w:p w14:paraId="3300A782" w14:textId="77777777" w:rsidR="00F70C1A" w:rsidRDefault="00F70C1A" w:rsidP="00F70C1A">
      <w:pPr>
        <w:pStyle w:val="NormalWeb"/>
        <w:spacing w:before="0" w:beforeAutospacing="0" w:after="0" w:afterAutospacing="0"/>
        <w:ind w:left="-180" w:right="-334"/>
      </w:pPr>
    </w:p>
    <w:p w14:paraId="3B26F354" w14:textId="77777777" w:rsidR="00F70C1A" w:rsidRDefault="00F70C1A" w:rsidP="00F70C1A">
      <w:pPr>
        <w:pStyle w:val="NormalWeb"/>
        <w:spacing w:before="0" w:beforeAutospacing="0" w:after="0" w:afterAutospacing="0"/>
        <w:ind w:left="-180" w:right="-334"/>
      </w:pPr>
    </w:p>
    <w:p w14:paraId="6051B3D5" w14:textId="77777777" w:rsidR="00F70C1A" w:rsidRDefault="00F70C1A" w:rsidP="00F70C1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96CD5CF" w14:textId="77777777" w:rsidR="00F70C1A" w:rsidRPr="00230F35" w:rsidRDefault="00F70C1A" w:rsidP="00F70C1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F534177" w14:textId="77777777" w:rsidR="00F70C1A" w:rsidRPr="00230F35" w:rsidRDefault="00F70C1A" w:rsidP="00F70C1A">
      <w:pPr>
        <w:rPr>
          <w:rFonts w:ascii="Arial" w:hAnsi="Arial" w:cs="Arial"/>
          <w:sz w:val="28"/>
          <w:szCs w:val="28"/>
          <w:lang w:val="cy-GB"/>
        </w:rPr>
      </w:pPr>
    </w:p>
    <w:p w14:paraId="58032ED9" w14:textId="77777777" w:rsidR="00F70C1A" w:rsidRDefault="00F70C1A" w:rsidP="00F70C1A">
      <w:pPr>
        <w:pStyle w:val="Heading3"/>
        <w:jc w:val="center"/>
        <w:rPr>
          <w:lang w:val="cy-GB"/>
        </w:rPr>
      </w:pPr>
      <w:r>
        <w:rPr>
          <w:lang w:val="cy-GB"/>
        </w:rPr>
        <w:t>THIS SHEET MUST BE THE FIRST PAGE OF THE ASSIGNMENT YOU ARE SUBMITTING  (DO NOT SEND AS A SEPARATE FILE)</w:t>
      </w:r>
    </w:p>
    <w:p w14:paraId="0D2912A7" w14:textId="77777777" w:rsidR="00F70C1A" w:rsidRDefault="00F70C1A" w:rsidP="00F70C1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70C1A" w:rsidRPr="00230F35" w14:paraId="263F98E0" w14:textId="77777777" w:rsidTr="00B34447">
        <w:trPr>
          <w:trHeight w:val="614"/>
        </w:trPr>
        <w:tc>
          <w:tcPr>
            <w:tcW w:w="8856" w:type="dxa"/>
            <w:gridSpan w:val="5"/>
          </w:tcPr>
          <w:p w14:paraId="7BBD3FA5" w14:textId="77777777" w:rsidR="00F70C1A" w:rsidRPr="00230F35" w:rsidRDefault="00F70C1A" w:rsidP="00B3444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70C1A" w:rsidRPr="00230F35" w14:paraId="2E6BE905" w14:textId="77777777" w:rsidTr="00B34447">
        <w:trPr>
          <w:trHeight w:val="718"/>
        </w:trPr>
        <w:tc>
          <w:tcPr>
            <w:tcW w:w="8856" w:type="dxa"/>
            <w:gridSpan w:val="5"/>
          </w:tcPr>
          <w:p w14:paraId="70D88DA2" w14:textId="1599E2D9" w:rsidR="00F70C1A" w:rsidRDefault="00F70C1A" w:rsidP="00B344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Nicolas </w:t>
            </w:r>
            <w:proofErr w:type="spellStart"/>
            <w:r>
              <w:rPr>
                <w:rFonts w:ascii="Arial" w:hAnsi="Arial" w:cs="Arial"/>
                <w:sz w:val="22"/>
                <w:szCs w:val="22"/>
              </w:rPr>
              <w:t>Heidrich</w:t>
            </w:r>
            <w:proofErr w:type="spellEnd"/>
          </w:p>
          <w:p w14:paraId="3EBE6BE6" w14:textId="77777777" w:rsidR="00F70C1A" w:rsidRPr="00230F35" w:rsidRDefault="00F70C1A" w:rsidP="00B34447">
            <w:pPr>
              <w:pStyle w:val="NormalWeb"/>
              <w:spacing w:before="0" w:beforeAutospacing="0" w:after="0" w:afterAutospacing="0"/>
              <w:ind w:right="34"/>
              <w:rPr>
                <w:rFonts w:ascii="Arial" w:hAnsi="Arial" w:cs="Arial"/>
                <w:sz w:val="22"/>
                <w:szCs w:val="22"/>
              </w:rPr>
            </w:pPr>
          </w:p>
          <w:p w14:paraId="2A3E2DB3" w14:textId="7F5C6E3F" w:rsidR="00F70C1A" w:rsidRPr="00230F35" w:rsidRDefault="00F70C1A" w:rsidP="00B344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923785">
              <w:rPr>
                <w:rFonts w:ascii="Arial" w:hAnsi="Arial" w:cs="Arial"/>
                <w:sz w:val="22"/>
                <w:szCs w:val="22"/>
              </w:rPr>
              <w:t>2329558@student.uwtsd.ac.uk</w:t>
            </w:r>
          </w:p>
        </w:tc>
      </w:tr>
      <w:tr w:rsidR="00F70C1A" w:rsidRPr="00230F35" w14:paraId="34627E0F" w14:textId="77777777" w:rsidTr="00B34447">
        <w:trPr>
          <w:trHeight w:val="849"/>
        </w:trPr>
        <w:tc>
          <w:tcPr>
            <w:tcW w:w="4788" w:type="dxa"/>
          </w:tcPr>
          <w:p w14:paraId="7CD7391B" w14:textId="4721328E" w:rsidR="00F70C1A" w:rsidRPr="00230F35" w:rsidRDefault="00F70C1A" w:rsidP="00B344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Pr>
                <w:rFonts w:ascii="Arial" w:hAnsi="Arial" w:cs="Arial"/>
                <w:sz w:val="22"/>
                <w:szCs w:val="22"/>
              </w:rPr>
              <w:t>HPCA7015</w:t>
            </w:r>
          </w:p>
          <w:p w14:paraId="67B6CE45" w14:textId="77777777" w:rsidR="00F70C1A" w:rsidRPr="00230F35" w:rsidRDefault="00F70C1A" w:rsidP="00B34447">
            <w:pPr>
              <w:pStyle w:val="NormalWeb"/>
              <w:spacing w:before="0" w:beforeAutospacing="0" w:after="0" w:afterAutospacing="0"/>
              <w:ind w:right="34"/>
              <w:rPr>
                <w:rFonts w:ascii="Arial" w:hAnsi="Arial" w:cs="Arial"/>
                <w:sz w:val="22"/>
                <w:szCs w:val="22"/>
              </w:rPr>
            </w:pPr>
          </w:p>
          <w:p w14:paraId="6B142ADE" w14:textId="5F9D54DD" w:rsidR="00F70C1A" w:rsidRDefault="00F70C1A" w:rsidP="00B344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Geography</w:t>
            </w:r>
          </w:p>
          <w:p w14:paraId="7FBD85E0" w14:textId="77777777" w:rsidR="00F70C1A" w:rsidRDefault="00F70C1A" w:rsidP="00B34447">
            <w:pPr>
              <w:pStyle w:val="NormalWeb"/>
              <w:spacing w:before="0" w:beforeAutospacing="0" w:after="0" w:afterAutospacing="0"/>
              <w:ind w:right="34"/>
              <w:rPr>
                <w:rFonts w:ascii="Arial" w:hAnsi="Arial" w:cs="Arial"/>
                <w:sz w:val="22"/>
                <w:szCs w:val="22"/>
              </w:rPr>
            </w:pPr>
          </w:p>
          <w:p w14:paraId="24C5CCB3" w14:textId="77777777" w:rsidR="00F70C1A" w:rsidRPr="00230F35" w:rsidRDefault="00F70C1A" w:rsidP="00B34447">
            <w:pPr>
              <w:pStyle w:val="NormalWeb"/>
              <w:spacing w:before="0" w:beforeAutospacing="0" w:after="0" w:afterAutospacing="0"/>
              <w:ind w:right="34"/>
              <w:rPr>
                <w:rFonts w:ascii="Arial" w:hAnsi="Arial" w:cs="Arial"/>
                <w:sz w:val="22"/>
                <w:szCs w:val="22"/>
              </w:rPr>
            </w:pPr>
          </w:p>
        </w:tc>
        <w:tc>
          <w:tcPr>
            <w:tcW w:w="2266" w:type="dxa"/>
            <w:gridSpan w:val="3"/>
          </w:tcPr>
          <w:p w14:paraId="36FF5CAE" w14:textId="77777777" w:rsidR="00F70C1A" w:rsidRDefault="00F70C1A" w:rsidP="00B344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34ABF46" w14:textId="7D935646" w:rsidR="00F70C1A" w:rsidRPr="00230F35" w:rsidRDefault="00F70C1A" w:rsidP="00B34447">
            <w:pPr>
              <w:pStyle w:val="NormalWeb"/>
              <w:spacing w:before="0" w:beforeAutospacing="0" w:after="0" w:afterAutospacing="0"/>
              <w:ind w:right="34"/>
              <w:rPr>
                <w:rFonts w:ascii="Arial" w:hAnsi="Arial" w:cs="Arial"/>
                <w:sz w:val="22"/>
                <w:szCs w:val="22"/>
              </w:rPr>
            </w:pPr>
            <w:r w:rsidRPr="00923785">
              <w:rPr>
                <w:rFonts w:ascii="Arial" w:hAnsi="Arial" w:cs="Arial"/>
                <w:sz w:val="22"/>
                <w:szCs w:val="22"/>
              </w:rPr>
              <w:t>2329558</w:t>
            </w:r>
          </w:p>
        </w:tc>
        <w:tc>
          <w:tcPr>
            <w:tcW w:w="1802" w:type="dxa"/>
          </w:tcPr>
          <w:p w14:paraId="7598CEDF" w14:textId="77777777" w:rsidR="00F70C1A" w:rsidRPr="00230F35" w:rsidRDefault="00F70C1A" w:rsidP="00B344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245372D" w14:textId="78C9C333" w:rsidR="00F70C1A" w:rsidRPr="00230F35" w:rsidRDefault="00F70C1A" w:rsidP="00B344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F70C1A" w:rsidRPr="00230F35" w14:paraId="2F33F314" w14:textId="77777777" w:rsidTr="00F70C1A">
        <w:trPr>
          <w:trHeight w:val="1163"/>
        </w:trPr>
        <w:tc>
          <w:tcPr>
            <w:tcW w:w="8856" w:type="dxa"/>
            <w:gridSpan w:val="5"/>
          </w:tcPr>
          <w:p w14:paraId="3C519770" w14:textId="77777777" w:rsidR="00F70C1A" w:rsidRDefault="00F70C1A" w:rsidP="00F70C1A">
            <w:pPr>
              <w:rPr>
                <w:rFonts w:ascii="Calibri" w:hAnsi="Calibri" w:cs="Arial"/>
                <w:b/>
                <w:color w:val="333333"/>
                <w:u w:val="single"/>
              </w:rPr>
            </w:pPr>
            <w:r w:rsidRPr="00230F35">
              <w:rPr>
                <w:rFonts w:ascii="Arial" w:hAnsi="Arial" w:cs="Arial"/>
                <w:sz w:val="22"/>
                <w:szCs w:val="22"/>
              </w:rPr>
              <w:t>Assignment title:</w:t>
            </w:r>
            <w:r>
              <w:rPr>
                <w:rFonts w:ascii="Arial" w:hAnsi="Arial" w:cs="Arial"/>
                <w:sz w:val="22"/>
                <w:szCs w:val="22"/>
              </w:rPr>
              <w:t xml:space="preserve"> </w:t>
            </w:r>
            <w:r w:rsidRPr="00F70C1A">
              <w:rPr>
                <w:rFonts w:ascii="Calibri" w:hAnsi="Calibri" w:cs="Arial"/>
                <w:color w:val="333333"/>
              </w:rPr>
              <w:t xml:space="preserve">Compare and critically contrast </w:t>
            </w:r>
            <w:proofErr w:type="spellStart"/>
            <w:r w:rsidRPr="00F70C1A">
              <w:rPr>
                <w:rFonts w:ascii="Calibri" w:hAnsi="Calibri" w:cs="Arial"/>
                <w:color w:val="333333"/>
              </w:rPr>
              <w:t>Mircea</w:t>
            </w:r>
            <w:proofErr w:type="spellEnd"/>
            <w:r w:rsidRPr="00F70C1A">
              <w:rPr>
                <w:rFonts w:ascii="Calibri" w:hAnsi="Calibri" w:cs="Arial"/>
                <w:color w:val="333333"/>
              </w:rPr>
              <w:t xml:space="preserve"> Eliade and Emile Durkheim’s views of sacred space</w:t>
            </w:r>
          </w:p>
          <w:p w14:paraId="5109BAA7" w14:textId="77777777" w:rsidR="00F70C1A" w:rsidRDefault="00F70C1A" w:rsidP="00B34447">
            <w:pPr>
              <w:pStyle w:val="NormalWeb"/>
              <w:spacing w:before="0" w:beforeAutospacing="0" w:after="0" w:afterAutospacing="0"/>
              <w:ind w:right="34"/>
              <w:rPr>
                <w:rFonts w:ascii="Arial" w:hAnsi="Arial" w:cs="Arial"/>
                <w:sz w:val="22"/>
                <w:szCs w:val="22"/>
              </w:rPr>
            </w:pPr>
          </w:p>
          <w:p w14:paraId="7D4A8742" w14:textId="6F526938" w:rsidR="00F70C1A" w:rsidRPr="00230F35" w:rsidRDefault="00F70C1A" w:rsidP="00B344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14/11/2024</w:t>
            </w:r>
          </w:p>
        </w:tc>
      </w:tr>
      <w:tr w:rsidR="00F70C1A" w:rsidRPr="00230F35" w14:paraId="7CD2B02C" w14:textId="77777777" w:rsidTr="00B34447">
        <w:trPr>
          <w:trHeight w:val="978"/>
        </w:trPr>
        <w:tc>
          <w:tcPr>
            <w:tcW w:w="8856" w:type="dxa"/>
            <w:gridSpan w:val="5"/>
            <w:tcBorders>
              <w:bottom w:val="single" w:sz="4" w:space="0" w:color="000000"/>
            </w:tcBorders>
          </w:tcPr>
          <w:p w14:paraId="770102BB" w14:textId="77777777" w:rsidR="00F70C1A" w:rsidRPr="00230F35" w:rsidRDefault="00F70C1A" w:rsidP="00B34447">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F70C1A" w:rsidRPr="00230F35" w14:paraId="7FD3DD46" w14:textId="77777777" w:rsidTr="00B34447">
        <w:trPr>
          <w:trHeight w:val="978"/>
        </w:trPr>
        <w:tc>
          <w:tcPr>
            <w:tcW w:w="8856" w:type="dxa"/>
            <w:gridSpan w:val="5"/>
            <w:shd w:val="clear" w:color="auto" w:fill="D9D9D9"/>
          </w:tcPr>
          <w:p w14:paraId="39BD8C15" w14:textId="77777777" w:rsidR="00F70C1A" w:rsidRPr="00230F35" w:rsidRDefault="00F70C1A" w:rsidP="00B344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7B3E476" w14:textId="479B868C" w:rsidR="00F70C1A" w:rsidRDefault="00F70C1A" w:rsidP="00B344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 xml:space="preserve"> NICOLAS HEIDRICH</w:t>
            </w:r>
            <w:r w:rsidRPr="00230F35">
              <w:rPr>
                <w:rFonts w:ascii="Arial" w:hAnsi="Arial" w:cs="Arial"/>
                <w:sz w:val="22"/>
                <w:szCs w:val="22"/>
              </w:rPr>
              <w:t xml:space="preserve"> ……………………………………………………………</w:t>
            </w:r>
          </w:p>
          <w:p w14:paraId="0B504CC0" w14:textId="77777777" w:rsidR="00F70C1A" w:rsidRDefault="00F70C1A" w:rsidP="00B3444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229D18F9" w14:textId="77777777" w:rsidR="00F70C1A" w:rsidRPr="00230F35" w:rsidRDefault="00F70C1A" w:rsidP="00B3444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70C1A" w:rsidRPr="00230F35" w14:paraId="23630E46" w14:textId="77777777" w:rsidTr="00B34447">
        <w:trPr>
          <w:trHeight w:val="3972"/>
        </w:trPr>
        <w:tc>
          <w:tcPr>
            <w:tcW w:w="8856" w:type="dxa"/>
            <w:gridSpan w:val="5"/>
          </w:tcPr>
          <w:p w14:paraId="7DDCB7F1" w14:textId="77777777" w:rsidR="00F70C1A" w:rsidRDefault="00F70C1A" w:rsidP="00B34447">
            <w:pPr>
              <w:rPr>
                <w:rFonts w:ascii="Arial" w:hAnsi="Arial"/>
                <w:b/>
              </w:rPr>
            </w:pPr>
          </w:p>
          <w:p w14:paraId="17899FF3" w14:textId="77777777" w:rsidR="00F70C1A" w:rsidRPr="00116CE6" w:rsidRDefault="00F70C1A" w:rsidP="00B3444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70C1A" w:rsidRPr="00116CE6" w14:paraId="445CBEF7" w14:textId="77777777" w:rsidTr="00B34447">
              <w:tc>
                <w:tcPr>
                  <w:tcW w:w="6970" w:type="dxa"/>
                </w:tcPr>
                <w:p w14:paraId="15C9E973" w14:textId="77777777" w:rsidR="00F70C1A" w:rsidRPr="00116CE6" w:rsidRDefault="00F70C1A" w:rsidP="00B34447">
                  <w:pPr>
                    <w:rPr>
                      <w:rFonts w:ascii="Arial" w:hAnsi="Arial"/>
                      <w:sz w:val="20"/>
                      <w:szCs w:val="20"/>
                    </w:rPr>
                  </w:pPr>
                </w:p>
                <w:p w14:paraId="7E0D8EC8" w14:textId="77777777" w:rsidR="00F70C1A" w:rsidRPr="00116CE6" w:rsidRDefault="00F70C1A" w:rsidP="00B3444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92B7CB9" w14:textId="77777777" w:rsidR="00F70C1A" w:rsidRPr="00116CE6" w:rsidRDefault="00F70C1A" w:rsidP="00B34447">
                  <w:pPr>
                    <w:rPr>
                      <w:rFonts w:ascii="Arial" w:hAnsi="Arial"/>
                      <w:sz w:val="20"/>
                      <w:szCs w:val="20"/>
                    </w:rPr>
                  </w:pPr>
                </w:p>
              </w:tc>
            </w:tr>
            <w:tr w:rsidR="00F70C1A" w:rsidRPr="00116CE6" w14:paraId="43165EB0" w14:textId="77777777" w:rsidTr="00B34447">
              <w:tc>
                <w:tcPr>
                  <w:tcW w:w="6970" w:type="dxa"/>
                </w:tcPr>
                <w:p w14:paraId="3516E9F0" w14:textId="77777777" w:rsidR="00F70C1A" w:rsidRPr="00116CE6" w:rsidRDefault="00F70C1A" w:rsidP="00B34447">
                  <w:pPr>
                    <w:rPr>
                      <w:rFonts w:ascii="Arial" w:hAnsi="Arial"/>
                      <w:sz w:val="20"/>
                      <w:szCs w:val="20"/>
                    </w:rPr>
                  </w:pPr>
                </w:p>
                <w:p w14:paraId="4B197EB8" w14:textId="77777777" w:rsidR="00F70C1A" w:rsidRPr="00116CE6" w:rsidRDefault="00F70C1A" w:rsidP="00B3444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C1F2D37" w14:textId="77777777" w:rsidR="00F70C1A" w:rsidRPr="00116CE6" w:rsidRDefault="00F70C1A" w:rsidP="00B34447">
                  <w:pPr>
                    <w:rPr>
                      <w:rFonts w:ascii="Arial" w:hAnsi="Arial"/>
                      <w:sz w:val="20"/>
                      <w:szCs w:val="20"/>
                    </w:rPr>
                  </w:pPr>
                </w:p>
              </w:tc>
            </w:tr>
            <w:tr w:rsidR="00F70C1A" w:rsidRPr="00116CE6" w14:paraId="5C3F50D8" w14:textId="77777777" w:rsidTr="00B34447">
              <w:tc>
                <w:tcPr>
                  <w:tcW w:w="6970" w:type="dxa"/>
                </w:tcPr>
                <w:p w14:paraId="4C3B5942" w14:textId="77777777" w:rsidR="00F70C1A" w:rsidRPr="00116CE6" w:rsidRDefault="00F70C1A" w:rsidP="00B34447">
                  <w:pPr>
                    <w:rPr>
                      <w:rFonts w:ascii="Arial" w:hAnsi="Arial"/>
                      <w:sz w:val="20"/>
                      <w:szCs w:val="20"/>
                    </w:rPr>
                  </w:pPr>
                </w:p>
                <w:p w14:paraId="1BDC1238" w14:textId="77777777" w:rsidR="00F70C1A" w:rsidRPr="00116CE6" w:rsidRDefault="00F70C1A" w:rsidP="00B3444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4B3AEA1" w14:textId="77777777" w:rsidR="00F70C1A" w:rsidRPr="00116CE6" w:rsidRDefault="00F70C1A" w:rsidP="00B34447">
                  <w:pPr>
                    <w:rPr>
                      <w:rFonts w:ascii="Arial" w:hAnsi="Arial"/>
                      <w:sz w:val="20"/>
                      <w:szCs w:val="20"/>
                    </w:rPr>
                  </w:pPr>
                </w:p>
              </w:tc>
            </w:tr>
            <w:tr w:rsidR="00F70C1A" w:rsidRPr="00116CE6" w14:paraId="15CED02B" w14:textId="77777777" w:rsidTr="00B34447">
              <w:tc>
                <w:tcPr>
                  <w:tcW w:w="6970" w:type="dxa"/>
                </w:tcPr>
                <w:p w14:paraId="040D6010" w14:textId="77777777" w:rsidR="00F70C1A" w:rsidRDefault="00F70C1A" w:rsidP="00B34447">
                  <w:pPr>
                    <w:rPr>
                      <w:rFonts w:ascii="Arial" w:hAnsi="Arial"/>
                      <w:sz w:val="20"/>
                      <w:szCs w:val="20"/>
                    </w:rPr>
                  </w:pPr>
                </w:p>
                <w:p w14:paraId="102B0761" w14:textId="77777777" w:rsidR="00F70C1A" w:rsidRPr="00022345" w:rsidRDefault="00F70C1A" w:rsidP="00B34447">
                  <w:pPr>
                    <w:rPr>
                      <w:rFonts w:ascii="Arial" w:hAnsi="Arial"/>
                      <w:b/>
                      <w:sz w:val="20"/>
                      <w:szCs w:val="20"/>
                    </w:rPr>
                  </w:pPr>
                  <w:r w:rsidRPr="00022345">
                    <w:rPr>
                      <w:rFonts w:ascii="Arial" w:hAnsi="Arial"/>
                      <w:b/>
                      <w:sz w:val="20"/>
                      <w:szCs w:val="20"/>
                    </w:rPr>
                    <w:t>Final Mark</w:t>
                  </w:r>
                </w:p>
                <w:p w14:paraId="5DC6C53D" w14:textId="77777777" w:rsidR="00F70C1A" w:rsidRPr="00116CE6" w:rsidRDefault="00F70C1A" w:rsidP="00B34447">
                  <w:pPr>
                    <w:rPr>
                      <w:rFonts w:ascii="Arial" w:hAnsi="Arial"/>
                      <w:sz w:val="20"/>
                      <w:szCs w:val="20"/>
                    </w:rPr>
                  </w:pPr>
                </w:p>
              </w:tc>
              <w:tc>
                <w:tcPr>
                  <w:tcW w:w="1660" w:type="dxa"/>
                </w:tcPr>
                <w:p w14:paraId="2D89AD6C" w14:textId="77777777" w:rsidR="00F70C1A" w:rsidRPr="00116CE6" w:rsidRDefault="00F70C1A" w:rsidP="00B34447">
                  <w:pPr>
                    <w:rPr>
                      <w:rFonts w:ascii="Arial" w:hAnsi="Arial"/>
                      <w:sz w:val="20"/>
                      <w:szCs w:val="20"/>
                    </w:rPr>
                  </w:pPr>
                </w:p>
              </w:tc>
            </w:tr>
          </w:tbl>
          <w:p w14:paraId="3A14C37C" w14:textId="77777777" w:rsidR="00F70C1A" w:rsidRDefault="00F70C1A" w:rsidP="00B34447">
            <w:pPr>
              <w:pStyle w:val="NormalWeb"/>
              <w:spacing w:before="0" w:beforeAutospacing="0" w:after="0" w:afterAutospacing="0"/>
              <w:ind w:left="142" w:right="34"/>
              <w:rPr>
                <w:rFonts w:ascii="Arial" w:hAnsi="Arial" w:cs="Arial"/>
                <w:b/>
                <w:sz w:val="22"/>
                <w:szCs w:val="22"/>
              </w:rPr>
            </w:pPr>
          </w:p>
          <w:p w14:paraId="499C38EC" w14:textId="77777777" w:rsidR="00F70C1A" w:rsidRPr="00230F35" w:rsidRDefault="00F70C1A" w:rsidP="00B3444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9409D84" w14:textId="77777777" w:rsidR="00F70C1A" w:rsidRDefault="00F70C1A" w:rsidP="00B34447">
            <w:pPr>
              <w:pStyle w:val="NormalWeb"/>
              <w:spacing w:before="0" w:beforeAutospacing="0" w:after="0" w:afterAutospacing="0"/>
              <w:rPr>
                <w:rFonts w:ascii="Arial" w:hAnsi="Arial" w:cs="Arial"/>
                <w:b/>
                <w:sz w:val="22"/>
                <w:szCs w:val="22"/>
              </w:rPr>
            </w:pPr>
          </w:p>
          <w:p w14:paraId="0EE77406" w14:textId="77777777" w:rsidR="00F70C1A" w:rsidRDefault="00F70C1A" w:rsidP="00B34447">
            <w:pPr>
              <w:pStyle w:val="NormalWeb"/>
              <w:spacing w:before="0" w:beforeAutospacing="0" w:after="0" w:afterAutospacing="0"/>
              <w:rPr>
                <w:rFonts w:ascii="Arial" w:hAnsi="Arial" w:cs="Arial"/>
                <w:b/>
                <w:sz w:val="22"/>
                <w:szCs w:val="22"/>
              </w:rPr>
            </w:pPr>
          </w:p>
          <w:p w14:paraId="605ABDF4" w14:textId="77777777" w:rsidR="00F70C1A" w:rsidRDefault="00F70C1A" w:rsidP="00B34447">
            <w:pPr>
              <w:pStyle w:val="NormalWeb"/>
              <w:spacing w:before="0" w:beforeAutospacing="0" w:after="0" w:afterAutospacing="0"/>
              <w:rPr>
                <w:rFonts w:ascii="Arial" w:hAnsi="Arial" w:cs="Arial"/>
                <w:b/>
                <w:sz w:val="22"/>
                <w:szCs w:val="22"/>
              </w:rPr>
            </w:pPr>
          </w:p>
          <w:p w14:paraId="14362730" w14:textId="77777777" w:rsidR="00F70C1A" w:rsidRDefault="00F70C1A" w:rsidP="00B34447">
            <w:pPr>
              <w:pStyle w:val="NormalWeb"/>
              <w:spacing w:before="0" w:beforeAutospacing="0" w:after="0" w:afterAutospacing="0"/>
              <w:rPr>
                <w:rFonts w:ascii="Arial" w:hAnsi="Arial" w:cs="Arial"/>
                <w:b/>
                <w:sz w:val="22"/>
                <w:szCs w:val="22"/>
              </w:rPr>
            </w:pPr>
          </w:p>
          <w:p w14:paraId="7C8A2557" w14:textId="77777777" w:rsidR="00F70C1A" w:rsidRDefault="00F70C1A" w:rsidP="00B34447">
            <w:pPr>
              <w:pStyle w:val="NormalWeb"/>
              <w:spacing w:before="0" w:beforeAutospacing="0" w:after="0" w:afterAutospacing="0"/>
              <w:rPr>
                <w:rFonts w:ascii="Arial" w:hAnsi="Arial" w:cs="Arial"/>
                <w:b/>
                <w:sz w:val="22"/>
                <w:szCs w:val="22"/>
              </w:rPr>
            </w:pPr>
          </w:p>
          <w:p w14:paraId="5AC770B1" w14:textId="77777777" w:rsidR="00F70C1A" w:rsidRPr="00230F35" w:rsidRDefault="00F70C1A" w:rsidP="00B3444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03B1A55" w14:textId="77777777" w:rsidR="00F70C1A" w:rsidRDefault="00F70C1A" w:rsidP="00B3444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66DF529" w14:textId="77777777" w:rsidR="00F70C1A" w:rsidRPr="00001C3B" w:rsidRDefault="00F70C1A" w:rsidP="00B34447">
            <w:pPr>
              <w:pStyle w:val="NormalWeb"/>
              <w:rPr>
                <w:rFonts w:ascii="Arial" w:hAnsi="Arial" w:cs="Arial"/>
                <w:sz w:val="22"/>
                <w:szCs w:val="22"/>
              </w:rPr>
            </w:pPr>
          </w:p>
        </w:tc>
      </w:tr>
      <w:tr w:rsidR="00F70C1A" w:rsidRPr="00230F35" w14:paraId="76AFE19B" w14:textId="77777777" w:rsidTr="00B34447">
        <w:trPr>
          <w:trHeight w:val="492"/>
        </w:trPr>
        <w:tc>
          <w:tcPr>
            <w:tcW w:w="6768" w:type="dxa"/>
            <w:gridSpan w:val="3"/>
          </w:tcPr>
          <w:p w14:paraId="2A2747E2" w14:textId="77777777" w:rsidR="00F70C1A" w:rsidRPr="00230F35" w:rsidRDefault="00F70C1A" w:rsidP="00B34447">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3FFD6246" w14:textId="77777777" w:rsidR="00F70C1A" w:rsidRPr="00230F35" w:rsidRDefault="00F70C1A" w:rsidP="00B34447">
            <w:pPr>
              <w:pStyle w:val="NormalWeb"/>
              <w:spacing w:after="0"/>
              <w:ind w:left="142" w:right="34"/>
              <w:rPr>
                <w:rFonts w:ascii="Arial" w:hAnsi="Arial" w:cs="Arial"/>
                <w:sz w:val="22"/>
                <w:szCs w:val="22"/>
              </w:rPr>
            </w:pPr>
            <w:r w:rsidRPr="00230F35">
              <w:rPr>
                <w:rFonts w:ascii="Arial" w:hAnsi="Arial" w:cs="Arial"/>
                <w:sz w:val="22"/>
                <w:szCs w:val="22"/>
              </w:rPr>
              <w:t>Date:</w:t>
            </w:r>
          </w:p>
        </w:tc>
      </w:tr>
      <w:tr w:rsidR="00F70C1A" w:rsidRPr="002F467C" w14:paraId="107F0AD2" w14:textId="77777777" w:rsidTr="00B34447">
        <w:tc>
          <w:tcPr>
            <w:tcW w:w="8856" w:type="dxa"/>
            <w:gridSpan w:val="5"/>
          </w:tcPr>
          <w:p w14:paraId="546EF0C4" w14:textId="77777777" w:rsidR="00F70C1A" w:rsidRPr="00230F35" w:rsidRDefault="00F70C1A" w:rsidP="00B34447">
            <w:pPr>
              <w:pStyle w:val="NormalWeb"/>
              <w:spacing w:before="0" w:beforeAutospacing="0" w:after="0" w:afterAutospacing="0"/>
              <w:ind w:right="-334"/>
              <w:rPr>
                <w:rFonts w:ascii="Arial" w:hAnsi="Arial" w:cs="Arial"/>
                <w:bCs/>
                <w:i/>
                <w:sz w:val="22"/>
                <w:szCs w:val="22"/>
              </w:rPr>
            </w:pPr>
          </w:p>
          <w:p w14:paraId="3F1779FA" w14:textId="77777777" w:rsidR="00F70C1A" w:rsidRPr="00230F35" w:rsidRDefault="00F70C1A" w:rsidP="00B3444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2AF3F72" w14:textId="77777777" w:rsidR="00F70C1A" w:rsidRPr="00230F35" w:rsidRDefault="00F70C1A" w:rsidP="00B34447">
            <w:pPr>
              <w:pStyle w:val="NormalWeb"/>
              <w:spacing w:before="0" w:beforeAutospacing="0" w:after="0" w:afterAutospacing="0"/>
              <w:ind w:right="-334"/>
              <w:rPr>
                <w:rFonts w:ascii="Arial" w:hAnsi="Arial" w:cs="Arial"/>
                <w:b/>
                <w:bCs/>
                <w:sz w:val="22"/>
                <w:szCs w:val="22"/>
              </w:rPr>
            </w:pPr>
          </w:p>
          <w:p w14:paraId="1821A0CE"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D22AEA4"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1692B614"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155FD158"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17EED9AA"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4121072E"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2B1D40EF"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1C50E6C5"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66B1D427"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4F24CC09" w14:textId="77777777" w:rsidR="00F70C1A" w:rsidRDefault="00F70C1A" w:rsidP="00B34447">
            <w:pPr>
              <w:pStyle w:val="NormalWeb"/>
              <w:spacing w:before="0" w:beforeAutospacing="0" w:after="0" w:afterAutospacing="0"/>
              <w:ind w:right="-334"/>
              <w:rPr>
                <w:rFonts w:ascii="Arial" w:hAnsi="Arial" w:cs="Arial"/>
                <w:bCs/>
                <w:sz w:val="22"/>
                <w:szCs w:val="22"/>
              </w:rPr>
            </w:pPr>
          </w:p>
          <w:p w14:paraId="51B45660"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0E628A4D"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75607540"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tc>
      </w:tr>
      <w:tr w:rsidR="00F70C1A" w:rsidRPr="002F467C" w14:paraId="2164BADB" w14:textId="77777777" w:rsidTr="00B34447">
        <w:trPr>
          <w:trHeight w:val="720"/>
        </w:trPr>
        <w:tc>
          <w:tcPr>
            <w:tcW w:w="5211" w:type="dxa"/>
            <w:gridSpan w:val="2"/>
          </w:tcPr>
          <w:p w14:paraId="74CEC36C"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B2BFBB9"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70C1A" w:rsidRPr="002F467C" w14:paraId="73AA332E" w14:textId="77777777" w:rsidTr="00B34447">
        <w:trPr>
          <w:trHeight w:val="720"/>
        </w:trPr>
        <w:tc>
          <w:tcPr>
            <w:tcW w:w="8856" w:type="dxa"/>
            <w:gridSpan w:val="5"/>
          </w:tcPr>
          <w:p w14:paraId="30612473" w14:textId="77777777" w:rsidR="00F70C1A" w:rsidRPr="00B34964" w:rsidRDefault="00F70C1A" w:rsidP="00B34447">
            <w:pPr>
              <w:rPr>
                <w:rFonts w:ascii="Arial" w:hAnsi="Arial" w:cs="Arial"/>
                <w:b/>
                <w:sz w:val="22"/>
                <w:szCs w:val="22"/>
              </w:rPr>
            </w:pPr>
            <w:r w:rsidRPr="00B34964">
              <w:rPr>
                <w:rFonts w:ascii="Arial" w:hAnsi="Arial" w:cs="Arial"/>
                <w:b/>
                <w:sz w:val="22"/>
                <w:szCs w:val="22"/>
              </w:rPr>
              <w:t>External Examiner’s comments (if relevant)</w:t>
            </w:r>
          </w:p>
          <w:p w14:paraId="19C00ECB"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7804525E"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58D8CB12"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0FF3532D"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04CA8C77"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697B5DA9"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3CC51195"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6F405E43"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136D2814" w14:textId="77777777" w:rsidR="00F70C1A" w:rsidRDefault="00F70C1A" w:rsidP="00B34447">
            <w:pPr>
              <w:pStyle w:val="NormalWeb"/>
              <w:spacing w:before="0" w:beforeAutospacing="0" w:after="0" w:afterAutospacing="0"/>
              <w:ind w:right="-334"/>
              <w:rPr>
                <w:rFonts w:ascii="Arial" w:hAnsi="Arial" w:cs="Arial"/>
                <w:bCs/>
                <w:sz w:val="22"/>
                <w:szCs w:val="22"/>
              </w:rPr>
            </w:pPr>
          </w:p>
          <w:p w14:paraId="5DA744EE"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p w14:paraId="750C4B1B" w14:textId="77777777" w:rsidR="00F70C1A" w:rsidRPr="00230F35" w:rsidRDefault="00F70C1A" w:rsidP="00B34447">
            <w:pPr>
              <w:pStyle w:val="NormalWeb"/>
              <w:spacing w:before="0" w:beforeAutospacing="0" w:after="0" w:afterAutospacing="0"/>
              <w:ind w:right="-334"/>
              <w:rPr>
                <w:rFonts w:ascii="Arial" w:hAnsi="Arial" w:cs="Arial"/>
                <w:bCs/>
                <w:sz w:val="22"/>
                <w:szCs w:val="22"/>
              </w:rPr>
            </w:pPr>
          </w:p>
        </w:tc>
      </w:tr>
      <w:tr w:rsidR="00F70C1A" w:rsidRPr="002F467C" w14:paraId="7011B3F0" w14:textId="77777777" w:rsidTr="00B34447">
        <w:trPr>
          <w:trHeight w:val="720"/>
        </w:trPr>
        <w:tc>
          <w:tcPr>
            <w:tcW w:w="5211" w:type="dxa"/>
            <w:gridSpan w:val="2"/>
          </w:tcPr>
          <w:p w14:paraId="637A6CF6" w14:textId="77777777" w:rsidR="00F70C1A" w:rsidRPr="00230F35" w:rsidRDefault="00F70C1A" w:rsidP="00B3444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AB2FFF1" w14:textId="77777777" w:rsidR="00F70C1A" w:rsidRPr="00230F35" w:rsidRDefault="00F70C1A" w:rsidP="00B34447">
            <w:pPr>
              <w:rPr>
                <w:rFonts w:ascii="Arial" w:hAnsi="Arial" w:cs="Arial"/>
                <w:sz w:val="22"/>
                <w:szCs w:val="22"/>
              </w:rPr>
            </w:pPr>
            <w:r w:rsidRPr="00230F35">
              <w:rPr>
                <w:rFonts w:ascii="Arial" w:hAnsi="Arial" w:cs="Arial"/>
                <w:sz w:val="22"/>
                <w:szCs w:val="22"/>
              </w:rPr>
              <w:t>Date:</w:t>
            </w:r>
          </w:p>
        </w:tc>
      </w:tr>
    </w:tbl>
    <w:p w14:paraId="7230F3E6" w14:textId="77777777" w:rsidR="00F70C1A" w:rsidRPr="00D67BF8" w:rsidRDefault="00F70C1A" w:rsidP="00F70C1A">
      <w:pPr>
        <w:pStyle w:val="NormalWeb"/>
        <w:spacing w:before="0" w:beforeAutospacing="0" w:after="0" w:afterAutospacing="0"/>
        <w:ind w:right="-334"/>
        <w:rPr>
          <w:rFonts w:ascii="Trebuchet MS" w:hAnsi="Trebuchet MS" w:cs="Tahoma"/>
          <w:bCs/>
          <w:sz w:val="24"/>
          <w:szCs w:val="24"/>
        </w:rPr>
      </w:pPr>
    </w:p>
    <w:p w14:paraId="7AEF24A9" w14:textId="77777777" w:rsidR="00F70C1A" w:rsidRDefault="00F70C1A">
      <w:pPr>
        <w:rPr>
          <w:rFonts w:ascii="Calibri" w:hAnsi="Calibri" w:cs="Arial"/>
          <w:b/>
          <w:color w:val="333333"/>
          <w:u w:val="single"/>
        </w:rPr>
      </w:pPr>
    </w:p>
    <w:p w14:paraId="435E596F" w14:textId="77777777" w:rsidR="00F70C1A" w:rsidRDefault="00F70C1A">
      <w:pPr>
        <w:rPr>
          <w:rFonts w:ascii="Calibri" w:hAnsi="Calibri" w:cs="Arial"/>
          <w:b/>
          <w:color w:val="333333"/>
          <w:u w:val="single"/>
        </w:rPr>
      </w:pPr>
    </w:p>
    <w:p w14:paraId="73BEC4AF" w14:textId="23EFC8CA" w:rsidR="00816C60" w:rsidRPr="00861377" w:rsidRDefault="00094035" w:rsidP="00861377">
      <w:pPr>
        <w:jc w:val="both"/>
        <w:rPr>
          <w:rFonts w:ascii="Calibri" w:hAnsi="Calibri" w:cs="Arial"/>
          <w:b/>
          <w:color w:val="333333"/>
          <w:sz w:val="22"/>
          <w:szCs w:val="22"/>
          <w:u w:val="single"/>
        </w:rPr>
      </w:pPr>
      <w:r w:rsidRPr="00861377">
        <w:rPr>
          <w:rFonts w:ascii="Calibri" w:hAnsi="Calibri" w:cs="Arial"/>
          <w:b/>
          <w:color w:val="333333"/>
          <w:sz w:val="22"/>
          <w:szCs w:val="22"/>
          <w:u w:val="single"/>
        </w:rPr>
        <w:lastRenderedPageBreak/>
        <w:t xml:space="preserve">Compare and critically contrast </w:t>
      </w:r>
      <w:proofErr w:type="spellStart"/>
      <w:r w:rsidRPr="00861377">
        <w:rPr>
          <w:rFonts w:ascii="Calibri" w:hAnsi="Calibri" w:cs="Arial"/>
          <w:b/>
          <w:color w:val="333333"/>
          <w:sz w:val="22"/>
          <w:szCs w:val="22"/>
          <w:u w:val="single"/>
        </w:rPr>
        <w:t>Mircea</w:t>
      </w:r>
      <w:proofErr w:type="spellEnd"/>
      <w:r w:rsidRPr="00861377">
        <w:rPr>
          <w:rFonts w:ascii="Calibri" w:hAnsi="Calibri" w:cs="Arial"/>
          <w:b/>
          <w:color w:val="333333"/>
          <w:sz w:val="22"/>
          <w:szCs w:val="22"/>
          <w:u w:val="single"/>
        </w:rPr>
        <w:t xml:space="preserve"> Eliade and Emile Durkheim’s views of sacred space</w:t>
      </w:r>
    </w:p>
    <w:p w14:paraId="754FC5E9" w14:textId="77777777" w:rsidR="00094035" w:rsidRPr="00861377" w:rsidRDefault="00094035" w:rsidP="00861377">
      <w:pPr>
        <w:jc w:val="both"/>
        <w:rPr>
          <w:rFonts w:ascii="Calibri" w:hAnsi="Calibri"/>
          <w:b/>
          <w:sz w:val="22"/>
          <w:szCs w:val="22"/>
          <w:u w:val="single"/>
        </w:rPr>
      </w:pPr>
    </w:p>
    <w:p w14:paraId="1CF6235D" w14:textId="3F9CB040" w:rsidR="000529A9" w:rsidRPr="00861377" w:rsidRDefault="00C33E0A" w:rsidP="00861377">
      <w:pPr>
        <w:jc w:val="both"/>
        <w:rPr>
          <w:rFonts w:ascii="Calibri" w:hAnsi="Calibri"/>
          <w:sz w:val="22"/>
          <w:szCs w:val="22"/>
          <w:u w:val="single"/>
        </w:rPr>
      </w:pPr>
      <w:r w:rsidRPr="00861377">
        <w:rPr>
          <w:rFonts w:ascii="Calibri" w:hAnsi="Calibri"/>
          <w:sz w:val="22"/>
          <w:szCs w:val="22"/>
          <w:u w:val="single"/>
        </w:rPr>
        <w:t>INTRODUCTION</w:t>
      </w:r>
    </w:p>
    <w:p w14:paraId="79225B17" w14:textId="77777777" w:rsidR="00C33E0A" w:rsidRPr="00861377" w:rsidRDefault="00C33E0A" w:rsidP="00861377">
      <w:pPr>
        <w:jc w:val="both"/>
        <w:rPr>
          <w:rFonts w:ascii="Calibri" w:hAnsi="Calibri"/>
          <w:sz w:val="22"/>
          <w:szCs w:val="22"/>
          <w:u w:val="single"/>
        </w:rPr>
      </w:pPr>
    </w:p>
    <w:p w14:paraId="37338DCE" w14:textId="3BB5110F" w:rsidR="00816C60" w:rsidRPr="00861377" w:rsidRDefault="000529A9" w:rsidP="00861377">
      <w:pPr>
        <w:ind w:firstLine="720"/>
        <w:jc w:val="both"/>
        <w:rPr>
          <w:rFonts w:ascii="Calibri" w:hAnsi="Calibri"/>
          <w:sz w:val="22"/>
          <w:szCs w:val="22"/>
        </w:rPr>
      </w:pPr>
      <w:r w:rsidRPr="00861377">
        <w:rPr>
          <w:rFonts w:ascii="Calibri" w:hAnsi="Calibri"/>
          <w:sz w:val="22"/>
          <w:szCs w:val="22"/>
        </w:rPr>
        <w:t xml:space="preserve">This essay </w:t>
      </w:r>
      <w:r w:rsidR="00816C60" w:rsidRPr="00861377">
        <w:rPr>
          <w:rFonts w:ascii="Calibri" w:hAnsi="Calibri"/>
          <w:sz w:val="22"/>
          <w:szCs w:val="22"/>
        </w:rPr>
        <w:t xml:space="preserve">critically </w:t>
      </w:r>
      <w:r w:rsidRPr="00861377">
        <w:rPr>
          <w:rFonts w:ascii="Calibri" w:hAnsi="Calibri"/>
          <w:sz w:val="22"/>
          <w:szCs w:val="22"/>
        </w:rPr>
        <w:t xml:space="preserve">compares and contrasts </w:t>
      </w:r>
      <w:r w:rsidR="00094035" w:rsidRPr="00861377">
        <w:rPr>
          <w:rFonts w:ascii="Calibri" w:hAnsi="Calibri"/>
          <w:sz w:val="22"/>
          <w:szCs w:val="22"/>
        </w:rPr>
        <w:t xml:space="preserve">the views of </w:t>
      </w:r>
      <w:r w:rsidR="00816C60" w:rsidRPr="00861377">
        <w:rPr>
          <w:rFonts w:ascii="Calibri" w:hAnsi="Calibri"/>
          <w:sz w:val="22"/>
          <w:szCs w:val="22"/>
        </w:rPr>
        <w:t>two</w:t>
      </w:r>
      <w:r w:rsidR="00094035" w:rsidRPr="00861377">
        <w:rPr>
          <w:rFonts w:ascii="Calibri" w:hAnsi="Calibri"/>
          <w:sz w:val="22"/>
          <w:szCs w:val="22"/>
        </w:rPr>
        <w:t xml:space="preserve"> theorists, </w:t>
      </w:r>
      <w:proofErr w:type="spellStart"/>
      <w:r w:rsidR="00094035" w:rsidRPr="00861377">
        <w:rPr>
          <w:rFonts w:ascii="Calibri" w:hAnsi="Calibri"/>
          <w:sz w:val="22"/>
          <w:szCs w:val="22"/>
        </w:rPr>
        <w:t>Mirca</w:t>
      </w:r>
      <w:proofErr w:type="spellEnd"/>
      <w:r w:rsidR="00094035" w:rsidRPr="00861377">
        <w:rPr>
          <w:rFonts w:ascii="Calibri" w:hAnsi="Calibri"/>
          <w:sz w:val="22"/>
          <w:szCs w:val="22"/>
        </w:rPr>
        <w:t xml:space="preserve"> Eliade and Emile Durkheim</w:t>
      </w:r>
      <w:r w:rsidR="00BC2949" w:rsidRPr="00861377">
        <w:rPr>
          <w:rFonts w:ascii="Calibri" w:hAnsi="Calibri"/>
          <w:sz w:val="22"/>
          <w:szCs w:val="22"/>
        </w:rPr>
        <w:t>, on sacred sp</w:t>
      </w:r>
      <w:r w:rsidR="002D0FBB" w:rsidRPr="00861377">
        <w:rPr>
          <w:rFonts w:ascii="Calibri" w:hAnsi="Calibri"/>
          <w:sz w:val="22"/>
          <w:szCs w:val="22"/>
        </w:rPr>
        <w:t>a</w:t>
      </w:r>
      <w:r w:rsidR="00BC2949" w:rsidRPr="00861377">
        <w:rPr>
          <w:rFonts w:ascii="Calibri" w:hAnsi="Calibri"/>
          <w:sz w:val="22"/>
          <w:szCs w:val="22"/>
        </w:rPr>
        <w:t>ce</w:t>
      </w:r>
      <w:r w:rsidR="00816C60" w:rsidRPr="00861377">
        <w:rPr>
          <w:rFonts w:ascii="Calibri" w:hAnsi="Calibri"/>
          <w:sz w:val="22"/>
          <w:szCs w:val="22"/>
        </w:rPr>
        <w:t xml:space="preserve">. </w:t>
      </w:r>
      <w:r w:rsidR="00F5762B" w:rsidRPr="00861377">
        <w:rPr>
          <w:rFonts w:ascii="Calibri" w:hAnsi="Calibri"/>
          <w:sz w:val="22"/>
          <w:szCs w:val="22"/>
        </w:rPr>
        <w:t xml:space="preserve">Eliade (1907-1986) was a Romanian Professor of the History of Religions at the University of Chicago, and Emile Durkheim (1858-1917) was a French sociologist and pioneer of social science. </w:t>
      </w:r>
      <w:r w:rsidR="00FF740C" w:rsidRPr="00861377">
        <w:rPr>
          <w:rFonts w:ascii="Calibri" w:hAnsi="Calibri"/>
          <w:sz w:val="22"/>
          <w:szCs w:val="22"/>
        </w:rPr>
        <w:t xml:space="preserve">Both theorised extensively on the </w:t>
      </w:r>
      <w:r w:rsidR="006958E6" w:rsidRPr="00861377">
        <w:rPr>
          <w:rFonts w:ascii="Calibri" w:hAnsi="Calibri"/>
          <w:sz w:val="22"/>
          <w:szCs w:val="22"/>
        </w:rPr>
        <w:t>nature of religion and the sacred. This essay will compare and contrast the views each held on sacred space</w:t>
      </w:r>
      <w:r w:rsidR="002D0FBB" w:rsidRPr="00861377">
        <w:rPr>
          <w:rFonts w:ascii="Calibri" w:hAnsi="Calibri"/>
          <w:sz w:val="22"/>
          <w:szCs w:val="22"/>
        </w:rPr>
        <w:t xml:space="preserve">, </w:t>
      </w:r>
      <w:r w:rsidR="00427B75" w:rsidRPr="00861377">
        <w:rPr>
          <w:rFonts w:ascii="Calibri" w:hAnsi="Calibri"/>
          <w:sz w:val="22"/>
          <w:szCs w:val="22"/>
        </w:rPr>
        <w:t xml:space="preserve">as </w:t>
      </w:r>
      <w:r w:rsidR="002D0FBB" w:rsidRPr="00861377">
        <w:rPr>
          <w:rFonts w:ascii="Calibri" w:hAnsi="Calibri"/>
          <w:sz w:val="22"/>
          <w:szCs w:val="22"/>
        </w:rPr>
        <w:t>expounded in</w:t>
      </w:r>
      <w:r w:rsidR="00427B75" w:rsidRPr="00861377">
        <w:rPr>
          <w:rFonts w:ascii="Calibri" w:hAnsi="Calibri"/>
          <w:sz w:val="22"/>
          <w:szCs w:val="22"/>
        </w:rPr>
        <w:t xml:space="preserve"> </w:t>
      </w:r>
      <w:r w:rsidR="002D0FBB" w:rsidRPr="00861377">
        <w:rPr>
          <w:rFonts w:ascii="Calibri" w:hAnsi="Calibri"/>
          <w:sz w:val="22"/>
          <w:szCs w:val="22"/>
        </w:rPr>
        <w:t xml:space="preserve">Durkheim’s </w:t>
      </w:r>
      <w:r w:rsidR="002D0FBB" w:rsidRPr="00861377">
        <w:rPr>
          <w:rFonts w:ascii="Calibri" w:hAnsi="Calibri"/>
          <w:i/>
          <w:sz w:val="22"/>
          <w:szCs w:val="22"/>
        </w:rPr>
        <w:t>The Elementary Forms of Religious Life</w:t>
      </w:r>
      <w:r w:rsidR="00DE1381" w:rsidRPr="00861377">
        <w:rPr>
          <w:rFonts w:ascii="Calibri" w:hAnsi="Calibri"/>
          <w:sz w:val="22"/>
          <w:szCs w:val="22"/>
        </w:rPr>
        <w:t xml:space="preserve"> </w:t>
      </w:r>
      <w:r w:rsidR="00427B75" w:rsidRPr="00861377">
        <w:rPr>
          <w:rFonts w:ascii="Calibri" w:hAnsi="Calibri"/>
          <w:sz w:val="22"/>
          <w:szCs w:val="22"/>
        </w:rPr>
        <w:t xml:space="preserve">published by </w:t>
      </w:r>
      <w:r w:rsidR="00E537B1" w:rsidRPr="00861377">
        <w:rPr>
          <w:rFonts w:ascii="Calibri" w:hAnsi="Calibri"/>
          <w:sz w:val="22"/>
          <w:szCs w:val="22"/>
        </w:rPr>
        <w:t xml:space="preserve">The </w:t>
      </w:r>
      <w:r w:rsidR="00427B75" w:rsidRPr="00861377">
        <w:rPr>
          <w:rFonts w:ascii="Calibri" w:hAnsi="Calibri"/>
          <w:sz w:val="22"/>
          <w:szCs w:val="22"/>
        </w:rPr>
        <w:t>Free Press in 1995</w:t>
      </w:r>
      <w:r w:rsidR="00BD71F5" w:rsidRPr="00861377">
        <w:rPr>
          <w:rFonts w:ascii="Calibri" w:hAnsi="Calibri"/>
          <w:sz w:val="22"/>
          <w:szCs w:val="22"/>
        </w:rPr>
        <w:t xml:space="preserve"> (with an introduction by translator Karen E. Fields)</w:t>
      </w:r>
      <w:r w:rsidR="0099160F">
        <w:rPr>
          <w:rFonts w:ascii="Calibri" w:hAnsi="Calibri"/>
          <w:sz w:val="22"/>
          <w:szCs w:val="22"/>
        </w:rPr>
        <w:t>,</w:t>
      </w:r>
      <w:r w:rsidR="002D0FBB" w:rsidRPr="00861377">
        <w:rPr>
          <w:rFonts w:ascii="Calibri" w:hAnsi="Calibri"/>
          <w:sz w:val="22"/>
          <w:szCs w:val="22"/>
        </w:rPr>
        <w:t xml:space="preserve"> and </w:t>
      </w:r>
      <w:r w:rsidR="00D66B2C" w:rsidRPr="00861377">
        <w:rPr>
          <w:rFonts w:ascii="Calibri" w:hAnsi="Calibri"/>
          <w:sz w:val="22"/>
          <w:szCs w:val="22"/>
        </w:rPr>
        <w:t xml:space="preserve">in </w:t>
      </w:r>
      <w:proofErr w:type="spellStart"/>
      <w:r w:rsidR="002D0FBB" w:rsidRPr="00861377">
        <w:rPr>
          <w:rFonts w:ascii="Calibri" w:hAnsi="Calibri"/>
          <w:sz w:val="22"/>
          <w:szCs w:val="22"/>
        </w:rPr>
        <w:t>Eliade’s</w:t>
      </w:r>
      <w:proofErr w:type="spellEnd"/>
      <w:r w:rsidR="002D0FBB" w:rsidRPr="00861377">
        <w:rPr>
          <w:rFonts w:ascii="Calibri" w:hAnsi="Calibri"/>
          <w:sz w:val="22"/>
          <w:szCs w:val="22"/>
        </w:rPr>
        <w:t xml:space="preserve"> </w:t>
      </w:r>
      <w:proofErr w:type="gramStart"/>
      <w:r w:rsidR="00427B75" w:rsidRPr="00861377">
        <w:rPr>
          <w:rFonts w:ascii="Calibri" w:hAnsi="Calibri"/>
          <w:i/>
          <w:sz w:val="22"/>
          <w:szCs w:val="22"/>
        </w:rPr>
        <w:t>The</w:t>
      </w:r>
      <w:proofErr w:type="gramEnd"/>
      <w:r w:rsidR="00427B75" w:rsidRPr="00861377">
        <w:rPr>
          <w:rFonts w:ascii="Calibri" w:hAnsi="Calibri"/>
          <w:i/>
          <w:sz w:val="22"/>
          <w:szCs w:val="22"/>
        </w:rPr>
        <w:t xml:space="preserve"> Sacred and the </w:t>
      </w:r>
      <w:r w:rsidR="00DE1381" w:rsidRPr="00861377">
        <w:rPr>
          <w:rFonts w:ascii="Calibri" w:hAnsi="Calibri"/>
          <w:i/>
          <w:sz w:val="22"/>
          <w:szCs w:val="22"/>
        </w:rPr>
        <w:t>Profane, the Nature of Religion</w:t>
      </w:r>
      <w:r w:rsidR="00427B75" w:rsidRPr="00861377">
        <w:rPr>
          <w:rFonts w:ascii="Calibri" w:hAnsi="Calibri"/>
          <w:sz w:val="22"/>
          <w:szCs w:val="22"/>
        </w:rPr>
        <w:t xml:space="preserve"> </w:t>
      </w:r>
      <w:r w:rsidR="00D66B2C" w:rsidRPr="00861377">
        <w:rPr>
          <w:rFonts w:ascii="Calibri" w:hAnsi="Calibri"/>
          <w:sz w:val="22"/>
          <w:szCs w:val="22"/>
        </w:rPr>
        <w:t>as translated by Willard R. Trask and published by Harcourt in 1987</w:t>
      </w:r>
      <w:r w:rsidR="006958E6" w:rsidRPr="00861377">
        <w:rPr>
          <w:rFonts w:ascii="Calibri" w:hAnsi="Calibri"/>
          <w:sz w:val="22"/>
          <w:szCs w:val="22"/>
        </w:rPr>
        <w:t>. For the purposes of this essay, sacred space is understood as an area which is held or perceived to be sacred.</w:t>
      </w:r>
    </w:p>
    <w:p w14:paraId="291D992B" w14:textId="77777777" w:rsidR="002D0FBB" w:rsidRPr="00861377" w:rsidRDefault="002D0FBB" w:rsidP="00861377">
      <w:pPr>
        <w:jc w:val="both"/>
        <w:rPr>
          <w:rFonts w:ascii="Calibri" w:hAnsi="Calibri"/>
          <w:sz w:val="22"/>
          <w:szCs w:val="22"/>
        </w:rPr>
      </w:pPr>
    </w:p>
    <w:p w14:paraId="6F89D020" w14:textId="77777777" w:rsidR="002D0FBB" w:rsidRPr="00861377" w:rsidRDefault="002D0FBB" w:rsidP="00861377">
      <w:pPr>
        <w:jc w:val="both"/>
        <w:rPr>
          <w:rFonts w:ascii="Calibri" w:hAnsi="Calibri"/>
          <w:sz w:val="22"/>
          <w:szCs w:val="22"/>
        </w:rPr>
      </w:pPr>
    </w:p>
    <w:p w14:paraId="3EFA30E3" w14:textId="64B6FD40" w:rsidR="006958E6" w:rsidRPr="00861377" w:rsidRDefault="006958E6" w:rsidP="00861377">
      <w:pPr>
        <w:jc w:val="both"/>
        <w:rPr>
          <w:rFonts w:ascii="Calibri" w:hAnsi="Calibri"/>
          <w:sz w:val="22"/>
          <w:szCs w:val="22"/>
          <w:u w:val="single"/>
        </w:rPr>
      </w:pPr>
      <w:r w:rsidRPr="00861377">
        <w:rPr>
          <w:rFonts w:ascii="Calibri" w:hAnsi="Calibri"/>
          <w:sz w:val="22"/>
          <w:szCs w:val="22"/>
          <w:u w:val="single"/>
        </w:rPr>
        <w:t>MIRCEA ELIADE</w:t>
      </w:r>
    </w:p>
    <w:p w14:paraId="31E860D4" w14:textId="77777777" w:rsidR="005E33E3" w:rsidRPr="00861377" w:rsidRDefault="005E33E3" w:rsidP="00861377">
      <w:pPr>
        <w:jc w:val="both"/>
        <w:rPr>
          <w:rFonts w:ascii="Calibri" w:hAnsi="Calibri"/>
          <w:sz w:val="22"/>
          <w:szCs w:val="22"/>
          <w:u w:val="single"/>
        </w:rPr>
      </w:pPr>
    </w:p>
    <w:p w14:paraId="7A52A349" w14:textId="07E6066A" w:rsidR="00E22806" w:rsidRPr="00861377" w:rsidRDefault="006958E6" w:rsidP="00861377">
      <w:pPr>
        <w:jc w:val="both"/>
        <w:rPr>
          <w:rFonts w:ascii="Calibri" w:hAnsi="Calibri"/>
          <w:sz w:val="22"/>
          <w:szCs w:val="22"/>
        </w:rPr>
      </w:pPr>
      <w:r w:rsidRPr="00861377">
        <w:rPr>
          <w:rFonts w:ascii="Calibri" w:hAnsi="Calibri"/>
          <w:sz w:val="22"/>
          <w:szCs w:val="22"/>
        </w:rPr>
        <w:tab/>
        <w:t xml:space="preserve">For Eliade, the sacred is </w:t>
      </w:r>
      <w:r w:rsidR="00D66B2C" w:rsidRPr="00861377">
        <w:rPr>
          <w:rFonts w:ascii="Calibri" w:hAnsi="Calibri"/>
          <w:sz w:val="22"/>
          <w:szCs w:val="22"/>
        </w:rPr>
        <w:t xml:space="preserve">to be </w:t>
      </w:r>
      <w:r w:rsidRPr="00861377">
        <w:rPr>
          <w:rFonts w:ascii="Calibri" w:hAnsi="Calibri"/>
          <w:sz w:val="22"/>
          <w:szCs w:val="22"/>
        </w:rPr>
        <w:t>understood in terms of its opposition</w:t>
      </w:r>
      <w:r w:rsidR="00D66B2C" w:rsidRPr="00861377">
        <w:rPr>
          <w:rFonts w:ascii="Calibri" w:hAnsi="Calibri"/>
          <w:sz w:val="22"/>
          <w:szCs w:val="22"/>
        </w:rPr>
        <w:t>al relationship</w:t>
      </w:r>
      <w:r w:rsidR="00056462" w:rsidRPr="00861377">
        <w:rPr>
          <w:rFonts w:ascii="Calibri" w:hAnsi="Calibri"/>
          <w:sz w:val="22"/>
          <w:szCs w:val="22"/>
        </w:rPr>
        <w:t xml:space="preserve"> to the profane, so the manner in which it is generated underpins his conception of sacred space. </w:t>
      </w:r>
      <w:r w:rsidRPr="00861377">
        <w:rPr>
          <w:rFonts w:ascii="Calibri" w:hAnsi="Calibri"/>
          <w:sz w:val="22"/>
          <w:szCs w:val="22"/>
        </w:rPr>
        <w:t xml:space="preserve"> </w:t>
      </w:r>
      <w:r w:rsidR="0023719B" w:rsidRPr="00861377">
        <w:rPr>
          <w:rFonts w:ascii="Calibri" w:hAnsi="Calibri"/>
          <w:sz w:val="22"/>
          <w:szCs w:val="22"/>
        </w:rPr>
        <w:t>Profane space is homogenous, uniform, until it is differentiated by a manifestation of the sacred in what Eliade terms hierophanies</w:t>
      </w:r>
      <w:r w:rsidR="00705C4D" w:rsidRPr="00861377">
        <w:rPr>
          <w:rFonts w:ascii="Calibri" w:hAnsi="Calibri"/>
          <w:sz w:val="22"/>
          <w:szCs w:val="22"/>
        </w:rPr>
        <w:t xml:space="preserve">. </w:t>
      </w:r>
      <w:r w:rsidR="0023719B" w:rsidRPr="00861377">
        <w:rPr>
          <w:rFonts w:ascii="Calibri" w:hAnsi="Calibri"/>
          <w:sz w:val="22"/>
          <w:szCs w:val="22"/>
        </w:rPr>
        <w:t xml:space="preserve"> </w:t>
      </w:r>
      <w:r w:rsidR="00705C4D" w:rsidRPr="00861377">
        <w:rPr>
          <w:rFonts w:ascii="Calibri" w:hAnsi="Calibri"/>
          <w:sz w:val="22"/>
          <w:szCs w:val="22"/>
        </w:rPr>
        <w:t>His definition of hierophanies ‘</w:t>
      </w:r>
      <w:r w:rsidR="0023719B" w:rsidRPr="00861377">
        <w:rPr>
          <w:rFonts w:ascii="Calibri" w:hAnsi="Calibri"/>
          <w:sz w:val="22"/>
          <w:szCs w:val="22"/>
        </w:rPr>
        <w:t xml:space="preserve">expresses no more than is implicit in its etymological content </w:t>
      </w:r>
      <w:proofErr w:type="spellStart"/>
      <w:r w:rsidR="0023719B" w:rsidRPr="00861377">
        <w:rPr>
          <w:rFonts w:ascii="Calibri" w:hAnsi="Calibri"/>
          <w:sz w:val="22"/>
          <w:szCs w:val="22"/>
        </w:rPr>
        <w:t>ie</w:t>
      </w:r>
      <w:proofErr w:type="spellEnd"/>
      <w:r w:rsidR="0023719B" w:rsidRPr="00861377">
        <w:rPr>
          <w:rFonts w:ascii="Calibri" w:hAnsi="Calibri"/>
          <w:sz w:val="22"/>
          <w:szCs w:val="22"/>
        </w:rPr>
        <w:t xml:space="preserve">. that </w:t>
      </w:r>
      <w:r w:rsidR="0023719B" w:rsidRPr="00861377">
        <w:rPr>
          <w:rFonts w:ascii="Calibri" w:hAnsi="Calibri"/>
          <w:i/>
          <w:sz w:val="22"/>
          <w:szCs w:val="22"/>
        </w:rPr>
        <w:t>something sacred shows itself to us</w:t>
      </w:r>
      <w:r w:rsidR="0023719B" w:rsidRPr="00861377">
        <w:rPr>
          <w:rFonts w:ascii="Calibri" w:hAnsi="Calibri"/>
          <w:sz w:val="22"/>
          <w:szCs w:val="22"/>
        </w:rPr>
        <w:t>.’</w:t>
      </w:r>
      <w:r w:rsidR="006079C7" w:rsidRPr="00861377">
        <w:rPr>
          <w:rStyle w:val="FootnoteReference"/>
          <w:rFonts w:ascii="Calibri" w:hAnsi="Calibri"/>
          <w:sz w:val="22"/>
          <w:szCs w:val="22"/>
        </w:rPr>
        <w:footnoteReference w:id="1"/>
      </w:r>
      <w:r w:rsidR="006079C7" w:rsidRPr="00861377">
        <w:rPr>
          <w:rFonts w:ascii="Calibri" w:hAnsi="Calibri"/>
          <w:sz w:val="22"/>
          <w:szCs w:val="22"/>
        </w:rPr>
        <w:t xml:space="preserve"> Intrinsic to this is the ‘manifestation of a … reality that does not belong to our world, in objects that are an integr</w:t>
      </w:r>
      <w:r w:rsidR="00BD71F5" w:rsidRPr="00861377">
        <w:rPr>
          <w:rFonts w:ascii="Calibri" w:hAnsi="Calibri"/>
          <w:sz w:val="22"/>
          <w:szCs w:val="22"/>
        </w:rPr>
        <w:t>al part of our natural “profane”</w:t>
      </w:r>
      <w:r w:rsidR="006079C7" w:rsidRPr="00861377">
        <w:rPr>
          <w:rFonts w:ascii="Calibri" w:hAnsi="Calibri"/>
          <w:sz w:val="22"/>
          <w:szCs w:val="22"/>
        </w:rPr>
        <w:t xml:space="preserve"> world.’</w:t>
      </w:r>
      <w:r w:rsidR="006079C7" w:rsidRPr="00861377">
        <w:rPr>
          <w:rStyle w:val="FootnoteReference"/>
          <w:rFonts w:ascii="Calibri" w:hAnsi="Calibri"/>
          <w:sz w:val="22"/>
          <w:szCs w:val="22"/>
        </w:rPr>
        <w:footnoteReference w:id="2"/>
      </w:r>
      <w:r w:rsidR="006079C7" w:rsidRPr="00861377">
        <w:rPr>
          <w:rFonts w:ascii="Calibri" w:hAnsi="Calibri"/>
          <w:sz w:val="22"/>
          <w:szCs w:val="22"/>
        </w:rPr>
        <w:t xml:space="preserve"> The sacred thus reveals an absolute reality beyond the mundane profane world, Jonathan Smith notes that it ‘imposes itself … from without.’</w:t>
      </w:r>
      <w:r w:rsidR="006079C7" w:rsidRPr="00861377">
        <w:rPr>
          <w:rStyle w:val="FootnoteReference"/>
          <w:rFonts w:ascii="Calibri" w:hAnsi="Calibri"/>
          <w:sz w:val="22"/>
          <w:szCs w:val="22"/>
        </w:rPr>
        <w:footnoteReference w:id="3"/>
      </w:r>
      <w:r w:rsidR="006079C7" w:rsidRPr="00861377">
        <w:rPr>
          <w:rFonts w:ascii="Calibri" w:hAnsi="Calibri"/>
          <w:sz w:val="22"/>
          <w:szCs w:val="22"/>
        </w:rPr>
        <w:t xml:space="preserve"> Therefore, the eruption of the sacred and the appearance of a hierophany in a heretofore ‘homogenous and infinite expanse’ ‘ontologically founds the world’ and creates an ‘absolute fixed point’ or centre around which homogeneity is broken and orientation is now rendered possible.</w:t>
      </w:r>
      <w:r w:rsidR="006079C7" w:rsidRPr="00861377">
        <w:rPr>
          <w:rStyle w:val="FootnoteReference"/>
          <w:rFonts w:ascii="Calibri" w:hAnsi="Calibri"/>
          <w:sz w:val="22"/>
          <w:szCs w:val="22"/>
        </w:rPr>
        <w:footnoteReference w:id="4"/>
      </w:r>
      <w:r w:rsidR="006079C7" w:rsidRPr="00861377">
        <w:rPr>
          <w:rFonts w:ascii="Calibri" w:hAnsi="Calibri"/>
          <w:sz w:val="22"/>
          <w:szCs w:val="22"/>
        </w:rPr>
        <w:t xml:space="preserve"> Cosmologically speaking, </w:t>
      </w:r>
      <w:proofErr w:type="spellStart"/>
      <w:r w:rsidR="006079C7" w:rsidRPr="00861377">
        <w:rPr>
          <w:rFonts w:ascii="Calibri" w:hAnsi="Calibri"/>
          <w:sz w:val="22"/>
          <w:szCs w:val="22"/>
        </w:rPr>
        <w:t>Nicolae</w:t>
      </w:r>
      <w:proofErr w:type="spellEnd"/>
      <w:r w:rsidR="006079C7" w:rsidRPr="00861377">
        <w:rPr>
          <w:rFonts w:ascii="Calibri" w:hAnsi="Calibri"/>
          <w:sz w:val="22"/>
          <w:szCs w:val="22"/>
        </w:rPr>
        <w:t xml:space="preserve"> </w:t>
      </w:r>
      <w:proofErr w:type="spellStart"/>
      <w:r w:rsidR="006079C7" w:rsidRPr="00861377">
        <w:rPr>
          <w:rFonts w:ascii="Calibri" w:hAnsi="Calibri"/>
          <w:sz w:val="22"/>
          <w:szCs w:val="22"/>
        </w:rPr>
        <w:t>Serae</w:t>
      </w:r>
      <w:proofErr w:type="spellEnd"/>
      <w:r w:rsidR="006079C7" w:rsidRPr="00861377">
        <w:rPr>
          <w:rFonts w:ascii="Calibri" w:hAnsi="Calibri"/>
          <w:sz w:val="22"/>
          <w:szCs w:val="22"/>
        </w:rPr>
        <w:t xml:space="preserve"> </w:t>
      </w:r>
      <w:r w:rsidR="00D82B3F" w:rsidRPr="00861377">
        <w:rPr>
          <w:rFonts w:ascii="Calibri" w:hAnsi="Calibri"/>
          <w:sz w:val="22"/>
          <w:szCs w:val="22"/>
        </w:rPr>
        <w:t>interprets</w:t>
      </w:r>
      <w:r w:rsidR="006079C7" w:rsidRPr="00861377">
        <w:rPr>
          <w:rFonts w:ascii="Calibri" w:hAnsi="Calibri"/>
          <w:sz w:val="22"/>
          <w:szCs w:val="22"/>
        </w:rPr>
        <w:t xml:space="preserve"> that the ‘irruption of the sacred ensures the transition from chaos to cosmos … and maintains</w:t>
      </w:r>
      <w:r w:rsidR="00E22806" w:rsidRPr="00861377">
        <w:rPr>
          <w:rFonts w:ascii="Calibri" w:hAnsi="Calibri"/>
          <w:sz w:val="22"/>
          <w:szCs w:val="22"/>
        </w:rPr>
        <w:t xml:space="preserve"> a spatial barrier between them’ (author’</w:t>
      </w:r>
      <w:r w:rsidR="00BD71F5" w:rsidRPr="00861377">
        <w:rPr>
          <w:rFonts w:ascii="Calibri" w:hAnsi="Calibri"/>
          <w:sz w:val="22"/>
          <w:szCs w:val="22"/>
        </w:rPr>
        <w:t>s translation</w:t>
      </w:r>
      <w:r w:rsidR="00E22806" w:rsidRPr="00861377">
        <w:rPr>
          <w:rFonts w:ascii="Calibri" w:hAnsi="Calibri"/>
          <w:sz w:val="22"/>
          <w:szCs w:val="22"/>
        </w:rPr>
        <w:t>)</w:t>
      </w:r>
      <w:r w:rsidR="00BD71F5" w:rsidRPr="00861377">
        <w:rPr>
          <w:rFonts w:ascii="Calibri" w:hAnsi="Calibri"/>
          <w:sz w:val="22"/>
          <w:szCs w:val="22"/>
        </w:rPr>
        <w:t>.</w:t>
      </w:r>
      <w:r w:rsidR="006079C7" w:rsidRPr="00861377">
        <w:rPr>
          <w:rStyle w:val="FootnoteReference"/>
          <w:rFonts w:ascii="Calibri" w:hAnsi="Calibri"/>
          <w:sz w:val="22"/>
          <w:szCs w:val="22"/>
        </w:rPr>
        <w:footnoteReference w:id="5"/>
      </w:r>
      <w:r w:rsidR="006079C7" w:rsidRPr="00861377">
        <w:rPr>
          <w:rFonts w:ascii="Calibri" w:hAnsi="Calibri"/>
          <w:sz w:val="22"/>
          <w:szCs w:val="22"/>
        </w:rPr>
        <w:t xml:space="preserve"> Despite also being its opposite, the sacred in this interpretation is ‘consubstantial’ to the profane, and the ‘very emergence’ of sacredness ‘</w:t>
      </w:r>
      <w:r w:rsidR="00E22806" w:rsidRPr="00861377">
        <w:rPr>
          <w:rFonts w:ascii="Calibri" w:hAnsi="Calibri"/>
          <w:sz w:val="22"/>
          <w:szCs w:val="22"/>
        </w:rPr>
        <w:t>is marked by it</w:t>
      </w:r>
      <w:r w:rsidR="006079C7" w:rsidRPr="00861377">
        <w:rPr>
          <w:rFonts w:ascii="Calibri" w:hAnsi="Calibri"/>
          <w:sz w:val="22"/>
          <w:szCs w:val="22"/>
        </w:rPr>
        <w:t>’</w:t>
      </w:r>
      <w:r w:rsidR="00E22806" w:rsidRPr="00861377">
        <w:rPr>
          <w:rFonts w:ascii="Calibri" w:hAnsi="Calibri"/>
          <w:sz w:val="22"/>
          <w:szCs w:val="22"/>
        </w:rPr>
        <w:t xml:space="preserve"> </w:t>
      </w:r>
      <w:r w:rsidR="00E22806" w:rsidRPr="00861377">
        <w:rPr>
          <w:rFonts w:ascii="Calibri" w:hAnsi="Calibri"/>
          <w:sz w:val="22"/>
          <w:szCs w:val="22"/>
        </w:rPr>
        <w:t>(author’</w:t>
      </w:r>
      <w:r w:rsidR="00BD71F5" w:rsidRPr="00861377">
        <w:rPr>
          <w:rFonts w:ascii="Calibri" w:hAnsi="Calibri"/>
          <w:sz w:val="22"/>
          <w:szCs w:val="22"/>
        </w:rPr>
        <w:t>s translation</w:t>
      </w:r>
      <w:r w:rsidR="00E22806" w:rsidRPr="00861377">
        <w:rPr>
          <w:rFonts w:ascii="Calibri" w:hAnsi="Calibri"/>
          <w:sz w:val="22"/>
          <w:szCs w:val="22"/>
        </w:rPr>
        <w:t>)</w:t>
      </w:r>
      <w:r w:rsidR="00BD71F5" w:rsidRPr="00861377">
        <w:rPr>
          <w:rFonts w:ascii="Calibri" w:hAnsi="Calibri"/>
          <w:sz w:val="22"/>
          <w:szCs w:val="22"/>
        </w:rPr>
        <w:t>.</w:t>
      </w:r>
      <w:r w:rsidR="006079C7" w:rsidRPr="00861377">
        <w:rPr>
          <w:rStyle w:val="FootnoteReference"/>
          <w:rFonts w:ascii="Calibri" w:hAnsi="Calibri"/>
          <w:sz w:val="22"/>
          <w:szCs w:val="22"/>
        </w:rPr>
        <w:footnoteReference w:id="6"/>
      </w:r>
      <w:r w:rsidR="006079C7" w:rsidRPr="00861377">
        <w:rPr>
          <w:rFonts w:ascii="Calibri" w:hAnsi="Calibri"/>
          <w:sz w:val="22"/>
          <w:szCs w:val="22"/>
        </w:rPr>
        <w:t xml:space="preserve"> </w:t>
      </w:r>
    </w:p>
    <w:p w14:paraId="295225CA" w14:textId="77777777" w:rsidR="00E22806" w:rsidRPr="00861377" w:rsidRDefault="00E22806" w:rsidP="00861377">
      <w:pPr>
        <w:jc w:val="both"/>
        <w:rPr>
          <w:rFonts w:ascii="Calibri" w:hAnsi="Calibri"/>
          <w:sz w:val="22"/>
          <w:szCs w:val="22"/>
        </w:rPr>
      </w:pPr>
    </w:p>
    <w:p w14:paraId="0A1CC89B" w14:textId="0E8243F4" w:rsidR="006079C7" w:rsidRPr="00861377" w:rsidRDefault="006079C7" w:rsidP="00861377">
      <w:pPr>
        <w:ind w:firstLine="720"/>
        <w:jc w:val="both"/>
        <w:rPr>
          <w:rFonts w:ascii="Calibri" w:hAnsi="Calibri"/>
          <w:sz w:val="22"/>
          <w:szCs w:val="22"/>
        </w:rPr>
      </w:pPr>
      <w:r w:rsidRPr="00861377">
        <w:rPr>
          <w:rFonts w:ascii="Calibri" w:hAnsi="Calibri"/>
          <w:sz w:val="22"/>
          <w:szCs w:val="22"/>
        </w:rPr>
        <w:t xml:space="preserve">It is the sacred which creates the capacity for differentiation and orientation: without it, there can be no distinction as for something to be sacred, something else has to be </w:t>
      </w:r>
      <w:r w:rsidRPr="00861377">
        <w:rPr>
          <w:rFonts w:ascii="Calibri" w:hAnsi="Calibri"/>
          <w:i/>
          <w:sz w:val="22"/>
          <w:szCs w:val="22"/>
        </w:rPr>
        <w:t>not sacred</w:t>
      </w:r>
      <w:r w:rsidRPr="00861377">
        <w:rPr>
          <w:rFonts w:ascii="Calibri" w:hAnsi="Calibri"/>
          <w:sz w:val="22"/>
          <w:szCs w:val="22"/>
        </w:rPr>
        <w:t xml:space="preserve"> or profane. It must be noted, however, that this does not necessarily refer to an absolute physical centre, it exists as much as a mental construct as a physical point in space. An illustration of this is to be found in ancient Ugarit, a Bronze age city situated in modern Lebanon, whose cosmology held Mount </w:t>
      </w:r>
      <w:proofErr w:type="spellStart"/>
      <w:r w:rsidRPr="00861377">
        <w:rPr>
          <w:rFonts w:ascii="Calibri" w:hAnsi="Calibri"/>
          <w:sz w:val="22"/>
          <w:szCs w:val="22"/>
        </w:rPr>
        <w:t>Saphon</w:t>
      </w:r>
      <w:proofErr w:type="spellEnd"/>
      <w:r w:rsidRPr="00861377">
        <w:rPr>
          <w:rFonts w:ascii="Calibri" w:hAnsi="Calibri"/>
          <w:sz w:val="22"/>
          <w:szCs w:val="22"/>
        </w:rPr>
        <w:t xml:space="preserve"> as a symbolic centre, but for whom such as a conception was also held in parallel with a ‘perfectly empirical perception</w:t>
      </w:r>
      <w:r w:rsidR="00BD71F5" w:rsidRPr="00861377">
        <w:rPr>
          <w:rFonts w:ascii="Calibri" w:hAnsi="Calibri"/>
          <w:sz w:val="22"/>
          <w:szCs w:val="22"/>
        </w:rPr>
        <w:t>’</w:t>
      </w:r>
      <w:r w:rsidRPr="00861377">
        <w:rPr>
          <w:rFonts w:ascii="Calibri" w:hAnsi="Calibri"/>
          <w:sz w:val="22"/>
          <w:szCs w:val="22"/>
        </w:rPr>
        <w:t xml:space="preserve"> of the </w:t>
      </w:r>
      <w:proofErr w:type="spellStart"/>
      <w:r w:rsidR="00BD71F5" w:rsidRPr="00861377">
        <w:rPr>
          <w:rFonts w:ascii="Calibri" w:hAnsi="Calibri"/>
          <w:sz w:val="22"/>
          <w:szCs w:val="22"/>
        </w:rPr>
        <w:t>physicl</w:t>
      </w:r>
      <w:proofErr w:type="spellEnd"/>
      <w:r w:rsidR="00BD71F5" w:rsidRPr="00861377">
        <w:rPr>
          <w:rFonts w:ascii="Calibri" w:hAnsi="Calibri"/>
          <w:sz w:val="22"/>
          <w:szCs w:val="22"/>
        </w:rPr>
        <w:t xml:space="preserve"> world’s</w:t>
      </w:r>
      <w:r w:rsidRPr="00861377">
        <w:rPr>
          <w:rFonts w:ascii="Calibri" w:hAnsi="Calibri"/>
          <w:sz w:val="22"/>
          <w:szCs w:val="22"/>
        </w:rPr>
        <w:t xml:space="preserve"> </w:t>
      </w:r>
      <w:r w:rsidR="00BD71F5" w:rsidRPr="00861377">
        <w:rPr>
          <w:rFonts w:ascii="Calibri" w:hAnsi="Calibri"/>
          <w:sz w:val="22"/>
          <w:szCs w:val="22"/>
        </w:rPr>
        <w:t>‘</w:t>
      </w:r>
      <w:r w:rsidRPr="00861377">
        <w:rPr>
          <w:rFonts w:ascii="Calibri" w:hAnsi="Calibri"/>
          <w:sz w:val="22"/>
          <w:szCs w:val="22"/>
        </w:rPr>
        <w:t>geography’ according to Nicolas Wyatt.</w:t>
      </w:r>
      <w:r w:rsidRPr="00861377">
        <w:rPr>
          <w:rStyle w:val="FootnoteReference"/>
          <w:rFonts w:ascii="Calibri" w:hAnsi="Calibri"/>
          <w:sz w:val="22"/>
          <w:szCs w:val="22"/>
        </w:rPr>
        <w:footnoteReference w:id="7"/>
      </w:r>
    </w:p>
    <w:p w14:paraId="3567A907" w14:textId="77777777" w:rsidR="006079C7" w:rsidRPr="00861377" w:rsidRDefault="006079C7" w:rsidP="00861377">
      <w:pPr>
        <w:jc w:val="both"/>
        <w:rPr>
          <w:rFonts w:ascii="Calibri" w:hAnsi="Calibri"/>
          <w:sz w:val="22"/>
          <w:szCs w:val="22"/>
        </w:rPr>
      </w:pPr>
    </w:p>
    <w:p w14:paraId="4D7D0DF9" w14:textId="3A4508F1" w:rsidR="006079C7" w:rsidRPr="00861377" w:rsidRDefault="006079C7" w:rsidP="00861377">
      <w:pPr>
        <w:jc w:val="both"/>
        <w:rPr>
          <w:rFonts w:ascii="Calibri" w:hAnsi="Calibri"/>
          <w:sz w:val="22"/>
          <w:szCs w:val="22"/>
        </w:rPr>
      </w:pPr>
      <w:r w:rsidRPr="00861377">
        <w:rPr>
          <w:rFonts w:ascii="Calibri" w:hAnsi="Calibri"/>
          <w:sz w:val="22"/>
          <w:szCs w:val="22"/>
        </w:rPr>
        <w:tab/>
        <w:t xml:space="preserve">The distinction between sacred and profane is at the heart of </w:t>
      </w:r>
      <w:proofErr w:type="spellStart"/>
      <w:r w:rsidRPr="00861377">
        <w:rPr>
          <w:rFonts w:ascii="Calibri" w:hAnsi="Calibri"/>
          <w:sz w:val="22"/>
          <w:szCs w:val="22"/>
        </w:rPr>
        <w:t>Eliade’s</w:t>
      </w:r>
      <w:proofErr w:type="spellEnd"/>
      <w:r w:rsidRPr="00861377">
        <w:rPr>
          <w:rFonts w:ascii="Calibri" w:hAnsi="Calibri"/>
          <w:sz w:val="22"/>
          <w:szCs w:val="22"/>
        </w:rPr>
        <w:t xml:space="preserve"> opening sentence in the book, where he states that ‘For religious man, space is not homogenous’ and thus implies that there exists a nonreligious state, a mode of ‘profane experience’ where ‘space is homogenous and neutral.’</w:t>
      </w:r>
      <w:r w:rsidRPr="00861377">
        <w:rPr>
          <w:rStyle w:val="FootnoteReference"/>
          <w:rFonts w:ascii="Calibri" w:hAnsi="Calibri"/>
          <w:sz w:val="22"/>
          <w:szCs w:val="22"/>
        </w:rPr>
        <w:t xml:space="preserve"> </w:t>
      </w:r>
      <w:r w:rsidRPr="00861377">
        <w:rPr>
          <w:rStyle w:val="FootnoteReference"/>
          <w:rFonts w:ascii="Calibri" w:hAnsi="Calibri"/>
          <w:sz w:val="22"/>
          <w:szCs w:val="22"/>
        </w:rPr>
        <w:footnoteReference w:id="8"/>
      </w:r>
      <w:r w:rsidRPr="00861377">
        <w:rPr>
          <w:rFonts w:ascii="Calibri" w:hAnsi="Calibri"/>
          <w:sz w:val="22"/>
          <w:szCs w:val="22"/>
        </w:rPr>
        <w:t xml:space="preserve">  But this is only in theory, as in practice it would be impossible. Ola </w:t>
      </w:r>
      <w:proofErr w:type="spellStart"/>
      <w:r w:rsidRPr="00861377">
        <w:rPr>
          <w:rFonts w:ascii="Calibri" w:hAnsi="Calibri"/>
          <w:sz w:val="22"/>
          <w:szCs w:val="22"/>
        </w:rPr>
        <w:t>Sigurdson</w:t>
      </w:r>
      <w:proofErr w:type="spellEnd"/>
      <w:r w:rsidRPr="00861377">
        <w:rPr>
          <w:rFonts w:ascii="Calibri" w:hAnsi="Calibri"/>
          <w:sz w:val="22"/>
          <w:szCs w:val="22"/>
        </w:rPr>
        <w:t xml:space="preserve"> argues that ‘even the most desacralized existence still preserves traces of a religious </w:t>
      </w:r>
      <w:proofErr w:type="spellStart"/>
      <w:r w:rsidRPr="00861377">
        <w:rPr>
          <w:rFonts w:ascii="Calibri" w:hAnsi="Calibri"/>
          <w:sz w:val="22"/>
          <w:szCs w:val="22"/>
        </w:rPr>
        <w:t>valorization</w:t>
      </w:r>
      <w:proofErr w:type="spellEnd"/>
      <w:r w:rsidRPr="00861377">
        <w:rPr>
          <w:rFonts w:ascii="Calibri" w:hAnsi="Calibri"/>
          <w:sz w:val="22"/>
          <w:szCs w:val="22"/>
        </w:rPr>
        <w:t xml:space="preserve"> of the world.’</w:t>
      </w:r>
      <w:r w:rsidRPr="00861377">
        <w:rPr>
          <w:rStyle w:val="FootnoteReference"/>
          <w:rFonts w:ascii="Calibri" w:hAnsi="Calibri"/>
          <w:sz w:val="22"/>
          <w:szCs w:val="22"/>
        </w:rPr>
        <w:footnoteReference w:id="9"/>
      </w:r>
      <w:r w:rsidRPr="00861377">
        <w:rPr>
          <w:rFonts w:ascii="Calibri" w:hAnsi="Calibri"/>
          <w:sz w:val="22"/>
          <w:szCs w:val="22"/>
        </w:rPr>
        <w:t xml:space="preserve"> In other words, even on the individual’s level of existence, particularly for the modern and nonreligious, there are certain spaces which are distinct to others, not homogenous: for example, one’s birthplace, which can be seen as a personal </w:t>
      </w:r>
      <w:r w:rsidRPr="00861377">
        <w:rPr>
          <w:rFonts w:ascii="Calibri" w:hAnsi="Calibri"/>
          <w:i/>
          <w:sz w:val="22"/>
          <w:szCs w:val="22"/>
        </w:rPr>
        <w:t>axis mundi</w:t>
      </w:r>
      <w:r w:rsidRPr="00861377">
        <w:rPr>
          <w:rFonts w:ascii="Calibri" w:hAnsi="Calibri"/>
          <w:sz w:val="22"/>
          <w:szCs w:val="22"/>
        </w:rPr>
        <w:t xml:space="preserve"> through which the rest of one’s existence emerges. Indeed, sacredness in </w:t>
      </w:r>
      <w:proofErr w:type="spellStart"/>
      <w:r w:rsidRPr="00861377">
        <w:rPr>
          <w:rFonts w:ascii="Calibri" w:hAnsi="Calibri"/>
          <w:sz w:val="22"/>
          <w:szCs w:val="22"/>
        </w:rPr>
        <w:t>Eliade’s</w:t>
      </w:r>
      <w:proofErr w:type="spellEnd"/>
      <w:r w:rsidRPr="00861377">
        <w:rPr>
          <w:rFonts w:ascii="Calibri" w:hAnsi="Calibri"/>
          <w:sz w:val="22"/>
          <w:szCs w:val="22"/>
        </w:rPr>
        <w:t xml:space="preserve"> understanding is intrinsic as ‘all the world</w:t>
      </w:r>
      <w:r w:rsidR="00BD71F5" w:rsidRPr="00861377">
        <w:rPr>
          <w:rFonts w:ascii="Calibri" w:hAnsi="Calibri"/>
          <w:sz w:val="22"/>
          <w:szCs w:val="22"/>
        </w:rPr>
        <w:t>’</w:t>
      </w:r>
      <w:r w:rsidRPr="00861377">
        <w:rPr>
          <w:rFonts w:ascii="Calibri" w:hAnsi="Calibri"/>
          <w:sz w:val="22"/>
          <w:szCs w:val="22"/>
        </w:rPr>
        <w:t xml:space="preserve"> </w:t>
      </w:r>
      <w:r w:rsidR="00BD71F5" w:rsidRPr="00861377">
        <w:rPr>
          <w:rFonts w:ascii="Calibri" w:hAnsi="Calibri"/>
          <w:sz w:val="22"/>
          <w:szCs w:val="22"/>
        </w:rPr>
        <w:t>has the potential to see a ‘</w:t>
      </w:r>
      <w:r w:rsidRPr="00861377">
        <w:rPr>
          <w:rFonts w:ascii="Calibri" w:hAnsi="Calibri"/>
          <w:sz w:val="22"/>
          <w:szCs w:val="22"/>
        </w:rPr>
        <w:t>manifestation of the sacred.’</w:t>
      </w:r>
      <w:r w:rsidRPr="00861377">
        <w:rPr>
          <w:rStyle w:val="FootnoteReference"/>
          <w:rFonts w:ascii="Calibri" w:hAnsi="Calibri"/>
          <w:sz w:val="22"/>
          <w:szCs w:val="22"/>
        </w:rPr>
        <w:t xml:space="preserve"> </w:t>
      </w:r>
      <w:r w:rsidRPr="00861377">
        <w:rPr>
          <w:rStyle w:val="FootnoteReference"/>
          <w:rFonts w:ascii="Calibri" w:hAnsi="Calibri"/>
          <w:sz w:val="22"/>
          <w:szCs w:val="22"/>
        </w:rPr>
        <w:footnoteReference w:id="10"/>
      </w:r>
      <w:r w:rsidRPr="00861377">
        <w:rPr>
          <w:rFonts w:ascii="Calibri" w:hAnsi="Calibri"/>
          <w:sz w:val="22"/>
          <w:szCs w:val="22"/>
        </w:rPr>
        <w:t xml:space="preserve"> A new centre can be created elsewhere, through another hierophany and cosmological event. Though a noted critic of Eliade, Jonathan Z. Smith acknowledges that in so doing he enabled an ‘all but limitless extension’ of the field of religious studies.</w:t>
      </w:r>
      <w:r w:rsidRPr="00861377">
        <w:rPr>
          <w:rStyle w:val="FootnoteReference"/>
          <w:rFonts w:ascii="Calibri" w:hAnsi="Calibri"/>
          <w:sz w:val="22"/>
          <w:szCs w:val="22"/>
        </w:rPr>
        <w:footnoteReference w:id="11"/>
      </w:r>
      <w:r w:rsidRPr="00861377">
        <w:rPr>
          <w:rFonts w:ascii="Calibri" w:hAnsi="Calibri"/>
          <w:sz w:val="22"/>
          <w:szCs w:val="22"/>
        </w:rPr>
        <w:t xml:space="preserve"> </w:t>
      </w:r>
    </w:p>
    <w:p w14:paraId="4A083B48" w14:textId="77777777" w:rsidR="006079C7" w:rsidRPr="00861377" w:rsidRDefault="006079C7" w:rsidP="00861377">
      <w:pPr>
        <w:jc w:val="both"/>
        <w:rPr>
          <w:rFonts w:ascii="Calibri" w:hAnsi="Calibri"/>
          <w:sz w:val="22"/>
          <w:szCs w:val="22"/>
        </w:rPr>
      </w:pPr>
    </w:p>
    <w:p w14:paraId="1F3238BA" w14:textId="2C5C37E7" w:rsidR="006079C7" w:rsidRPr="00861377" w:rsidRDefault="006079C7" w:rsidP="00861377">
      <w:pPr>
        <w:ind w:firstLine="720"/>
        <w:jc w:val="both"/>
        <w:rPr>
          <w:rFonts w:ascii="Calibri" w:hAnsi="Calibri"/>
          <w:sz w:val="22"/>
          <w:szCs w:val="22"/>
        </w:rPr>
      </w:pPr>
      <w:r w:rsidRPr="00861377">
        <w:rPr>
          <w:rFonts w:ascii="Calibri" w:hAnsi="Calibri"/>
          <w:sz w:val="22"/>
          <w:szCs w:val="22"/>
        </w:rPr>
        <w:t>From the central point of hierophany, order and orientation is enabled, discontinuity is created and, along with it, a boundary between what is sacredly heterogeneous, and what is profanely homogenous. That boundary acts as a threshold, separating but also permitting, according to Kim Knott, a ‘communication between different domains.’</w:t>
      </w:r>
      <w:r w:rsidRPr="00861377">
        <w:rPr>
          <w:rStyle w:val="FootnoteReference"/>
          <w:rFonts w:ascii="Calibri" w:hAnsi="Calibri"/>
          <w:sz w:val="22"/>
          <w:szCs w:val="22"/>
        </w:rPr>
        <w:footnoteReference w:id="12"/>
      </w:r>
      <w:r w:rsidRPr="00861377">
        <w:rPr>
          <w:rFonts w:ascii="Calibri" w:hAnsi="Calibri"/>
          <w:sz w:val="22"/>
          <w:szCs w:val="22"/>
        </w:rPr>
        <w:t xml:space="preserve"> While sacred places can be manifested in many forms, from pre-existing geological features to </w:t>
      </w:r>
      <w:proofErr w:type="spellStart"/>
      <w:r w:rsidRPr="00861377">
        <w:rPr>
          <w:rFonts w:ascii="Calibri" w:hAnsi="Calibri"/>
          <w:sz w:val="22"/>
          <w:szCs w:val="22"/>
        </w:rPr>
        <w:t>built</w:t>
      </w:r>
      <w:proofErr w:type="spellEnd"/>
      <w:r w:rsidRPr="00861377">
        <w:rPr>
          <w:rFonts w:ascii="Calibri" w:hAnsi="Calibri"/>
          <w:sz w:val="22"/>
          <w:szCs w:val="22"/>
        </w:rPr>
        <w:t xml:space="preserve"> edifices, they are not eternal. Sacred space in </w:t>
      </w:r>
      <w:proofErr w:type="spellStart"/>
      <w:r w:rsidRPr="00861377">
        <w:rPr>
          <w:rFonts w:ascii="Calibri" w:hAnsi="Calibri"/>
          <w:sz w:val="22"/>
          <w:szCs w:val="22"/>
        </w:rPr>
        <w:t>Sigurdson’s</w:t>
      </w:r>
      <w:proofErr w:type="spellEnd"/>
      <w:r w:rsidRPr="00861377">
        <w:rPr>
          <w:rFonts w:ascii="Calibri" w:hAnsi="Calibri"/>
          <w:sz w:val="22"/>
          <w:szCs w:val="22"/>
        </w:rPr>
        <w:t xml:space="preserve"> understanding of Eliade ‘has to be performed, but this performance is not, at least not from the perspective of the sacred space, a construction of sacred space by human beings alone, but “reproduces the work of the gods</w:t>
      </w:r>
      <w:r w:rsidR="0099160F">
        <w:rPr>
          <w:rFonts w:ascii="Calibri" w:hAnsi="Calibri"/>
          <w:sz w:val="22"/>
          <w:szCs w:val="22"/>
        </w:rPr>
        <w:t>.</w:t>
      </w:r>
      <w:r w:rsidRPr="00861377">
        <w:rPr>
          <w:rFonts w:ascii="Calibri" w:hAnsi="Calibri"/>
          <w:sz w:val="22"/>
          <w:szCs w:val="22"/>
        </w:rPr>
        <w:t>”’</w:t>
      </w:r>
      <w:r w:rsidRPr="00861377">
        <w:rPr>
          <w:rStyle w:val="FootnoteReference"/>
          <w:rFonts w:ascii="Calibri" w:hAnsi="Calibri"/>
          <w:sz w:val="22"/>
          <w:szCs w:val="22"/>
        </w:rPr>
        <w:footnoteReference w:id="13"/>
      </w:r>
      <w:r w:rsidRPr="00861377">
        <w:rPr>
          <w:rFonts w:ascii="Calibri" w:hAnsi="Calibri"/>
          <w:sz w:val="22"/>
          <w:szCs w:val="22"/>
        </w:rPr>
        <w:t xml:space="preserve"> The initial power of the hierophany must be reflected in earthly form, whether it be in a building, whose thres</w:t>
      </w:r>
      <w:bookmarkStart w:id="6" w:name="_GoBack"/>
      <w:bookmarkEnd w:id="6"/>
      <w:r w:rsidRPr="00861377">
        <w:rPr>
          <w:rFonts w:ascii="Calibri" w:hAnsi="Calibri"/>
          <w:sz w:val="22"/>
          <w:szCs w:val="22"/>
        </w:rPr>
        <w:t xml:space="preserve">hold one must pass to enter, or a mountain, whose peak must be ascended. This has led </w:t>
      </w:r>
      <w:proofErr w:type="spellStart"/>
      <w:r w:rsidRPr="00861377">
        <w:rPr>
          <w:rFonts w:ascii="Calibri" w:hAnsi="Calibri"/>
          <w:sz w:val="22"/>
          <w:szCs w:val="22"/>
        </w:rPr>
        <w:t>Sigurdson</w:t>
      </w:r>
      <w:proofErr w:type="spellEnd"/>
      <w:r w:rsidRPr="00861377">
        <w:rPr>
          <w:rFonts w:ascii="Calibri" w:hAnsi="Calibri"/>
          <w:sz w:val="22"/>
          <w:szCs w:val="22"/>
        </w:rPr>
        <w:t xml:space="preserve"> to argue that ‘there is an active or even performative quality</w:t>
      </w:r>
      <w:r w:rsidR="00BD71F5" w:rsidRPr="00861377">
        <w:rPr>
          <w:rFonts w:ascii="Calibri" w:hAnsi="Calibri"/>
          <w:sz w:val="22"/>
          <w:szCs w:val="22"/>
        </w:rPr>
        <w:t>’</w:t>
      </w:r>
      <w:r w:rsidRPr="00861377">
        <w:rPr>
          <w:rFonts w:ascii="Calibri" w:hAnsi="Calibri"/>
          <w:sz w:val="22"/>
          <w:szCs w:val="22"/>
        </w:rPr>
        <w:t xml:space="preserve"> </w:t>
      </w:r>
      <w:r w:rsidR="00BD71F5" w:rsidRPr="00861377">
        <w:rPr>
          <w:rFonts w:ascii="Calibri" w:hAnsi="Calibri"/>
          <w:sz w:val="22"/>
          <w:szCs w:val="22"/>
        </w:rPr>
        <w:lastRenderedPageBreak/>
        <w:t xml:space="preserve">in manifestations of the </w:t>
      </w:r>
      <w:proofErr w:type="spellStart"/>
      <w:r w:rsidR="00BD71F5" w:rsidRPr="00861377">
        <w:rPr>
          <w:rFonts w:ascii="Calibri" w:hAnsi="Calibri"/>
          <w:sz w:val="22"/>
          <w:szCs w:val="22"/>
        </w:rPr>
        <w:t>sacred’s</w:t>
      </w:r>
      <w:proofErr w:type="spellEnd"/>
      <w:r w:rsidR="00BD71F5" w:rsidRPr="00861377">
        <w:rPr>
          <w:rFonts w:ascii="Calibri" w:hAnsi="Calibri"/>
          <w:sz w:val="22"/>
          <w:szCs w:val="22"/>
        </w:rPr>
        <w:t xml:space="preserve"> power, </w:t>
      </w:r>
      <w:r w:rsidRPr="00861377">
        <w:rPr>
          <w:rFonts w:ascii="Calibri" w:hAnsi="Calibri"/>
          <w:sz w:val="22"/>
          <w:szCs w:val="22"/>
        </w:rPr>
        <w:t>meaning it can impose itself in any number of ways, be they physical or mental.</w:t>
      </w:r>
      <w:r w:rsidRPr="00861377">
        <w:rPr>
          <w:rStyle w:val="FootnoteReference"/>
          <w:rFonts w:ascii="Calibri" w:hAnsi="Calibri"/>
          <w:sz w:val="22"/>
          <w:szCs w:val="22"/>
        </w:rPr>
        <w:footnoteReference w:id="14"/>
      </w:r>
      <w:r w:rsidRPr="00861377">
        <w:rPr>
          <w:rFonts w:ascii="Calibri" w:hAnsi="Calibri"/>
          <w:sz w:val="22"/>
          <w:szCs w:val="22"/>
        </w:rPr>
        <w:t xml:space="preserve"> </w:t>
      </w:r>
    </w:p>
    <w:p w14:paraId="52B0086D" w14:textId="77777777" w:rsidR="006079C7" w:rsidRPr="00861377" w:rsidRDefault="006079C7" w:rsidP="00861377">
      <w:pPr>
        <w:ind w:firstLine="720"/>
        <w:jc w:val="both"/>
        <w:rPr>
          <w:rFonts w:ascii="Calibri" w:hAnsi="Calibri"/>
          <w:sz w:val="22"/>
          <w:szCs w:val="22"/>
        </w:rPr>
      </w:pPr>
    </w:p>
    <w:p w14:paraId="2282845D" w14:textId="77777777" w:rsidR="006079C7" w:rsidRPr="00861377" w:rsidRDefault="006079C7" w:rsidP="00861377">
      <w:pPr>
        <w:jc w:val="both"/>
        <w:rPr>
          <w:rFonts w:ascii="Calibri" w:hAnsi="Calibri"/>
          <w:sz w:val="22"/>
          <w:szCs w:val="22"/>
        </w:rPr>
      </w:pPr>
    </w:p>
    <w:p w14:paraId="5970D757" w14:textId="3FA48964" w:rsidR="006079C7" w:rsidRPr="00861377" w:rsidRDefault="006079C7" w:rsidP="00861377">
      <w:pPr>
        <w:jc w:val="both"/>
        <w:rPr>
          <w:rFonts w:ascii="Calibri" w:hAnsi="Calibri"/>
          <w:sz w:val="22"/>
          <w:szCs w:val="22"/>
          <w:u w:val="single"/>
        </w:rPr>
      </w:pPr>
      <w:r w:rsidRPr="00861377">
        <w:rPr>
          <w:rFonts w:ascii="Calibri" w:hAnsi="Calibri"/>
          <w:sz w:val="22"/>
          <w:szCs w:val="22"/>
          <w:u w:val="single"/>
        </w:rPr>
        <w:t>EMILE DURKHEIM</w:t>
      </w:r>
    </w:p>
    <w:p w14:paraId="59021320" w14:textId="2637A835" w:rsidR="006079C7" w:rsidRPr="00861377" w:rsidRDefault="006079C7" w:rsidP="00861377">
      <w:pPr>
        <w:jc w:val="both"/>
        <w:rPr>
          <w:rFonts w:ascii="Calibri" w:hAnsi="Calibri"/>
          <w:sz w:val="22"/>
          <w:szCs w:val="22"/>
        </w:rPr>
      </w:pPr>
      <w:r w:rsidRPr="00861377">
        <w:rPr>
          <w:rFonts w:ascii="Calibri" w:hAnsi="Calibri"/>
          <w:sz w:val="22"/>
          <w:szCs w:val="22"/>
        </w:rPr>
        <w:tab/>
      </w:r>
    </w:p>
    <w:p w14:paraId="3F4A1AB0" w14:textId="0C9D21C0" w:rsidR="006079C7" w:rsidRPr="00861377" w:rsidRDefault="006079C7" w:rsidP="00861377">
      <w:pPr>
        <w:jc w:val="both"/>
        <w:rPr>
          <w:rFonts w:ascii="Calibri" w:hAnsi="Calibri"/>
          <w:sz w:val="22"/>
          <w:szCs w:val="22"/>
        </w:rPr>
      </w:pPr>
      <w:r w:rsidRPr="00861377">
        <w:rPr>
          <w:rFonts w:ascii="Calibri" w:hAnsi="Calibri"/>
          <w:sz w:val="22"/>
          <w:szCs w:val="22"/>
        </w:rPr>
        <w:tab/>
        <w:t xml:space="preserve">For Durkheim, the sacred is to be understood as a social construct existing within his concept of </w:t>
      </w:r>
      <w:r w:rsidRPr="00861377">
        <w:rPr>
          <w:rFonts w:ascii="Calibri" w:hAnsi="Calibri"/>
          <w:i/>
          <w:sz w:val="22"/>
          <w:szCs w:val="22"/>
        </w:rPr>
        <w:t>representation collectives</w:t>
      </w:r>
      <w:r w:rsidRPr="00861377">
        <w:rPr>
          <w:rFonts w:ascii="Calibri" w:hAnsi="Calibri"/>
          <w:sz w:val="22"/>
          <w:szCs w:val="22"/>
        </w:rPr>
        <w:t xml:space="preserve">, or collective representations, which emanate from his concept of collective consciousness. In essence, these are the elements of a society’s beliefs, thoughts and practices held within each of the individuals within that society. While they exist purely in the mental realm of each individual, they can be manifested in the physical realm, much like the manner in which religious beliefs can manifest in prayer or ritual. And it is precisely in these collective rituals and activities that the power of these elements originates: Karen Fields, the translator of </w:t>
      </w:r>
      <w:proofErr w:type="spellStart"/>
      <w:r w:rsidRPr="00861377">
        <w:rPr>
          <w:rFonts w:ascii="Calibri" w:hAnsi="Calibri"/>
          <w:sz w:val="22"/>
          <w:szCs w:val="22"/>
        </w:rPr>
        <w:t>Eliade’s</w:t>
      </w:r>
      <w:proofErr w:type="spellEnd"/>
      <w:r w:rsidRPr="00861377">
        <w:rPr>
          <w:rFonts w:ascii="Calibri" w:hAnsi="Calibri"/>
          <w:sz w:val="22"/>
          <w:szCs w:val="22"/>
        </w:rPr>
        <w:t xml:space="preserve"> work, notes that ‘through real experience, the participants come to ascribe power to sacred objects’ because the ‘power generated in the assembly</w:t>
      </w:r>
      <w:r w:rsidR="00BD71F5" w:rsidRPr="00861377">
        <w:rPr>
          <w:rFonts w:ascii="Calibri" w:hAnsi="Calibri"/>
          <w:sz w:val="22"/>
          <w:szCs w:val="22"/>
        </w:rPr>
        <w:t>’ becomes associated with the ‘totemic’ or sacred object.</w:t>
      </w:r>
      <w:r w:rsidRPr="00861377">
        <w:rPr>
          <w:rStyle w:val="FootnoteReference"/>
          <w:rFonts w:ascii="Calibri" w:hAnsi="Calibri"/>
          <w:sz w:val="22"/>
          <w:szCs w:val="22"/>
        </w:rPr>
        <w:footnoteReference w:id="15"/>
      </w:r>
      <w:r w:rsidRPr="00861377">
        <w:rPr>
          <w:rFonts w:ascii="Calibri" w:hAnsi="Calibri"/>
          <w:sz w:val="22"/>
          <w:szCs w:val="22"/>
        </w:rPr>
        <w:t xml:space="preserve"> That power can be felt and expressed in both the individual minds and bodies of the assembly’s member, yet it ceases to exist ‘as the real’ if this is restricted solely to one member.</w:t>
      </w:r>
      <w:r w:rsidRPr="00861377">
        <w:rPr>
          <w:rStyle w:val="FootnoteReference"/>
          <w:rFonts w:ascii="Calibri" w:hAnsi="Calibri"/>
          <w:sz w:val="22"/>
          <w:szCs w:val="22"/>
        </w:rPr>
        <w:footnoteReference w:id="16"/>
      </w:r>
    </w:p>
    <w:p w14:paraId="167E6A75" w14:textId="77777777" w:rsidR="006079C7" w:rsidRPr="00861377" w:rsidRDefault="006079C7" w:rsidP="00861377">
      <w:pPr>
        <w:jc w:val="both"/>
        <w:rPr>
          <w:rFonts w:ascii="Calibri" w:hAnsi="Calibri"/>
          <w:sz w:val="22"/>
          <w:szCs w:val="22"/>
        </w:rPr>
      </w:pPr>
    </w:p>
    <w:p w14:paraId="2EDFBAED" w14:textId="276E294F" w:rsidR="006079C7" w:rsidRPr="00861377" w:rsidRDefault="006079C7" w:rsidP="003933F1">
      <w:pPr>
        <w:ind w:firstLine="720"/>
        <w:jc w:val="both"/>
        <w:rPr>
          <w:rFonts w:ascii="Calibri" w:hAnsi="Calibri"/>
          <w:sz w:val="22"/>
          <w:szCs w:val="22"/>
        </w:rPr>
      </w:pPr>
      <w:r w:rsidRPr="00861377">
        <w:rPr>
          <w:rFonts w:ascii="Calibri" w:hAnsi="Calibri"/>
          <w:sz w:val="22"/>
          <w:szCs w:val="22"/>
        </w:rPr>
        <w:t>Religion is a key aspect of the sacred in Durkheim. He defines religions as a ‘unified system of beliefs and practices relative to sacred things,’ and furthermore sacred things as those ‘set apart and forbidden.’</w:t>
      </w:r>
      <w:r w:rsidRPr="00861377">
        <w:rPr>
          <w:rStyle w:val="FootnoteReference"/>
          <w:rFonts w:ascii="Calibri" w:hAnsi="Calibri"/>
          <w:sz w:val="22"/>
          <w:szCs w:val="22"/>
        </w:rPr>
        <w:footnoteReference w:id="17"/>
      </w:r>
      <w:r w:rsidRPr="00861377">
        <w:rPr>
          <w:rFonts w:ascii="Calibri" w:hAnsi="Calibri"/>
          <w:sz w:val="22"/>
          <w:szCs w:val="22"/>
        </w:rPr>
        <w:t xml:space="preserve"> When sacred objects (though this could also refer, for example, to the physical space in which the assembly occurs) are ascribed power, there is no physical change to the object, however the attitude of the group’s members towards it are modified to reflect due reverence. It therefore can manifest physically, particularly in the manner in which sacred objects are set apart from non-sacred ones, in a form of distinguishing distinction. This setting apart makes sacredness eminently real, as well as nonphysical, since it cannot necessarily be identified as such by someone who does not share the same collective consciousness as well as beliefs and practices. In this manner, sacredness circumscribes a certain group from others, setting them apart from others. Hence, in essence, sacredness and religiousness are borne of the ‘same human capacities that make society possible’ according to Fields. </w:t>
      </w:r>
      <w:r w:rsidRPr="00861377">
        <w:rPr>
          <w:rStyle w:val="FootnoteReference"/>
          <w:rFonts w:ascii="Calibri" w:hAnsi="Calibri"/>
          <w:sz w:val="22"/>
          <w:szCs w:val="22"/>
        </w:rPr>
        <w:footnoteReference w:id="18"/>
      </w:r>
    </w:p>
    <w:p w14:paraId="52EA100C" w14:textId="77777777" w:rsidR="006079C7" w:rsidRPr="00861377" w:rsidRDefault="006079C7" w:rsidP="00861377">
      <w:pPr>
        <w:jc w:val="both"/>
        <w:rPr>
          <w:rFonts w:ascii="Calibri" w:hAnsi="Calibri"/>
          <w:sz w:val="22"/>
          <w:szCs w:val="22"/>
        </w:rPr>
      </w:pPr>
    </w:p>
    <w:p w14:paraId="78768568" w14:textId="2295095E" w:rsidR="00281E3A" w:rsidRPr="00861377" w:rsidRDefault="006079C7" w:rsidP="00861377">
      <w:pPr>
        <w:jc w:val="both"/>
        <w:rPr>
          <w:rFonts w:ascii="Calibri" w:hAnsi="Calibri"/>
          <w:sz w:val="22"/>
          <w:szCs w:val="22"/>
        </w:rPr>
      </w:pPr>
      <w:r w:rsidRPr="00861377">
        <w:rPr>
          <w:rFonts w:ascii="Calibri" w:hAnsi="Calibri"/>
          <w:sz w:val="22"/>
          <w:szCs w:val="22"/>
        </w:rPr>
        <w:tab/>
        <w:t>Sacredness, according to Durkheim, has no set physical characteristics. A sacred object or space is created when it is collectively set apart from other, profane objects or spaces, and stays sacred as long as this remains the case. But since that sacredness is a mental construct with physical manifestations, it is intrinsically ephemeral: Fields analyses that ‘nothing that must be imagined</w:t>
      </w:r>
      <w:r w:rsidR="00BD71F5" w:rsidRPr="00861377">
        <w:rPr>
          <w:rFonts w:ascii="Calibri" w:hAnsi="Calibri"/>
          <w:sz w:val="22"/>
          <w:szCs w:val="22"/>
        </w:rPr>
        <w:t xml:space="preserve"> “always exists”</w:t>
      </w:r>
      <w:r w:rsidRPr="00861377">
        <w:rPr>
          <w:rFonts w:ascii="Calibri" w:hAnsi="Calibri"/>
          <w:sz w:val="22"/>
          <w:szCs w:val="22"/>
        </w:rPr>
        <w:t>, but must be continually re-imagined through human doing.’</w:t>
      </w:r>
      <w:r w:rsidRPr="00861377">
        <w:rPr>
          <w:rStyle w:val="FootnoteReference"/>
          <w:rFonts w:ascii="Calibri" w:hAnsi="Calibri"/>
          <w:sz w:val="22"/>
          <w:szCs w:val="22"/>
        </w:rPr>
        <w:footnoteReference w:id="19"/>
      </w:r>
      <w:r w:rsidRPr="00861377">
        <w:rPr>
          <w:rFonts w:ascii="Calibri" w:hAnsi="Calibri"/>
          <w:sz w:val="22"/>
          <w:szCs w:val="22"/>
        </w:rPr>
        <w:t xml:space="preserve"> In other words, for Fields the ascribed power fades unless the distinguishing distinction is added ‘again, and again, just as </w:t>
      </w:r>
      <w:r w:rsidRPr="00861377">
        <w:rPr>
          <w:rFonts w:ascii="Calibri" w:hAnsi="Calibri"/>
          <w:sz w:val="22"/>
          <w:szCs w:val="22"/>
        </w:rPr>
        <w:lastRenderedPageBreak/>
        <w:t>it was originally; by collective human doing.’</w:t>
      </w:r>
      <w:r w:rsidRPr="00861377">
        <w:rPr>
          <w:rStyle w:val="FootnoteReference"/>
          <w:rFonts w:ascii="Calibri" w:hAnsi="Calibri"/>
          <w:sz w:val="22"/>
          <w:szCs w:val="22"/>
        </w:rPr>
        <w:footnoteReference w:id="20"/>
      </w:r>
      <w:r w:rsidRPr="00861377">
        <w:rPr>
          <w:rFonts w:ascii="Calibri" w:hAnsi="Calibri"/>
          <w:sz w:val="22"/>
          <w:szCs w:val="22"/>
        </w:rPr>
        <w:t xml:space="preserve"> </w:t>
      </w:r>
      <w:r w:rsidR="00531A1F" w:rsidRPr="00861377">
        <w:rPr>
          <w:rFonts w:ascii="Calibri" w:hAnsi="Calibri"/>
          <w:sz w:val="22"/>
          <w:szCs w:val="22"/>
        </w:rPr>
        <w:t xml:space="preserve">Sacredness therefore emanates from collective mental constructs: devoid of the collective element, the sacred quality ceases to exist immediately. </w:t>
      </w:r>
    </w:p>
    <w:p w14:paraId="2B9457D8" w14:textId="77777777" w:rsidR="00902615" w:rsidRPr="00861377" w:rsidRDefault="00902615" w:rsidP="00861377">
      <w:pPr>
        <w:jc w:val="both"/>
        <w:rPr>
          <w:rFonts w:ascii="Calibri" w:hAnsi="Calibri"/>
          <w:sz w:val="22"/>
          <w:szCs w:val="22"/>
        </w:rPr>
      </w:pPr>
    </w:p>
    <w:p w14:paraId="6A8EC4EC" w14:textId="77777777" w:rsidR="00654323" w:rsidRPr="00861377" w:rsidRDefault="00654323" w:rsidP="00861377">
      <w:pPr>
        <w:jc w:val="both"/>
        <w:rPr>
          <w:rFonts w:ascii="Calibri" w:hAnsi="Calibri"/>
          <w:sz w:val="22"/>
          <w:szCs w:val="22"/>
        </w:rPr>
      </w:pPr>
    </w:p>
    <w:p w14:paraId="74FABB7A" w14:textId="782C072F" w:rsidR="00902615" w:rsidRPr="00861377" w:rsidRDefault="009C214A" w:rsidP="00861377">
      <w:pPr>
        <w:jc w:val="both"/>
        <w:rPr>
          <w:rFonts w:ascii="Calibri" w:hAnsi="Calibri"/>
          <w:sz w:val="22"/>
          <w:szCs w:val="22"/>
        </w:rPr>
      </w:pPr>
      <w:r w:rsidRPr="00861377">
        <w:rPr>
          <w:rFonts w:ascii="Calibri" w:hAnsi="Calibri"/>
          <w:sz w:val="22"/>
          <w:szCs w:val="22"/>
          <w:u w:val="single"/>
        </w:rPr>
        <w:t xml:space="preserve">COMPARISON OF </w:t>
      </w:r>
      <w:r w:rsidR="002F17C7" w:rsidRPr="00861377">
        <w:rPr>
          <w:rFonts w:ascii="Calibri" w:hAnsi="Calibri"/>
          <w:sz w:val="22"/>
          <w:szCs w:val="22"/>
          <w:u w:val="single"/>
        </w:rPr>
        <w:t>SACRED</w:t>
      </w:r>
      <w:r w:rsidRPr="00861377">
        <w:rPr>
          <w:rFonts w:ascii="Calibri" w:hAnsi="Calibri"/>
          <w:sz w:val="22"/>
          <w:szCs w:val="22"/>
          <w:u w:val="single"/>
        </w:rPr>
        <w:t xml:space="preserve"> SPACE IN ELIADE &amp; DURKHEIM</w:t>
      </w:r>
    </w:p>
    <w:p w14:paraId="4C1C8A83" w14:textId="7DFAA7EA" w:rsidR="009C214A" w:rsidRPr="00861377" w:rsidRDefault="009C214A" w:rsidP="00861377">
      <w:pPr>
        <w:jc w:val="both"/>
        <w:rPr>
          <w:rFonts w:ascii="Calibri" w:hAnsi="Calibri"/>
          <w:sz w:val="22"/>
          <w:szCs w:val="22"/>
        </w:rPr>
      </w:pPr>
      <w:r w:rsidRPr="00861377">
        <w:rPr>
          <w:rFonts w:ascii="Calibri" w:hAnsi="Calibri"/>
          <w:sz w:val="22"/>
          <w:szCs w:val="22"/>
        </w:rPr>
        <w:tab/>
      </w:r>
    </w:p>
    <w:p w14:paraId="17C3D61D" w14:textId="19D594DC" w:rsidR="002F17C7" w:rsidRPr="00861377" w:rsidRDefault="001F0157" w:rsidP="00861377">
      <w:pPr>
        <w:jc w:val="both"/>
        <w:rPr>
          <w:rFonts w:ascii="Calibri" w:hAnsi="Calibri"/>
          <w:sz w:val="22"/>
          <w:szCs w:val="22"/>
        </w:rPr>
      </w:pPr>
      <w:r w:rsidRPr="00861377">
        <w:rPr>
          <w:rFonts w:ascii="Calibri" w:hAnsi="Calibri"/>
          <w:sz w:val="22"/>
          <w:szCs w:val="22"/>
        </w:rPr>
        <w:tab/>
        <w:t xml:space="preserve">As Eliade and Durkheim found their notion of the sacred </w:t>
      </w:r>
      <w:r w:rsidR="00AF3C18" w:rsidRPr="00861377">
        <w:rPr>
          <w:rFonts w:ascii="Calibri" w:hAnsi="Calibri"/>
          <w:sz w:val="22"/>
          <w:szCs w:val="22"/>
        </w:rPr>
        <w:t xml:space="preserve">on entirely different grounds, the similarities do not run as deep as the differences. For Eliade, sacredness emerges from a metaphysical, otherworldly absolute reality in the form of a hierophany, while for Durkheim it is a real, but nevertheless fictional mental and social construct emerging from collective human activity. </w:t>
      </w:r>
      <w:r w:rsidR="00222E27" w:rsidRPr="00861377">
        <w:rPr>
          <w:rFonts w:ascii="Calibri" w:hAnsi="Calibri"/>
          <w:sz w:val="22"/>
          <w:szCs w:val="22"/>
        </w:rPr>
        <w:t>But on this basis, both</w:t>
      </w:r>
      <w:r w:rsidR="00AF3C18" w:rsidRPr="00861377">
        <w:rPr>
          <w:rFonts w:ascii="Calibri" w:hAnsi="Calibri"/>
          <w:sz w:val="22"/>
          <w:szCs w:val="22"/>
        </w:rPr>
        <w:t xml:space="preserve"> agree that it has </w:t>
      </w:r>
      <w:r w:rsidR="00222E27" w:rsidRPr="00861377">
        <w:rPr>
          <w:rFonts w:ascii="Calibri" w:hAnsi="Calibri"/>
          <w:sz w:val="22"/>
          <w:szCs w:val="22"/>
        </w:rPr>
        <w:t xml:space="preserve">a </w:t>
      </w:r>
      <w:r w:rsidR="00AF3C18" w:rsidRPr="00861377">
        <w:rPr>
          <w:rFonts w:ascii="Calibri" w:hAnsi="Calibri"/>
          <w:sz w:val="22"/>
          <w:szCs w:val="22"/>
        </w:rPr>
        <w:t xml:space="preserve">power, </w:t>
      </w:r>
      <w:r w:rsidR="00222E27" w:rsidRPr="00861377">
        <w:rPr>
          <w:rFonts w:ascii="Calibri" w:hAnsi="Calibri"/>
          <w:sz w:val="22"/>
          <w:szCs w:val="22"/>
        </w:rPr>
        <w:t xml:space="preserve">or </w:t>
      </w:r>
      <w:r w:rsidR="00AF3C18" w:rsidRPr="00861377">
        <w:rPr>
          <w:rFonts w:ascii="Calibri" w:hAnsi="Calibri"/>
          <w:sz w:val="22"/>
          <w:szCs w:val="22"/>
        </w:rPr>
        <w:t xml:space="preserve">force, which can </w:t>
      </w:r>
      <w:r w:rsidR="00222E27" w:rsidRPr="00861377">
        <w:rPr>
          <w:rFonts w:ascii="Calibri" w:hAnsi="Calibri"/>
          <w:sz w:val="22"/>
          <w:szCs w:val="22"/>
        </w:rPr>
        <w:t xml:space="preserve">be manifested and reflected in the material world. </w:t>
      </w:r>
      <w:r w:rsidR="00477FE5" w:rsidRPr="00861377">
        <w:rPr>
          <w:rFonts w:ascii="Calibri" w:hAnsi="Calibri"/>
          <w:sz w:val="22"/>
          <w:szCs w:val="22"/>
        </w:rPr>
        <w:t>As</w:t>
      </w:r>
      <w:r w:rsidR="00222E27" w:rsidRPr="00861377">
        <w:rPr>
          <w:rFonts w:ascii="Calibri" w:hAnsi="Calibri"/>
          <w:sz w:val="22"/>
          <w:szCs w:val="22"/>
        </w:rPr>
        <w:t xml:space="preserve"> a result, sacredness has a finite nature, which requires a repeated performance </w:t>
      </w:r>
      <w:r w:rsidR="008F7A79" w:rsidRPr="00861377">
        <w:rPr>
          <w:rFonts w:ascii="Calibri" w:hAnsi="Calibri"/>
          <w:sz w:val="22"/>
          <w:szCs w:val="22"/>
        </w:rPr>
        <w:t xml:space="preserve">or ritual </w:t>
      </w:r>
      <w:r w:rsidR="00222E27" w:rsidRPr="00861377">
        <w:rPr>
          <w:rFonts w:ascii="Calibri" w:hAnsi="Calibri"/>
          <w:sz w:val="22"/>
          <w:szCs w:val="22"/>
        </w:rPr>
        <w:t xml:space="preserve">of sorts to maintain its sacred power. </w:t>
      </w:r>
      <w:r w:rsidR="00DD233A" w:rsidRPr="00861377">
        <w:rPr>
          <w:rFonts w:ascii="Calibri" w:hAnsi="Calibri"/>
          <w:sz w:val="22"/>
          <w:szCs w:val="22"/>
        </w:rPr>
        <w:t>For Eliade, this ritual mimics divine archetypes, while for Durkheim these emerges from social constructs.</w:t>
      </w:r>
    </w:p>
    <w:p w14:paraId="3BD2CECB" w14:textId="77777777" w:rsidR="00222E27" w:rsidRPr="00861377" w:rsidRDefault="00222E27" w:rsidP="00861377">
      <w:pPr>
        <w:jc w:val="both"/>
        <w:rPr>
          <w:rFonts w:ascii="Calibri" w:hAnsi="Calibri"/>
          <w:sz w:val="22"/>
          <w:szCs w:val="22"/>
        </w:rPr>
      </w:pPr>
    </w:p>
    <w:p w14:paraId="7CB0FE39" w14:textId="04F5D7DA" w:rsidR="0044376E" w:rsidRPr="00861377" w:rsidRDefault="00222E27" w:rsidP="00861377">
      <w:pPr>
        <w:ind w:firstLine="720"/>
        <w:jc w:val="both"/>
        <w:rPr>
          <w:rFonts w:ascii="Calibri" w:hAnsi="Calibri"/>
          <w:sz w:val="22"/>
          <w:szCs w:val="22"/>
        </w:rPr>
      </w:pPr>
      <w:r w:rsidRPr="00861377">
        <w:rPr>
          <w:rFonts w:ascii="Calibri" w:hAnsi="Calibri"/>
          <w:sz w:val="22"/>
          <w:szCs w:val="22"/>
        </w:rPr>
        <w:t>In Eliade, sacredness exists in a dichotomy with the profane, which enables spatial orientation and differentiation. To the extent that this applies to Durkheim, it is primarily in a social application. Admittedly, a Durkheimian sacred object does necessarily need to be set apart</w:t>
      </w:r>
      <w:r w:rsidR="008E5881" w:rsidRPr="00861377">
        <w:rPr>
          <w:rFonts w:ascii="Calibri" w:hAnsi="Calibri"/>
          <w:sz w:val="22"/>
          <w:szCs w:val="22"/>
        </w:rPr>
        <w:t>, differentiated</w:t>
      </w:r>
      <w:r w:rsidRPr="00861377">
        <w:rPr>
          <w:rFonts w:ascii="Calibri" w:hAnsi="Calibri"/>
          <w:sz w:val="22"/>
          <w:szCs w:val="22"/>
        </w:rPr>
        <w:t xml:space="preserve"> from the profane to maintain its sacred quality: this is a core feature of his conception. However, </w:t>
      </w:r>
      <w:r w:rsidR="008E5881" w:rsidRPr="00861377">
        <w:rPr>
          <w:rFonts w:ascii="Calibri" w:hAnsi="Calibri"/>
          <w:sz w:val="22"/>
          <w:szCs w:val="22"/>
        </w:rPr>
        <w:t>it only truly creates heterogeneity in the soc</w:t>
      </w:r>
      <w:r w:rsidR="00477FE5" w:rsidRPr="00861377">
        <w:rPr>
          <w:rFonts w:ascii="Calibri" w:hAnsi="Calibri"/>
          <w:sz w:val="22"/>
          <w:szCs w:val="22"/>
        </w:rPr>
        <w:t>ial sense. A</w:t>
      </w:r>
      <w:r w:rsidR="008E5881" w:rsidRPr="00861377">
        <w:rPr>
          <w:rFonts w:ascii="Calibri" w:hAnsi="Calibri"/>
          <w:sz w:val="22"/>
          <w:szCs w:val="22"/>
        </w:rPr>
        <w:t xml:space="preserve"> group </w:t>
      </w:r>
      <w:r w:rsidR="00477FE5" w:rsidRPr="00861377">
        <w:rPr>
          <w:rFonts w:ascii="Calibri" w:hAnsi="Calibri"/>
          <w:sz w:val="22"/>
          <w:szCs w:val="22"/>
        </w:rPr>
        <w:t>or assembly with</w:t>
      </w:r>
      <w:r w:rsidR="008E5881" w:rsidRPr="00861377">
        <w:rPr>
          <w:rFonts w:ascii="Calibri" w:hAnsi="Calibri"/>
          <w:sz w:val="22"/>
          <w:szCs w:val="22"/>
        </w:rPr>
        <w:t xml:space="preserve"> collective representations </w:t>
      </w:r>
      <w:r w:rsidR="00477FE5" w:rsidRPr="00861377">
        <w:rPr>
          <w:rFonts w:ascii="Calibri" w:hAnsi="Calibri"/>
          <w:sz w:val="22"/>
          <w:szCs w:val="22"/>
        </w:rPr>
        <w:t xml:space="preserve">necessarily </w:t>
      </w:r>
      <w:r w:rsidR="008E5881" w:rsidRPr="00861377">
        <w:rPr>
          <w:rFonts w:ascii="Calibri" w:hAnsi="Calibri"/>
          <w:sz w:val="22"/>
          <w:szCs w:val="22"/>
        </w:rPr>
        <w:t>circumscribe</w:t>
      </w:r>
      <w:r w:rsidR="00477FE5" w:rsidRPr="00861377">
        <w:rPr>
          <w:rFonts w:ascii="Calibri" w:hAnsi="Calibri"/>
          <w:sz w:val="22"/>
          <w:szCs w:val="22"/>
        </w:rPr>
        <w:t>s</w:t>
      </w:r>
      <w:r w:rsidR="008E5881" w:rsidRPr="00861377">
        <w:rPr>
          <w:rFonts w:ascii="Calibri" w:hAnsi="Calibri"/>
          <w:sz w:val="22"/>
          <w:szCs w:val="22"/>
        </w:rPr>
        <w:t xml:space="preserve"> it</w:t>
      </w:r>
      <w:r w:rsidR="00477FE5" w:rsidRPr="00861377">
        <w:rPr>
          <w:rFonts w:ascii="Calibri" w:hAnsi="Calibri"/>
          <w:sz w:val="22"/>
          <w:szCs w:val="22"/>
        </w:rPr>
        <w:t>self</w:t>
      </w:r>
      <w:r w:rsidR="008E5881" w:rsidRPr="00861377">
        <w:rPr>
          <w:rFonts w:ascii="Calibri" w:hAnsi="Calibri"/>
          <w:sz w:val="22"/>
          <w:szCs w:val="22"/>
        </w:rPr>
        <w:t xml:space="preserve"> from other groups and individuals </w:t>
      </w:r>
      <w:r w:rsidR="00477FE5" w:rsidRPr="00861377">
        <w:rPr>
          <w:rFonts w:ascii="Calibri" w:hAnsi="Calibri"/>
          <w:sz w:val="22"/>
          <w:szCs w:val="22"/>
        </w:rPr>
        <w:t>who do not</w:t>
      </w:r>
      <w:r w:rsidR="008E5881" w:rsidRPr="00861377">
        <w:rPr>
          <w:rFonts w:ascii="Calibri" w:hAnsi="Calibri"/>
          <w:sz w:val="22"/>
          <w:szCs w:val="22"/>
        </w:rPr>
        <w:t xml:space="preserve"> </w:t>
      </w:r>
      <w:r w:rsidR="00477FE5" w:rsidRPr="00861377">
        <w:rPr>
          <w:rFonts w:ascii="Calibri" w:hAnsi="Calibri"/>
          <w:sz w:val="22"/>
          <w:szCs w:val="22"/>
        </w:rPr>
        <w:t>share</w:t>
      </w:r>
      <w:r w:rsidR="008E5881" w:rsidRPr="00861377">
        <w:rPr>
          <w:rFonts w:ascii="Calibri" w:hAnsi="Calibri"/>
          <w:sz w:val="22"/>
          <w:szCs w:val="22"/>
        </w:rPr>
        <w:t xml:space="preserve"> the same unified belief system. For both, it can therefore be said that religiousness is a prerequisite for the emergence of the sacred. Yet ultimately, Eliade sees sacredness as </w:t>
      </w:r>
      <w:r w:rsidR="0044376E" w:rsidRPr="00861377">
        <w:rPr>
          <w:rFonts w:ascii="Calibri" w:hAnsi="Calibri"/>
          <w:sz w:val="22"/>
          <w:szCs w:val="22"/>
        </w:rPr>
        <w:t>a metaphysical cosmology</w:t>
      </w:r>
      <w:r w:rsidR="008E5881" w:rsidRPr="00861377">
        <w:rPr>
          <w:rFonts w:ascii="Calibri" w:hAnsi="Calibri"/>
          <w:sz w:val="22"/>
          <w:szCs w:val="22"/>
        </w:rPr>
        <w:t xml:space="preserve">, and Durkheim as </w:t>
      </w:r>
      <w:r w:rsidR="0044376E" w:rsidRPr="00861377">
        <w:rPr>
          <w:rFonts w:ascii="Calibri" w:hAnsi="Calibri"/>
          <w:sz w:val="22"/>
          <w:szCs w:val="22"/>
        </w:rPr>
        <w:t>merely a societal</w:t>
      </w:r>
      <w:r w:rsidR="00A71BBC" w:rsidRPr="00861377">
        <w:rPr>
          <w:rFonts w:ascii="Calibri" w:hAnsi="Calibri"/>
          <w:sz w:val="22"/>
          <w:szCs w:val="22"/>
        </w:rPr>
        <w:t xml:space="preserve"> </w:t>
      </w:r>
      <w:r w:rsidR="0044376E" w:rsidRPr="00861377">
        <w:rPr>
          <w:rFonts w:ascii="Calibri" w:hAnsi="Calibri"/>
          <w:sz w:val="22"/>
          <w:szCs w:val="22"/>
        </w:rPr>
        <w:t>cosmogony.</w:t>
      </w:r>
    </w:p>
    <w:p w14:paraId="3821D639" w14:textId="77777777" w:rsidR="0044376E" w:rsidRPr="00861377" w:rsidRDefault="0044376E" w:rsidP="00861377">
      <w:pPr>
        <w:ind w:firstLine="720"/>
        <w:jc w:val="both"/>
        <w:rPr>
          <w:rFonts w:ascii="Calibri" w:hAnsi="Calibri"/>
          <w:sz w:val="22"/>
          <w:szCs w:val="22"/>
        </w:rPr>
      </w:pPr>
    </w:p>
    <w:p w14:paraId="70738B34" w14:textId="5050F65E" w:rsidR="00A71BBC" w:rsidRPr="00861377" w:rsidRDefault="0044376E" w:rsidP="00861377">
      <w:pPr>
        <w:ind w:firstLine="720"/>
        <w:jc w:val="both"/>
        <w:rPr>
          <w:rFonts w:ascii="Calibri" w:hAnsi="Calibri"/>
          <w:sz w:val="22"/>
          <w:szCs w:val="22"/>
        </w:rPr>
      </w:pPr>
      <w:r w:rsidRPr="00861377">
        <w:rPr>
          <w:rFonts w:ascii="Calibri" w:hAnsi="Calibri"/>
          <w:sz w:val="22"/>
          <w:szCs w:val="22"/>
        </w:rPr>
        <w:t xml:space="preserve">After all, Durkheim argues that sacredness can only emerge from a collective, which it then serves to unify. It cannot emerge or even exist through a single human being. In Eliade, though sacredness emerges from the religious, even an irreligious human being </w:t>
      </w:r>
      <w:r w:rsidR="00A71BBC" w:rsidRPr="00861377">
        <w:rPr>
          <w:rFonts w:ascii="Calibri" w:hAnsi="Calibri"/>
          <w:sz w:val="22"/>
          <w:szCs w:val="22"/>
        </w:rPr>
        <w:t xml:space="preserve">must have some form of </w:t>
      </w:r>
      <w:proofErr w:type="spellStart"/>
      <w:r w:rsidR="00A71BBC" w:rsidRPr="00861377">
        <w:rPr>
          <w:rFonts w:ascii="Calibri" w:hAnsi="Calibri"/>
          <w:sz w:val="22"/>
          <w:szCs w:val="22"/>
        </w:rPr>
        <w:t>orientational</w:t>
      </w:r>
      <w:proofErr w:type="spellEnd"/>
      <w:r w:rsidR="00A71BBC" w:rsidRPr="00861377">
        <w:rPr>
          <w:rFonts w:ascii="Calibri" w:hAnsi="Calibri"/>
          <w:sz w:val="22"/>
          <w:szCs w:val="22"/>
        </w:rPr>
        <w:t xml:space="preserve">, and thus sacred, central point. A hierophany, </w:t>
      </w:r>
      <w:r w:rsidR="00477FE5" w:rsidRPr="00861377">
        <w:rPr>
          <w:rFonts w:ascii="Calibri" w:hAnsi="Calibri"/>
          <w:sz w:val="22"/>
          <w:szCs w:val="22"/>
        </w:rPr>
        <w:t xml:space="preserve">the means by which </w:t>
      </w:r>
      <w:r w:rsidR="00A71BBC" w:rsidRPr="00861377">
        <w:rPr>
          <w:rFonts w:ascii="Calibri" w:hAnsi="Calibri"/>
          <w:sz w:val="22"/>
          <w:szCs w:val="22"/>
        </w:rPr>
        <w:t>sacredness</w:t>
      </w:r>
      <w:r w:rsidR="00477FE5" w:rsidRPr="00861377">
        <w:rPr>
          <w:rFonts w:ascii="Calibri" w:hAnsi="Calibri"/>
          <w:sz w:val="22"/>
          <w:szCs w:val="22"/>
        </w:rPr>
        <w:t xml:space="preserve"> emerges</w:t>
      </w:r>
      <w:r w:rsidR="00A71BBC" w:rsidRPr="00861377">
        <w:rPr>
          <w:rFonts w:ascii="Calibri" w:hAnsi="Calibri"/>
          <w:sz w:val="22"/>
          <w:szCs w:val="22"/>
        </w:rPr>
        <w:t>, is accessible to both individuals and groups. The central, absolute fixed points</w:t>
      </w:r>
      <w:r w:rsidR="00477FE5" w:rsidRPr="00861377">
        <w:rPr>
          <w:rFonts w:ascii="Calibri" w:hAnsi="Calibri"/>
          <w:sz w:val="22"/>
          <w:szCs w:val="22"/>
        </w:rPr>
        <w:t xml:space="preserve"> hierophanies create can and do</w:t>
      </w:r>
      <w:r w:rsidR="00A71BBC" w:rsidRPr="00861377">
        <w:rPr>
          <w:rFonts w:ascii="Calibri" w:hAnsi="Calibri"/>
          <w:sz w:val="22"/>
          <w:szCs w:val="22"/>
        </w:rPr>
        <w:t xml:space="preserve"> provide a frame of reference for groups, but </w:t>
      </w:r>
      <w:r w:rsidR="00477FE5" w:rsidRPr="00861377">
        <w:rPr>
          <w:rFonts w:ascii="Calibri" w:hAnsi="Calibri"/>
          <w:sz w:val="22"/>
          <w:szCs w:val="22"/>
        </w:rPr>
        <w:t>hierophany</w:t>
      </w:r>
      <w:r w:rsidR="00A71BBC" w:rsidRPr="00861377">
        <w:rPr>
          <w:rFonts w:ascii="Calibri" w:hAnsi="Calibri"/>
          <w:sz w:val="22"/>
          <w:szCs w:val="22"/>
        </w:rPr>
        <w:t xml:space="preserve"> can also be personal in nature. </w:t>
      </w:r>
      <w:r w:rsidR="00FA37F8" w:rsidRPr="00861377">
        <w:rPr>
          <w:rFonts w:ascii="Calibri" w:hAnsi="Calibri"/>
          <w:sz w:val="22"/>
          <w:szCs w:val="22"/>
        </w:rPr>
        <w:t xml:space="preserve">In a similar manner, to the extent that Durkheim includes the idea of a threshold, </w:t>
      </w:r>
      <w:r w:rsidR="00D11390" w:rsidRPr="00861377">
        <w:rPr>
          <w:rFonts w:ascii="Calibri" w:hAnsi="Calibri"/>
          <w:sz w:val="22"/>
          <w:szCs w:val="22"/>
        </w:rPr>
        <w:t xml:space="preserve">or boundary, between what is sacred and what is not, the threshold for the manifestation </w:t>
      </w:r>
      <w:r w:rsidR="008F7A79" w:rsidRPr="00861377">
        <w:rPr>
          <w:rFonts w:ascii="Calibri" w:hAnsi="Calibri"/>
          <w:sz w:val="22"/>
          <w:szCs w:val="22"/>
        </w:rPr>
        <w:t xml:space="preserve">of the </w:t>
      </w:r>
      <w:r w:rsidR="00D11390" w:rsidRPr="00861377">
        <w:rPr>
          <w:rFonts w:ascii="Calibri" w:hAnsi="Calibri"/>
          <w:sz w:val="22"/>
          <w:szCs w:val="22"/>
        </w:rPr>
        <w:t xml:space="preserve">sacred is simply the boundary between an individual and the </w:t>
      </w:r>
      <w:r w:rsidR="008F7A79" w:rsidRPr="00861377">
        <w:rPr>
          <w:rFonts w:ascii="Calibri" w:hAnsi="Calibri"/>
          <w:sz w:val="22"/>
          <w:szCs w:val="22"/>
        </w:rPr>
        <w:t xml:space="preserve">prerequisite </w:t>
      </w:r>
      <w:r w:rsidR="00D11390" w:rsidRPr="00861377">
        <w:rPr>
          <w:rFonts w:ascii="Calibri" w:hAnsi="Calibri"/>
          <w:sz w:val="22"/>
          <w:szCs w:val="22"/>
        </w:rPr>
        <w:t xml:space="preserve">group. </w:t>
      </w:r>
    </w:p>
    <w:p w14:paraId="7282F4EB" w14:textId="42C51B8E" w:rsidR="0044376E" w:rsidRPr="00861377" w:rsidRDefault="0044376E" w:rsidP="00861377">
      <w:pPr>
        <w:ind w:firstLine="720"/>
        <w:jc w:val="both"/>
        <w:rPr>
          <w:rFonts w:ascii="Calibri" w:hAnsi="Calibri"/>
          <w:sz w:val="22"/>
          <w:szCs w:val="22"/>
        </w:rPr>
      </w:pPr>
      <w:r w:rsidRPr="00861377">
        <w:rPr>
          <w:rFonts w:ascii="Calibri" w:hAnsi="Calibri"/>
          <w:sz w:val="22"/>
          <w:szCs w:val="22"/>
        </w:rPr>
        <w:t xml:space="preserve"> </w:t>
      </w:r>
    </w:p>
    <w:p w14:paraId="3FFBF62B" w14:textId="11E8CA91" w:rsidR="0044376E" w:rsidRPr="00861377" w:rsidRDefault="0044376E" w:rsidP="00861377">
      <w:pPr>
        <w:ind w:firstLine="720"/>
        <w:jc w:val="both"/>
        <w:rPr>
          <w:rFonts w:ascii="Calibri" w:hAnsi="Calibri"/>
          <w:sz w:val="22"/>
          <w:szCs w:val="22"/>
        </w:rPr>
      </w:pPr>
      <w:proofErr w:type="spellStart"/>
      <w:r w:rsidRPr="00861377">
        <w:rPr>
          <w:rFonts w:ascii="Calibri" w:hAnsi="Calibri"/>
          <w:sz w:val="22"/>
          <w:szCs w:val="22"/>
        </w:rPr>
        <w:t>Eliade’s</w:t>
      </w:r>
      <w:proofErr w:type="spellEnd"/>
      <w:r w:rsidRPr="00861377">
        <w:rPr>
          <w:rFonts w:ascii="Calibri" w:hAnsi="Calibri"/>
          <w:sz w:val="22"/>
          <w:szCs w:val="22"/>
        </w:rPr>
        <w:t xml:space="preserve"> conception could be seen to impart an agency of sorts to sacredness: since it imposes itself in a hierophany which is </w:t>
      </w:r>
      <w:r w:rsidR="00A71BBC" w:rsidRPr="00861377">
        <w:rPr>
          <w:rFonts w:ascii="Calibri" w:hAnsi="Calibri"/>
          <w:sz w:val="22"/>
          <w:szCs w:val="22"/>
        </w:rPr>
        <w:t xml:space="preserve">understood </w:t>
      </w:r>
      <w:r w:rsidR="00FA37F8" w:rsidRPr="00861377">
        <w:rPr>
          <w:rFonts w:ascii="Calibri" w:hAnsi="Calibri"/>
          <w:sz w:val="22"/>
          <w:szCs w:val="22"/>
        </w:rPr>
        <w:t xml:space="preserve">as extrinsic to human beings, coming as it does from without. In Durkheim, since it emerges from a human assembly, it therefore depends on factors predetermined by human beings. In fact, Durkheim is primarily concerned with sacred objects of a totemic nature, while Eliade is more explicit in stating that any </w:t>
      </w:r>
      <w:r w:rsidR="00C67113" w:rsidRPr="00861377">
        <w:rPr>
          <w:rFonts w:ascii="Calibri" w:hAnsi="Calibri"/>
          <w:sz w:val="22"/>
          <w:szCs w:val="22"/>
        </w:rPr>
        <w:t>space</w:t>
      </w:r>
      <w:r w:rsidR="00FA37F8" w:rsidRPr="00861377">
        <w:rPr>
          <w:rFonts w:ascii="Calibri" w:hAnsi="Calibri"/>
          <w:sz w:val="22"/>
          <w:szCs w:val="22"/>
        </w:rPr>
        <w:t xml:space="preserve"> could be the site of a hierophany and its </w:t>
      </w:r>
      <w:r w:rsidR="00C67113" w:rsidRPr="00861377">
        <w:rPr>
          <w:rFonts w:ascii="Calibri" w:hAnsi="Calibri"/>
          <w:sz w:val="22"/>
          <w:szCs w:val="22"/>
        </w:rPr>
        <w:t>attending</w:t>
      </w:r>
      <w:r w:rsidR="00FA37F8" w:rsidRPr="00861377">
        <w:rPr>
          <w:rFonts w:ascii="Calibri" w:hAnsi="Calibri"/>
          <w:sz w:val="22"/>
          <w:szCs w:val="22"/>
        </w:rPr>
        <w:t xml:space="preserve"> sacredness. </w:t>
      </w:r>
      <w:r w:rsidR="00253BD5" w:rsidRPr="00861377">
        <w:rPr>
          <w:rFonts w:ascii="Calibri" w:hAnsi="Calibri"/>
          <w:sz w:val="22"/>
          <w:szCs w:val="22"/>
        </w:rPr>
        <w:t>For Eliade, sacre</w:t>
      </w:r>
      <w:r w:rsidR="00477FE5" w:rsidRPr="00861377">
        <w:rPr>
          <w:rFonts w:ascii="Calibri" w:hAnsi="Calibri"/>
          <w:sz w:val="22"/>
          <w:szCs w:val="22"/>
        </w:rPr>
        <w:t xml:space="preserve">dness has a </w:t>
      </w:r>
      <w:proofErr w:type="spellStart"/>
      <w:r w:rsidR="00477FE5" w:rsidRPr="00861377">
        <w:rPr>
          <w:rFonts w:ascii="Calibri" w:hAnsi="Calibri"/>
          <w:sz w:val="22"/>
          <w:szCs w:val="22"/>
        </w:rPr>
        <w:t>suprahuman</w:t>
      </w:r>
      <w:proofErr w:type="spellEnd"/>
      <w:r w:rsidR="00477FE5" w:rsidRPr="00861377">
        <w:rPr>
          <w:rFonts w:ascii="Calibri" w:hAnsi="Calibri"/>
          <w:sz w:val="22"/>
          <w:szCs w:val="22"/>
        </w:rPr>
        <w:t xml:space="preserve"> origin. F</w:t>
      </w:r>
      <w:r w:rsidR="00253BD5" w:rsidRPr="00861377">
        <w:rPr>
          <w:rFonts w:ascii="Calibri" w:hAnsi="Calibri"/>
          <w:sz w:val="22"/>
          <w:szCs w:val="22"/>
        </w:rPr>
        <w:t>or Durkheim</w:t>
      </w:r>
      <w:r w:rsidR="00477FE5" w:rsidRPr="00861377">
        <w:rPr>
          <w:rFonts w:ascii="Calibri" w:hAnsi="Calibri"/>
          <w:sz w:val="22"/>
          <w:szCs w:val="22"/>
        </w:rPr>
        <w:t>,</w:t>
      </w:r>
      <w:r w:rsidR="00253BD5" w:rsidRPr="00861377">
        <w:rPr>
          <w:rFonts w:ascii="Calibri" w:hAnsi="Calibri"/>
          <w:sz w:val="22"/>
          <w:szCs w:val="22"/>
        </w:rPr>
        <w:t xml:space="preserve"> it originates in, and must continually be added through, collective human activity. </w:t>
      </w:r>
      <w:r w:rsidR="00FA37F8" w:rsidRPr="00861377">
        <w:rPr>
          <w:rFonts w:ascii="Calibri" w:hAnsi="Calibri"/>
          <w:sz w:val="22"/>
          <w:szCs w:val="22"/>
        </w:rPr>
        <w:t xml:space="preserve"> </w:t>
      </w:r>
    </w:p>
    <w:p w14:paraId="02258919" w14:textId="77777777" w:rsidR="00654323" w:rsidRPr="00861377" w:rsidRDefault="00654323" w:rsidP="00861377">
      <w:pPr>
        <w:ind w:firstLine="720"/>
        <w:jc w:val="both"/>
        <w:rPr>
          <w:rFonts w:ascii="Calibri" w:hAnsi="Calibri"/>
          <w:sz w:val="22"/>
          <w:szCs w:val="22"/>
        </w:rPr>
      </w:pPr>
    </w:p>
    <w:p w14:paraId="215408A1" w14:textId="2D15CB37" w:rsidR="00222E27" w:rsidRPr="00861377" w:rsidRDefault="008E5881" w:rsidP="00861377">
      <w:pPr>
        <w:ind w:firstLine="720"/>
        <w:jc w:val="both"/>
        <w:rPr>
          <w:rFonts w:ascii="Calibri" w:hAnsi="Calibri"/>
          <w:sz w:val="22"/>
          <w:szCs w:val="22"/>
        </w:rPr>
      </w:pPr>
      <w:r w:rsidRPr="00861377">
        <w:rPr>
          <w:rFonts w:ascii="Calibri" w:hAnsi="Calibri"/>
          <w:sz w:val="22"/>
          <w:szCs w:val="22"/>
        </w:rPr>
        <w:t xml:space="preserve"> </w:t>
      </w:r>
    </w:p>
    <w:p w14:paraId="4EF9D972" w14:textId="7D37FC4C" w:rsidR="002F17C7" w:rsidRPr="00861377" w:rsidRDefault="00BC31B0" w:rsidP="00861377">
      <w:pPr>
        <w:jc w:val="both"/>
        <w:rPr>
          <w:rFonts w:ascii="Calibri" w:hAnsi="Calibri"/>
          <w:sz w:val="22"/>
          <w:szCs w:val="22"/>
          <w:u w:val="single"/>
        </w:rPr>
      </w:pPr>
      <w:r w:rsidRPr="00861377">
        <w:rPr>
          <w:rFonts w:ascii="Calibri" w:hAnsi="Calibri"/>
          <w:sz w:val="22"/>
          <w:szCs w:val="22"/>
          <w:u w:val="single"/>
        </w:rPr>
        <w:t>CONCLUSION</w:t>
      </w:r>
    </w:p>
    <w:p w14:paraId="1CA4E6D3" w14:textId="77777777" w:rsidR="00BC31B0" w:rsidRPr="00861377" w:rsidRDefault="00BC31B0" w:rsidP="00861377">
      <w:pPr>
        <w:jc w:val="both"/>
        <w:rPr>
          <w:rFonts w:ascii="Calibri" w:hAnsi="Calibri"/>
          <w:sz w:val="22"/>
          <w:szCs w:val="22"/>
        </w:rPr>
      </w:pPr>
    </w:p>
    <w:p w14:paraId="67D6F308" w14:textId="5F954133" w:rsidR="00BC31B0" w:rsidRPr="00861377" w:rsidRDefault="00BC31B0" w:rsidP="00861377">
      <w:pPr>
        <w:jc w:val="both"/>
        <w:rPr>
          <w:rFonts w:ascii="Calibri" w:hAnsi="Calibri"/>
          <w:sz w:val="22"/>
          <w:szCs w:val="22"/>
        </w:rPr>
      </w:pPr>
      <w:r w:rsidRPr="00861377">
        <w:rPr>
          <w:rFonts w:ascii="Calibri" w:hAnsi="Calibri"/>
          <w:sz w:val="22"/>
          <w:szCs w:val="22"/>
        </w:rPr>
        <w:tab/>
        <w:t xml:space="preserve">In conclusion, certain threads run through both Eliade and Durkheim’s views of sacred space, particularly when it comes to its </w:t>
      </w:r>
      <w:r w:rsidR="00DD233A" w:rsidRPr="00861377">
        <w:rPr>
          <w:rFonts w:ascii="Calibri" w:hAnsi="Calibri"/>
          <w:sz w:val="22"/>
          <w:szCs w:val="22"/>
        </w:rPr>
        <w:t xml:space="preserve">religious nature, the real effects of its </w:t>
      </w:r>
      <w:r w:rsidRPr="00861377">
        <w:rPr>
          <w:rFonts w:ascii="Calibri" w:hAnsi="Calibri"/>
          <w:sz w:val="22"/>
          <w:szCs w:val="22"/>
        </w:rPr>
        <w:t xml:space="preserve">power’s and the need for a performative or ritual aspect to perpetuate its sacredness. The scope of Durkheim’s view is narrower, </w:t>
      </w:r>
      <w:r w:rsidRPr="00861377">
        <w:rPr>
          <w:rFonts w:ascii="Calibri" w:hAnsi="Calibri"/>
          <w:sz w:val="22"/>
          <w:szCs w:val="22"/>
        </w:rPr>
        <w:lastRenderedPageBreak/>
        <w:t>since he perceives sacredness as purely anthropogenic, and therefore more readily applicable to sociological inquiry on the nature of sacred</w:t>
      </w:r>
      <w:r w:rsidR="00A02CF8" w:rsidRPr="00861377">
        <w:rPr>
          <w:rFonts w:ascii="Calibri" w:hAnsi="Calibri"/>
          <w:sz w:val="22"/>
          <w:szCs w:val="22"/>
        </w:rPr>
        <w:t>ness</w:t>
      </w:r>
      <w:r w:rsidRPr="00861377">
        <w:rPr>
          <w:rFonts w:ascii="Calibri" w:hAnsi="Calibri"/>
          <w:sz w:val="22"/>
          <w:szCs w:val="22"/>
        </w:rPr>
        <w:t xml:space="preserve">. Eliade, with </w:t>
      </w:r>
      <w:r w:rsidR="00A02CF8" w:rsidRPr="00861377">
        <w:rPr>
          <w:rFonts w:ascii="Calibri" w:hAnsi="Calibri"/>
          <w:sz w:val="22"/>
          <w:szCs w:val="22"/>
        </w:rPr>
        <w:t xml:space="preserve">his </w:t>
      </w:r>
      <w:proofErr w:type="spellStart"/>
      <w:r w:rsidR="00A02CF8" w:rsidRPr="00861377">
        <w:rPr>
          <w:rFonts w:ascii="Calibri" w:hAnsi="Calibri"/>
          <w:sz w:val="22"/>
          <w:szCs w:val="22"/>
        </w:rPr>
        <w:t>suprahuman</w:t>
      </w:r>
      <w:proofErr w:type="spellEnd"/>
      <w:r w:rsidR="00A02CF8" w:rsidRPr="00861377">
        <w:rPr>
          <w:rFonts w:ascii="Calibri" w:hAnsi="Calibri"/>
          <w:sz w:val="22"/>
          <w:szCs w:val="22"/>
        </w:rPr>
        <w:t xml:space="preserve">, </w:t>
      </w:r>
      <w:r w:rsidRPr="00861377">
        <w:rPr>
          <w:rFonts w:ascii="Calibri" w:hAnsi="Calibri"/>
          <w:sz w:val="22"/>
          <w:szCs w:val="22"/>
        </w:rPr>
        <w:t xml:space="preserve">metaphysical origin of the sacred, </w:t>
      </w:r>
      <w:r w:rsidR="00A02CF8" w:rsidRPr="00861377">
        <w:rPr>
          <w:rFonts w:ascii="Calibri" w:hAnsi="Calibri"/>
          <w:sz w:val="22"/>
          <w:szCs w:val="22"/>
        </w:rPr>
        <w:t>provides a framework applicable to a far wider, almost infinite spectrum of religious or cosmological inquiry, including the nature of sacred space and geography</w:t>
      </w:r>
      <w:r w:rsidR="0099160F">
        <w:rPr>
          <w:rFonts w:ascii="Calibri" w:hAnsi="Calibri"/>
          <w:sz w:val="22"/>
          <w:szCs w:val="22"/>
        </w:rPr>
        <w:t xml:space="preserve"> and societies and eras far beyond those of Durkheim’s </w:t>
      </w:r>
      <w:proofErr w:type="spellStart"/>
      <w:r w:rsidR="0099160F">
        <w:rPr>
          <w:rFonts w:ascii="Calibri" w:hAnsi="Calibri"/>
          <w:sz w:val="22"/>
          <w:szCs w:val="22"/>
        </w:rPr>
        <w:t>totemistic</w:t>
      </w:r>
      <w:proofErr w:type="spellEnd"/>
      <w:r w:rsidR="0099160F">
        <w:rPr>
          <w:rFonts w:ascii="Calibri" w:hAnsi="Calibri"/>
          <w:sz w:val="22"/>
          <w:szCs w:val="22"/>
        </w:rPr>
        <w:t xml:space="preserve"> societies</w:t>
      </w:r>
      <w:r w:rsidR="00A02CF8" w:rsidRPr="00861377">
        <w:rPr>
          <w:rFonts w:ascii="Calibri" w:hAnsi="Calibri"/>
          <w:sz w:val="22"/>
          <w:szCs w:val="22"/>
        </w:rPr>
        <w:t>, but at the expense of a loss of scope. Ultimately, Durkheim’s rigid emphasis on the collective origin</w:t>
      </w:r>
      <w:r w:rsidR="00DD233A" w:rsidRPr="00861377">
        <w:rPr>
          <w:rFonts w:ascii="Calibri" w:hAnsi="Calibri"/>
          <w:sz w:val="22"/>
          <w:szCs w:val="22"/>
        </w:rPr>
        <w:t xml:space="preserve"> and collectivizing role</w:t>
      </w:r>
      <w:r w:rsidR="00A02CF8" w:rsidRPr="00861377">
        <w:rPr>
          <w:rFonts w:ascii="Calibri" w:hAnsi="Calibri"/>
          <w:sz w:val="22"/>
          <w:szCs w:val="22"/>
        </w:rPr>
        <w:t xml:space="preserve"> of sacredness</w:t>
      </w:r>
      <w:r w:rsidR="00DD233A" w:rsidRPr="00861377">
        <w:rPr>
          <w:rFonts w:ascii="Calibri" w:hAnsi="Calibri"/>
          <w:sz w:val="22"/>
          <w:szCs w:val="22"/>
        </w:rPr>
        <w:t xml:space="preserve">, and </w:t>
      </w:r>
      <w:proofErr w:type="spellStart"/>
      <w:r w:rsidR="00DD233A" w:rsidRPr="00861377">
        <w:rPr>
          <w:rFonts w:ascii="Calibri" w:hAnsi="Calibri"/>
          <w:sz w:val="22"/>
          <w:szCs w:val="22"/>
        </w:rPr>
        <w:t>Eliade’s</w:t>
      </w:r>
      <w:proofErr w:type="spellEnd"/>
      <w:r w:rsidR="00DD233A" w:rsidRPr="00861377">
        <w:rPr>
          <w:rFonts w:ascii="Calibri" w:hAnsi="Calibri"/>
          <w:sz w:val="22"/>
          <w:szCs w:val="22"/>
        </w:rPr>
        <w:t xml:space="preserve"> core tenet of the ordering, orienting function of sacredness</w:t>
      </w:r>
      <w:r w:rsidR="00477FE5" w:rsidRPr="00861377">
        <w:rPr>
          <w:rFonts w:ascii="Calibri" w:hAnsi="Calibri"/>
          <w:sz w:val="22"/>
          <w:szCs w:val="22"/>
        </w:rPr>
        <w:t>, both</w:t>
      </w:r>
      <w:r w:rsidR="00DD233A" w:rsidRPr="00861377">
        <w:rPr>
          <w:rFonts w:ascii="Calibri" w:hAnsi="Calibri"/>
          <w:sz w:val="22"/>
          <w:szCs w:val="22"/>
        </w:rPr>
        <w:t xml:space="preserve"> relay the same undercurrent: sacredness has its roots in </w:t>
      </w:r>
      <w:r w:rsidR="00477FE5" w:rsidRPr="00861377">
        <w:rPr>
          <w:rFonts w:ascii="Calibri" w:hAnsi="Calibri"/>
          <w:sz w:val="22"/>
          <w:szCs w:val="22"/>
        </w:rPr>
        <w:t>core</w:t>
      </w:r>
      <w:r w:rsidR="00DD233A" w:rsidRPr="00861377">
        <w:rPr>
          <w:rFonts w:ascii="Calibri" w:hAnsi="Calibri"/>
          <w:sz w:val="22"/>
          <w:szCs w:val="22"/>
        </w:rPr>
        <w:t xml:space="preserve"> religious</w:t>
      </w:r>
      <w:r w:rsidR="007D335B" w:rsidRPr="00861377">
        <w:rPr>
          <w:rFonts w:ascii="Calibri" w:hAnsi="Calibri"/>
          <w:sz w:val="22"/>
          <w:szCs w:val="22"/>
        </w:rPr>
        <w:t>,</w:t>
      </w:r>
      <w:r w:rsidR="00DD233A" w:rsidRPr="00861377">
        <w:rPr>
          <w:rFonts w:ascii="Calibri" w:hAnsi="Calibri"/>
          <w:sz w:val="22"/>
          <w:szCs w:val="22"/>
        </w:rPr>
        <w:t xml:space="preserve"> as well as social, capacities and impulses.   </w:t>
      </w:r>
      <w:r w:rsidR="00A02CF8" w:rsidRPr="00861377">
        <w:rPr>
          <w:rFonts w:ascii="Calibri" w:hAnsi="Calibri"/>
          <w:sz w:val="22"/>
          <w:szCs w:val="22"/>
        </w:rPr>
        <w:t xml:space="preserve"> </w:t>
      </w:r>
      <w:r w:rsidRPr="00861377">
        <w:rPr>
          <w:rFonts w:ascii="Calibri" w:hAnsi="Calibri"/>
          <w:sz w:val="22"/>
          <w:szCs w:val="22"/>
        </w:rPr>
        <w:t xml:space="preserve"> </w:t>
      </w:r>
    </w:p>
    <w:p w14:paraId="5812E30C" w14:textId="77777777" w:rsidR="00C26F81" w:rsidRPr="00861377" w:rsidRDefault="00C26F81" w:rsidP="006958E6">
      <w:pPr>
        <w:rPr>
          <w:rFonts w:ascii="Calibri" w:hAnsi="Calibri"/>
          <w:sz w:val="22"/>
          <w:szCs w:val="22"/>
        </w:rPr>
      </w:pPr>
    </w:p>
    <w:p w14:paraId="7D0D6197" w14:textId="77777777" w:rsidR="006079C7" w:rsidRPr="00861377" w:rsidRDefault="006079C7" w:rsidP="006958E6">
      <w:pPr>
        <w:rPr>
          <w:rFonts w:ascii="Calibri" w:hAnsi="Calibri"/>
          <w:sz w:val="22"/>
          <w:szCs w:val="22"/>
        </w:rPr>
      </w:pPr>
    </w:p>
    <w:p w14:paraId="0565E7BA" w14:textId="77777777" w:rsidR="006079C7" w:rsidRPr="00861377" w:rsidRDefault="006079C7" w:rsidP="006958E6">
      <w:pPr>
        <w:rPr>
          <w:rFonts w:ascii="Calibri" w:hAnsi="Calibri"/>
          <w:sz w:val="22"/>
          <w:szCs w:val="22"/>
        </w:rPr>
      </w:pPr>
    </w:p>
    <w:p w14:paraId="647743D2" w14:textId="77777777" w:rsidR="006079C7" w:rsidRPr="00861377" w:rsidRDefault="006079C7" w:rsidP="006958E6">
      <w:pPr>
        <w:rPr>
          <w:rFonts w:ascii="Calibri" w:hAnsi="Calibri"/>
          <w:sz w:val="22"/>
          <w:szCs w:val="22"/>
        </w:rPr>
      </w:pPr>
    </w:p>
    <w:p w14:paraId="4E71BBA3" w14:textId="77777777" w:rsidR="006079C7" w:rsidRPr="00861377" w:rsidRDefault="006079C7" w:rsidP="006958E6">
      <w:pPr>
        <w:rPr>
          <w:rFonts w:ascii="Calibri" w:hAnsi="Calibri"/>
          <w:sz w:val="22"/>
          <w:szCs w:val="22"/>
        </w:rPr>
      </w:pPr>
    </w:p>
    <w:p w14:paraId="09996B75" w14:textId="77777777" w:rsidR="00D82B3F" w:rsidRPr="00861377" w:rsidRDefault="00D82B3F" w:rsidP="006958E6">
      <w:pPr>
        <w:rPr>
          <w:rFonts w:ascii="Calibri" w:hAnsi="Calibri"/>
          <w:sz w:val="22"/>
          <w:szCs w:val="22"/>
        </w:rPr>
      </w:pPr>
    </w:p>
    <w:p w14:paraId="5DBC2638" w14:textId="77777777" w:rsidR="00D82B3F" w:rsidRPr="00861377" w:rsidRDefault="00D82B3F" w:rsidP="006958E6">
      <w:pPr>
        <w:rPr>
          <w:rFonts w:ascii="Calibri" w:hAnsi="Calibri"/>
          <w:sz w:val="22"/>
          <w:szCs w:val="22"/>
        </w:rPr>
      </w:pPr>
    </w:p>
    <w:p w14:paraId="16130D76" w14:textId="77777777" w:rsidR="00D82B3F" w:rsidRPr="00861377" w:rsidRDefault="00D82B3F" w:rsidP="006958E6">
      <w:pPr>
        <w:rPr>
          <w:rFonts w:ascii="Calibri" w:hAnsi="Calibri"/>
          <w:sz w:val="22"/>
          <w:szCs w:val="22"/>
        </w:rPr>
      </w:pPr>
    </w:p>
    <w:p w14:paraId="73F8168B" w14:textId="77777777" w:rsidR="00D82B3F" w:rsidRPr="00861377" w:rsidRDefault="00D82B3F" w:rsidP="006958E6">
      <w:pPr>
        <w:rPr>
          <w:rFonts w:ascii="Calibri" w:hAnsi="Calibri"/>
          <w:sz w:val="22"/>
          <w:szCs w:val="22"/>
        </w:rPr>
      </w:pPr>
    </w:p>
    <w:p w14:paraId="0F85D8EC" w14:textId="77777777" w:rsidR="00D82B3F" w:rsidRPr="00861377" w:rsidRDefault="00D82B3F" w:rsidP="006958E6">
      <w:pPr>
        <w:rPr>
          <w:rFonts w:ascii="Calibri" w:hAnsi="Calibri"/>
          <w:sz w:val="22"/>
          <w:szCs w:val="22"/>
        </w:rPr>
      </w:pPr>
    </w:p>
    <w:p w14:paraId="1CDF841E" w14:textId="77777777" w:rsidR="00D82B3F" w:rsidRPr="00861377" w:rsidRDefault="00D82B3F" w:rsidP="006958E6">
      <w:pPr>
        <w:rPr>
          <w:rFonts w:ascii="Calibri" w:hAnsi="Calibri"/>
          <w:sz w:val="22"/>
          <w:szCs w:val="22"/>
        </w:rPr>
      </w:pPr>
    </w:p>
    <w:p w14:paraId="45DC3715" w14:textId="77777777" w:rsidR="00D82B3F" w:rsidRPr="00861377" w:rsidRDefault="00D82B3F" w:rsidP="006958E6">
      <w:pPr>
        <w:rPr>
          <w:rFonts w:ascii="Calibri" w:hAnsi="Calibri"/>
          <w:sz w:val="22"/>
          <w:szCs w:val="22"/>
        </w:rPr>
      </w:pPr>
    </w:p>
    <w:p w14:paraId="2C3A05B5" w14:textId="77777777" w:rsidR="00D82B3F" w:rsidRPr="00861377" w:rsidRDefault="00D82B3F" w:rsidP="006958E6">
      <w:pPr>
        <w:rPr>
          <w:rFonts w:ascii="Calibri" w:hAnsi="Calibri"/>
          <w:sz w:val="22"/>
          <w:szCs w:val="22"/>
        </w:rPr>
      </w:pPr>
    </w:p>
    <w:p w14:paraId="48F9CBDE" w14:textId="77777777" w:rsidR="00D82B3F" w:rsidRPr="00861377" w:rsidRDefault="00D82B3F" w:rsidP="006958E6">
      <w:pPr>
        <w:rPr>
          <w:rFonts w:ascii="Calibri" w:hAnsi="Calibri"/>
          <w:sz w:val="22"/>
          <w:szCs w:val="22"/>
        </w:rPr>
      </w:pPr>
    </w:p>
    <w:p w14:paraId="320ED8B1" w14:textId="77777777" w:rsidR="00D82B3F" w:rsidRPr="00861377" w:rsidRDefault="00D82B3F" w:rsidP="006958E6">
      <w:pPr>
        <w:rPr>
          <w:rFonts w:ascii="Calibri" w:hAnsi="Calibri"/>
          <w:sz w:val="22"/>
          <w:szCs w:val="22"/>
        </w:rPr>
      </w:pPr>
    </w:p>
    <w:p w14:paraId="7E9BDE5B" w14:textId="77777777" w:rsidR="00D82B3F" w:rsidRPr="00861377" w:rsidRDefault="00D82B3F" w:rsidP="006958E6">
      <w:pPr>
        <w:rPr>
          <w:rFonts w:ascii="Calibri" w:hAnsi="Calibri"/>
          <w:sz w:val="22"/>
          <w:szCs w:val="22"/>
        </w:rPr>
      </w:pPr>
    </w:p>
    <w:p w14:paraId="3CAE4404" w14:textId="77777777" w:rsidR="00D82B3F" w:rsidRPr="00861377" w:rsidRDefault="00D82B3F" w:rsidP="006958E6">
      <w:pPr>
        <w:rPr>
          <w:rFonts w:ascii="Calibri" w:hAnsi="Calibri"/>
          <w:sz w:val="22"/>
          <w:szCs w:val="22"/>
        </w:rPr>
      </w:pPr>
    </w:p>
    <w:p w14:paraId="04742A25" w14:textId="77777777" w:rsidR="00D82B3F" w:rsidRPr="00861377" w:rsidRDefault="00D82B3F" w:rsidP="006958E6">
      <w:pPr>
        <w:rPr>
          <w:rFonts w:ascii="Calibri" w:hAnsi="Calibri"/>
          <w:sz w:val="22"/>
          <w:szCs w:val="22"/>
        </w:rPr>
      </w:pPr>
    </w:p>
    <w:p w14:paraId="77817500" w14:textId="77777777" w:rsidR="00D82B3F" w:rsidRPr="00861377" w:rsidRDefault="00D82B3F" w:rsidP="006958E6">
      <w:pPr>
        <w:rPr>
          <w:rFonts w:ascii="Calibri" w:hAnsi="Calibri"/>
          <w:sz w:val="22"/>
          <w:szCs w:val="22"/>
        </w:rPr>
      </w:pPr>
    </w:p>
    <w:p w14:paraId="3C727D9B" w14:textId="77777777" w:rsidR="00D82B3F" w:rsidRPr="00861377" w:rsidRDefault="00D82B3F" w:rsidP="006958E6">
      <w:pPr>
        <w:rPr>
          <w:rFonts w:ascii="Calibri" w:hAnsi="Calibri"/>
          <w:sz w:val="22"/>
          <w:szCs w:val="22"/>
        </w:rPr>
      </w:pPr>
    </w:p>
    <w:p w14:paraId="0F497FD9" w14:textId="77777777" w:rsidR="00D82B3F" w:rsidRPr="00861377" w:rsidRDefault="00D82B3F" w:rsidP="006958E6">
      <w:pPr>
        <w:rPr>
          <w:rFonts w:ascii="Calibri" w:hAnsi="Calibri"/>
          <w:sz w:val="22"/>
          <w:szCs w:val="22"/>
        </w:rPr>
      </w:pPr>
    </w:p>
    <w:p w14:paraId="11BA67D3" w14:textId="77777777" w:rsidR="00D82B3F" w:rsidRPr="00861377" w:rsidRDefault="00D82B3F" w:rsidP="006958E6">
      <w:pPr>
        <w:rPr>
          <w:rFonts w:ascii="Calibri" w:hAnsi="Calibri"/>
          <w:sz w:val="22"/>
          <w:szCs w:val="22"/>
        </w:rPr>
      </w:pPr>
    </w:p>
    <w:p w14:paraId="372DC1C6" w14:textId="77777777" w:rsidR="00D82B3F" w:rsidRPr="00861377" w:rsidRDefault="00D82B3F" w:rsidP="006958E6">
      <w:pPr>
        <w:rPr>
          <w:rFonts w:ascii="Calibri" w:hAnsi="Calibri"/>
          <w:sz w:val="22"/>
          <w:szCs w:val="22"/>
        </w:rPr>
      </w:pPr>
    </w:p>
    <w:p w14:paraId="716FA4A4" w14:textId="77777777" w:rsidR="00D82B3F" w:rsidRPr="00861377" w:rsidRDefault="00D82B3F" w:rsidP="006958E6">
      <w:pPr>
        <w:rPr>
          <w:rFonts w:ascii="Calibri" w:hAnsi="Calibri"/>
          <w:sz w:val="22"/>
          <w:szCs w:val="22"/>
        </w:rPr>
      </w:pPr>
    </w:p>
    <w:p w14:paraId="630C0E01" w14:textId="77777777" w:rsidR="00D82B3F" w:rsidRPr="00861377" w:rsidRDefault="00D82B3F" w:rsidP="006958E6">
      <w:pPr>
        <w:rPr>
          <w:rFonts w:ascii="Calibri" w:hAnsi="Calibri"/>
          <w:sz w:val="22"/>
          <w:szCs w:val="22"/>
        </w:rPr>
      </w:pPr>
    </w:p>
    <w:p w14:paraId="608221E4" w14:textId="77777777" w:rsidR="00D82B3F" w:rsidRPr="00861377" w:rsidRDefault="00D82B3F" w:rsidP="006958E6">
      <w:pPr>
        <w:rPr>
          <w:rFonts w:ascii="Calibri" w:hAnsi="Calibri"/>
          <w:sz w:val="22"/>
          <w:szCs w:val="22"/>
        </w:rPr>
      </w:pPr>
    </w:p>
    <w:p w14:paraId="7B5B0662" w14:textId="77777777" w:rsidR="00D82B3F" w:rsidRPr="00861377" w:rsidRDefault="00D82B3F" w:rsidP="006958E6">
      <w:pPr>
        <w:rPr>
          <w:rFonts w:ascii="Calibri" w:hAnsi="Calibri"/>
          <w:sz w:val="22"/>
          <w:szCs w:val="22"/>
        </w:rPr>
      </w:pPr>
    </w:p>
    <w:p w14:paraId="6E10E6A5" w14:textId="77777777" w:rsidR="00D82B3F" w:rsidRPr="00861377" w:rsidRDefault="00D82B3F" w:rsidP="006958E6">
      <w:pPr>
        <w:rPr>
          <w:rFonts w:ascii="Calibri" w:hAnsi="Calibri"/>
          <w:sz w:val="22"/>
          <w:szCs w:val="22"/>
        </w:rPr>
      </w:pPr>
    </w:p>
    <w:p w14:paraId="196D2A53" w14:textId="77777777" w:rsidR="00D82B3F" w:rsidRPr="00861377" w:rsidRDefault="00D82B3F" w:rsidP="006958E6">
      <w:pPr>
        <w:rPr>
          <w:rFonts w:ascii="Calibri" w:hAnsi="Calibri"/>
          <w:sz w:val="22"/>
          <w:szCs w:val="22"/>
        </w:rPr>
      </w:pPr>
    </w:p>
    <w:p w14:paraId="0BFD78AA" w14:textId="77777777" w:rsidR="00D82B3F" w:rsidRPr="00861377" w:rsidRDefault="00D82B3F" w:rsidP="006958E6">
      <w:pPr>
        <w:rPr>
          <w:rFonts w:ascii="Calibri" w:hAnsi="Calibri"/>
          <w:sz w:val="22"/>
          <w:szCs w:val="22"/>
        </w:rPr>
      </w:pPr>
    </w:p>
    <w:p w14:paraId="160AC250" w14:textId="77777777" w:rsidR="00D82B3F" w:rsidRPr="00861377" w:rsidRDefault="00D82B3F" w:rsidP="006958E6">
      <w:pPr>
        <w:rPr>
          <w:rFonts w:ascii="Calibri" w:hAnsi="Calibri"/>
          <w:sz w:val="22"/>
          <w:szCs w:val="22"/>
        </w:rPr>
      </w:pPr>
    </w:p>
    <w:p w14:paraId="35CD4583" w14:textId="77777777" w:rsidR="00D82B3F" w:rsidRPr="00861377" w:rsidRDefault="00D82B3F" w:rsidP="006958E6">
      <w:pPr>
        <w:rPr>
          <w:rFonts w:ascii="Calibri" w:hAnsi="Calibri"/>
          <w:sz w:val="22"/>
          <w:szCs w:val="22"/>
        </w:rPr>
      </w:pPr>
    </w:p>
    <w:p w14:paraId="1EF09340" w14:textId="77777777" w:rsidR="00D82B3F" w:rsidRPr="00861377" w:rsidRDefault="00D82B3F" w:rsidP="006958E6">
      <w:pPr>
        <w:rPr>
          <w:rFonts w:ascii="Calibri" w:hAnsi="Calibri"/>
          <w:sz w:val="22"/>
          <w:szCs w:val="22"/>
        </w:rPr>
      </w:pPr>
    </w:p>
    <w:p w14:paraId="0E4DBDDE" w14:textId="77777777" w:rsidR="00D82B3F" w:rsidRPr="00861377" w:rsidRDefault="00D82B3F" w:rsidP="006958E6">
      <w:pPr>
        <w:rPr>
          <w:rFonts w:ascii="Calibri" w:hAnsi="Calibri"/>
          <w:sz w:val="22"/>
          <w:szCs w:val="22"/>
        </w:rPr>
      </w:pPr>
    </w:p>
    <w:p w14:paraId="5779A94A" w14:textId="77777777" w:rsidR="00D82B3F" w:rsidRPr="00861377" w:rsidRDefault="00D82B3F" w:rsidP="006958E6">
      <w:pPr>
        <w:rPr>
          <w:rFonts w:ascii="Calibri" w:hAnsi="Calibri"/>
          <w:sz w:val="22"/>
          <w:szCs w:val="22"/>
        </w:rPr>
      </w:pPr>
    </w:p>
    <w:p w14:paraId="71606C33" w14:textId="77777777" w:rsidR="00D82B3F" w:rsidRPr="00861377" w:rsidRDefault="00D82B3F" w:rsidP="006958E6">
      <w:pPr>
        <w:rPr>
          <w:rFonts w:ascii="Calibri" w:hAnsi="Calibri"/>
          <w:sz w:val="22"/>
          <w:szCs w:val="22"/>
        </w:rPr>
      </w:pPr>
    </w:p>
    <w:p w14:paraId="1B23C515" w14:textId="77777777" w:rsidR="00D82B3F" w:rsidRPr="00861377" w:rsidRDefault="00D82B3F" w:rsidP="006958E6">
      <w:pPr>
        <w:rPr>
          <w:rFonts w:ascii="Calibri" w:hAnsi="Calibri"/>
          <w:sz w:val="22"/>
          <w:szCs w:val="22"/>
        </w:rPr>
      </w:pPr>
    </w:p>
    <w:p w14:paraId="464C877A" w14:textId="77777777" w:rsidR="00D82B3F" w:rsidRPr="00861377" w:rsidRDefault="00D82B3F" w:rsidP="006958E6">
      <w:pPr>
        <w:rPr>
          <w:rFonts w:ascii="Calibri" w:hAnsi="Calibri"/>
          <w:sz w:val="22"/>
          <w:szCs w:val="22"/>
        </w:rPr>
      </w:pPr>
    </w:p>
    <w:p w14:paraId="00F62CCA" w14:textId="77777777" w:rsidR="00D82B3F" w:rsidRPr="00861377" w:rsidRDefault="00D82B3F" w:rsidP="006958E6">
      <w:pPr>
        <w:rPr>
          <w:rFonts w:ascii="Calibri" w:hAnsi="Calibri"/>
          <w:sz w:val="22"/>
          <w:szCs w:val="22"/>
        </w:rPr>
      </w:pPr>
    </w:p>
    <w:p w14:paraId="7F20F036" w14:textId="77777777" w:rsidR="00D82B3F" w:rsidRPr="00861377" w:rsidRDefault="00D82B3F" w:rsidP="006958E6">
      <w:pPr>
        <w:rPr>
          <w:rFonts w:ascii="Calibri" w:hAnsi="Calibri"/>
          <w:sz w:val="22"/>
          <w:szCs w:val="22"/>
        </w:rPr>
      </w:pPr>
    </w:p>
    <w:p w14:paraId="2DAC359D" w14:textId="77777777" w:rsidR="00D82B3F" w:rsidRPr="00861377" w:rsidRDefault="00D82B3F" w:rsidP="006958E6">
      <w:pPr>
        <w:rPr>
          <w:rFonts w:ascii="Calibri" w:hAnsi="Calibri"/>
          <w:sz w:val="22"/>
          <w:szCs w:val="22"/>
        </w:rPr>
      </w:pPr>
    </w:p>
    <w:p w14:paraId="42919FED" w14:textId="77777777" w:rsidR="00D82B3F" w:rsidRPr="00861377" w:rsidRDefault="00D82B3F" w:rsidP="006958E6">
      <w:pPr>
        <w:rPr>
          <w:rFonts w:ascii="Calibri" w:hAnsi="Calibri"/>
          <w:sz w:val="22"/>
          <w:szCs w:val="22"/>
        </w:rPr>
      </w:pPr>
    </w:p>
    <w:p w14:paraId="1845BA5B" w14:textId="77777777" w:rsidR="00562ED3" w:rsidRDefault="00562ED3" w:rsidP="006958E6">
      <w:pPr>
        <w:rPr>
          <w:rFonts w:ascii="Calibri" w:hAnsi="Calibri"/>
          <w:sz w:val="22"/>
          <w:szCs w:val="22"/>
        </w:rPr>
      </w:pPr>
    </w:p>
    <w:p w14:paraId="1F951B15" w14:textId="77777777" w:rsidR="007E31CC" w:rsidRPr="00861377" w:rsidRDefault="007E31CC" w:rsidP="006958E6">
      <w:pPr>
        <w:rPr>
          <w:rFonts w:ascii="Calibri" w:hAnsi="Calibri"/>
          <w:sz w:val="22"/>
          <w:szCs w:val="22"/>
        </w:rPr>
      </w:pPr>
    </w:p>
    <w:p w14:paraId="117EDFC8" w14:textId="289DC0CE" w:rsidR="006079C7" w:rsidRPr="00861377" w:rsidRDefault="006079C7" w:rsidP="006958E6">
      <w:pPr>
        <w:rPr>
          <w:rFonts w:ascii="Calibri" w:hAnsi="Calibri"/>
          <w:sz w:val="22"/>
          <w:szCs w:val="22"/>
          <w:u w:val="single"/>
        </w:rPr>
      </w:pPr>
      <w:r w:rsidRPr="00861377">
        <w:rPr>
          <w:rFonts w:ascii="Calibri" w:hAnsi="Calibri"/>
          <w:sz w:val="22"/>
          <w:szCs w:val="22"/>
          <w:u w:val="single"/>
        </w:rPr>
        <w:t>BIBLIOGRAPHY:</w:t>
      </w:r>
    </w:p>
    <w:p w14:paraId="527E297F" w14:textId="108EE627" w:rsidR="00E22806" w:rsidRPr="00861377" w:rsidRDefault="00E22806" w:rsidP="00E22806">
      <w:pPr>
        <w:pStyle w:val="ListParagraph"/>
        <w:numPr>
          <w:ilvl w:val="0"/>
          <w:numId w:val="1"/>
        </w:numPr>
        <w:rPr>
          <w:rFonts w:ascii="Calibri" w:hAnsi="Calibri"/>
          <w:sz w:val="22"/>
          <w:szCs w:val="22"/>
        </w:rPr>
      </w:pPr>
      <w:r w:rsidRPr="00861377">
        <w:rPr>
          <w:rFonts w:ascii="Calibri" w:hAnsi="Calibri"/>
          <w:sz w:val="22"/>
          <w:szCs w:val="22"/>
          <w:lang w:val="fr-CH"/>
        </w:rPr>
        <w:t xml:space="preserve">Durkheim, Emile. </w:t>
      </w:r>
      <w:r w:rsidRPr="00861377">
        <w:rPr>
          <w:rFonts w:ascii="Calibri" w:hAnsi="Calibri"/>
          <w:i/>
          <w:sz w:val="22"/>
          <w:szCs w:val="22"/>
          <w:lang w:val="fr-CH"/>
        </w:rPr>
        <w:t xml:space="preserve">The </w:t>
      </w:r>
      <w:proofErr w:type="spellStart"/>
      <w:r w:rsidRPr="00861377">
        <w:rPr>
          <w:rFonts w:ascii="Calibri" w:hAnsi="Calibri"/>
          <w:i/>
          <w:sz w:val="22"/>
          <w:szCs w:val="22"/>
          <w:lang w:val="fr-CH"/>
        </w:rPr>
        <w:t>Elementary</w:t>
      </w:r>
      <w:proofErr w:type="spellEnd"/>
      <w:r w:rsidRPr="00861377">
        <w:rPr>
          <w:rFonts w:ascii="Calibri" w:hAnsi="Calibri"/>
          <w:i/>
          <w:sz w:val="22"/>
          <w:szCs w:val="22"/>
          <w:lang w:val="fr-CH"/>
        </w:rPr>
        <w:t xml:space="preserve"> </w:t>
      </w:r>
      <w:proofErr w:type="spellStart"/>
      <w:r w:rsidRPr="00861377">
        <w:rPr>
          <w:rFonts w:ascii="Calibri" w:hAnsi="Calibri"/>
          <w:i/>
          <w:sz w:val="22"/>
          <w:szCs w:val="22"/>
          <w:lang w:val="fr-CH"/>
        </w:rPr>
        <w:t>Forms</w:t>
      </w:r>
      <w:proofErr w:type="spellEnd"/>
      <w:r w:rsidRPr="00861377">
        <w:rPr>
          <w:rFonts w:ascii="Calibri" w:hAnsi="Calibri"/>
          <w:i/>
          <w:sz w:val="22"/>
          <w:szCs w:val="22"/>
          <w:lang w:val="fr-CH"/>
        </w:rPr>
        <w:t xml:space="preserve"> of </w:t>
      </w:r>
      <w:proofErr w:type="spellStart"/>
      <w:r w:rsidRPr="00861377">
        <w:rPr>
          <w:rFonts w:ascii="Calibri" w:hAnsi="Calibri"/>
          <w:i/>
          <w:sz w:val="22"/>
          <w:szCs w:val="22"/>
          <w:lang w:val="fr-CH"/>
        </w:rPr>
        <w:t>Religious</w:t>
      </w:r>
      <w:proofErr w:type="spellEnd"/>
      <w:r w:rsidRPr="00861377">
        <w:rPr>
          <w:rFonts w:ascii="Calibri" w:hAnsi="Calibri"/>
          <w:i/>
          <w:sz w:val="22"/>
          <w:szCs w:val="22"/>
          <w:lang w:val="fr-CH"/>
        </w:rPr>
        <w:t xml:space="preserve"> Life</w:t>
      </w:r>
      <w:r w:rsidRPr="00861377">
        <w:rPr>
          <w:rFonts w:ascii="Calibri" w:hAnsi="Calibri"/>
          <w:sz w:val="22"/>
          <w:szCs w:val="22"/>
          <w:lang w:val="fr-CH"/>
        </w:rPr>
        <w:t xml:space="preserve">. </w:t>
      </w:r>
      <w:proofErr w:type="spellStart"/>
      <w:r w:rsidRPr="00861377">
        <w:rPr>
          <w:rFonts w:ascii="Calibri" w:hAnsi="Calibri"/>
          <w:sz w:val="22"/>
          <w:szCs w:val="22"/>
          <w:lang w:val="fr-CH"/>
        </w:rPr>
        <w:t>Translated</w:t>
      </w:r>
      <w:proofErr w:type="spellEnd"/>
      <w:r w:rsidRPr="00861377">
        <w:rPr>
          <w:rFonts w:ascii="Calibri" w:hAnsi="Calibri"/>
          <w:sz w:val="22"/>
          <w:szCs w:val="22"/>
          <w:lang w:val="fr-CH"/>
        </w:rPr>
        <w:t xml:space="preserve"> by Karen E. F</w:t>
      </w:r>
      <w:r w:rsidR="00CF62BE" w:rsidRPr="00861377">
        <w:rPr>
          <w:rFonts w:ascii="Calibri" w:hAnsi="Calibri"/>
          <w:sz w:val="22"/>
          <w:szCs w:val="22"/>
          <w:lang w:val="fr-CH"/>
        </w:rPr>
        <w:t>ields, New York</w:t>
      </w:r>
      <w:r w:rsidRPr="00861377">
        <w:rPr>
          <w:rFonts w:ascii="Calibri" w:hAnsi="Calibri"/>
          <w:sz w:val="22"/>
          <w:szCs w:val="22"/>
          <w:lang w:val="fr-CH"/>
        </w:rPr>
        <w:t xml:space="preserve">: The Free </w:t>
      </w:r>
      <w:proofErr w:type="spellStart"/>
      <w:r w:rsidRPr="00861377">
        <w:rPr>
          <w:rFonts w:ascii="Calibri" w:hAnsi="Calibri"/>
          <w:sz w:val="22"/>
          <w:szCs w:val="22"/>
          <w:lang w:val="fr-CH"/>
        </w:rPr>
        <w:t>Press</w:t>
      </w:r>
      <w:proofErr w:type="spellEnd"/>
      <w:r w:rsidRPr="00861377">
        <w:rPr>
          <w:rFonts w:ascii="Calibri" w:hAnsi="Calibri"/>
          <w:sz w:val="22"/>
          <w:szCs w:val="22"/>
          <w:lang w:val="fr-CH"/>
        </w:rPr>
        <w:t xml:space="preserve">, </w:t>
      </w:r>
      <w:r w:rsidRPr="00861377">
        <w:rPr>
          <w:rFonts w:ascii="Calibri" w:hAnsi="Calibri"/>
          <w:sz w:val="22"/>
          <w:szCs w:val="22"/>
          <w:lang w:val="fr-CH"/>
        </w:rPr>
        <w:sym w:font="Symbol" w:char="F05B"/>
      </w:r>
      <w:r w:rsidRPr="00861377">
        <w:rPr>
          <w:rFonts w:ascii="Calibri" w:hAnsi="Calibri"/>
          <w:sz w:val="22"/>
          <w:szCs w:val="22"/>
          <w:lang w:val="fr-CH"/>
        </w:rPr>
        <w:t>1912</w:t>
      </w:r>
      <w:r w:rsidRPr="00861377">
        <w:rPr>
          <w:rFonts w:ascii="Calibri" w:hAnsi="Calibri"/>
          <w:sz w:val="22"/>
          <w:szCs w:val="22"/>
          <w:lang w:val="fr-CH"/>
        </w:rPr>
        <w:sym w:font="Symbol" w:char="F05D"/>
      </w:r>
      <w:r w:rsidRPr="00861377">
        <w:rPr>
          <w:rFonts w:ascii="Calibri" w:hAnsi="Calibri"/>
          <w:sz w:val="22"/>
          <w:szCs w:val="22"/>
          <w:lang w:val="fr-CH"/>
        </w:rPr>
        <w:t xml:space="preserve"> (1995).</w:t>
      </w:r>
    </w:p>
    <w:p w14:paraId="5E33F170" w14:textId="2AE5A51A" w:rsidR="00E22806" w:rsidRPr="00861377" w:rsidRDefault="00E22806" w:rsidP="00E22806">
      <w:pPr>
        <w:pStyle w:val="FootnoteText"/>
        <w:numPr>
          <w:ilvl w:val="0"/>
          <w:numId w:val="1"/>
        </w:numPr>
        <w:rPr>
          <w:rFonts w:ascii="Calibri" w:hAnsi="Calibri"/>
          <w:sz w:val="22"/>
          <w:szCs w:val="22"/>
          <w:lang w:val="fr-CH"/>
        </w:rPr>
      </w:pPr>
      <w:r w:rsidRPr="00861377">
        <w:rPr>
          <w:rFonts w:ascii="Calibri" w:hAnsi="Calibri"/>
          <w:sz w:val="22"/>
          <w:szCs w:val="22"/>
          <w:lang w:val="fr-CH"/>
        </w:rPr>
        <w:t xml:space="preserve">Eliade, Mircea. </w:t>
      </w:r>
      <w:r w:rsidRPr="00861377">
        <w:rPr>
          <w:rFonts w:ascii="Calibri" w:hAnsi="Calibri"/>
          <w:i/>
          <w:sz w:val="22"/>
          <w:szCs w:val="22"/>
          <w:lang w:val="fr-CH"/>
        </w:rPr>
        <w:t xml:space="preserve">The </w:t>
      </w:r>
      <w:proofErr w:type="spellStart"/>
      <w:r w:rsidRPr="00861377">
        <w:rPr>
          <w:rFonts w:ascii="Calibri" w:hAnsi="Calibri"/>
          <w:i/>
          <w:sz w:val="22"/>
          <w:szCs w:val="22"/>
          <w:lang w:val="fr-CH"/>
        </w:rPr>
        <w:t>Sacred</w:t>
      </w:r>
      <w:proofErr w:type="spellEnd"/>
      <w:r w:rsidRPr="00861377">
        <w:rPr>
          <w:rFonts w:ascii="Calibri" w:hAnsi="Calibri"/>
          <w:i/>
          <w:sz w:val="22"/>
          <w:szCs w:val="22"/>
          <w:lang w:val="fr-CH"/>
        </w:rPr>
        <w:t xml:space="preserve"> and the Profane,</w:t>
      </w:r>
      <w:r w:rsidRPr="00861377">
        <w:rPr>
          <w:rFonts w:ascii="Calibri" w:hAnsi="Calibri"/>
          <w:sz w:val="22"/>
          <w:szCs w:val="22"/>
          <w:lang w:val="fr-CH"/>
        </w:rPr>
        <w:t xml:space="preserve"> </w:t>
      </w:r>
      <w:r w:rsidRPr="00861377">
        <w:rPr>
          <w:rFonts w:ascii="Calibri" w:hAnsi="Calibri"/>
          <w:i/>
          <w:sz w:val="22"/>
          <w:szCs w:val="22"/>
          <w:lang w:val="fr-CH"/>
        </w:rPr>
        <w:t xml:space="preserve">the Nature of Religion. </w:t>
      </w:r>
      <w:proofErr w:type="spellStart"/>
      <w:r w:rsidRPr="00861377">
        <w:rPr>
          <w:rFonts w:ascii="Calibri" w:hAnsi="Calibri"/>
          <w:sz w:val="22"/>
          <w:szCs w:val="22"/>
          <w:lang w:val="fr-CH"/>
        </w:rPr>
        <w:t>Transla</w:t>
      </w:r>
      <w:r w:rsidR="00654323" w:rsidRPr="00861377">
        <w:rPr>
          <w:rFonts w:ascii="Calibri" w:hAnsi="Calibri"/>
          <w:sz w:val="22"/>
          <w:szCs w:val="22"/>
          <w:lang w:val="fr-CH"/>
        </w:rPr>
        <w:t>ted</w:t>
      </w:r>
      <w:proofErr w:type="spellEnd"/>
      <w:r w:rsidR="00654323" w:rsidRPr="00861377">
        <w:rPr>
          <w:rFonts w:ascii="Calibri" w:hAnsi="Calibri"/>
          <w:sz w:val="22"/>
          <w:szCs w:val="22"/>
          <w:lang w:val="fr-CH"/>
        </w:rPr>
        <w:t xml:space="preserve"> by Willard R. </w:t>
      </w:r>
      <w:proofErr w:type="spellStart"/>
      <w:r w:rsidR="00654323" w:rsidRPr="00861377">
        <w:rPr>
          <w:rFonts w:ascii="Calibri" w:hAnsi="Calibri"/>
          <w:sz w:val="22"/>
          <w:szCs w:val="22"/>
          <w:lang w:val="fr-CH"/>
        </w:rPr>
        <w:t>Trask</w:t>
      </w:r>
      <w:proofErr w:type="spellEnd"/>
      <w:r w:rsidR="00654323" w:rsidRPr="00861377">
        <w:rPr>
          <w:rFonts w:ascii="Calibri" w:hAnsi="Calibri"/>
          <w:sz w:val="22"/>
          <w:szCs w:val="22"/>
          <w:lang w:val="fr-CH"/>
        </w:rPr>
        <w:t xml:space="preserve">, </w:t>
      </w:r>
      <w:proofErr w:type="gramStart"/>
      <w:r w:rsidR="00654323" w:rsidRPr="00861377">
        <w:rPr>
          <w:rFonts w:ascii="Calibri" w:hAnsi="Calibri"/>
          <w:sz w:val="22"/>
          <w:szCs w:val="22"/>
          <w:lang w:val="fr-CH"/>
        </w:rPr>
        <w:t>London</w:t>
      </w:r>
      <w:r w:rsidRPr="00861377">
        <w:rPr>
          <w:rFonts w:ascii="Calibri" w:hAnsi="Calibri"/>
          <w:sz w:val="22"/>
          <w:szCs w:val="22"/>
          <w:lang w:val="fr-CH"/>
        </w:rPr>
        <w:t>:</w:t>
      </w:r>
      <w:proofErr w:type="gramEnd"/>
      <w:r w:rsidRPr="00861377">
        <w:rPr>
          <w:rFonts w:ascii="Calibri" w:hAnsi="Calibri"/>
          <w:sz w:val="22"/>
          <w:szCs w:val="22"/>
          <w:lang w:val="fr-CH"/>
        </w:rPr>
        <w:t xml:space="preserve"> </w:t>
      </w:r>
      <w:r w:rsidRPr="00861377">
        <w:rPr>
          <w:rFonts w:ascii="Calibri" w:hAnsi="Calibri"/>
          <w:sz w:val="22"/>
          <w:szCs w:val="22"/>
          <w:lang w:val="fr-CH"/>
        </w:rPr>
        <w:t>Harcourt, Inc. (1957) (1987)</w:t>
      </w:r>
      <w:r w:rsidRPr="00861377">
        <w:rPr>
          <w:rFonts w:ascii="Calibri" w:hAnsi="Calibri"/>
          <w:sz w:val="22"/>
          <w:szCs w:val="22"/>
          <w:lang w:val="fr-CH"/>
        </w:rPr>
        <w:t>.</w:t>
      </w:r>
    </w:p>
    <w:p w14:paraId="7DA571AC" w14:textId="7E61A1EB" w:rsidR="00E22806" w:rsidRPr="00861377" w:rsidRDefault="00E22806" w:rsidP="00E22806">
      <w:pPr>
        <w:pStyle w:val="ListParagraph"/>
        <w:numPr>
          <w:ilvl w:val="0"/>
          <w:numId w:val="1"/>
        </w:numPr>
        <w:rPr>
          <w:rFonts w:ascii="Calibri" w:hAnsi="Calibri"/>
          <w:sz w:val="22"/>
          <w:szCs w:val="22"/>
          <w:lang w:val="fr-CH"/>
        </w:rPr>
      </w:pPr>
      <w:r w:rsidRPr="00861377">
        <w:rPr>
          <w:rFonts w:ascii="Calibri" w:hAnsi="Calibri"/>
          <w:sz w:val="22"/>
          <w:szCs w:val="22"/>
        </w:rPr>
        <w:t xml:space="preserve">Fields, E. Karen. </w:t>
      </w:r>
      <w:r w:rsidRPr="00861377">
        <w:rPr>
          <w:rFonts w:ascii="Calibri" w:hAnsi="Calibri"/>
          <w:i/>
          <w:sz w:val="22"/>
          <w:szCs w:val="22"/>
        </w:rPr>
        <w:t>Translator’s Introduction</w:t>
      </w:r>
      <w:r w:rsidRPr="00861377">
        <w:rPr>
          <w:rFonts w:ascii="Calibri" w:hAnsi="Calibri"/>
          <w:sz w:val="22"/>
          <w:szCs w:val="22"/>
        </w:rPr>
        <w:t xml:space="preserve"> to </w:t>
      </w:r>
      <w:r w:rsidRPr="00861377">
        <w:rPr>
          <w:rFonts w:ascii="Calibri" w:hAnsi="Calibri"/>
          <w:i/>
          <w:sz w:val="22"/>
          <w:szCs w:val="22"/>
          <w:lang w:val="fr-CH"/>
        </w:rPr>
        <w:t xml:space="preserve">The </w:t>
      </w:r>
      <w:proofErr w:type="spellStart"/>
      <w:r w:rsidRPr="00861377">
        <w:rPr>
          <w:rFonts w:ascii="Calibri" w:hAnsi="Calibri"/>
          <w:i/>
          <w:sz w:val="22"/>
          <w:szCs w:val="22"/>
          <w:lang w:val="fr-CH"/>
        </w:rPr>
        <w:t>Elementary</w:t>
      </w:r>
      <w:proofErr w:type="spellEnd"/>
      <w:r w:rsidRPr="00861377">
        <w:rPr>
          <w:rFonts w:ascii="Calibri" w:hAnsi="Calibri"/>
          <w:i/>
          <w:sz w:val="22"/>
          <w:szCs w:val="22"/>
          <w:lang w:val="fr-CH"/>
        </w:rPr>
        <w:t xml:space="preserve"> </w:t>
      </w:r>
      <w:proofErr w:type="spellStart"/>
      <w:r w:rsidRPr="00861377">
        <w:rPr>
          <w:rFonts w:ascii="Calibri" w:hAnsi="Calibri"/>
          <w:i/>
          <w:sz w:val="22"/>
          <w:szCs w:val="22"/>
          <w:lang w:val="fr-CH"/>
        </w:rPr>
        <w:t>Forms</w:t>
      </w:r>
      <w:proofErr w:type="spellEnd"/>
      <w:r w:rsidRPr="00861377">
        <w:rPr>
          <w:rFonts w:ascii="Calibri" w:hAnsi="Calibri"/>
          <w:i/>
          <w:sz w:val="22"/>
          <w:szCs w:val="22"/>
          <w:lang w:val="fr-CH"/>
        </w:rPr>
        <w:t xml:space="preserve"> of </w:t>
      </w:r>
      <w:proofErr w:type="spellStart"/>
      <w:r w:rsidRPr="00861377">
        <w:rPr>
          <w:rFonts w:ascii="Calibri" w:hAnsi="Calibri"/>
          <w:i/>
          <w:sz w:val="22"/>
          <w:szCs w:val="22"/>
          <w:lang w:val="fr-CH"/>
        </w:rPr>
        <w:t>Religious</w:t>
      </w:r>
      <w:proofErr w:type="spellEnd"/>
      <w:r w:rsidRPr="00861377">
        <w:rPr>
          <w:rFonts w:ascii="Calibri" w:hAnsi="Calibri"/>
          <w:i/>
          <w:sz w:val="22"/>
          <w:szCs w:val="22"/>
          <w:lang w:val="fr-CH"/>
        </w:rPr>
        <w:t xml:space="preserve"> Life</w:t>
      </w:r>
      <w:r w:rsidR="00CF62BE" w:rsidRPr="00861377">
        <w:rPr>
          <w:rFonts w:ascii="Calibri" w:hAnsi="Calibri"/>
          <w:sz w:val="22"/>
          <w:szCs w:val="22"/>
          <w:lang w:val="fr-CH"/>
        </w:rPr>
        <w:t xml:space="preserve">. New </w:t>
      </w:r>
      <w:proofErr w:type="gramStart"/>
      <w:r w:rsidR="00CF62BE" w:rsidRPr="00861377">
        <w:rPr>
          <w:rFonts w:ascii="Calibri" w:hAnsi="Calibri"/>
          <w:sz w:val="22"/>
          <w:szCs w:val="22"/>
          <w:lang w:val="fr-CH"/>
        </w:rPr>
        <w:t>York</w:t>
      </w:r>
      <w:r w:rsidRPr="00861377">
        <w:rPr>
          <w:rFonts w:ascii="Calibri" w:hAnsi="Calibri"/>
          <w:sz w:val="22"/>
          <w:szCs w:val="22"/>
          <w:lang w:val="fr-CH"/>
        </w:rPr>
        <w:t>:</w:t>
      </w:r>
      <w:proofErr w:type="gramEnd"/>
      <w:r w:rsidRPr="00861377">
        <w:rPr>
          <w:rFonts w:ascii="Calibri" w:hAnsi="Calibri"/>
          <w:sz w:val="22"/>
          <w:szCs w:val="22"/>
          <w:lang w:val="fr-CH"/>
        </w:rPr>
        <w:t xml:space="preserve"> </w:t>
      </w:r>
      <w:r w:rsidRPr="00861377">
        <w:rPr>
          <w:rFonts w:ascii="Calibri" w:hAnsi="Calibri"/>
          <w:sz w:val="22"/>
          <w:szCs w:val="22"/>
          <w:lang w:val="fr-CH"/>
        </w:rPr>
        <w:t xml:space="preserve">The Free </w:t>
      </w:r>
      <w:proofErr w:type="spellStart"/>
      <w:r w:rsidRPr="00861377">
        <w:rPr>
          <w:rFonts w:ascii="Calibri" w:hAnsi="Calibri"/>
          <w:sz w:val="22"/>
          <w:szCs w:val="22"/>
          <w:lang w:val="fr-CH"/>
        </w:rPr>
        <w:t>Press</w:t>
      </w:r>
      <w:proofErr w:type="spellEnd"/>
      <w:r w:rsidRPr="00861377">
        <w:rPr>
          <w:rFonts w:ascii="Calibri" w:hAnsi="Calibri"/>
          <w:sz w:val="22"/>
          <w:szCs w:val="22"/>
          <w:lang w:val="fr-CH"/>
        </w:rPr>
        <w:t>, (1995)</w:t>
      </w:r>
      <w:r w:rsidRPr="00861377">
        <w:rPr>
          <w:rFonts w:ascii="Calibri" w:hAnsi="Calibri"/>
          <w:sz w:val="22"/>
          <w:szCs w:val="22"/>
          <w:lang w:val="fr-CH"/>
        </w:rPr>
        <w:t>.</w:t>
      </w:r>
    </w:p>
    <w:p w14:paraId="22D60A2C" w14:textId="0DC034F3" w:rsidR="00E22806" w:rsidRPr="00861377" w:rsidRDefault="00E22806" w:rsidP="00E22806">
      <w:pPr>
        <w:pStyle w:val="ListParagraph"/>
        <w:numPr>
          <w:ilvl w:val="0"/>
          <w:numId w:val="1"/>
        </w:numPr>
        <w:rPr>
          <w:rFonts w:ascii="Calibri" w:hAnsi="Calibri"/>
          <w:sz w:val="22"/>
          <w:szCs w:val="22"/>
        </w:rPr>
      </w:pPr>
      <w:r w:rsidRPr="00861377">
        <w:rPr>
          <w:rFonts w:ascii="Calibri" w:hAnsi="Calibri"/>
          <w:sz w:val="22"/>
          <w:szCs w:val="22"/>
        </w:rPr>
        <w:t xml:space="preserve">Knott, Kim. </w:t>
      </w:r>
      <w:r w:rsidRPr="00861377">
        <w:rPr>
          <w:rFonts w:ascii="Calibri" w:hAnsi="Calibri"/>
          <w:i/>
          <w:sz w:val="22"/>
          <w:szCs w:val="22"/>
        </w:rPr>
        <w:t>The Location of Religion: A Spatial Analysis</w:t>
      </w:r>
      <w:r w:rsidRPr="00861377">
        <w:rPr>
          <w:rFonts w:ascii="Calibri" w:hAnsi="Calibri"/>
          <w:sz w:val="22"/>
          <w:szCs w:val="22"/>
        </w:rPr>
        <w:t xml:space="preserve">, London: Equinox Publishing, </w:t>
      </w:r>
      <w:r w:rsidRPr="00861377">
        <w:rPr>
          <w:rFonts w:ascii="Calibri" w:hAnsi="Calibri"/>
          <w:sz w:val="22"/>
          <w:szCs w:val="22"/>
        </w:rPr>
        <w:t>(2005).</w:t>
      </w:r>
    </w:p>
    <w:p w14:paraId="473DC77A" w14:textId="23D37354" w:rsidR="00E22806" w:rsidRPr="00861377" w:rsidRDefault="00E22806" w:rsidP="00E22806">
      <w:pPr>
        <w:pStyle w:val="ListParagraph"/>
        <w:numPr>
          <w:ilvl w:val="0"/>
          <w:numId w:val="1"/>
        </w:numPr>
        <w:rPr>
          <w:rFonts w:ascii="Calibri" w:hAnsi="Calibri"/>
          <w:sz w:val="22"/>
          <w:szCs w:val="22"/>
        </w:rPr>
      </w:pPr>
      <w:proofErr w:type="spellStart"/>
      <w:r w:rsidRPr="00861377">
        <w:rPr>
          <w:rFonts w:ascii="Calibri" w:hAnsi="Calibri"/>
          <w:sz w:val="22"/>
          <w:szCs w:val="22"/>
        </w:rPr>
        <w:t>Sigurdson</w:t>
      </w:r>
      <w:proofErr w:type="spellEnd"/>
      <w:r w:rsidRPr="00861377">
        <w:rPr>
          <w:rFonts w:ascii="Calibri" w:hAnsi="Calibri"/>
          <w:sz w:val="22"/>
          <w:szCs w:val="22"/>
        </w:rPr>
        <w:t xml:space="preserve">, Ola. </w:t>
      </w:r>
      <w:r w:rsidRPr="00861377">
        <w:rPr>
          <w:rFonts w:ascii="Calibri" w:hAnsi="Calibri"/>
          <w:i/>
          <w:sz w:val="22"/>
          <w:szCs w:val="22"/>
        </w:rPr>
        <w:t>Numinous Edifices</w:t>
      </w:r>
      <w:r w:rsidRPr="00861377">
        <w:rPr>
          <w:rFonts w:ascii="Calibri" w:hAnsi="Calibri"/>
          <w:sz w:val="22"/>
          <w:szCs w:val="22"/>
        </w:rPr>
        <w:t xml:space="preserve">. </w:t>
      </w:r>
      <w:proofErr w:type="spellStart"/>
      <w:r w:rsidRPr="00861377">
        <w:rPr>
          <w:rFonts w:ascii="Calibri" w:hAnsi="Calibri"/>
          <w:sz w:val="22"/>
          <w:szCs w:val="22"/>
        </w:rPr>
        <w:t>Svensk</w:t>
      </w:r>
      <w:proofErr w:type="spellEnd"/>
      <w:r w:rsidRPr="00861377">
        <w:rPr>
          <w:rFonts w:ascii="Calibri" w:hAnsi="Calibri"/>
          <w:sz w:val="22"/>
          <w:szCs w:val="22"/>
        </w:rPr>
        <w:t xml:space="preserve"> </w:t>
      </w:r>
      <w:proofErr w:type="spellStart"/>
      <w:r w:rsidRPr="00861377">
        <w:rPr>
          <w:rFonts w:ascii="Calibri" w:hAnsi="Calibri"/>
          <w:sz w:val="22"/>
          <w:szCs w:val="22"/>
        </w:rPr>
        <w:t>Teologisk</w:t>
      </w:r>
      <w:proofErr w:type="spellEnd"/>
      <w:r w:rsidRPr="00861377">
        <w:rPr>
          <w:rFonts w:ascii="Calibri" w:hAnsi="Calibri"/>
          <w:sz w:val="22"/>
          <w:szCs w:val="22"/>
        </w:rPr>
        <w:t xml:space="preserve"> </w:t>
      </w:r>
      <w:proofErr w:type="spellStart"/>
      <w:r w:rsidRPr="00861377">
        <w:rPr>
          <w:rFonts w:ascii="Calibri" w:hAnsi="Calibri"/>
          <w:sz w:val="22"/>
          <w:szCs w:val="22"/>
        </w:rPr>
        <w:t>Kvartalskrift</w:t>
      </w:r>
      <w:proofErr w:type="spellEnd"/>
      <w:r w:rsidRPr="00861377">
        <w:rPr>
          <w:rFonts w:ascii="Calibri" w:hAnsi="Calibri"/>
          <w:sz w:val="22"/>
          <w:szCs w:val="22"/>
        </w:rPr>
        <w:t>, Vol.99 (1), (2023-04</w:t>
      </w:r>
      <w:r w:rsidRPr="00861377">
        <w:rPr>
          <w:rFonts w:ascii="Calibri" w:hAnsi="Calibri"/>
          <w:sz w:val="22"/>
          <w:szCs w:val="22"/>
        </w:rPr>
        <w:t>).</w:t>
      </w:r>
    </w:p>
    <w:p w14:paraId="64D611C7" w14:textId="7D78C3CF" w:rsidR="00E22806" w:rsidRPr="00861377" w:rsidRDefault="00E22806" w:rsidP="00E22806">
      <w:pPr>
        <w:pStyle w:val="FootnoteText"/>
        <w:numPr>
          <w:ilvl w:val="0"/>
          <w:numId w:val="1"/>
        </w:numPr>
        <w:rPr>
          <w:rFonts w:ascii="Calibri" w:hAnsi="Calibri"/>
          <w:sz w:val="22"/>
          <w:szCs w:val="22"/>
        </w:rPr>
      </w:pPr>
      <w:r w:rsidRPr="00861377">
        <w:rPr>
          <w:rFonts w:ascii="Calibri" w:hAnsi="Calibri"/>
          <w:sz w:val="22"/>
          <w:szCs w:val="22"/>
        </w:rPr>
        <w:t xml:space="preserve">Smith, Jonathan Z. </w:t>
      </w:r>
      <w:r w:rsidRPr="00861377">
        <w:rPr>
          <w:rFonts w:ascii="Calibri" w:hAnsi="Calibri"/>
          <w:i/>
          <w:sz w:val="22"/>
          <w:szCs w:val="22"/>
        </w:rPr>
        <w:t xml:space="preserve">Acknowledgments: Morphology and History in </w:t>
      </w:r>
      <w:proofErr w:type="spellStart"/>
      <w:r w:rsidRPr="00861377">
        <w:rPr>
          <w:rFonts w:ascii="Calibri" w:hAnsi="Calibri"/>
          <w:i/>
          <w:sz w:val="22"/>
          <w:szCs w:val="22"/>
        </w:rPr>
        <w:t>Mircea</w:t>
      </w:r>
      <w:proofErr w:type="spellEnd"/>
      <w:r w:rsidRPr="00861377">
        <w:rPr>
          <w:rFonts w:ascii="Calibri" w:hAnsi="Calibri"/>
          <w:i/>
          <w:sz w:val="22"/>
          <w:szCs w:val="22"/>
        </w:rPr>
        <w:t xml:space="preserve"> </w:t>
      </w:r>
      <w:proofErr w:type="spellStart"/>
      <w:r w:rsidRPr="00861377">
        <w:rPr>
          <w:rFonts w:ascii="Calibri" w:hAnsi="Calibri"/>
          <w:i/>
          <w:sz w:val="22"/>
          <w:szCs w:val="22"/>
        </w:rPr>
        <w:t>Eliade's</w:t>
      </w:r>
      <w:proofErr w:type="spellEnd"/>
      <w:r w:rsidRPr="00861377">
        <w:rPr>
          <w:rFonts w:ascii="Calibri" w:hAnsi="Calibri"/>
          <w:i/>
          <w:sz w:val="22"/>
          <w:szCs w:val="22"/>
        </w:rPr>
        <w:t xml:space="preserve"> "Patterns in Comparative Religion"</w:t>
      </w:r>
      <w:r w:rsidRPr="00861377">
        <w:rPr>
          <w:rFonts w:ascii="Calibri" w:hAnsi="Calibri"/>
          <w:sz w:val="22"/>
          <w:szCs w:val="22"/>
        </w:rPr>
        <w:t xml:space="preserve"> (1949-1999). Part 2: The Texture of the Work', History of Religions, 39 (2000)</w:t>
      </w:r>
      <w:r w:rsidRPr="00861377">
        <w:rPr>
          <w:rFonts w:ascii="Calibri" w:hAnsi="Calibri"/>
          <w:sz w:val="22"/>
          <w:szCs w:val="22"/>
        </w:rPr>
        <w:t>.</w:t>
      </w:r>
    </w:p>
    <w:p w14:paraId="3E866D8C" w14:textId="573F0B34" w:rsidR="00E22806" w:rsidRPr="00861377" w:rsidRDefault="00E22806" w:rsidP="00E22806">
      <w:pPr>
        <w:pStyle w:val="ListParagraph"/>
        <w:numPr>
          <w:ilvl w:val="0"/>
          <w:numId w:val="1"/>
        </w:numPr>
        <w:rPr>
          <w:rFonts w:ascii="Calibri" w:hAnsi="Calibri"/>
          <w:sz w:val="22"/>
          <w:szCs w:val="22"/>
          <w:lang w:val="fr-CH"/>
        </w:rPr>
      </w:pPr>
      <w:r w:rsidRPr="00861377">
        <w:rPr>
          <w:rFonts w:ascii="Calibri" w:hAnsi="Calibri"/>
          <w:sz w:val="22"/>
          <w:szCs w:val="22"/>
          <w:lang w:val="fr-CH"/>
        </w:rPr>
        <w:t xml:space="preserve">Watson </w:t>
      </w:r>
      <w:r w:rsidRPr="00861377">
        <w:rPr>
          <w:rFonts w:ascii="Calibri" w:hAnsi="Calibri"/>
          <w:sz w:val="22"/>
          <w:szCs w:val="22"/>
          <w:lang w:val="fr-CH"/>
        </w:rPr>
        <w:t xml:space="preserve">W.G.E. </w:t>
      </w:r>
      <w:r w:rsidRPr="00861377">
        <w:rPr>
          <w:rFonts w:ascii="Calibri" w:hAnsi="Calibri"/>
          <w:sz w:val="22"/>
          <w:szCs w:val="22"/>
          <w:lang w:val="fr-CH"/>
        </w:rPr>
        <w:t xml:space="preserve">&amp; </w:t>
      </w:r>
      <w:r w:rsidRPr="00861377">
        <w:rPr>
          <w:rFonts w:ascii="Calibri" w:hAnsi="Calibri"/>
          <w:sz w:val="22"/>
          <w:szCs w:val="22"/>
          <w:lang w:val="fr-CH"/>
        </w:rPr>
        <w:t xml:space="preserve">Wyatt, Nicolas. </w:t>
      </w:r>
      <w:proofErr w:type="spellStart"/>
      <w:r w:rsidRPr="00861377">
        <w:rPr>
          <w:rFonts w:ascii="Calibri" w:hAnsi="Calibri"/>
          <w:i/>
          <w:sz w:val="22"/>
          <w:szCs w:val="22"/>
          <w:lang w:val="fr-CH"/>
        </w:rPr>
        <w:t>Handbook</w:t>
      </w:r>
      <w:proofErr w:type="spellEnd"/>
      <w:r w:rsidRPr="00861377">
        <w:rPr>
          <w:rFonts w:ascii="Calibri" w:hAnsi="Calibri"/>
          <w:i/>
          <w:sz w:val="22"/>
          <w:szCs w:val="22"/>
          <w:lang w:val="fr-CH"/>
        </w:rPr>
        <w:t xml:space="preserve"> of </w:t>
      </w:r>
      <w:proofErr w:type="spellStart"/>
      <w:r w:rsidRPr="00861377">
        <w:rPr>
          <w:rFonts w:ascii="Calibri" w:hAnsi="Calibri"/>
          <w:i/>
          <w:sz w:val="22"/>
          <w:szCs w:val="22"/>
          <w:lang w:val="fr-CH"/>
        </w:rPr>
        <w:t>Ugaritic</w:t>
      </w:r>
      <w:proofErr w:type="spellEnd"/>
      <w:r w:rsidRPr="00861377">
        <w:rPr>
          <w:rFonts w:ascii="Calibri" w:hAnsi="Calibri"/>
          <w:i/>
          <w:sz w:val="22"/>
          <w:szCs w:val="22"/>
          <w:lang w:val="fr-CH"/>
        </w:rPr>
        <w:t xml:space="preserve"> </w:t>
      </w:r>
      <w:proofErr w:type="spellStart"/>
      <w:r w:rsidRPr="00861377">
        <w:rPr>
          <w:rFonts w:ascii="Calibri" w:hAnsi="Calibri"/>
          <w:i/>
          <w:sz w:val="22"/>
          <w:szCs w:val="22"/>
          <w:lang w:val="fr-CH"/>
        </w:rPr>
        <w:t>Studies</w:t>
      </w:r>
      <w:proofErr w:type="spellEnd"/>
      <w:r w:rsidRPr="00861377">
        <w:rPr>
          <w:rFonts w:ascii="Calibri" w:hAnsi="Calibri"/>
          <w:sz w:val="22"/>
          <w:szCs w:val="22"/>
          <w:lang w:val="fr-CH"/>
        </w:rPr>
        <w:t xml:space="preserve">, </w:t>
      </w:r>
      <w:proofErr w:type="spellStart"/>
      <w:proofErr w:type="gramStart"/>
      <w:r w:rsidRPr="00861377">
        <w:rPr>
          <w:rFonts w:ascii="Calibri" w:hAnsi="Calibri"/>
          <w:sz w:val="22"/>
          <w:szCs w:val="22"/>
          <w:lang w:val="fr-CH"/>
        </w:rPr>
        <w:t>Lei</w:t>
      </w:r>
      <w:r w:rsidRPr="00861377">
        <w:rPr>
          <w:rFonts w:ascii="Calibri" w:hAnsi="Calibri"/>
          <w:sz w:val="22"/>
          <w:szCs w:val="22"/>
          <w:lang w:val="fr-CH"/>
        </w:rPr>
        <w:t>den</w:t>
      </w:r>
      <w:proofErr w:type="spellEnd"/>
      <w:r w:rsidRPr="00861377">
        <w:rPr>
          <w:rFonts w:ascii="Calibri" w:hAnsi="Calibri"/>
          <w:sz w:val="22"/>
          <w:szCs w:val="22"/>
          <w:lang w:val="fr-CH"/>
        </w:rPr>
        <w:t>:</w:t>
      </w:r>
      <w:proofErr w:type="gramEnd"/>
      <w:r w:rsidRPr="00861377">
        <w:rPr>
          <w:rFonts w:ascii="Calibri" w:hAnsi="Calibri"/>
          <w:sz w:val="22"/>
          <w:szCs w:val="22"/>
          <w:lang w:val="fr-CH"/>
        </w:rPr>
        <w:t xml:space="preserve"> </w:t>
      </w:r>
      <w:proofErr w:type="spellStart"/>
      <w:r w:rsidRPr="00861377">
        <w:rPr>
          <w:rFonts w:ascii="Calibri" w:hAnsi="Calibri"/>
          <w:sz w:val="22"/>
          <w:szCs w:val="22"/>
          <w:lang w:val="fr-CH"/>
        </w:rPr>
        <w:t>Brill</w:t>
      </w:r>
      <w:proofErr w:type="spellEnd"/>
      <w:r w:rsidRPr="00861377">
        <w:rPr>
          <w:rFonts w:ascii="Calibri" w:hAnsi="Calibri"/>
          <w:sz w:val="22"/>
          <w:szCs w:val="22"/>
          <w:lang w:val="fr-CH"/>
        </w:rPr>
        <w:t>, (2015).</w:t>
      </w:r>
    </w:p>
    <w:p w14:paraId="45BB8DDA" w14:textId="77777777" w:rsidR="00E22806" w:rsidRPr="00861377" w:rsidRDefault="00E22806" w:rsidP="00E22806">
      <w:pPr>
        <w:rPr>
          <w:rFonts w:ascii="Calibri" w:hAnsi="Calibri"/>
          <w:sz w:val="22"/>
          <w:szCs w:val="22"/>
        </w:rPr>
      </w:pPr>
    </w:p>
    <w:p w14:paraId="524E59C0" w14:textId="77777777" w:rsidR="00E22806" w:rsidRPr="00861377" w:rsidRDefault="00E22806" w:rsidP="00E22806">
      <w:pPr>
        <w:rPr>
          <w:rFonts w:ascii="Calibri" w:hAnsi="Calibri"/>
          <w:sz w:val="22"/>
          <w:szCs w:val="22"/>
          <w:lang w:val="fr-CH"/>
        </w:rPr>
      </w:pPr>
    </w:p>
    <w:p w14:paraId="1CFCB2FC" w14:textId="77777777" w:rsidR="00705C4D" w:rsidRPr="00861377" w:rsidRDefault="00705C4D" w:rsidP="006958E6">
      <w:pPr>
        <w:rPr>
          <w:rFonts w:ascii="Calibri" w:hAnsi="Calibri"/>
          <w:sz w:val="22"/>
          <w:szCs w:val="22"/>
        </w:rPr>
      </w:pPr>
    </w:p>
    <w:p w14:paraId="40A8ABD4" w14:textId="3ECC5A56" w:rsidR="00C33E0A" w:rsidRPr="00861377" w:rsidRDefault="00C33E0A" w:rsidP="00E84BD1">
      <w:pPr>
        <w:rPr>
          <w:rFonts w:ascii="Calibri" w:hAnsi="Calibri"/>
          <w:sz w:val="22"/>
          <w:szCs w:val="22"/>
          <w:u w:val="single"/>
        </w:rPr>
      </w:pPr>
    </w:p>
    <w:p w14:paraId="524BC173" w14:textId="40B26E08" w:rsidR="000609F3" w:rsidRPr="00861377" w:rsidRDefault="000609F3" w:rsidP="00E84BD1">
      <w:pPr>
        <w:rPr>
          <w:rFonts w:ascii="Calibri" w:hAnsi="Calibri"/>
          <w:sz w:val="22"/>
          <w:szCs w:val="22"/>
        </w:rPr>
      </w:pPr>
    </w:p>
    <w:sectPr w:rsidR="000609F3" w:rsidRPr="00861377" w:rsidSect="007012E2">
      <w:footnotePr>
        <w:pos w:val="beneathText"/>
      </w:footnotePr>
      <w:endnotePr>
        <w:numFmt w:val="decimal"/>
      </w:endnotePr>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0F52CE" w14:textId="77777777" w:rsidR="00E64668" w:rsidRDefault="00E64668" w:rsidP="00B91774">
      <w:r>
        <w:separator/>
      </w:r>
    </w:p>
  </w:endnote>
  <w:endnote w:type="continuationSeparator" w:id="0">
    <w:p w14:paraId="56275ADD" w14:textId="77777777" w:rsidR="00E64668" w:rsidRDefault="00E64668" w:rsidP="00B917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D51345" w14:textId="77777777" w:rsidR="00E64668" w:rsidRDefault="00E64668" w:rsidP="00B91774">
      <w:r>
        <w:separator/>
      </w:r>
    </w:p>
  </w:footnote>
  <w:footnote w:type="continuationSeparator" w:id="0">
    <w:p w14:paraId="6D093136" w14:textId="77777777" w:rsidR="00E64668" w:rsidRDefault="00E64668" w:rsidP="00B91774">
      <w:r>
        <w:continuationSeparator/>
      </w:r>
    </w:p>
  </w:footnote>
  <w:footnote w:id="1">
    <w:p w14:paraId="18814DD7" w14:textId="7FAD8336" w:rsidR="006079C7" w:rsidRPr="0023719B" w:rsidRDefault="006079C7">
      <w:pPr>
        <w:pStyle w:val="FootnoteText"/>
        <w:rPr>
          <w:lang w:val="fr-CH"/>
        </w:rPr>
      </w:pPr>
      <w:r>
        <w:rPr>
          <w:rStyle w:val="FootnoteReference"/>
        </w:rPr>
        <w:footnoteRef/>
      </w:r>
      <w:r>
        <w:t xml:space="preserve"> </w:t>
      </w:r>
      <w:r>
        <w:rPr>
          <w:lang w:val="fr-CH"/>
        </w:rPr>
        <w:t xml:space="preserve">Eliade, Mircea. </w:t>
      </w:r>
      <w:r>
        <w:rPr>
          <w:i/>
          <w:lang w:val="fr-CH"/>
        </w:rPr>
        <w:t xml:space="preserve">The </w:t>
      </w:r>
      <w:proofErr w:type="spellStart"/>
      <w:r>
        <w:rPr>
          <w:i/>
          <w:lang w:val="fr-CH"/>
        </w:rPr>
        <w:t>Sacred</w:t>
      </w:r>
      <w:proofErr w:type="spellEnd"/>
      <w:r>
        <w:rPr>
          <w:i/>
          <w:lang w:val="fr-CH"/>
        </w:rPr>
        <w:t xml:space="preserve"> and the Profane,</w:t>
      </w:r>
      <w:r>
        <w:rPr>
          <w:lang w:val="fr-CH"/>
        </w:rPr>
        <w:t xml:space="preserve"> </w:t>
      </w:r>
      <w:r>
        <w:rPr>
          <w:i/>
          <w:lang w:val="fr-CH"/>
        </w:rPr>
        <w:t xml:space="preserve">the Nature of Religion. </w:t>
      </w:r>
      <w:proofErr w:type="spellStart"/>
      <w:r>
        <w:rPr>
          <w:lang w:val="fr-CH"/>
        </w:rPr>
        <w:t>Transla</w:t>
      </w:r>
      <w:r w:rsidR="00654323">
        <w:rPr>
          <w:lang w:val="fr-CH"/>
        </w:rPr>
        <w:t>ted</w:t>
      </w:r>
      <w:proofErr w:type="spellEnd"/>
      <w:r w:rsidR="00654323">
        <w:rPr>
          <w:lang w:val="fr-CH"/>
        </w:rPr>
        <w:t xml:space="preserve"> by Willard R. </w:t>
      </w:r>
      <w:proofErr w:type="spellStart"/>
      <w:r w:rsidR="00654323">
        <w:rPr>
          <w:lang w:val="fr-CH"/>
        </w:rPr>
        <w:t>Trask</w:t>
      </w:r>
      <w:proofErr w:type="spellEnd"/>
      <w:r w:rsidR="00654323">
        <w:rPr>
          <w:lang w:val="fr-CH"/>
        </w:rPr>
        <w:t xml:space="preserve">, </w:t>
      </w:r>
      <w:proofErr w:type="gramStart"/>
      <w:r w:rsidR="00654323">
        <w:rPr>
          <w:lang w:val="fr-CH"/>
        </w:rPr>
        <w:t>London</w:t>
      </w:r>
      <w:r>
        <w:rPr>
          <w:lang w:val="fr-CH"/>
        </w:rPr>
        <w:t>:</w:t>
      </w:r>
      <w:proofErr w:type="gramEnd"/>
      <w:r>
        <w:rPr>
          <w:lang w:val="fr-CH"/>
        </w:rPr>
        <w:t xml:space="preserve"> Harcourt, Inc. (1957) (1987), p.11.</w:t>
      </w:r>
    </w:p>
  </w:footnote>
  <w:footnote w:id="2">
    <w:p w14:paraId="35830F51" w14:textId="33005CED" w:rsidR="006079C7" w:rsidRPr="004B08B8" w:rsidRDefault="006079C7">
      <w:pPr>
        <w:pStyle w:val="FootnoteText"/>
        <w:rPr>
          <w:lang w:val="fr-CH"/>
        </w:rPr>
      </w:pPr>
      <w:r>
        <w:rPr>
          <w:rStyle w:val="FootnoteReference"/>
        </w:rPr>
        <w:footnoteRef/>
      </w:r>
      <w:r>
        <w:t xml:space="preserve"> </w:t>
      </w:r>
      <w:r>
        <w:rPr>
          <w:lang w:val="fr-CH"/>
        </w:rPr>
        <w:t xml:space="preserve">Ibid. </w:t>
      </w:r>
    </w:p>
  </w:footnote>
  <w:footnote w:id="3">
    <w:p w14:paraId="1E626F19" w14:textId="3A5C3FA4" w:rsidR="006079C7" w:rsidRPr="00C653D1" w:rsidRDefault="006079C7">
      <w:pPr>
        <w:pStyle w:val="FootnoteText"/>
      </w:pPr>
      <w:r>
        <w:rPr>
          <w:rStyle w:val="FootnoteReference"/>
        </w:rPr>
        <w:footnoteRef/>
      </w:r>
      <w:r>
        <w:t xml:space="preserve"> Smith, Jonathan Z. </w:t>
      </w:r>
      <w:r w:rsidRPr="00705C4D">
        <w:rPr>
          <w:i/>
        </w:rPr>
        <w:t xml:space="preserve">Acknowledgments: Morphology and History in </w:t>
      </w:r>
      <w:proofErr w:type="spellStart"/>
      <w:r w:rsidRPr="00705C4D">
        <w:rPr>
          <w:i/>
        </w:rPr>
        <w:t>Mircea</w:t>
      </w:r>
      <w:proofErr w:type="spellEnd"/>
      <w:r w:rsidRPr="00705C4D">
        <w:rPr>
          <w:i/>
        </w:rPr>
        <w:t xml:space="preserve"> </w:t>
      </w:r>
      <w:proofErr w:type="spellStart"/>
      <w:r w:rsidRPr="00705C4D">
        <w:rPr>
          <w:i/>
        </w:rPr>
        <w:t>Eliade's</w:t>
      </w:r>
      <w:proofErr w:type="spellEnd"/>
      <w:r w:rsidRPr="00705C4D">
        <w:rPr>
          <w:i/>
        </w:rPr>
        <w:t xml:space="preserve"> "Patterns in Comparative Religion"</w:t>
      </w:r>
      <w:r>
        <w:t xml:space="preserve"> (1949-1999).</w:t>
      </w:r>
      <w:r w:rsidRPr="00705C4D">
        <w:t xml:space="preserve"> Part 2: The Texture of the Work', History of Religions, 39 (2000),</w:t>
      </w:r>
      <w:r>
        <w:t xml:space="preserve"> p. 346.</w:t>
      </w:r>
    </w:p>
  </w:footnote>
  <w:footnote w:id="4">
    <w:p w14:paraId="1E1557CE" w14:textId="29DB159F" w:rsidR="006079C7" w:rsidRPr="00F80AAA" w:rsidRDefault="006079C7">
      <w:pPr>
        <w:pStyle w:val="FootnoteText"/>
        <w:rPr>
          <w:lang w:val="fr-CH"/>
        </w:rPr>
      </w:pPr>
      <w:r>
        <w:rPr>
          <w:rStyle w:val="FootnoteReference"/>
        </w:rPr>
        <w:footnoteRef/>
      </w:r>
      <w:r>
        <w:t xml:space="preserve"> </w:t>
      </w:r>
      <w:r>
        <w:rPr>
          <w:lang w:val="fr-CH"/>
        </w:rPr>
        <w:t xml:space="preserve">Eliade, Mircea. </w:t>
      </w:r>
      <w:r>
        <w:rPr>
          <w:i/>
          <w:lang w:val="fr-CH"/>
        </w:rPr>
        <w:t xml:space="preserve">The </w:t>
      </w:r>
      <w:proofErr w:type="spellStart"/>
      <w:r>
        <w:rPr>
          <w:i/>
          <w:lang w:val="fr-CH"/>
        </w:rPr>
        <w:t>Sacred</w:t>
      </w:r>
      <w:proofErr w:type="spellEnd"/>
      <w:r>
        <w:rPr>
          <w:i/>
          <w:lang w:val="fr-CH"/>
        </w:rPr>
        <w:t xml:space="preserve"> and the Profane,</w:t>
      </w:r>
      <w:r>
        <w:rPr>
          <w:lang w:val="fr-CH"/>
        </w:rPr>
        <w:t xml:space="preserve"> </w:t>
      </w:r>
      <w:r>
        <w:rPr>
          <w:i/>
          <w:lang w:val="fr-CH"/>
        </w:rPr>
        <w:t xml:space="preserve">the Nature of Religion. </w:t>
      </w:r>
      <w:proofErr w:type="spellStart"/>
      <w:r>
        <w:rPr>
          <w:lang w:val="fr-CH"/>
        </w:rPr>
        <w:t>Translated</w:t>
      </w:r>
      <w:proofErr w:type="spellEnd"/>
      <w:r>
        <w:rPr>
          <w:lang w:val="fr-CH"/>
        </w:rPr>
        <w:t xml:space="preserve"> by Willard R. </w:t>
      </w:r>
      <w:proofErr w:type="spellStart"/>
      <w:r>
        <w:rPr>
          <w:lang w:val="fr-CH"/>
        </w:rPr>
        <w:t>Trask</w:t>
      </w:r>
      <w:proofErr w:type="spellEnd"/>
      <w:r>
        <w:rPr>
          <w:lang w:val="fr-CH"/>
        </w:rPr>
        <w:t xml:space="preserve">, </w:t>
      </w:r>
      <w:proofErr w:type="gramStart"/>
      <w:r>
        <w:rPr>
          <w:lang w:val="fr-CH"/>
        </w:rPr>
        <w:t>London:</w:t>
      </w:r>
      <w:proofErr w:type="gramEnd"/>
      <w:r>
        <w:rPr>
          <w:lang w:val="fr-CH"/>
        </w:rPr>
        <w:t xml:space="preserve"> Harcourt, Inc. (1957) (1987). p.21.</w:t>
      </w:r>
    </w:p>
  </w:footnote>
  <w:footnote w:id="5">
    <w:p w14:paraId="39F428D0" w14:textId="1E891E60" w:rsidR="006079C7" w:rsidRPr="00664030" w:rsidRDefault="006079C7" w:rsidP="00664030">
      <w:pPr>
        <w:pStyle w:val="FootnoteText"/>
      </w:pPr>
      <w:r>
        <w:rPr>
          <w:rStyle w:val="FootnoteReference"/>
        </w:rPr>
        <w:footnoteRef/>
      </w:r>
      <w:r>
        <w:t xml:space="preserve"> Sera, </w:t>
      </w:r>
      <w:proofErr w:type="spellStart"/>
      <w:r>
        <w:t>Nicolae</w:t>
      </w:r>
      <w:proofErr w:type="spellEnd"/>
      <w:r>
        <w:t xml:space="preserve">. </w:t>
      </w:r>
      <w:proofErr w:type="spellStart"/>
      <w:r w:rsidRPr="00056462">
        <w:rPr>
          <w:i/>
        </w:rPr>
        <w:t>Acceptions</w:t>
      </w:r>
      <w:proofErr w:type="spellEnd"/>
      <w:r w:rsidRPr="00056462">
        <w:rPr>
          <w:i/>
        </w:rPr>
        <w:t xml:space="preserve"> of the space in the diurnal/nocturnal discourse in </w:t>
      </w:r>
      <w:proofErr w:type="spellStart"/>
      <w:r w:rsidRPr="00056462">
        <w:rPr>
          <w:i/>
        </w:rPr>
        <w:t>Mircea</w:t>
      </w:r>
      <w:proofErr w:type="spellEnd"/>
      <w:r w:rsidRPr="00056462">
        <w:rPr>
          <w:i/>
        </w:rPr>
        <w:t xml:space="preserve"> </w:t>
      </w:r>
      <w:proofErr w:type="spellStart"/>
      <w:r w:rsidRPr="00056462">
        <w:rPr>
          <w:i/>
        </w:rPr>
        <w:t>Eliade's</w:t>
      </w:r>
      <w:proofErr w:type="spellEnd"/>
      <w:r w:rsidRPr="00056462">
        <w:rPr>
          <w:i/>
        </w:rPr>
        <w:t xml:space="preserve"> work</w:t>
      </w:r>
      <w:r w:rsidRPr="00056462">
        <w:t>. Journal o</w:t>
      </w:r>
      <w:r>
        <w:t>f Humanistic and Social Studies</w:t>
      </w:r>
      <w:r w:rsidRPr="00056462">
        <w:t xml:space="preserve">; Arad Vol. 11, </w:t>
      </w:r>
      <w:proofErr w:type="spellStart"/>
      <w:r w:rsidRPr="00056462">
        <w:t>Iss</w:t>
      </w:r>
      <w:proofErr w:type="spellEnd"/>
      <w:r w:rsidRPr="00056462">
        <w:t>. 2, (2020):</w:t>
      </w:r>
      <w:r>
        <w:t xml:space="preserve"> p. 83. Author’s translation</w:t>
      </w:r>
      <w:r w:rsidR="00862139">
        <w:t xml:space="preserve"> from French</w:t>
      </w:r>
      <w:r>
        <w:t>.</w:t>
      </w:r>
      <w:r w:rsidR="00E22806">
        <w:t xml:space="preserve"> Original text: </w:t>
      </w:r>
      <w:r w:rsidR="00664030">
        <w:t>‘</w:t>
      </w:r>
      <w:proofErr w:type="spellStart"/>
      <w:r w:rsidR="00664030">
        <w:t>l’irruption</w:t>
      </w:r>
      <w:proofErr w:type="spellEnd"/>
      <w:r w:rsidR="00664030">
        <w:t xml:space="preserve"> du sacré assure le passage</w:t>
      </w:r>
      <w:r w:rsidR="00664030">
        <w:t xml:space="preserve"> du chaos au cosmos, </w:t>
      </w:r>
      <w:proofErr w:type="spellStart"/>
      <w:r w:rsidR="00664030">
        <w:t>elle</w:t>
      </w:r>
      <w:proofErr w:type="spellEnd"/>
      <w:r w:rsidR="00664030">
        <w:t xml:space="preserve"> </w:t>
      </w:r>
      <w:proofErr w:type="spellStart"/>
      <w:r w:rsidR="00664030">
        <w:t>fonde</w:t>
      </w:r>
      <w:proofErr w:type="spellEnd"/>
      <w:r w:rsidR="00664030">
        <w:t xml:space="preserve"> </w:t>
      </w:r>
      <w:proofErr w:type="spellStart"/>
      <w:r w:rsidR="00664030">
        <w:t>également</w:t>
      </w:r>
      <w:proofErr w:type="spellEnd"/>
      <w:r w:rsidR="00664030">
        <w:t xml:space="preserve"> au </w:t>
      </w:r>
      <w:proofErr w:type="spellStart"/>
      <w:r w:rsidR="00664030">
        <w:t>niveau</w:t>
      </w:r>
      <w:proofErr w:type="spellEnd"/>
      <w:r w:rsidR="00664030">
        <w:t xml:space="preserve"> </w:t>
      </w:r>
      <w:proofErr w:type="spellStart"/>
      <w:r w:rsidR="00664030">
        <w:t>ontologique</w:t>
      </w:r>
      <w:proofErr w:type="spellEnd"/>
      <w:r w:rsidR="00664030">
        <w:t xml:space="preserve"> la transition </w:t>
      </w:r>
      <w:proofErr w:type="spellStart"/>
      <w:r w:rsidR="00664030">
        <w:t>temporelle</w:t>
      </w:r>
      <w:proofErr w:type="spellEnd"/>
      <w:r w:rsidR="00664030">
        <w:t xml:space="preserve"> du non-</w:t>
      </w:r>
      <w:proofErr w:type="spellStart"/>
      <w:r w:rsidR="00664030">
        <w:t>être</w:t>
      </w:r>
      <w:proofErr w:type="spellEnd"/>
      <w:r w:rsidR="00664030">
        <w:t xml:space="preserve"> </w:t>
      </w:r>
      <w:proofErr w:type="spellStart"/>
      <w:r w:rsidR="00664030">
        <w:t>vers</w:t>
      </w:r>
      <w:proofErr w:type="spellEnd"/>
      <w:r w:rsidR="00664030">
        <w:t xml:space="preserve"> </w:t>
      </w:r>
      <w:proofErr w:type="spellStart"/>
      <w:r w:rsidR="00664030">
        <w:t>l’être</w:t>
      </w:r>
      <w:proofErr w:type="spellEnd"/>
      <w:r w:rsidR="00664030">
        <w:t xml:space="preserve"> et </w:t>
      </w:r>
      <w:proofErr w:type="spellStart"/>
      <w:r w:rsidR="00664030">
        <w:t>maintient</w:t>
      </w:r>
      <w:proofErr w:type="spellEnd"/>
      <w:r w:rsidR="00664030">
        <w:t xml:space="preserve"> entre </w:t>
      </w:r>
      <w:proofErr w:type="spellStart"/>
      <w:r w:rsidR="00664030">
        <w:t>eux</w:t>
      </w:r>
      <w:proofErr w:type="spellEnd"/>
      <w:r w:rsidR="00664030">
        <w:t xml:space="preserve"> </w:t>
      </w:r>
      <w:proofErr w:type="spellStart"/>
      <w:r w:rsidR="00664030">
        <w:t>une</w:t>
      </w:r>
      <w:proofErr w:type="spellEnd"/>
      <w:r w:rsidR="00664030">
        <w:t xml:space="preserve"> </w:t>
      </w:r>
      <w:proofErr w:type="spellStart"/>
      <w:r w:rsidR="00664030">
        <w:t>clôture</w:t>
      </w:r>
      <w:proofErr w:type="spellEnd"/>
      <w:r w:rsidR="00664030">
        <w:t xml:space="preserve"> </w:t>
      </w:r>
      <w:proofErr w:type="spellStart"/>
      <w:r w:rsidR="00664030">
        <w:t>spatiale</w:t>
      </w:r>
      <w:proofErr w:type="spellEnd"/>
      <w:r w:rsidR="00664030">
        <w:t>.</w:t>
      </w:r>
      <w:r w:rsidR="00664030">
        <w:t>’</w:t>
      </w:r>
    </w:p>
  </w:footnote>
  <w:footnote w:id="6">
    <w:p w14:paraId="0096C37B" w14:textId="0D5F15E8" w:rsidR="006079C7" w:rsidRPr="00056462" w:rsidRDefault="006079C7" w:rsidP="00705C4D">
      <w:pPr>
        <w:pStyle w:val="FootnoteText"/>
        <w:rPr>
          <w:lang w:val="fr-CH"/>
        </w:rPr>
      </w:pPr>
      <w:r>
        <w:rPr>
          <w:rStyle w:val="FootnoteReference"/>
        </w:rPr>
        <w:footnoteRef/>
      </w:r>
      <w:r>
        <w:t xml:space="preserve"> Sera, </w:t>
      </w:r>
      <w:proofErr w:type="spellStart"/>
      <w:r>
        <w:t>Nicolae</w:t>
      </w:r>
      <w:proofErr w:type="spellEnd"/>
      <w:r>
        <w:t xml:space="preserve">. </w:t>
      </w:r>
      <w:proofErr w:type="spellStart"/>
      <w:r w:rsidRPr="00056462">
        <w:rPr>
          <w:i/>
        </w:rPr>
        <w:t>Acceptions</w:t>
      </w:r>
      <w:proofErr w:type="spellEnd"/>
      <w:r w:rsidRPr="00056462">
        <w:rPr>
          <w:i/>
        </w:rPr>
        <w:t xml:space="preserve"> of the space in the diurnal/nocturnal discourse in </w:t>
      </w:r>
      <w:proofErr w:type="spellStart"/>
      <w:r w:rsidRPr="00056462">
        <w:rPr>
          <w:i/>
        </w:rPr>
        <w:t>Mircea</w:t>
      </w:r>
      <w:proofErr w:type="spellEnd"/>
      <w:r w:rsidRPr="00056462">
        <w:rPr>
          <w:i/>
        </w:rPr>
        <w:t xml:space="preserve"> </w:t>
      </w:r>
      <w:proofErr w:type="spellStart"/>
      <w:r w:rsidRPr="00056462">
        <w:rPr>
          <w:i/>
        </w:rPr>
        <w:t>Eliade's</w:t>
      </w:r>
      <w:proofErr w:type="spellEnd"/>
      <w:r w:rsidRPr="00056462">
        <w:rPr>
          <w:i/>
        </w:rPr>
        <w:t xml:space="preserve"> work</w:t>
      </w:r>
      <w:r w:rsidRPr="00056462">
        <w:t>. Journal o</w:t>
      </w:r>
      <w:r>
        <w:t>f Humanistic and Social Studies</w:t>
      </w:r>
      <w:r w:rsidRPr="00056462">
        <w:t xml:space="preserve">; Arad Vol. 11, </w:t>
      </w:r>
      <w:proofErr w:type="spellStart"/>
      <w:r w:rsidRPr="00056462">
        <w:t>Iss</w:t>
      </w:r>
      <w:proofErr w:type="spellEnd"/>
      <w:r w:rsidRPr="00056462">
        <w:t>. 2, (2020):</w:t>
      </w:r>
      <w:r>
        <w:t xml:space="preserve"> p</w:t>
      </w:r>
      <w:r w:rsidR="00664030">
        <w:t>p</w:t>
      </w:r>
      <w:r>
        <w:t xml:space="preserve">. </w:t>
      </w:r>
      <w:r w:rsidR="00664030">
        <w:t>83-</w:t>
      </w:r>
      <w:r>
        <w:t>84. Author’s translation</w:t>
      </w:r>
      <w:r w:rsidR="00862139">
        <w:t xml:space="preserve"> from French</w:t>
      </w:r>
      <w:r>
        <w:t xml:space="preserve">. </w:t>
      </w:r>
      <w:r w:rsidR="00E22806">
        <w:t>Original text:</w:t>
      </w:r>
      <w:r w:rsidR="00862139">
        <w:t xml:space="preserve"> ‘</w:t>
      </w:r>
      <w:r w:rsidR="00862139" w:rsidRPr="00862139">
        <w:t xml:space="preserve">le sacré </w:t>
      </w:r>
      <w:proofErr w:type="spellStart"/>
      <w:r w:rsidR="00862139" w:rsidRPr="00862139">
        <w:t>est</w:t>
      </w:r>
      <w:proofErr w:type="spellEnd"/>
      <w:r w:rsidR="00862139" w:rsidRPr="00862139">
        <w:t xml:space="preserve"> </w:t>
      </w:r>
      <w:proofErr w:type="spellStart"/>
      <w:r w:rsidR="00862139" w:rsidRPr="00862139">
        <w:t>en</w:t>
      </w:r>
      <w:proofErr w:type="spellEnd"/>
      <w:r w:rsidR="00862139" w:rsidRPr="00862139">
        <w:t xml:space="preserve"> </w:t>
      </w:r>
      <w:proofErr w:type="spellStart"/>
      <w:r w:rsidR="00862139" w:rsidRPr="00862139">
        <w:t>effet</w:t>
      </w:r>
      <w:proofErr w:type="spellEnd"/>
      <w:r w:rsidR="00862139" w:rsidRPr="00862139">
        <w:t xml:space="preserve"> </w:t>
      </w:r>
      <w:proofErr w:type="spellStart"/>
      <w:r w:rsidR="00862139" w:rsidRPr="00862139">
        <w:t>consubstantiel</w:t>
      </w:r>
      <w:proofErr w:type="spellEnd"/>
      <w:r w:rsidR="00862139" w:rsidRPr="00862139">
        <w:t xml:space="preserve"> au profane et </w:t>
      </w:r>
      <w:proofErr w:type="spellStart"/>
      <w:r w:rsidR="00862139" w:rsidRPr="00862139">
        <w:t>en</w:t>
      </w:r>
      <w:proofErr w:type="spellEnd"/>
      <w:r w:rsidR="00862139" w:rsidRPr="00862139">
        <w:t xml:space="preserve"> son commencement – </w:t>
      </w:r>
      <w:proofErr w:type="spellStart"/>
      <w:r w:rsidR="00862139" w:rsidRPr="00862139">
        <w:t>même</w:t>
      </w:r>
      <w:proofErr w:type="spellEnd"/>
      <w:r w:rsidR="00862139" w:rsidRPr="00862139">
        <w:t xml:space="preserve">, </w:t>
      </w:r>
      <w:proofErr w:type="spellStart"/>
      <w:r w:rsidR="00862139" w:rsidRPr="00862139">
        <w:t>il</w:t>
      </w:r>
      <w:proofErr w:type="spellEnd"/>
      <w:r w:rsidR="00862139" w:rsidRPr="00862139">
        <w:t xml:space="preserve"> </w:t>
      </w:r>
      <w:proofErr w:type="spellStart"/>
      <w:r w:rsidR="00862139" w:rsidRPr="00862139">
        <w:t>est</w:t>
      </w:r>
      <w:proofErr w:type="spellEnd"/>
      <w:r w:rsidR="00862139" w:rsidRPr="00862139">
        <w:t xml:space="preserve"> </w:t>
      </w:r>
      <w:proofErr w:type="spellStart"/>
      <w:r w:rsidR="00862139" w:rsidRPr="00862139">
        <w:t>marqué</w:t>
      </w:r>
      <w:proofErr w:type="spellEnd"/>
      <w:r w:rsidR="00862139" w:rsidRPr="00862139">
        <w:t xml:space="preserve"> par </w:t>
      </w:r>
      <w:proofErr w:type="spellStart"/>
      <w:r w:rsidR="00862139" w:rsidRPr="00862139">
        <w:t>celui</w:t>
      </w:r>
      <w:proofErr w:type="spellEnd"/>
      <w:r w:rsidR="00862139" w:rsidRPr="00862139">
        <w:t>-ci</w:t>
      </w:r>
      <w:r w:rsidR="00862139">
        <w:t>.’</w:t>
      </w:r>
    </w:p>
  </w:footnote>
  <w:footnote w:id="7">
    <w:p w14:paraId="6278E4A2" w14:textId="2A073678" w:rsidR="006079C7" w:rsidRPr="002A544F" w:rsidRDefault="006079C7">
      <w:pPr>
        <w:pStyle w:val="FootnoteText"/>
        <w:rPr>
          <w:lang w:val="fr-CH"/>
        </w:rPr>
      </w:pPr>
      <w:r>
        <w:rPr>
          <w:rStyle w:val="FootnoteReference"/>
        </w:rPr>
        <w:footnoteRef/>
      </w:r>
      <w:r>
        <w:t xml:space="preserve"> </w:t>
      </w:r>
      <w:r>
        <w:rPr>
          <w:lang w:val="fr-CH"/>
        </w:rPr>
        <w:t xml:space="preserve">Wyatt, Nicolas. </w:t>
      </w:r>
      <w:r>
        <w:rPr>
          <w:i/>
          <w:lang w:val="fr-CH"/>
        </w:rPr>
        <w:t xml:space="preserve">The Religion of Ugarit, </w:t>
      </w:r>
      <w:proofErr w:type="spellStart"/>
      <w:r>
        <w:rPr>
          <w:i/>
          <w:lang w:val="fr-CH"/>
        </w:rPr>
        <w:t>Handbook</w:t>
      </w:r>
      <w:proofErr w:type="spellEnd"/>
      <w:r>
        <w:rPr>
          <w:i/>
          <w:lang w:val="fr-CH"/>
        </w:rPr>
        <w:t xml:space="preserve"> of </w:t>
      </w:r>
      <w:proofErr w:type="spellStart"/>
      <w:r>
        <w:rPr>
          <w:i/>
          <w:lang w:val="fr-CH"/>
        </w:rPr>
        <w:t>Ugaritic</w:t>
      </w:r>
      <w:proofErr w:type="spellEnd"/>
      <w:r>
        <w:rPr>
          <w:i/>
          <w:lang w:val="fr-CH"/>
        </w:rPr>
        <w:t xml:space="preserve"> </w:t>
      </w:r>
      <w:proofErr w:type="spellStart"/>
      <w:r>
        <w:rPr>
          <w:i/>
          <w:lang w:val="fr-CH"/>
        </w:rPr>
        <w:t>Studies</w:t>
      </w:r>
      <w:proofErr w:type="spellEnd"/>
      <w:r w:rsidR="00654323">
        <w:rPr>
          <w:lang w:val="fr-CH"/>
        </w:rPr>
        <w:t xml:space="preserve">, </w:t>
      </w:r>
      <w:proofErr w:type="spellStart"/>
      <w:proofErr w:type="gramStart"/>
      <w:r w:rsidR="00654323">
        <w:rPr>
          <w:lang w:val="fr-CH"/>
        </w:rPr>
        <w:t>Leiden</w:t>
      </w:r>
      <w:proofErr w:type="spellEnd"/>
      <w:r>
        <w:rPr>
          <w:lang w:val="fr-CH"/>
        </w:rPr>
        <w:t>:</w:t>
      </w:r>
      <w:proofErr w:type="gramEnd"/>
      <w:r>
        <w:rPr>
          <w:lang w:val="fr-CH"/>
        </w:rPr>
        <w:t xml:space="preserve"> </w:t>
      </w:r>
      <w:proofErr w:type="spellStart"/>
      <w:r>
        <w:rPr>
          <w:lang w:val="fr-CH"/>
        </w:rPr>
        <w:t>Brill</w:t>
      </w:r>
      <w:proofErr w:type="spellEnd"/>
      <w:r>
        <w:rPr>
          <w:lang w:val="fr-CH"/>
        </w:rPr>
        <w:t>, (2015) pp. 534-535.</w:t>
      </w:r>
    </w:p>
  </w:footnote>
  <w:footnote w:id="8">
    <w:p w14:paraId="01740A65" w14:textId="77777777" w:rsidR="006079C7" w:rsidRPr="001E5BE3" w:rsidRDefault="006079C7" w:rsidP="00FA37F8">
      <w:pPr>
        <w:pStyle w:val="FootnoteText"/>
        <w:rPr>
          <w:lang w:val="fr-CH"/>
        </w:rPr>
      </w:pPr>
      <w:r>
        <w:rPr>
          <w:rStyle w:val="FootnoteReference"/>
        </w:rPr>
        <w:footnoteRef/>
      </w:r>
      <w:r>
        <w:t xml:space="preserve"> </w:t>
      </w:r>
      <w:r>
        <w:rPr>
          <w:lang w:val="fr-CH"/>
        </w:rPr>
        <w:t xml:space="preserve">Eliade, Mircea. </w:t>
      </w:r>
      <w:r>
        <w:rPr>
          <w:i/>
          <w:lang w:val="fr-CH"/>
        </w:rPr>
        <w:t xml:space="preserve">The </w:t>
      </w:r>
      <w:proofErr w:type="spellStart"/>
      <w:r>
        <w:rPr>
          <w:i/>
          <w:lang w:val="fr-CH"/>
        </w:rPr>
        <w:t>Sacred</w:t>
      </w:r>
      <w:proofErr w:type="spellEnd"/>
      <w:r>
        <w:rPr>
          <w:i/>
          <w:lang w:val="fr-CH"/>
        </w:rPr>
        <w:t xml:space="preserve"> and the Profane,</w:t>
      </w:r>
      <w:r>
        <w:rPr>
          <w:lang w:val="fr-CH"/>
        </w:rPr>
        <w:t xml:space="preserve"> </w:t>
      </w:r>
      <w:r>
        <w:rPr>
          <w:i/>
          <w:lang w:val="fr-CH"/>
        </w:rPr>
        <w:t xml:space="preserve">the Nature of Religion. </w:t>
      </w:r>
      <w:proofErr w:type="spellStart"/>
      <w:r>
        <w:rPr>
          <w:lang w:val="fr-CH"/>
        </w:rPr>
        <w:t>Translated</w:t>
      </w:r>
      <w:proofErr w:type="spellEnd"/>
      <w:r>
        <w:rPr>
          <w:lang w:val="fr-CH"/>
        </w:rPr>
        <w:t xml:space="preserve"> by Willard R. </w:t>
      </w:r>
      <w:proofErr w:type="spellStart"/>
      <w:r>
        <w:rPr>
          <w:lang w:val="fr-CH"/>
        </w:rPr>
        <w:t>Trask</w:t>
      </w:r>
      <w:proofErr w:type="spellEnd"/>
      <w:r>
        <w:rPr>
          <w:lang w:val="fr-CH"/>
        </w:rPr>
        <w:t xml:space="preserve">, London: Harcourt, Inc. </w:t>
      </w:r>
      <w:r>
        <w:rPr>
          <w:lang w:val="fr-CH"/>
        </w:rPr>
        <w:sym w:font="Symbol" w:char="F05B"/>
      </w:r>
      <w:r>
        <w:rPr>
          <w:lang w:val="fr-CH"/>
        </w:rPr>
        <w:t>1957</w:t>
      </w:r>
      <w:r>
        <w:rPr>
          <w:lang w:val="fr-CH"/>
        </w:rPr>
        <w:sym w:font="Symbol" w:char="F05D"/>
      </w:r>
      <w:r>
        <w:rPr>
          <w:lang w:val="fr-CH"/>
        </w:rPr>
        <w:t xml:space="preserve"> (1987), pp. 20, 22.</w:t>
      </w:r>
    </w:p>
  </w:footnote>
  <w:footnote w:id="9">
    <w:p w14:paraId="50FC6A80" w14:textId="1CE2F6A5" w:rsidR="006079C7" w:rsidRPr="005F5479" w:rsidRDefault="006079C7">
      <w:pPr>
        <w:pStyle w:val="FootnoteText"/>
        <w:rPr>
          <w:lang w:val="fr-CH"/>
        </w:rPr>
      </w:pPr>
      <w:r>
        <w:rPr>
          <w:rStyle w:val="FootnoteReference"/>
        </w:rPr>
        <w:footnoteRef/>
      </w:r>
      <w:r>
        <w:t xml:space="preserve"> </w:t>
      </w:r>
      <w:proofErr w:type="spellStart"/>
      <w:r>
        <w:rPr>
          <w:lang w:val="fr-CH"/>
        </w:rPr>
        <w:t>Ibid</w:t>
      </w:r>
      <w:proofErr w:type="spellEnd"/>
      <w:r>
        <w:rPr>
          <w:lang w:val="fr-CH"/>
        </w:rPr>
        <w:t xml:space="preserve">, p. 22. </w:t>
      </w:r>
    </w:p>
  </w:footnote>
  <w:footnote w:id="10">
    <w:p w14:paraId="413D662E" w14:textId="57DA2306" w:rsidR="006079C7" w:rsidRPr="00C653D1" w:rsidRDefault="006079C7" w:rsidP="009B7DF8">
      <w:pPr>
        <w:pStyle w:val="FootnoteText"/>
        <w:rPr>
          <w:lang w:val="fr-CH"/>
        </w:rPr>
      </w:pPr>
      <w:r>
        <w:rPr>
          <w:rStyle w:val="FootnoteReference"/>
        </w:rPr>
        <w:footnoteRef/>
      </w:r>
      <w:r>
        <w:t xml:space="preserve"> </w:t>
      </w:r>
      <w:proofErr w:type="spellStart"/>
      <w:r>
        <w:t>Sigurdson</w:t>
      </w:r>
      <w:proofErr w:type="spellEnd"/>
      <w:r>
        <w:t xml:space="preserve">, Ola. </w:t>
      </w:r>
      <w:r w:rsidRPr="00C653D1">
        <w:rPr>
          <w:i/>
        </w:rPr>
        <w:t>Numinous Edifices</w:t>
      </w:r>
      <w:r>
        <w:t xml:space="preserve">. </w:t>
      </w:r>
      <w:proofErr w:type="spellStart"/>
      <w:r>
        <w:t>Svensk</w:t>
      </w:r>
      <w:proofErr w:type="spellEnd"/>
      <w:r>
        <w:t xml:space="preserve"> </w:t>
      </w:r>
      <w:proofErr w:type="spellStart"/>
      <w:r>
        <w:t>Teologisk</w:t>
      </w:r>
      <w:proofErr w:type="spellEnd"/>
      <w:r>
        <w:t xml:space="preserve"> </w:t>
      </w:r>
      <w:proofErr w:type="spellStart"/>
      <w:r>
        <w:t>Kvartalskrift</w:t>
      </w:r>
      <w:proofErr w:type="spellEnd"/>
      <w:r>
        <w:t>,</w:t>
      </w:r>
      <w:r w:rsidRPr="00C653D1">
        <w:t xml:space="preserve"> Vol.99 (1)</w:t>
      </w:r>
      <w:r>
        <w:t>, (</w:t>
      </w:r>
      <w:r w:rsidRPr="00C653D1">
        <w:t>2023-04</w:t>
      </w:r>
      <w:r>
        <w:t>), p. 54.</w:t>
      </w:r>
    </w:p>
  </w:footnote>
  <w:footnote w:id="11">
    <w:p w14:paraId="1FAAE31F" w14:textId="33AD5577" w:rsidR="006079C7" w:rsidRPr="00C653D1" w:rsidRDefault="006079C7">
      <w:pPr>
        <w:pStyle w:val="FootnoteText"/>
        <w:rPr>
          <w:lang w:val="fr-CH"/>
        </w:rPr>
      </w:pPr>
      <w:r>
        <w:rPr>
          <w:rStyle w:val="FootnoteReference"/>
        </w:rPr>
        <w:footnoteRef/>
      </w:r>
      <w:r>
        <w:t xml:space="preserve"> Smith, Jonathan Z. </w:t>
      </w:r>
      <w:r w:rsidRPr="00705C4D">
        <w:rPr>
          <w:i/>
        </w:rPr>
        <w:t xml:space="preserve">Acknowledgments: Morphology and History in </w:t>
      </w:r>
      <w:proofErr w:type="spellStart"/>
      <w:r w:rsidRPr="00705C4D">
        <w:rPr>
          <w:i/>
        </w:rPr>
        <w:t>Mircea</w:t>
      </w:r>
      <w:proofErr w:type="spellEnd"/>
      <w:r w:rsidRPr="00705C4D">
        <w:rPr>
          <w:i/>
        </w:rPr>
        <w:t xml:space="preserve"> </w:t>
      </w:r>
      <w:proofErr w:type="spellStart"/>
      <w:r w:rsidRPr="00705C4D">
        <w:rPr>
          <w:i/>
        </w:rPr>
        <w:t>Eliade's</w:t>
      </w:r>
      <w:proofErr w:type="spellEnd"/>
      <w:r w:rsidRPr="00705C4D">
        <w:rPr>
          <w:i/>
        </w:rPr>
        <w:t xml:space="preserve"> "Patterns in Comparative Religion"</w:t>
      </w:r>
      <w:r>
        <w:t xml:space="preserve"> (1949-1999).</w:t>
      </w:r>
      <w:r w:rsidRPr="00705C4D">
        <w:t xml:space="preserve"> Part 2: The Texture of the Work', History of Religions, 39 (2000),</w:t>
      </w:r>
      <w:r>
        <w:t xml:space="preserve"> p. 334.</w:t>
      </w:r>
    </w:p>
  </w:footnote>
  <w:footnote w:id="12">
    <w:p w14:paraId="1C728FA2" w14:textId="4B3CC1E5" w:rsidR="006079C7" w:rsidRPr="00693B4D" w:rsidRDefault="006079C7">
      <w:pPr>
        <w:pStyle w:val="FootnoteText"/>
        <w:rPr>
          <w:lang w:val="fr-CH"/>
        </w:rPr>
      </w:pPr>
      <w:r>
        <w:rPr>
          <w:rStyle w:val="FootnoteReference"/>
        </w:rPr>
        <w:footnoteRef/>
      </w:r>
      <w:r>
        <w:t xml:space="preserve"> </w:t>
      </w:r>
      <w:r w:rsidRPr="00693B4D">
        <w:t>Knott,</w:t>
      </w:r>
      <w:r>
        <w:t xml:space="preserve"> Kim. </w:t>
      </w:r>
      <w:r w:rsidRPr="00693B4D">
        <w:rPr>
          <w:i/>
        </w:rPr>
        <w:t>The Location of Religion: A Spatial Analysis</w:t>
      </w:r>
      <w:r>
        <w:t xml:space="preserve">, </w:t>
      </w:r>
      <w:r w:rsidRPr="00693B4D">
        <w:t xml:space="preserve">London: Equinox Publishing, </w:t>
      </w:r>
      <w:r>
        <w:t xml:space="preserve">(2005), p. 169. </w:t>
      </w:r>
    </w:p>
  </w:footnote>
  <w:footnote w:id="13">
    <w:p w14:paraId="4898879C" w14:textId="3491B583" w:rsidR="006079C7" w:rsidRPr="00851752" w:rsidRDefault="006079C7">
      <w:pPr>
        <w:pStyle w:val="FootnoteText"/>
        <w:rPr>
          <w:u w:val="single"/>
          <w:lang w:val="fr-CH"/>
        </w:rPr>
      </w:pPr>
      <w:r>
        <w:rPr>
          <w:rStyle w:val="FootnoteReference"/>
        </w:rPr>
        <w:footnoteRef/>
      </w:r>
      <w:r>
        <w:t xml:space="preserve"> </w:t>
      </w:r>
      <w:r w:rsidR="00BD71F5">
        <w:rPr>
          <w:lang w:val="fr-CH"/>
        </w:rPr>
        <w:t xml:space="preserve">Eliade, Mircea. </w:t>
      </w:r>
      <w:r w:rsidR="00BD71F5">
        <w:rPr>
          <w:i/>
          <w:lang w:val="fr-CH"/>
        </w:rPr>
        <w:t xml:space="preserve">The </w:t>
      </w:r>
      <w:proofErr w:type="spellStart"/>
      <w:r w:rsidR="00BD71F5">
        <w:rPr>
          <w:i/>
          <w:lang w:val="fr-CH"/>
        </w:rPr>
        <w:t>Sacred</w:t>
      </w:r>
      <w:proofErr w:type="spellEnd"/>
      <w:r w:rsidR="00BD71F5">
        <w:rPr>
          <w:i/>
          <w:lang w:val="fr-CH"/>
        </w:rPr>
        <w:t xml:space="preserve"> and the Profane,</w:t>
      </w:r>
      <w:r w:rsidR="00BD71F5">
        <w:rPr>
          <w:lang w:val="fr-CH"/>
        </w:rPr>
        <w:t xml:space="preserve"> </w:t>
      </w:r>
      <w:r w:rsidR="00BD71F5">
        <w:rPr>
          <w:i/>
          <w:lang w:val="fr-CH"/>
        </w:rPr>
        <w:t xml:space="preserve">the Nature of Religion. </w:t>
      </w:r>
      <w:proofErr w:type="spellStart"/>
      <w:r w:rsidR="00BD71F5">
        <w:rPr>
          <w:lang w:val="fr-CH"/>
        </w:rPr>
        <w:t>Translated</w:t>
      </w:r>
      <w:proofErr w:type="spellEnd"/>
      <w:r w:rsidR="00BD71F5">
        <w:rPr>
          <w:lang w:val="fr-CH"/>
        </w:rPr>
        <w:t xml:space="preserve"> by Willard R. </w:t>
      </w:r>
      <w:proofErr w:type="spellStart"/>
      <w:r w:rsidR="00BD71F5">
        <w:rPr>
          <w:lang w:val="fr-CH"/>
        </w:rPr>
        <w:t>Trask</w:t>
      </w:r>
      <w:proofErr w:type="spellEnd"/>
      <w:r w:rsidR="00BD71F5">
        <w:rPr>
          <w:lang w:val="fr-CH"/>
        </w:rPr>
        <w:t xml:space="preserve">, London: Harcourt, Inc. </w:t>
      </w:r>
      <w:r w:rsidR="00BD71F5">
        <w:rPr>
          <w:lang w:val="fr-CH"/>
        </w:rPr>
        <w:sym w:font="Symbol" w:char="F05B"/>
      </w:r>
      <w:r w:rsidR="00BD71F5">
        <w:rPr>
          <w:lang w:val="fr-CH"/>
        </w:rPr>
        <w:t>1957</w:t>
      </w:r>
      <w:r w:rsidR="00BD71F5">
        <w:rPr>
          <w:lang w:val="fr-CH"/>
        </w:rPr>
        <w:sym w:font="Symbol" w:char="F05D"/>
      </w:r>
      <w:r w:rsidR="00BD71F5">
        <w:rPr>
          <w:lang w:val="fr-CH"/>
        </w:rPr>
        <w:t xml:space="preserve"> (1987), p. 29.</w:t>
      </w:r>
    </w:p>
  </w:footnote>
  <w:footnote w:id="14">
    <w:p w14:paraId="51152B2B" w14:textId="4E0AAE24" w:rsidR="006079C7" w:rsidRPr="00D953B0" w:rsidRDefault="006079C7">
      <w:pPr>
        <w:pStyle w:val="FootnoteText"/>
        <w:rPr>
          <w:lang w:val="fr-CH"/>
        </w:rPr>
      </w:pPr>
      <w:r>
        <w:rPr>
          <w:rStyle w:val="FootnoteReference"/>
        </w:rPr>
        <w:footnoteRef/>
      </w:r>
      <w:r>
        <w:t xml:space="preserve"> </w:t>
      </w:r>
      <w:proofErr w:type="spellStart"/>
      <w:r>
        <w:t>Sigurdson</w:t>
      </w:r>
      <w:proofErr w:type="spellEnd"/>
      <w:r>
        <w:t xml:space="preserve">, Ola. </w:t>
      </w:r>
      <w:r w:rsidRPr="00C653D1">
        <w:rPr>
          <w:i/>
        </w:rPr>
        <w:t>Numinous Edifices</w:t>
      </w:r>
      <w:r>
        <w:t xml:space="preserve">. </w:t>
      </w:r>
      <w:proofErr w:type="spellStart"/>
      <w:r>
        <w:t>Svensk</w:t>
      </w:r>
      <w:proofErr w:type="spellEnd"/>
      <w:r>
        <w:t xml:space="preserve"> </w:t>
      </w:r>
      <w:proofErr w:type="spellStart"/>
      <w:r>
        <w:t>Teologisk</w:t>
      </w:r>
      <w:proofErr w:type="spellEnd"/>
      <w:r>
        <w:t xml:space="preserve"> </w:t>
      </w:r>
      <w:proofErr w:type="spellStart"/>
      <w:r>
        <w:t>Kvartalskrift</w:t>
      </w:r>
      <w:proofErr w:type="spellEnd"/>
      <w:r>
        <w:t>,</w:t>
      </w:r>
      <w:r w:rsidRPr="00C653D1">
        <w:t xml:space="preserve"> Vol.99 (1)</w:t>
      </w:r>
      <w:r>
        <w:t>, (</w:t>
      </w:r>
      <w:r w:rsidRPr="00C653D1">
        <w:t>2023-04</w:t>
      </w:r>
      <w:r>
        <w:t>), p. 60.</w:t>
      </w:r>
    </w:p>
  </w:footnote>
  <w:footnote w:id="15">
    <w:p w14:paraId="1EFB01C8" w14:textId="20FB4E99" w:rsidR="006079C7" w:rsidRPr="00DC50E0" w:rsidRDefault="006079C7" w:rsidP="00DC50E0">
      <w:pPr>
        <w:pStyle w:val="FootnoteText"/>
        <w:rPr>
          <w:lang w:val="fr-CH"/>
        </w:rPr>
      </w:pPr>
      <w:r>
        <w:rPr>
          <w:rStyle w:val="FootnoteReference"/>
        </w:rPr>
        <w:footnoteRef/>
      </w:r>
      <w:r>
        <w:t xml:space="preserve"> Fields, E. Karen. </w:t>
      </w:r>
      <w:r>
        <w:rPr>
          <w:i/>
        </w:rPr>
        <w:t>Translator’s Introduction</w:t>
      </w:r>
      <w:r>
        <w:t xml:space="preserve"> to </w:t>
      </w:r>
      <w:r>
        <w:rPr>
          <w:i/>
          <w:lang w:val="fr-CH"/>
        </w:rPr>
        <w:t xml:space="preserve">The </w:t>
      </w:r>
      <w:proofErr w:type="spellStart"/>
      <w:r>
        <w:rPr>
          <w:i/>
          <w:lang w:val="fr-CH"/>
        </w:rPr>
        <w:t>Elementary</w:t>
      </w:r>
      <w:proofErr w:type="spellEnd"/>
      <w:r>
        <w:rPr>
          <w:i/>
          <w:lang w:val="fr-CH"/>
        </w:rPr>
        <w:t xml:space="preserve"> </w:t>
      </w:r>
      <w:proofErr w:type="spellStart"/>
      <w:r>
        <w:rPr>
          <w:i/>
          <w:lang w:val="fr-CH"/>
        </w:rPr>
        <w:t>Forms</w:t>
      </w:r>
      <w:proofErr w:type="spellEnd"/>
      <w:r>
        <w:rPr>
          <w:i/>
          <w:lang w:val="fr-CH"/>
        </w:rPr>
        <w:t xml:space="preserve"> of </w:t>
      </w:r>
      <w:proofErr w:type="spellStart"/>
      <w:r>
        <w:rPr>
          <w:i/>
          <w:lang w:val="fr-CH"/>
        </w:rPr>
        <w:t>Religious</w:t>
      </w:r>
      <w:proofErr w:type="spellEnd"/>
      <w:r>
        <w:rPr>
          <w:i/>
          <w:lang w:val="fr-CH"/>
        </w:rPr>
        <w:t xml:space="preserve"> Life</w:t>
      </w:r>
      <w:r w:rsidR="00654323">
        <w:rPr>
          <w:lang w:val="fr-CH"/>
        </w:rPr>
        <w:t xml:space="preserve">. New </w:t>
      </w:r>
      <w:proofErr w:type="gramStart"/>
      <w:r w:rsidR="00654323">
        <w:rPr>
          <w:lang w:val="fr-CH"/>
        </w:rPr>
        <w:t>York</w:t>
      </w:r>
      <w:r>
        <w:rPr>
          <w:lang w:val="fr-CH"/>
        </w:rPr>
        <w:t>:</w:t>
      </w:r>
      <w:proofErr w:type="gramEnd"/>
      <w:r>
        <w:rPr>
          <w:lang w:val="fr-CH"/>
        </w:rPr>
        <w:t xml:space="preserve"> The Free </w:t>
      </w:r>
      <w:proofErr w:type="spellStart"/>
      <w:r>
        <w:rPr>
          <w:lang w:val="fr-CH"/>
        </w:rPr>
        <w:t>Press</w:t>
      </w:r>
      <w:proofErr w:type="spellEnd"/>
      <w:r>
        <w:rPr>
          <w:lang w:val="fr-CH"/>
        </w:rPr>
        <w:t>, (1995), pp. xli-xlii.</w:t>
      </w:r>
    </w:p>
  </w:footnote>
  <w:footnote w:id="16">
    <w:p w14:paraId="20C2944B" w14:textId="73740E18" w:rsidR="006079C7" w:rsidRPr="0091397C" w:rsidRDefault="006079C7">
      <w:pPr>
        <w:pStyle w:val="FootnoteText"/>
        <w:rPr>
          <w:lang w:val="fr-CH"/>
        </w:rPr>
      </w:pPr>
      <w:r>
        <w:rPr>
          <w:rStyle w:val="FootnoteReference"/>
        </w:rPr>
        <w:footnoteRef/>
      </w:r>
      <w:r>
        <w:t xml:space="preserve"> </w:t>
      </w:r>
      <w:proofErr w:type="spellStart"/>
      <w:r>
        <w:rPr>
          <w:lang w:val="fr-CH"/>
        </w:rPr>
        <w:t>Ibid</w:t>
      </w:r>
      <w:proofErr w:type="spellEnd"/>
      <w:r>
        <w:rPr>
          <w:lang w:val="fr-CH"/>
        </w:rPr>
        <w:t>, xliii.</w:t>
      </w:r>
    </w:p>
  </w:footnote>
  <w:footnote w:id="17">
    <w:p w14:paraId="52F1DD17" w14:textId="65B213BC" w:rsidR="006079C7" w:rsidRPr="00E14F3F" w:rsidRDefault="006079C7">
      <w:pPr>
        <w:pStyle w:val="FootnoteText"/>
        <w:rPr>
          <w:lang w:val="fr-CH"/>
        </w:rPr>
      </w:pPr>
      <w:r>
        <w:rPr>
          <w:rStyle w:val="FootnoteReference"/>
        </w:rPr>
        <w:footnoteRef/>
      </w:r>
      <w:r>
        <w:t xml:space="preserve"> </w:t>
      </w:r>
      <w:r>
        <w:rPr>
          <w:lang w:val="fr-CH"/>
        </w:rPr>
        <w:t xml:space="preserve">Durkheim, Emile. </w:t>
      </w:r>
      <w:r>
        <w:rPr>
          <w:i/>
          <w:lang w:val="fr-CH"/>
        </w:rPr>
        <w:t xml:space="preserve">The </w:t>
      </w:r>
      <w:proofErr w:type="spellStart"/>
      <w:r>
        <w:rPr>
          <w:i/>
          <w:lang w:val="fr-CH"/>
        </w:rPr>
        <w:t>Elementary</w:t>
      </w:r>
      <w:proofErr w:type="spellEnd"/>
      <w:r>
        <w:rPr>
          <w:i/>
          <w:lang w:val="fr-CH"/>
        </w:rPr>
        <w:t xml:space="preserve"> </w:t>
      </w:r>
      <w:proofErr w:type="spellStart"/>
      <w:r>
        <w:rPr>
          <w:i/>
          <w:lang w:val="fr-CH"/>
        </w:rPr>
        <w:t>Forms</w:t>
      </w:r>
      <w:proofErr w:type="spellEnd"/>
      <w:r>
        <w:rPr>
          <w:i/>
          <w:lang w:val="fr-CH"/>
        </w:rPr>
        <w:t xml:space="preserve"> of </w:t>
      </w:r>
      <w:proofErr w:type="spellStart"/>
      <w:r>
        <w:rPr>
          <w:i/>
          <w:lang w:val="fr-CH"/>
        </w:rPr>
        <w:t>Religious</w:t>
      </w:r>
      <w:proofErr w:type="spellEnd"/>
      <w:r>
        <w:rPr>
          <w:i/>
          <w:lang w:val="fr-CH"/>
        </w:rPr>
        <w:t xml:space="preserve"> Life</w:t>
      </w:r>
      <w:r>
        <w:rPr>
          <w:lang w:val="fr-CH"/>
        </w:rPr>
        <w:t xml:space="preserve">. </w:t>
      </w:r>
      <w:proofErr w:type="spellStart"/>
      <w:r>
        <w:rPr>
          <w:lang w:val="fr-CH"/>
        </w:rPr>
        <w:t>Translated</w:t>
      </w:r>
      <w:proofErr w:type="spellEnd"/>
      <w:r>
        <w:rPr>
          <w:lang w:val="fr-CH"/>
        </w:rPr>
        <w:t xml:space="preserve"> by Karen E. F</w:t>
      </w:r>
      <w:r w:rsidR="00654323">
        <w:rPr>
          <w:lang w:val="fr-CH"/>
        </w:rPr>
        <w:t>ields, New York</w:t>
      </w:r>
      <w:r>
        <w:rPr>
          <w:lang w:val="fr-CH"/>
        </w:rPr>
        <w:t xml:space="preserve">: The Free </w:t>
      </w:r>
      <w:proofErr w:type="spellStart"/>
      <w:r>
        <w:rPr>
          <w:lang w:val="fr-CH"/>
        </w:rPr>
        <w:t>Press</w:t>
      </w:r>
      <w:proofErr w:type="spellEnd"/>
      <w:r>
        <w:rPr>
          <w:lang w:val="fr-CH"/>
        </w:rPr>
        <w:t xml:space="preserve">, </w:t>
      </w:r>
      <w:r>
        <w:rPr>
          <w:lang w:val="fr-CH"/>
        </w:rPr>
        <w:sym w:font="Symbol" w:char="F05B"/>
      </w:r>
      <w:r>
        <w:rPr>
          <w:lang w:val="fr-CH"/>
        </w:rPr>
        <w:t>1912</w:t>
      </w:r>
      <w:r>
        <w:rPr>
          <w:lang w:val="fr-CH"/>
        </w:rPr>
        <w:sym w:font="Symbol" w:char="F05D"/>
      </w:r>
      <w:r>
        <w:rPr>
          <w:lang w:val="fr-CH"/>
        </w:rPr>
        <w:t xml:space="preserve"> (1995), p. 44.</w:t>
      </w:r>
    </w:p>
  </w:footnote>
  <w:footnote w:id="18">
    <w:p w14:paraId="1BD7E9C7" w14:textId="0E955F4D" w:rsidR="006079C7" w:rsidRPr="00A02CF8" w:rsidRDefault="006079C7">
      <w:pPr>
        <w:pStyle w:val="FootnoteText"/>
        <w:rPr>
          <w:lang w:val="fr-CH"/>
        </w:rPr>
      </w:pPr>
      <w:r>
        <w:rPr>
          <w:rStyle w:val="FootnoteReference"/>
        </w:rPr>
        <w:footnoteRef/>
      </w:r>
      <w:r>
        <w:t xml:space="preserve"> Fields, E. Karen. </w:t>
      </w:r>
      <w:r>
        <w:rPr>
          <w:i/>
        </w:rPr>
        <w:t>Translator’s Introduction</w:t>
      </w:r>
      <w:r>
        <w:t xml:space="preserve"> to </w:t>
      </w:r>
      <w:r>
        <w:rPr>
          <w:i/>
          <w:lang w:val="fr-CH"/>
        </w:rPr>
        <w:t xml:space="preserve">The </w:t>
      </w:r>
      <w:proofErr w:type="spellStart"/>
      <w:r>
        <w:rPr>
          <w:i/>
          <w:lang w:val="fr-CH"/>
        </w:rPr>
        <w:t>Elementary</w:t>
      </w:r>
      <w:proofErr w:type="spellEnd"/>
      <w:r>
        <w:rPr>
          <w:i/>
          <w:lang w:val="fr-CH"/>
        </w:rPr>
        <w:t xml:space="preserve"> </w:t>
      </w:r>
      <w:proofErr w:type="spellStart"/>
      <w:r>
        <w:rPr>
          <w:i/>
          <w:lang w:val="fr-CH"/>
        </w:rPr>
        <w:t>Forms</w:t>
      </w:r>
      <w:proofErr w:type="spellEnd"/>
      <w:r>
        <w:rPr>
          <w:i/>
          <w:lang w:val="fr-CH"/>
        </w:rPr>
        <w:t xml:space="preserve"> of </w:t>
      </w:r>
      <w:proofErr w:type="spellStart"/>
      <w:r>
        <w:rPr>
          <w:i/>
          <w:lang w:val="fr-CH"/>
        </w:rPr>
        <w:t>Religious</w:t>
      </w:r>
      <w:proofErr w:type="spellEnd"/>
      <w:r>
        <w:rPr>
          <w:i/>
          <w:lang w:val="fr-CH"/>
        </w:rPr>
        <w:t xml:space="preserve"> Life</w:t>
      </w:r>
      <w:r w:rsidR="00654323">
        <w:rPr>
          <w:lang w:val="fr-CH"/>
        </w:rPr>
        <w:t xml:space="preserve">. New </w:t>
      </w:r>
      <w:proofErr w:type="gramStart"/>
      <w:r w:rsidR="00654323">
        <w:rPr>
          <w:lang w:val="fr-CH"/>
        </w:rPr>
        <w:t>York</w:t>
      </w:r>
      <w:r>
        <w:rPr>
          <w:lang w:val="fr-CH"/>
        </w:rPr>
        <w:t>:</w:t>
      </w:r>
      <w:proofErr w:type="gramEnd"/>
      <w:r>
        <w:rPr>
          <w:lang w:val="fr-CH"/>
        </w:rPr>
        <w:t xml:space="preserve"> The Free </w:t>
      </w:r>
      <w:proofErr w:type="spellStart"/>
      <w:r>
        <w:rPr>
          <w:lang w:val="fr-CH"/>
        </w:rPr>
        <w:t>Press</w:t>
      </w:r>
      <w:proofErr w:type="spellEnd"/>
      <w:r>
        <w:rPr>
          <w:lang w:val="fr-CH"/>
        </w:rPr>
        <w:t>, (1995), xlviii.</w:t>
      </w:r>
    </w:p>
  </w:footnote>
  <w:footnote w:id="19">
    <w:p w14:paraId="06CA567B" w14:textId="03BED41A" w:rsidR="006079C7" w:rsidRPr="00E32349" w:rsidRDefault="006079C7">
      <w:pPr>
        <w:pStyle w:val="FootnoteText"/>
        <w:rPr>
          <w:lang w:val="fr-CH"/>
        </w:rPr>
      </w:pPr>
      <w:r>
        <w:rPr>
          <w:rStyle w:val="FootnoteReference"/>
        </w:rPr>
        <w:footnoteRef/>
      </w:r>
      <w:r>
        <w:t xml:space="preserve"> Ibid</w:t>
      </w:r>
      <w:r>
        <w:rPr>
          <w:lang w:val="fr-CH"/>
        </w:rPr>
        <w:t xml:space="preserve"> xlv. </w:t>
      </w:r>
    </w:p>
  </w:footnote>
  <w:footnote w:id="20">
    <w:p w14:paraId="75210584" w14:textId="4271B2D6" w:rsidR="006079C7" w:rsidRPr="00E32349" w:rsidRDefault="006079C7">
      <w:pPr>
        <w:pStyle w:val="FootnoteText"/>
        <w:rPr>
          <w:lang w:val="fr-CH"/>
        </w:rPr>
      </w:pPr>
      <w:r>
        <w:rPr>
          <w:rStyle w:val="FootnoteReference"/>
        </w:rPr>
        <w:footnoteRef/>
      </w:r>
      <w:r>
        <w:t xml:space="preserve"> </w:t>
      </w:r>
      <w:proofErr w:type="spellStart"/>
      <w:r>
        <w:rPr>
          <w:lang w:val="fr-CH"/>
        </w:rPr>
        <w:t>Ibid</w:t>
      </w:r>
      <w:proofErr w:type="spellEnd"/>
      <w:r>
        <w:rPr>
          <w:lang w:val="fr-CH"/>
        </w:rPr>
        <w:t xml:space="preserve">, xliv. </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6F90DB8"/>
    <w:multiLevelType w:val="hybridMultilevel"/>
    <w:tmpl w:val="FFEA3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9"/>
  <w:activeWritingStyle w:appName="MSWord" w:lang="fr-CH" w:vendorID="64" w:dllVersion="131078" w:nlCheck="1" w:checkStyle="0"/>
  <w:activeWritingStyle w:appName="MSWord" w:lang="en-GB" w:vendorID="64" w:dllVersion="131078" w:nlCheck="1" w:checkStyle="0"/>
  <w:proofState w:spelling="clean" w:grammar="clean"/>
  <w:defaultTabStop w:val="720"/>
  <w:characterSpacingControl w:val="doNotCompress"/>
  <w:footnotePr>
    <w:pos w:val="beneathText"/>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3773"/>
    <w:rsid w:val="000414F8"/>
    <w:rsid w:val="000529A9"/>
    <w:rsid w:val="00056462"/>
    <w:rsid w:val="000609F3"/>
    <w:rsid w:val="00074A40"/>
    <w:rsid w:val="00094035"/>
    <w:rsid w:val="000A1A55"/>
    <w:rsid w:val="000C459F"/>
    <w:rsid w:val="00113D5E"/>
    <w:rsid w:val="0016531A"/>
    <w:rsid w:val="001E5BE3"/>
    <w:rsid w:val="001F0157"/>
    <w:rsid w:val="001F2A2F"/>
    <w:rsid w:val="00207852"/>
    <w:rsid w:val="002105D2"/>
    <w:rsid w:val="00222E27"/>
    <w:rsid w:val="00234A2C"/>
    <w:rsid w:val="00234FDA"/>
    <w:rsid w:val="0023719B"/>
    <w:rsid w:val="00251215"/>
    <w:rsid w:val="00252FC5"/>
    <w:rsid w:val="00253BD5"/>
    <w:rsid w:val="00272901"/>
    <w:rsid w:val="00281E3A"/>
    <w:rsid w:val="0028398E"/>
    <w:rsid w:val="002A1E79"/>
    <w:rsid w:val="002A544F"/>
    <w:rsid w:val="002D0FBB"/>
    <w:rsid w:val="002F17C7"/>
    <w:rsid w:val="003063A1"/>
    <w:rsid w:val="00316C56"/>
    <w:rsid w:val="00325575"/>
    <w:rsid w:val="00326964"/>
    <w:rsid w:val="003361FB"/>
    <w:rsid w:val="003933F1"/>
    <w:rsid w:val="003C4AE3"/>
    <w:rsid w:val="003F62C5"/>
    <w:rsid w:val="003F7F1F"/>
    <w:rsid w:val="004159F4"/>
    <w:rsid w:val="00427B75"/>
    <w:rsid w:val="0044376E"/>
    <w:rsid w:val="00462772"/>
    <w:rsid w:val="0046773A"/>
    <w:rsid w:val="00477FE5"/>
    <w:rsid w:val="00485077"/>
    <w:rsid w:val="00495AA4"/>
    <w:rsid w:val="004B08B8"/>
    <w:rsid w:val="004D6FF3"/>
    <w:rsid w:val="004D7117"/>
    <w:rsid w:val="004D7A74"/>
    <w:rsid w:val="004F59D4"/>
    <w:rsid w:val="004F7875"/>
    <w:rsid w:val="00514840"/>
    <w:rsid w:val="00531A1F"/>
    <w:rsid w:val="005544FC"/>
    <w:rsid w:val="0055671F"/>
    <w:rsid w:val="00562ED3"/>
    <w:rsid w:val="00571FF6"/>
    <w:rsid w:val="00592D78"/>
    <w:rsid w:val="005D5D58"/>
    <w:rsid w:val="005E33E3"/>
    <w:rsid w:val="005F5479"/>
    <w:rsid w:val="005F7399"/>
    <w:rsid w:val="0060360A"/>
    <w:rsid w:val="006065FD"/>
    <w:rsid w:val="006079C7"/>
    <w:rsid w:val="00643CAE"/>
    <w:rsid w:val="00654323"/>
    <w:rsid w:val="00663D06"/>
    <w:rsid w:val="00664030"/>
    <w:rsid w:val="00693B4D"/>
    <w:rsid w:val="006958E6"/>
    <w:rsid w:val="00696B26"/>
    <w:rsid w:val="006B4FCD"/>
    <w:rsid w:val="006D245F"/>
    <w:rsid w:val="007012E2"/>
    <w:rsid w:val="00705C4D"/>
    <w:rsid w:val="00706D4E"/>
    <w:rsid w:val="0072604E"/>
    <w:rsid w:val="007821EA"/>
    <w:rsid w:val="00784FD2"/>
    <w:rsid w:val="00795B84"/>
    <w:rsid w:val="007A770C"/>
    <w:rsid w:val="007B1783"/>
    <w:rsid w:val="007B3C84"/>
    <w:rsid w:val="007C1FF4"/>
    <w:rsid w:val="007D2BD5"/>
    <w:rsid w:val="007D335B"/>
    <w:rsid w:val="007E31CC"/>
    <w:rsid w:val="007E59DF"/>
    <w:rsid w:val="00815387"/>
    <w:rsid w:val="00815E6E"/>
    <w:rsid w:val="0081641D"/>
    <w:rsid w:val="00816C60"/>
    <w:rsid w:val="00836922"/>
    <w:rsid w:val="00851752"/>
    <w:rsid w:val="00861377"/>
    <w:rsid w:val="00862139"/>
    <w:rsid w:val="00890C5C"/>
    <w:rsid w:val="008A27C0"/>
    <w:rsid w:val="008B4519"/>
    <w:rsid w:val="008C2AC0"/>
    <w:rsid w:val="008E5881"/>
    <w:rsid w:val="008F7A79"/>
    <w:rsid w:val="009020AD"/>
    <w:rsid w:val="00902615"/>
    <w:rsid w:val="00906C45"/>
    <w:rsid w:val="0091397C"/>
    <w:rsid w:val="00920891"/>
    <w:rsid w:val="00923773"/>
    <w:rsid w:val="00923785"/>
    <w:rsid w:val="0095343B"/>
    <w:rsid w:val="009555F5"/>
    <w:rsid w:val="0099160F"/>
    <w:rsid w:val="009A7C18"/>
    <w:rsid w:val="009B7DF8"/>
    <w:rsid w:val="009C214A"/>
    <w:rsid w:val="00A02241"/>
    <w:rsid w:val="00A02AE3"/>
    <w:rsid w:val="00A02CF8"/>
    <w:rsid w:val="00A0404E"/>
    <w:rsid w:val="00A11199"/>
    <w:rsid w:val="00A30282"/>
    <w:rsid w:val="00A41A26"/>
    <w:rsid w:val="00A51A97"/>
    <w:rsid w:val="00A71BBC"/>
    <w:rsid w:val="00A74A1A"/>
    <w:rsid w:val="00A900D5"/>
    <w:rsid w:val="00AA38F0"/>
    <w:rsid w:val="00AA793C"/>
    <w:rsid w:val="00AC2E95"/>
    <w:rsid w:val="00AC673C"/>
    <w:rsid w:val="00AD00AD"/>
    <w:rsid w:val="00AF3C18"/>
    <w:rsid w:val="00B54AA8"/>
    <w:rsid w:val="00B91774"/>
    <w:rsid w:val="00BC2949"/>
    <w:rsid w:val="00BC31B0"/>
    <w:rsid w:val="00BC5A8B"/>
    <w:rsid w:val="00BD71F5"/>
    <w:rsid w:val="00C0064F"/>
    <w:rsid w:val="00C00F25"/>
    <w:rsid w:val="00C1237A"/>
    <w:rsid w:val="00C26F81"/>
    <w:rsid w:val="00C33E0A"/>
    <w:rsid w:val="00C44BAB"/>
    <w:rsid w:val="00C653D1"/>
    <w:rsid w:val="00C67113"/>
    <w:rsid w:val="00C67CB7"/>
    <w:rsid w:val="00C77FF5"/>
    <w:rsid w:val="00CC3304"/>
    <w:rsid w:val="00CE5A3E"/>
    <w:rsid w:val="00CF62BE"/>
    <w:rsid w:val="00D11390"/>
    <w:rsid w:val="00D42921"/>
    <w:rsid w:val="00D51F5E"/>
    <w:rsid w:val="00D66B2C"/>
    <w:rsid w:val="00D82B3F"/>
    <w:rsid w:val="00D953B0"/>
    <w:rsid w:val="00DA1DDB"/>
    <w:rsid w:val="00DB122B"/>
    <w:rsid w:val="00DC50E0"/>
    <w:rsid w:val="00DD233A"/>
    <w:rsid w:val="00DE1381"/>
    <w:rsid w:val="00DF6547"/>
    <w:rsid w:val="00E14F3F"/>
    <w:rsid w:val="00E20EDE"/>
    <w:rsid w:val="00E22806"/>
    <w:rsid w:val="00E23FBA"/>
    <w:rsid w:val="00E32349"/>
    <w:rsid w:val="00E537B1"/>
    <w:rsid w:val="00E5520F"/>
    <w:rsid w:val="00E61462"/>
    <w:rsid w:val="00E64668"/>
    <w:rsid w:val="00E84BD1"/>
    <w:rsid w:val="00ED2109"/>
    <w:rsid w:val="00EF0644"/>
    <w:rsid w:val="00F53030"/>
    <w:rsid w:val="00F5762B"/>
    <w:rsid w:val="00F70C1A"/>
    <w:rsid w:val="00F80AAA"/>
    <w:rsid w:val="00F80FF3"/>
    <w:rsid w:val="00FA37F8"/>
    <w:rsid w:val="00FF7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B3B15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qFormat/>
    <w:rsid w:val="00316C56"/>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unhideWhenUsed/>
    <w:rsid w:val="00B91774"/>
  </w:style>
  <w:style w:type="character" w:customStyle="1" w:styleId="EndnoteTextChar">
    <w:name w:val="Endnote Text Char"/>
    <w:basedOn w:val="DefaultParagraphFont"/>
    <w:link w:val="EndnoteText"/>
    <w:uiPriority w:val="99"/>
    <w:rsid w:val="00B91774"/>
  </w:style>
  <w:style w:type="character" w:styleId="EndnoteReference">
    <w:name w:val="endnote reference"/>
    <w:basedOn w:val="DefaultParagraphFont"/>
    <w:uiPriority w:val="99"/>
    <w:unhideWhenUsed/>
    <w:rsid w:val="00B91774"/>
    <w:rPr>
      <w:vertAlign w:val="superscript"/>
    </w:rPr>
  </w:style>
  <w:style w:type="character" w:styleId="Hyperlink">
    <w:name w:val="Hyperlink"/>
    <w:basedOn w:val="DefaultParagraphFont"/>
    <w:uiPriority w:val="99"/>
    <w:unhideWhenUsed/>
    <w:rsid w:val="003361FB"/>
    <w:rPr>
      <w:color w:val="0563C1" w:themeColor="hyperlink"/>
      <w:u w:val="single"/>
    </w:rPr>
  </w:style>
  <w:style w:type="paragraph" w:styleId="Header">
    <w:name w:val="header"/>
    <w:basedOn w:val="Normal"/>
    <w:link w:val="HeaderChar"/>
    <w:uiPriority w:val="99"/>
    <w:unhideWhenUsed/>
    <w:rsid w:val="00AC2E95"/>
    <w:pPr>
      <w:tabs>
        <w:tab w:val="center" w:pos="4680"/>
        <w:tab w:val="right" w:pos="9360"/>
      </w:tabs>
    </w:pPr>
  </w:style>
  <w:style w:type="character" w:customStyle="1" w:styleId="HeaderChar">
    <w:name w:val="Header Char"/>
    <w:basedOn w:val="DefaultParagraphFont"/>
    <w:link w:val="Header"/>
    <w:uiPriority w:val="99"/>
    <w:rsid w:val="00AC2E95"/>
  </w:style>
  <w:style w:type="paragraph" w:styleId="Footer">
    <w:name w:val="footer"/>
    <w:basedOn w:val="Normal"/>
    <w:link w:val="FooterChar"/>
    <w:uiPriority w:val="99"/>
    <w:unhideWhenUsed/>
    <w:rsid w:val="00AC2E95"/>
    <w:pPr>
      <w:tabs>
        <w:tab w:val="center" w:pos="4680"/>
        <w:tab w:val="right" w:pos="9360"/>
      </w:tabs>
    </w:pPr>
  </w:style>
  <w:style w:type="character" w:customStyle="1" w:styleId="FooterChar">
    <w:name w:val="Footer Char"/>
    <w:basedOn w:val="DefaultParagraphFont"/>
    <w:link w:val="Footer"/>
    <w:uiPriority w:val="99"/>
    <w:rsid w:val="00AC2E95"/>
  </w:style>
  <w:style w:type="character" w:customStyle="1" w:styleId="Heading3Char">
    <w:name w:val="Heading 3 Char"/>
    <w:basedOn w:val="DefaultParagraphFont"/>
    <w:link w:val="Heading3"/>
    <w:rsid w:val="00316C56"/>
    <w:rPr>
      <w:rFonts w:ascii="Tahoma" w:eastAsia="SimSun" w:hAnsi="Tahoma" w:cs="Tahoma"/>
      <w:b/>
      <w:bCs/>
      <w:sz w:val="20"/>
      <w:szCs w:val="20"/>
      <w:lang w:eastAsia="zh-CN"/>
    </w:rPr>
  </w:style>
  <w:style w:type="paragraph" w:styleId="NormalWeb">
    <w:name w:val="Normal (Web)"/>
    <w:basedOn w:val="Normal"/>
    <w:rsid w:val="00316C56"/>
    <w:pPr>
      <w:spacing w:before="100" w:beforeAutospacing="1" w:after="100" w:afterAutospacing="1"/>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unhideWhenUsed/>
    <w:rsid w:val="006079C7"/>
  </w:style>
  <w:style w:type="character" w:customStyle="1" w:styleId="FootnoteTextChar">
    <w:name w:val="Footnote Text Char"/>
    <w:basedOn w:val="DefaultParagraphFont"/>
    <w:link w:val="FootnoteText"/>
    <w:uiPriority w:val="99"/>
    <w:rsid w:val="006079C7"/>
  </w:style>
  <w:style w:type="character" w:styleId="FootnoteReference">
    <w:name w:val="footnote reference"/>
    <w:basedOn w:val="DefaultParagraphFont"/>
    <w:uiPriority w:val="99"/>
    <w:unhideWhenUsed/>
    <w:rsid w:val="006079C7"/>
    <w:rPr>
      <w:vertAlign w:val="superscript"/>
    </w:rPr>
  </w:style>
  <w:style w:type="paragraph" w:styleId="ListParagraph">
    <w:name w:val="List Paragraph"/>
    <w:basedOn w:val="Normal"/>
    <w:uiPriority w:val="34"/>
    <w:qFormat/>
    <w:rsid w:val="00E228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02942">
      <w:bodyDiv w:val="1"/>
      <w:marLeft w:val="0"/>
      <w:marRight w:val="0"/>
      <w:marTop w:val="0"/>
      <w:marBottom w:val="0"/>
      <w:divBdr>
        <w:top w:val="none" w:sz="0" w:space="0" w:color="auto"/>
        <w:left w:val="none" w:sz="0" w:space="0" w:color="auto"/>
        <w:bottom w:val="none" w:sz="0" w:space="0" w:color="auto"/>
        <w:right w:val="none" w:sz="0" w:space="0" w:color="auto"/>
      </w:divBdr>
    </w:div>
    <w:div w:id="85537730">
      <w:bodyDiv w:val="1"/>
      <w:marLeft w:val="0"/>
      <w:marRight w:val="0"/>
      <w:marTop w:val="0"/>
      <w:marBottom w:val="0"/>
      <w:divBdr>
        <w:top w:val="none" w:sz="0" w:space="0" w:color="auto"/>
        <w:left w:val="none" w:sz="0" w:space="0" w:color="auto"/>
        <w:bottom w:val="none" w:sz="0" w:space="0" w:color="auto"/>
        <w:right w:val="none" w:sz="0" w:space="0" w:color="auto"/>
      </w:divBdr>
    </w:div>
    <w:div w:id="144904865">
      <w:bodyDiv w:val="1"/>
      <w:marLeft w:val="0"/>
      <w:marRight w:val="0"/>
      <w:marTop w:val="0"/>
      <w:marBottom w:val="0"/>
      <w:divBdr>
        <w:top w:val="none" w:sz="0" w:space="0" w:color="auto"/>
        <w:left w:val="none" w:sz="0" w:space="0" w:color="auto"/>
        <w:bottom w:val="none" w:sz="0" w:space="0" w:color="auto"/>
        <w:right w:val="none" w:sz="0" w:space="0" w:color="auto"/>
      </w:divBdr>
    </w:div>
    <w:div w:id="267661547">
      <w:bodyDiv w:val="1"/>
      <w:marLeft w:val="0"/>
      <w:marRight w:val="0"/>
      <w:marTop w:val="0"/>
      <w:marBottom w:val="0"/>
      <w:divBdr>
        <w:top w:val="none" w:sz="0" w:space="0" w:color="auto"/>
        <w:left w:val="none" w:sz="0" w:space="0" w:color="auto"/>
        <w:bottom w:val="none" w:sz="0" w:space="0" w:color="auto"/>
        <w:right w:val="none" w:sz="0" w:space="0" w:color="auto"/>
      </w:divBdr>
      <w:divsChild>
        <w:div w:id="1309554358">
          <w:marLeft w:val="0"/>
          <w:marRight w:val="0"/>
          <w:marTop w:val="0"/>
          <w:marBottom w:val="0"/>
          <w:divBdr>
            <w:top w:val="none" w:sz="0" w:space="0" w:color="auto"/>
            <w:left w:val="none" w:sz="0" w:space="0" w:color="auto"/>
            <w:bottom w:val="none" w:sz="0" w:space="0" w:color="auto"/>
            <w:right w:val="none" w:sz="0" w:space="0" w:color="auto"/>
          </w:divBdr>
        </w:div>
        <w:div w:id="1273904756">
          <w:marLeft w:val="0"/>
          <w:marRight w:val="0"/>
          <w:marTop w:val="0"/>
          <w:marBottom w:val="0"/>
          <w:divBdr>
            <w:top w:val="none" w:sz="0" w:space="0" w:color="auto"/>
            <w:left w:val="none" w:sz="0" w:space="0" w:color="auto"/>
            <w:bottom w:val="none" w:sz="0" w:space="0" w:color="auto"/>
            <w:right w:val="none" w:sz="0" w:space="0" w:color="auto"/>
          </w:divBdr>
        </w:div>
      </w:divsChild>
    </w:div>
    <w:div w:id="431709666">
      <w:bodyDiv w:val="1"/>
      <w:marLeft w:val="0"/>
      <w:marRight w:val="0"/>
      <w:marTop w:val="0"/>
      <w:marBottom w:val="0"/>
      <w:divBdr>
        <w:top w:val="none" w:sz="0" w:space="0" w:color="auto"/>
        <w:left w:val="none" w:sz="0" w:space="0" w:color="auto"/>
        <w:bottom w:val="none" w:sz="0" w:space="0" w:color="auto"/>
        <w:right w:val="none" w:sz="0" w:space="0" w:color="auto"/>
      </w:divBdr>
      <w:divsChild>
        <w:div w:id="422264834">
          <w:marLeft w:val="0"/>
          <w:marRight w:val="0"/>
          <w:marTop w:val="0"/>
          <w:marBottom w:val="0"/>
          <w:divBdr>
            <w:top w:val="none" w:sz="0" w:space="0" w:color="auto"/>
            <w:left w:val="none" w:sz="0" w:space="0" w:color="auto"/>
            <w:bottom w:val="none" w:sz="0" w:space="0" w:color="auto"/>
            <w:right w:val="none" w:sz="0" w:space="0" w:color="auto"/>
          </w:divBdr>
        </w:div>
        <w:div w:id="875847418">
          <w:marLeft w:val="0"/>
          <w:marRight w:val="0"/>
          <w:marTop w:val="0"/>
          <w:marBottom w:val="0"/>
          <w:divBdr>
            <w:top w:val="none" w:sz="0" w:space="0" w:color="auto"/>
            <w:left w:val="none" w:sz="0" w:space="0" w:color="auto"/>
            <w:bottom w:val="none" w:sz="0" w:space="0" w:color="auto"/>
            <w:right w:val="none" w:sz="0" w:space="0" w:color="auto"/>
          </w:divBdr>
        </w:div>
        <w:div w:id="1001009793">
          <w:marLeft w:val="0"/>
          <w:marRight w:val="0"/>
          <w:marTop w:val="0"/>
          <w:marBottom w:val="0"/>
          <w:divBdr>
            <w:top w:val="none" w:sz="0" w:space="0" w:color="auto"/>
            <w:left w:val="none" w:sz="0" w:space="0" w:color="auto"/>
            <w:bottom w:val="none" w:sz="0" w:space="0" w:color="auto"/>
            <w:right w:val="none" w:sz="0" w:space="0" w:color="auto"/>
          </w:divBdr>
        </w:div>
        <w:div w:id="2081246192">
          <w:marLeft w:val="0"/>
          <w:marRight w:val="0"/>
          <w:marTop w:val="0"/>
          <w:marBottom w:val="0"/>
          <w:divBdr>
            <w:top w:val="none" w:sz="0" w:space="0" w:color="auto"/>
            <w:left w:val="none" w:sz="0" w:space="0" w:color="auto"/>
            <w:bottom w:val="none" w:sz="0" w:space="0" w:color="auto"/>
            <w:right w:val="none" w:sz="0" w:space="0" w:color="auto"/>
          </w:divBdr>
        </w:div>
      </w:divsChild>
    </w:div>
    <w:div w:id="468548326">
      <w:bodyDiv w:val="1"/>
      <w:marLeft w:val="0"/>
      <w:marRight w:val="0"/>
      <w:marTop w:val="0"/>
      <w:marBottom w:val="0"/>
      <w:divBdr>
        <w:top w:val="none" w:sz="0" w:space="0" w:color="auto"/>
        <w:left w:val="none" w:sz="0" w:space="0" w:color="auto"/>
        <w:bottom w:val="none" w:sz="0" w:space="0" w:color="auto"/>
        <w:right w:val="none" w:sz="0" w:space="0" w:color="auto"/>
      </w:divBdr>
    </w:div>
    <w:div w:id="572199070">
      <w:bodyDiv w:val="1"/>
      <w:marLeft w:val="0"/>
      <w:marRight w:val="0"/>
      <w:marTop w:val="0"/>
      <w:marBottom w:val="0"/>
      <w:divBdr>
        <w:top w:val="none" w:sz="0" w:space="0" w:color="auto"/>
        <w:left w:val="none" w:sz="0" w:space="0" w:color="auto"/>
        <w:bottom w:val="none" w:sz="0" w:space="0" w:color="auto"/>
        <w:right w:val="none" w:sz="0" w:space="0" w:color="auto"/>
      </w:divBdr>
    </w:div>
    <w:div w:id="867913799">
      <w:bodyDiv w:val="1"/>
      <w:marLeft w:val="0"/>
      <w:marRight w:val="0"/>
      <w:marTop w:val="0"/>
      <w:marBottom w:val="0"/>
      <w:divBdr>
        <w:top w:val="none" w:sz="0" w:space="0" w:color="auto"/>
        <w:left w:val="none" w:sz="0" w:space="0" w:color="auto"/>
        <w:bottom w:val="none" w:sz="0" w:space="0" w:color="auto"/>
        <w:right w:val="none" w:sz="0" w:space="0" w:color="auto"/>
      </w:divBdr>
    </w:div>
    <w:div w:id="975909692">
      <w:bodyDiv w:val="1"/>
      <w:marLeft w:val="0"/>
      <w:marRight w:val="0"/>
      <w:marTop w:val="0"/>
      <w:marBottom w:val="0"/>
      <w:divBdr>
        <w:top w:val="none" w:sz="0" w:space="0" w:color="auto"/>
        <w:left w:val="none" w:sz="0" w:space="0" w:color="auto"/>
        <w:bottom w:val="none" w:sz="0" w:space="0" w:color="auto"/>
        <w:right w:val="none" w:sz="0" w:space="0" w:color="auto"/>
      </w:divBdr>
    </w:div>
    <w:div w:id="1681394087">
      <w:bodyDiv w:val="1"/>
      <w:marLeft w:val="0"/>
      <w:marRight w:val="0"/>
      <w:marTop w:val="0"/>
      <w:marBottom w:val="0"/>
      <w:divBdr>
        <w:top w:val="none" w:sz="0" w:space="0" w:color="auto"/>
        <w:left w:val="none" w:sz="0" w:space="0" w:color="auto"/>
        <w:bottom w:val="none" w:sz="0" w:space="0" w:color="auto"/>
        <w:right w:val="none" w:sz="0" w:space="0" w:color="auto"/>
      </w:divBdr>
    </w:div>
    <w:div w:id="1934392046">
      <w:bodyDiv w:val="1"/>
      <w:marLeft w:val="0"/>
      <w:marRight w:val="0"/>
      <w:marTop w:val="0"/>
      <w:marBottom w:val="0"/>
      <w:divBdr>
        <w:top w:val="none" w:sz="0" w:space="0" w:color="auto"/>
        <w:left w:val="none" w:sz="0" w:space="0" w:color="auto"/>
        <w:bottom w:val="none" w:sz="0" w:space="0" w:color="auto"/>
        <w:right w:val="none" w:sz="0" w:space="0" w:color="auto"/>
      </w:divBdr>
      <w:divsChild>
        <w:div w:id="698160283">
          <w:marLeft w:val="0"/>
          <w:marRight w:val="0"/>
          <w:marTop w:val="0"/>
          <w:marBottom w:val="0"/>
          <w:divBdr>
            <w:top w:val="none" w:sz="0" w:space="0" w:color="auto"/>
            <w:left w:val="none" w:sz="0" w:space="0" w:color="auto"/>
            <w:bottom w:val="none" w:sz="0" w:space="0" w:color="auto"/>
            <w:right w:val="none" w:sz="0" w:space="0" w:color="auto"/>
          </w:divBdr>
        </w:div>
        <w:div w:id="1498421843">
          <w:marLeft w:val="0"/>
          <w:marRight w:val="0"/>
          <w:marTop w:val="0"/>
          <w:marBottom w:val="0"/>
          <w:divBdr>
            <w:top w:val="none" w:sz="0" w:space="0" w:color="auto"/>
            <w:left w:val="none" w:sz="0" w:space="0" w:color="auto"/>
            <w:bottom w:val="none" w:sz="0" w:space="0" w:color="auto"/>
            <w:right w:val="none" w:sz="0" w:space="0" w:color="auto"/>
          </w:divBdr>
          <w:divsChild>
            <w:div w:id="86482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2265</Words>
  <Characters>12916</Characters>
  <Application>Microsoft Macintosh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2024-11-14T19:31:00Z</cp:lastPrinted>
  <dcterms:created xsi:type="dcterms:W3CDTF">2024-11-14T19:53:00Z</dcterms:created>
  <dcterms:modified xsi:type="dcterms:W3CDTF">2024-11-14T19:53:00Z</dcterms:modified>
</cp:coreProperties>
</file>