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1220B2" w:rsidR="7908378C" w:rsidRDefault="7908378C" w:rsidP="33572C6E">
            <w:pPr>
              <w:ind w:right="237"/>
              <w:rPr>
                <w:b/>
                <w:bCs/>
                <w:color w:val="auto"/>
                <w:sz w:val="32"/>
                <w:szCs w:val="32"/>
              </w:rPr>
            </w:pPr>
            <w:r w:rsidRPr="33572C6E">
              <w:rPr>
                <w:b/>
                <w:bCs/>
                <w:color w:val="auto"/>
                <w:sz w:val="32"/>
                <w:szCs w:val="32"/>
              </w:rPr>
              <w:t>Learner name: _</w:t>
            </w:r>
            <w:r w:rsidR="007C35F1">
              <w:rPr>
                <w:b/>
                <w:bCs/>
                <w:color w:val="auto"/>
                <w:sz w:val="32"/>
                <w:szCs w:val="32"/>
              </w:rPr>
              <w:t>Daniel Ellis</w:t>
            </w:r>
            <w:r w:rsidRPr="33572C6E">
              <w:rPr>
                <w:b/>
                <w:bCs/>
                <w:color w:val="auto"/>
                <w:sz w:val="32"/>
                <w:szCs w:val="32"/>
              </w:rPr>
              <w:t>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E278770" w:rsidR="7908378C" w:rsidRDefault="007C35F1" w:rsidP="33572C6E">
            <w:pPr>
              <w:ind w:right="237"/>
              <w:rPr>
                <w:b/>
                <w:bCs/>
                <w:color w:val="auto"/>
                <w:sz w:val="32"/>
                <w:szCs w:val="32"/>
              </w:rPr>
            </w:pPr>
            <w:r>
              <w:rPr>
                <w:b/>
                <w:bCs/>
                <w:color w:val="auto"/>
                <w:sz w:val="32"/>
                <w:szCs w:val="32"/>
              </w:rPr>
              <w:t>2236187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71CF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33491ED3" w14:textId="77777777" w:rsidR="00432AE4" w:rsidRDefault="00432AE4" w:rsidP="00432AE4">
      <w:r>
        <w:t xml:space="preserve">The incident that this essay will explore refers to a domestic assault between two partners where there have been a number of incidents prior which has categorised them as a repeat victim and a repeat offender. A ‘repeat victim’ is a victim that has been subjected to the same if not a similar offence multiple times over a 12 month period, ‘Repeat Victim’ </w:t>
      </w:r>
      <w:r w:rsidRPr="008062E4">
        <w:t xml:space="preserve">(Surrey Police, 2022)(No ND). </w:t>
      </w:r>
      <w:r>
        <w:t>Within the incident, there was a clear escalation of behaviour by the perpetrator which brought heightened risk and concern from the repeat victim as it was evident that the safeguarding and conditions that were put in place from previous incidents were not effective. Therefore, a clearer understanding of a repeat offender was required in order to implement effective safeguarding to ensure the victim was protected.</w:t>
      </w:r>
    </w:p>
    <w:p w14:paraId="1730501C" w14:textId="77777777" w:rsidR="00432AE4" w:rsidRDefault="00432AE4" w:rsidP="00432AE4"/>
    <w:p w14:paraId="337DF247" w14:textId="77777777" w:rsidR="00432AE4" w:rsidRDefault="00432AE4" w:rsidP="00432AE4">
      <w:r>
        <w:t xml:space="preserve">The parties involved were from an economically deprived background who had distrust of authorities and the police, which in turn presented challenges which needed to be addressed in terms of capturing the victims trust and support, as well as managing the offender. </w:t>
      </w:r>
    </w:p>
    <w:p w14:paraId="01C458CD" w14:textId="77777777" w:rsidR="00432AE4" w:rsidRDefault="00432AE4" w:rsidP="00432AE4">
      <w:r>
        <w:t>Furthermore, due to the domestic nature of these incidents, there was a risk that was posed to the children of both the offender and the victim and so this needed to be addressed within the response to the incident as to not traumatise the children and to mitigate the adverse effects exposure to these incidents may pose.</w:t>
      </w:r>
    </w:p>
    <w:p w14:paraId="648F5D21" w14:textId="77777777" w:rsidR="00432AE4" w:rsidRDefault="00432AE4" w:rsidP="00432AE4"/>
    <w:p w14:paraId="6AF49EB8" w14:textId="77777777" w:rsidR="00432AE4" w:rsidRPr="008062E4" w:rsidRDefault="00432AE4" w:rsidP="00432AE4">
      <w:r>
        <w:t>This essay will evaluate the appropriateness of different approaches by police and their partner agencies in supporting vulnerable people at risk as well as exploring what methods work in relation to tackling repeat victimisation and repeat offending.</w:t>
      </w:r>
    </w:p>
    <w:p w14:paraId="4579E09F" w14:textId="77777777" w:rsidR="00432AE4" w:rsidRDefault="00432AE4" w:rsidP="00432AE4"/>
    <w:p w14:paraId="6FAAFD44" w14:textId="77777777" w:rsidR="00432AE4" w:rsidRDefault="00432AE4" w:rsidP="00432AE4"/>
    <w:p w14:paraId="0DC2FAD0" w14:textId="77777777" w:rsidR="00432AE4" w:rsidRDefault="00432AE4" w:rsidP="00432AE4"/>
    <w:p w14:paraId="0C1CC0A0" w14:textId="77777777" w:rsidR="00432AE4" w:rsidRDefault="00432AE4" w:rsidP="00432AE4">
      <w:r>
        <w:t>Firstly, in order to support and manage a vulnerable person or people at risk, police need to conduct a risk assessment to determine what level of vulnerability the victim poses in order to tailor an approach best suited to protect them. Police do this through a risk assessment tool known as THRIVE where police officers will analyse an incident and determine the vulnerability of a person through the following aspects: Threat, Harm, Risk, Injury, Vulnerability and Engagement, (DR WOOD, 2023)(pg281). This will form part of the National Decision-making Model (NDM) which will in turn present what powers are available to the police and how to proceed in dealing with an incident, (DR WOOD 2023)(</w:t>
      </w:r>
      <w:proofErr w:type="spellStart"/>
      <w:r>
        <w:t>pg</w:t>
      </w:r>
      <w:proofErr w:type="spellEnd"/>
      <w:r>
        <w:t xml:space="preserve"> 81).</w:t>
      </w:r>
    </w:p>
    <w:p w14:paraId="46168368" w14:textId="77777777" w:rsidR="00432AE4" w:rsidRDefault="00432AE4" w:rsidP="00432AE4"/>
    <w:p w14:paraId="68BBF8FB" w14:textId="77777777" w:rsidR="00432AE4" w:rsidRDefault="00432AE4" w:rsidP="00432AE4">
      <w:r>
        <w:t xml:space="preserve">Due to the domestic nature of the incident as well as what had been disclosed to officers at scene, this resulted in the perpetrator being arrested for a domestic related assault. The perpetrator had committed these offences a number of times before against the same victim which caused them to be a repeat offender whilst also heightening the risk towards the victim. Due to this, after utilising the NDM and identifying the THRIVE element posed to the victim, which was considerable, I identified that the offender required to be arrested. </w:t>
      </w:r>
    </w:p>
    <w:p w14:paraId="6133FB97" w14:textId="77777777" w:rsidR="00656185" w:rsidRDefault="00656185" w:rsidP="00432AE4"/>
    <w:p w14:paraId="0E4BAAF9" w14:textId="77777777" w:rsidR="00432AE4" w:rsidRDefault="00432AE4" w:rsidP="00432AE4">
      <w:r>
        <w:t>Once the offender was detained in custody, through using the Gibbs reflective model, I identified that utilising arrest and bail conditions weren’t an adequate response in order to tackle this issue and prevent further repeat victimisation. By going through the Gibbs reflective model, I was aware of the incident as well as the incidents prior and I was able to gauge the feelings of those involved by seeing how these series of incidents affected the victim and also conducting a victim personal statement to accurately depict how these incidents have affected them, (</w:t>
      </w:r>
      <w:r>
        <w:rPr>
          <w:i/>
          <w:iCs/>
        </w:rPr>
        <w:t xml:space="preserve">Reflective toolkit, </w:t>
      </w:r>
      <w:r>
        <w:t xml:space="preserve">2020)(No ND). </w:t>
      </w:r>
    </w:p>
    <w:p w14:paraId="51F9454A" w14:textId="77777777" w:rsidR="00656185" w:rsidRDefault="00656185" w:rsidP="00432AE4"/>
    <w:p w14:paraId="07EADA9E" w14:textId="77777777" w:rsidR="00432AE4" w:rsidRDefault="00432AE4" w:rsidP="00432AE4">
      <w:r>
        <w:t xml:space="preserve">Furthermore, by looking at previous incidents, I was able to evaluate the actions taken and I identified that further action would need to be taken in this case at preventing re-offending as the offender hadn’t adhered to them as well as the victim withdrawing support for police action. Due to the offender and victim living in the same address with no alternative presented, bail conditions weren’t applicable however, there was a heightened risk of harm present to the victim and so by utilising the NDM, I identified that a Domestic Violence Protection Notice, DVPN, would be a possible solution to tackling repeat victimisation and prevent any further reoffending, (Using domestic violence protection notices and domestic violence protection order to make victims safer, 2015). </w:t>
      </w:r>
    </w:p>
    <w:p w14:paraId="59EBCA4D" w14:textId="77777777" w:rsidR="00656185" w:rsidRDefault="00656185" w:rsidP="00432AE4"/>
    <w:p w14:paraId="57D18FCD" w14:textId="77777777" w:rsidR="00432AE4" w:rsidRDefault="00432AE4" w:rsidP="00432AE4">
      <w:r>
        <w:t xml:space="preserve">Therefore, I applied for a DVPN in order to safeguard the victim and to prevent any further offences where the conditions were for the suspect to not enter the same address as the victim and to not evict the victim from their home. This was accompanied with a Domestic Violence Protection Order, DVPO, from the court which extended these conditions for a period of 28 days for police to finish their investigation. </w:t>
      </w:r>
    </w:p>
    <w:p w14:paraId="79590790" w14:textId="77777777" w:rsidR="00656185" w:rsidRDefault="00656185" w:rsidP="00432AE4"/>
    <w:p w14:paraId="1D86925A" w14:textId="77777777" w:rsidR="00432AE4" w:rsidRDefault="00432AE4" w:rsidP="00432AE4">
      <w:r>
        <w:t xml:space="preserve">By using </w:t>
      </w:r>
      <w:proofErr w:type="spellStart"/>
      <w:r>
        <w:t>Bortons</w:t>
      </w:r>
      <w:proofErr w:type="spellEnd"/>
      <w:r>
        <w:t xml:space="preserve"> model of reflection, I am able to identify that in certain cases such as this one, a DVPN and DVPO was effective at tackling repeat victimisation. I did this by looking at the incident as an entity as to what had happened and by doing this I was able to identify what I wanted to achieve, which was the arrest of the offender and safeguarding of the victim by utilising a police power available to me even with no initial victim support, (Janse. B 2022).</w:t>
      </w:r>
    </w:p>
    <w:p w14:paraId="4EA9493B" w14:textId="00BBD88B" w:rsidR="00432AE4" w:rsidRDefault="00432AE4" w:rsidP="00432AE4">
      <w:r>
        <w:t>After this stage, I moved onto the ‘so what’ stage where I could analyse my actions and determine what went well and how I could improve. By doing this I was able to identify that using a DVPN in this situation proved effective in tackling repeat victimisation as it provided the victim time away from the offender to think for themselves and look at their situation independently.</w:t>
      </w:r>
    </w:p>
    <w:p w14:paraId="4F6B41A9" w14:textId="77777777" w:rsidR="00432AE4" w:rsidRDefault="00432AE4" w:rsidP="00432AE4">
      <w:r>
        <w:t>This took me onto the final stage of the model under ‘now what’ whereby I did identify that when tackling repeat victimisation, I cannot be solely police orientated as it may solve this issue but for other complex incidents, police action may not be as effective and will require some partner agency involvement where I can better myself and the service I provide by utilising the help partner agencies offer.</w:t>
      </w:r>
    </w:p>
    <w:p w14:paraId="60C2D971" w14:textId="77777777" w:rsidR="00432AE4" w:rsidRDefault="00432AE4" w:rsidP="00432AE4"/>
    <w:p w14:paraId="2E1CB738" w14:textId="77777777" w:rsidR="00432AE4" w:rsidRPr="00D30691" w:rsidRDefault="00432AE4" w:rsidP="00432AE4">
      <w:r>
        <w:t>Continuing, in order to further safeguard the victim and prevent further repeat incidents, police will need to ensure that the victim is safe and secure. Although in this case there was already contingencies in place to prevent the offender from engaging with the victim, in certain cases where the offender has a disregard for police action or restrictions imposed by them, further action will be required to prevent repeat victimisation and safeguard victims. One method that the police utilise to do this is through ‘target hardening’ whereby the victim is offered a range of services that the police can provide in order to protect them from the offender and to deter the offender by implementing obstacles for them to engage with the victim (College of Policing 2015). One of the strategies involved in target hardening is the improvement of home security whereby a number of security tactics can be employed to make the victim feel safe, this can include the installation of CCTV, secure windows, extra lighting, regular patrols by police and more. This tactic can be effective in the short term making the victim feel safe and removing the ability for the offender to intimidate them which would assist in the prosecution of the offending via victim support. However, this approach is limited in the sense that it isn’t tackling the root cause of why the offender is repeatedly offending and so target hardening is effective to an extent as although it gives the victim ‘breathing space’ from the offender, it may not necessarily prevent the offender from offending again.</w:t>
      </w:r>
    </w:p>
    <w:p w14:paraId="1EAD99CA" w14:textId="77777777" w:rsidR="00432AE4" w:rsidRDefault="00432AE4" w:rsidP="00432AE4"/>
    <w:p w14:paraId="04F1A7F0" w14:textId="77777777" w:rsidR="00432AE4" w:rsidRDefault="00432AE4" w:rsidP="00432AE4"/>
    <w:p w14:paraId="45C45597" w14:textId="77777777" w:rsidR="00432AE4" w:rsidRDefault="00432AE4" w:rsidP="00432AE4">
      <w:r>
        <w:t xml:space="preserve">Next, this essay will look at ways in which partner agencies and professionals look to manage vulnerable people and prevent repeat offending. Public Health Wales (PHW) does this by trying to understand the root cause of repeat offending and believe that it is caused by being exposed to Adverse Childhood Experiences (ACE’s), (Wood et al, 2023). PHW have identified 5 key areas in reducing the impact of ACE’s which in turn would lower repeat offending and repeat victimisation, which are as follows: strengthening families and other relationships; providing education and life skill development; multi-level programmes; providing good quality response and support services and addressing harmful social norms. This would look to employ a multi-partnership approach to address the causes of offending to in turn reduce the likelihood of repeat offending. In theory, this approach would be highly effective in supporting and managing vulnerable people by addressing their vulnerabilities and needs and making them more independent through removing the effects that ACES had on them. However, in practice, different agencies would have different priorities and strategies in order to combat ACES which would create division between the agencies and reduce the effectiveness of their strategies in reducing repeat offending. </w:t>
      </w:r>
    </w:p>
    <w:p w14:paraId="36C68F7A" w14:textId="77777777" w:rsidR="00656185" w:rsidRDefault="00656185" w:rsidP="00432AE4"/>
    <w:p w14:paraId="18144C90" w14:textId="77777777" w:rsidR="00432AE4" w:rsidRDefault="00432AE4" w:rsidP="00432AE4">
      <w:r>
        <w:t>Another approach which is used to prevent repeat victimisation and offending by the police and other agencies is a MARAC meeting which stands for Multi Agency Risk Assessment Conference, (Safe lives, 2017). Within this conference, there are numerous agencies that are present such as police, social services, education etc which discuss complex cases of domestic incidents which, more often than not, are repeat incidents and therefore repeat victims and offenders. Within these conferences, information is shared between partners regarding the risks posed to the repeat victims as well as the needs and concerns to keep the offender safe. This is an implementation of what was previously mentioned in this essay of utilising partnerships to tackle repeat victimisation and allows police to identify alternative approaches in order to effectively deal with repeat victimisation. MARAC is effective at dealing with repeat victimisation and offending it bring the experience and viewpoints of partner agencies to broaden the powers and approaches available to deal with a complex issue where looking at repeat offending through a purely criminal lens, could cause further damage rather than resolving the issue.</w:t>
      </w:r>
    </w:p>
    <w:p w14:paraId="5DC9E775" w14:textId="77777777" w:rsidR="00432AE4" w:rsidRDefault="00432AE4" w:rsidP="00432AE4"/>
    <w:p w14:paraId="25C167B8" w14:textId="77777777" w:rsidR="00432AE4" w:rsidRDefault="00432AE4" w:rsidP="00432AE4">
      <w:r>
        <w:t>Ultimately, in order to effectively support and manage vulnerable people and people at risk which in turn will assist in tackling repeat victimisation and repeat offending, the police service and its partners will need to cooperate. As highlighted by the NPCC, there is currently an evolving diverse and complex policing landscape, where police are having to constantly adapt and change their approaches to situations, (NPCC, 2018). This essentially means that rather than dealing with an incident in a traditional sense and looking to arrest an offender for an offence, regardless of how many times the incident has occurred, police and their partners will have to cooperate in order to find an effective way at resolving the issue rather than a short-term fix. This can be done through a coordinated approach by several services, whereby the victim can receive a variety of beneficial support from a multiagency approach which can improve their education on the situation that they find themselves in and to recognise that they are a repeat victim.</w:t>
      </w:r>
    </w:p>
    <w:p w14:paraId="07B4CD1F" w14:textId="77777777" w:rsidR="00432AE4" w:rsidRDefault="00432AE4" w:rsidP="00432AE4"/>
    <w:p w14:paraId="3E2DD87B" w14:textId="77777777" w:rsidR="00432AE4" w:rsidRDefault="00432AE4" w:rsidP="00432AE4"/>
    <w:p w14:paraId="7FD6C5B0" w14:textId="77777777" w:rsidR="00432AE4" w:rsidRDefault="00432AE4" w:rsidP="00432AE4">
      <w:r>
        <w:t>In conclusion, due to the everchanging circumstances that police find themselves having to adapt to as well as the complex nature that repeat offending and victimisation poses in order to deal with a situation, especially if it is domestic related. In order to effectively tackle repeat victimisation and offending, a multiagency approach is required in order to understand the root cause of why a person repeatedly offends and address it as well as educating the victim as to the situation that they face themselves in and what support and services are available for them. A traditional police only intervention by arresting the offender may no longer be effective as in situations where there is a domestic element, an arrest may not be effective where the offender has a disregard for police imposed restrictions.</w:t>
      </w:r>
    </w:p>
    <w:p w14:paraId="6D6AFD6D" w14:textId="77777777" w:rsidR="00432AE4" w:rsidRDefault="00432AE4" w:rsidP="00432AE4"/>
    <w:p w14:paraId="75CE2C27" w14:textId="77777777" w:rsidR="00432AE4" w:rsidRDefault="00432AE4" w:rsidP="00432AE4"/>
    <w:p w14:paraId="0376F1D7" w14:textId="7A7B11C9" w:rsidR="00432AE4" w:rsidRPr="00656185" w:rsidRDefault="00432AE4" w:rsidP="00656185">
      <w:r>
        <w:t>Word count: 1933</w:t>
      </w:r>
    </w:p>
    <w:p w14:paraId="6B0989EF" w14:textId="5506DDC7" w:rsidR="00025650" w:rsidRPr="00E676F7" w:rsidRDefault="5B843AF0" w:rsidP="00432AE4">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732D590" w14:textId="372C89B6" w:rsidR="00025650" w:rsidRDefault="005C76DE" w:rsidP="0FF883D4">
      <w:pPr>
        <w:ind w:right="237"/>
        <w:jc w:val="both"/>
        <w:rPr>
          <w:b/>
          <w:bCs/>
          <w:sz w:val="24"/>
          <w:szCs w:val="24"/>
        </w:rPr>
      </w:pPr>
      <w:r w:rsidRPr="5CE196A1">
        <w:rPr>
          <w:b/>
          <w:bCs/>
          <w:sz w:val="24"/>
          <w:szCs w:val="24"/>
        </w:rPr>
        <w:t>ANSWER</w:t>
      </w:r>
    </w:p>
    <w:p w14:paraId="58083656" w14:textId="77777777" w:rsidR="00F33908" w:rsidRPr="00F33908" w:rsidRDefault="00F33908" w:rsidP="0FF883D4">
      <w:pPr>
        <w:ind w:right="237"/>
        <w:jc w:val="both"/>
        <w:rPr>
          <w:b/>
          <w:bCs/>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Default="00025650" w:rsidP="5CE196A1">
      <w:pPr>
        <w:ind w:right="237"/>
        <w:jc w:val="center"/>
        <w:rPr>
          <w:rFonts w:eastAsia="Arial"/>
          <w:color w:val="000000" w:themeColor="text1"/>
          <w:sz w:val="28"/>
          <w:szCs w:val="28"/>
        </w:rPr>
      </w:pPr>
    </w:p>
    <w:p w14:paraId="41F27652" w14:textId="77777777" w:rsidR="00F33908" w:rsidRDefault="00F33908" w:rsidP="5CE196A1">
      <w:pPr>
        <w:ind w:right="237"/>
        <w:jc w:val="center"/>
        <w:rPr>
          <w:rFonts w:eastAsia="Arial"/>
          <w:color w:val="000000" w:themeColor="text1"/>
          <w:sz w:val="28"/>
          <w:szCs w:val="28"/>
        </w:rPr>
      </w:pPr>
    </w:p>
    <w:p w14:paraId="01BBA63E" w14:textId="77777777" w:rsidR="00F33908" w:rsidRPr="00E676F7" w:rsidRDefault="00F33908"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3852AC5D" w14:textId="583EFE3E" w:rsidR="0FF883D4" w:rsidRDefault="0FF883D4" w:rsidP="00F33908">
      <w:pPr>
        <w:ind w:right="237"/>
        <w:rPr>
          <w:b/>
          <w:bCs/>
          <w:color w:val="000000" w:themeColor="text1"/>
          <w:sz w:val="24"/>
          <w:szCs w:val="24"/>
        </w:rPr>
      </w:pPr>
    </w:p>
    <w:p w14:paraId="7331A9BC" w14:textId="77777777" w:rsidR="00F33908" w:rsidRDefault="00F33908" w:rsidP="00F33908">
      <w:pPr>
        <w:ind w:right="237"/>
        <w:rPr>
          <w:b/>
          <w:bCs/>
          <w:color w:val="000000" w:themeColor="text1"/>
          <w:sz w:val="24"/>
          <w:szCs w:val="24"/>
        </w:rPr>
      </w:pPr>
    </w:p>
    <w:p w14:paraId="47CA33F9" w14:textId="77777777" w:rsidR="00F33908" w:rsidRDefault="00F33908" w:rsidP="00F33908">
      <w:pPr>
        <w:ind w:right="237"/>
        <w:rPr>
          <w:b/>
          <w:bCs/>
          <w:color w:val="000000" w:themeColor="text1"/>
          <w:sz w:val="24"/>
          <w:szCs w:val="24"/>
        </w:rPr>
      </w:pPr>
    </w:p>
    <w:p w14:paraId="1F8F3273" w14:textId="77777777" w:rsidR="00F33908" w:rsidRDefault="00F33908" w:rsidP="00F33908">
      <w:pPr>
        <w:ind w:right="237"/>
        <w:rPr>
          <w:b/>
          <w:bCs/>
          <w:color w:val="000000" w:themeColor="text1"/>
          <w:sz w:val="24"/>
          <w:szCs w:val="24"/>
        </w:rPr>
      </w:pPr>
    </w:p>
    <w:p w14:paraId="362CE8BD" w14:textId="77777777" w:rsidR="00F33908" w:rsidRDefault="00F33908" w:rsidP="00F33908">
      <w:pPr>
        <w:ind w:right="237"/>
        <w:rPr>
          <w:b/>
          <w:bCs/>
          <w:color w:val="000000" w:themeColor="text1"/>
          <w:sz w:val="24"/>
          <w:szCs w:val="24"/>
        </w:rPr>
      </w:pPr>
    </w:p>
    <w:p w14:paraId="5EC53D0F" w14:textId="77777777" w:rsidR="00F33908" w:rsidRDefault="00F33908" w:rsidP="00F33908">
      <w:pPr>
        <w:ind w:right="237"/>
        <w:rPr>
          <w:b/>
          <w:bCs/>
          <w:color w:val="000000" w:themeColor="text1"/>
          <w:sz w:val="24"/>
          <w:szCs w:val="24"/>
        </w:rPr>
      </w:pPr>
    </w:p>
    <w:p w14:paraId="37A89D20" w14:textId="77777777" w:rsidR="00F33908" w:rsidRDefault="00F33908" w:rsidP="00F33908">
      <w:pPr>
        <w:ind w:right="237"/>
        <w:rPr>
          <w:b/>
          <w:bCs/>
          <w:color w:val="000000" w:themeColor="text1"/>
          <w:sz w:val="24"/>
          <w:szCs w:val="24"/>
        </w:rPr>
      </w:pPr>
    </w:p>
    <w:p w14:paraId="5E4F7F8F" w14:textId="77777777" w:rsidR="00F33908" w:rsidRDefault="00F33908" w:rsidP="00F33908">
      <w:pPr>
        <w:ind w:right="237"/>
        <w:rPr>
          <w:b/>
          <w:bCs/>
          <w:color w:val="000000" w:themeColor="text1"/>
          <w:sz w:val="24"/>
          <w:szCs w:val="24"/>
        </w:rPr>
      </w:pPr>
    </w:p>
    <w:p w14:paraId="0FCEA596" w14:textId="77777777" w:rsidR="00F33908" w:rsidRDefault="00F33908" w:rsidP="00F33908">
      <w:pPr>
        <w:ind w:right="237"/>
        <w:rPr>
          <w:b/>
          <w:bCs/>
          <w:color w:val="000000" w:themeColor="text1"/>
          <w:sz w:val="24"/>
          <w:szCs w:val="24"/>
        </w:rPr>
      </w:pPr>
    </w:p>
    <w:p w14:paraId="16BC835F" w14:textId="77777777" w:rsidR="00F33908" w:rsidRDefault="00F33908" w:rsidP="00F33908">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4510D23F" w14:textId="77777777" w:rsidR="00F33908" w:rsidRDefault="00F33908" w:rsidP="0FF883D4">
      <w:pPr>
        <w:ind w:right="237"/>
        <w:jc w:val="both"/>
        <w:rPr>
          <w:color w:val="000000" w:themeColor="text1"/>
          <w:sz w:val="24"/>
          <w:szCs w:val="24"/>
        </w:rPr>
      </w:pPr>
    </w:p>
    <w:p w14:paraId="150C2EC7" w14:textId="77777777" w:rsidR="00F33908" w:rsidRDefault="00F33908" w:rsidP="0FF883D4">
      <w:pPr>
        <w:ind w:right="237"/>
        <w:jc w:val="both"/>
        <w:rPr>
          <w:color w:val="000000" w:themeColor="text1"/>
          <w:sz w:val="24"/>
          <w:szCs w:val="24"/>
        </w:rPr>
      </w:pPr>
    </w:p>
    <w:p w14:paraId="236D1D60" w14:textId="77777777" w:rsidR="00F33908" w:rsidRDefault="00F33908" w:rsidP="0FF883D4">
      <w:pPr>
        <w:ind w:right="237"/>
        <w:jc w:val="both"/>
        <w:rPr>
          <w:color w:val="000000" w:themeColor="text1"/>
          <w:sz w:val="24"/>
          <w:szCs w:val="24"/>
        </w:rPr>
      </w:pPr>
    </w:p>
    <w:p w14:paraId="7B894E85" w14:textId="77777777" w:rsidR="00F33908" w:rsidRDefault="00F33908" w:rsidP="0FF883D4">
      <w:pPr>
        <w:ind w:right="237"/>
        <w:jc w:val="both"/>
        <w:rPr>
          <w:color w:val="000000" w:themeColor="text1"/>
          <w:sz w:val="24"/>
          <w:szCs w:val="24"/>
        </w:rPr>
      </w:pPr>
    </w:p>
    <w:p w14:paraId="66A78CE4" w14:textId="77777777" w:rsidR="00F33908" w:rsidRDefault="00F33908" w:rsidP="0FF883D4">
      <w:pPr>
        <w:ind w:right="237"/>
        <w:jc w:val="both"/>
        <w:rPr>
          <w:color w:val="000000" w:themeColor="text1"/>
          <w:sz w:val="24"/>
          <w:szCs w:val="24"/>
        </w:rPr>
      </w:pPr>
    </w:p>
    <w:p w14:paraId="3A4DBD28" w14:textId="77777777" w:rsidR="00F33908" w:rsidRDefault="00F33908" w:rsidP="0FF883D4">
      <w:pPr>
        <w:ind w:right="237"/>
        <w:jc w:val="both"/>
        <w:rPr>
          <w:color w:val="000000" w:themeColor="text1"/>
          <w:sz w:val="24"/>
          <w:szCs w:val="24"/>
        </w:rPr>
      </w:pPr>
    </w:p>
    <w:p w14:paraId="6D1FB977" w14:textId="77777777" w:rsidR="00F33908" w:rsidRDefault="00F33908" w:rsidP="0FF883D4">
      <w:pPr>
        <w:ind w:right="237"/>
        <w:jc w:val="both"/>
        <w:rPr>
          <w:color w:val="000000" w:themeColor="text1"/>
          <w:sz w:val="24"/>
          <w:szCs w:val="24"/>
        </w:rPr>
      </w:pPr>
    </w:p>
    <w:p w14:paraId="253BE663" w14:textId="77777777" w:rsidR="00F33908" w:rsidRDefault="00F33908" w:rsidP="0FF883D4">
      <w:pPr>
        <w:ind w:right="237"/>
        <w:jc w:val="both"/>
        <w:rPr>
          <w:color w:val="000000" w:themeColor="text1"/>
          <w:sz w:val="24"/>
          <w:szCs w:val="24"/>
        </w:rPr>
      </w:pPr>
    </w:p>
    <w:p w14:paraId="1BB6FFCA" w14:textId="77777777" w:rsidR="00F33908" w:rsidRDefault="00F33908" w:rsidP="0FF883D4">
      <w:pPr>
        <w:ind w:right="237"/>
        <w:jc w:val="both"/>
        <w:rPr>
          <w:color w:val="000000" w:themeColor="text1"/>
          <w:sz w:val="24"/>
          <w:szCs w:val="24"/>
        </w:rPr>
      </w:pPr>
    </w:p>
    <w:p w14:paraId="7D0EA49A" w14:textId="77777777" w:rsidR="00F33908" w:rsidRDefault="00F33908" w:rsidP="0FF883D4">
      <w:pPr>
        <w:ind w:right="237"/>
        <w:jc w:val="both"/>
        <w:rPr>
          <w:color w:val="000000" w:themeColor="text1"/>
          <w:sz w:val="24"/>
          <w:szCs w:val="24"/>
        </w:rPr>
      </w:pPr>
    </w:p>
    <w:p w14:paraId="2B8EC2AF" w14:textId="77777777" w:rsidR="00F33908" w:rsidRDefault="00F33908"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5D9FCEA8" w14:textId="77777777" w:rsidR="00F33908" w:rsidRPr="00C649BB" w:rsidRDefault="00F33908" w:rsidP="00F33908">
      <w:pPr>
        <w:rPr>
          <w:color w:val="0000FF"/>
          <w:u w:val="single"/>
        </w:rPr>
      </w:pPr>
      <w:r>
        <w:t xml:space="preserve">The incident which this essay will examine refers to a domestic related disclosure of criminal damage and assault which then later unravelled into a disclosure of a serious sexual offence. </w:t>
      </w:r>
    </w:p>
    <w:p w14:paraId="56C7F0A6" w14:textId="77777777" w:rsidR="00F33908" w:rsidRDefault="00F33908" w:rsidP="00F33908">
      <w:r>
        <w:t xml:space="preserve">Due to the domestic element of this incident, it produced heightened risk for the victim and due to the lose proximities that witnesses resided in relation to the offender, it also produced safeguarding concerns for them. Furthermore, due to the nature of what had been disclosed, certain lines of enquiry had to be explored and conducted in a timely manner in order to achieve best evidence for the victim. This essay will explore this incident and critically evaluate what processes were employed during the investigation and what fast track action that was taken in order to achieve best evidence. </w:t>
      </w:r>
    </w:p>
    <w:p w14:paraId="4F68068A" w14:textId="77777777" w:rsidR="00F33908" w:rsidRDefault="00F33908" w:rsidP="00F33908">
      <w:r>
        <w:t xml:space="preserve">Similarly, this essay will evaluate the support and care that was provided to the victim, witnesses and offender of this incident which due to the domestic element and what had been disclosed, required to be substantive and effective so that the victim could feel supported, and that the offender had their issues addressed. </w:t>
      </w:r>
    </w:p>
    <w:p w14:paraId="64CFCE19" w14:textId="77777777" w:rsidR="00F33908" w:rsidRDefault="00F33908" w:rsidP="00F33908"/>
    <w:p w14:paraId="1322797D" w14:textId="77777777" w:rsidR="00F33908" w:rsidRDefault="00F33908" w:rsidP="00F33908">
      <w:r>
        <w:t>The incident that this essay will refer to a 3</w:t>
      </w:r>
      <w:r w:rsidRPr="00C426AA">
        <w:rPr>
          <w:vertAlign w:val="superscript"/>
        </w:rPr>
        <w:t>rd</w:t>
      </w:r>
      <w:r>
        <w:t xml:space="preserve"> party report of coercive and controlling behaviour with suspected domestic related criminal damage. Upon attendance, the victim was confrontational with police and refused to engage which I suspected was signs of controlling behaviour from the subject over the victim. After inspecting the address, it was in a chaotic state with items scattered and significant damage to the flat. After separating the parties involved, it appeared that the victim has learning difficulties which raised my concern as not only were they vulnerable from the domestic element of the incident but were also potentially being exploited by the offender through their learning difficulty. My main priorities at this time were to safeguard the victim and implement any support to them and to manage the threat, risk and harm that was presented at the incident and this would be accompanied by identifying the suspect and securing best evidence, (Colle of policing, 2013).</w:t>
      </w:r>
    </w:p>
    <w:p w14:paraId="2C9B732C" w14:textId="77777777" w:rsidR="00F33908" w:rsidRDefault="00F33908" w:rsidP="00F33908"/>
    <w:p w14:paraId="629E32C1" w14:textId="77777777" w:rsidR="00F33908" w:rsidRDefault="00F33908" w:rsidP="00F33908">
      <w:r>
        <w:t>With this information, it formed my Information and Intelligence section of the National Decision Model where I identified that in order to safeguard the victim, the subject would need to be arrested and removed from the situation, (College of Policing 2013). By doing this, I have provided short-term safeguarding for the victim by removing the suspected offender and allowed the investigation to begin without interference from the offender. This action is effective to an extent, as it provides safeguarding for the victim and removes the offender from the situation, however its effectiveness can be limited if an investigator is unable to pursue the vital ‘Golden Hour’ enquiries in order to achieve best evidence of an offence, (HMICFRS, 2023).</w:t>
      </w:r>
    </w:p>
    <w:p w14:paraId="6A0DF2CC" w14:textId="77777777" w:rsidR="00F33908" w:rsidRDefault="00F33908" w:rsidP="00F33908"/>
    <w:p w14:paraId="34287066" w14:textId="77777777" w:rsidR="00F33908" w:rsidRDefault="00F33908" w:rsidP="00F33908">
      <w:r>
        <w:t>After securing the offender in custody, I prioritised the next steps in the investigation to determine what ‘Golden Hour’ evidence needed to be collected first. The key evidence that was identified was to ascertain victim support through a statement as without victim support, the likely chance of prosecution declines dramatically. This graph demonstrates that without victim support, 27% of cases were dropped due to evidential difficulties, (Home Office, 2023).</w:t>
      </w:r>
    </w:p>
    <w:p w14:paraId="0E6CCF4D" w14:textId="77777777" w:rsidR="00F33908" w:rsidRDefault="00F33908" w:rsidP="00F33908">
      <w:r>
        <w:rPr>
          <w:noProof/>
        </w:rPr>
        <w:drawing>
          <wp:anchor distT="0" distB="0" distL="114300" distR="114300" simplePos="0" relativeHeight="251659264" behindDoc="0" locked="0" layoutInCell="1" allowOverlap="1" wp14:anchorId="444AD6B7" wp14:editId="67FA60E8">
            <wp:simplePos x="0" y="0"/>
            <wp:positionH relativeFrom="margin">
              <wp:align>center</wp:align>
            </wp:positionH>
            <wp:positionV relativeFrom="paragraph">
              <wp:posOffset>288222</wp:posOffset>
            </wp:positionV>
            <wp:extent cx="5365750" cy="3584575"/>
            <wp:effectExtent l="0" t="0" r="6350" b="0"/>
            <wp:wrapSquare wrapText="bothSides"/>
            <wp:docPr id="55097142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971426" name="Picture 1" descr="A graph of a number of people&#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65750" cy="3584575"/>
                    </a:xfrm>
                    <a:prstGeom prst="rect">
                      <a:avLst/>
                    </a:prstGeom>
                    <a:noFill/>
                  </pic:spPr>
                </pic:pic>
              </a:graphicData>
            </a:graphic>
            <wp14:sizeRelH relativeFrom="margin">
              <wp14:pctWidth>0</wp14:pctWidth>
            </wp14:sizeRelH>
            <wp14:sizeRelV relativeFrom="margin">
              <wp14:pctHeight>0</wp14:pctHeight>
            </wp14:sizeRelV>
          </wp:anchor>
        </w:drawing>
      </w:r>
    </w:p>
    <w:p w14:paraId="7F597311" w14:textId="77777777" w:rsidR="00F33908" w:rsidRDefault="00F33908" w:rsidP="00F33908">
      <w:r>
        <w:t xml:space="preserve">With this information in mind, I understood the importance of engaging and supporting the victim to gain their support and increase the likelihood of attaining best evidence. When I returned to the victims address, they initially were hostile towards myself and refused to engage, this is where effective communication would be vital in order to start a dialogue with the victim and to gain their trust. To gain their trust, I was patient with the victim and listened to their worries and concerns. Due to having suspected that the victim has learning difficulties, I explained the processes and reasoning of what had occurred and why the offender needed to be arrested and gave them opportunities to ask questions to make them feel empowered and to provide them with a sense of control, (Wood, D. 2023, </w:t>
      </w:r>
      <w:proofErr w:type="spellStart"/>
      <w:r>
        <w:t>pg</w:t>
      </w:r>
      <w:proofErr w:type="spellEnd"/>
      <w:r>
        <w:t xml:space="preserve"> 283).  </w:t>
      </w:r>
    </w:p>
    <w:p w14:paraId="25A058ED" w14:textId="77777777" w:rsidR="00F33908" w:rsidRDefault="00F33908" w:rsidP="00F33908"/>
    <w:p w14:paraId="1380386B" w14:textId="77777777" w:rsidR="00F33908" w:rsidRDefault="00F33908" w:rsidP="00F33908">
      <w:r>
        <w:t xml:space="preserve">After establishing a dialogue and gaining their trust, the next step of the investigation required obtaining a victim statement to gain evidence of what had occurred and to identify any other lines of enquiry for the investigation. However, due to </w:t>
      </w:r>
      <w:proofErr w:type="spellStart"/>
      <w:r>
        <w:t>he</w:t>
      </w:r>
      <w:proofErr w:type="spellEnd"/>
      <w:r>
        <w:t xml:space="preserve"> victims learning difficulties, I identified the need for an appropriate adult to be present when taking the statement in order to ensure that the welfare of the victim is prioritised and to help them understand any questions that I ask during the statement, (Rethink Mental illness, 2023). </w:t>
      </w:r>
    </w:p>
    <w:p w14:paraId="39011CD1" w14:textId="77777777" w:rsidR="00F33908" w:rsidRDefault="00F33908" w:rsidP="00F33908">
      <w:r>
        <w:t>The victim asked for a family member to be present as their appropriate adult and so although this delayed the investigation, the evidence that the victim could provide was key evidentially and so after risk assessing the situation, I deemed maintaining the victims support and trust, a higher priority than trying to quickly complete the investigation.</w:t>
      </w:r>
    </w:p>
    <w:p w14:paraId="7ABB3D63" w14:textId="77777777" w:rsidR="00F33908" w:rsidRDefault="00F33908" w:rsidP="00F33908">
      <w:r>
        <w:t xml:space="preserve"> Initially, the victim was hesitant in providing a statement due to the domestic element of the incident and that they appeared scared of what the potential repercussions would be. I therefore had to be emotionally aware of the victims circumstances and use empathy in order to address their concerns and demonstrate to them that I understand their situation. Through this, I explained that the police would support them through the criminal justice process as they not only felt scared of the offender but felt overwhelmed by the process in front of them. One of the ways I did this was by explaining ‘Special Measures’ and highlighted that they were eligible for this- where it can alleviate some stresses that the victim may have in relation to giving evidence regarding the incident, (Crown Prosecution Service, 2021).</w:t>
      </w:r>
    </w:p>
    <w:p w14:paraId="7C2EF965" w14:textId="77777777" w:rsidR="00F33908" w:rsidRDefault="00F33908" w:rsidP="00F33908"/>
    <w:p w14:paraId="31229067" w14:textId="77777777" w:rsidR="00F33908" w:rsidRDefault="00F33908" w:rsidP="00F33908">
      <w:r>
        <w:t xml:space="preserve">Whilst taking the statement, the victim provided key evidence in relation to criminal damage caused by the subject but also disclosed that the suspect assaulted them in the process, identifying another offence of domestic related common assault. This raised added concern as it heightened the risk that the offender posed to the victim as there was </w:t>
      </w:r>
      <w:proofErr w:type="spellStart"/>
      <w:r>
        <w:t>now</w:t>
      </w:r>
      <w:proofErr w:type="spellEnd"/>
      <w:r>
        <w:t xml:space="preserve"> mention of violence being used against a vulnerable adult. Therefore, this step within the investigation was very effective whereby the actions that I took in order to gain the trust of the victim and implement strategies such as an appropriate adult helped to ensure that the victim felt safe and understood the next steps contributed to achieving best evidence. This step helped to identify another offence committed by the suspect and produced valuable key evidence for the investigation as the incident happened within an address where there were no other witnesses or CCTV and was domestic related which adds other complexities. By doing this, no further lines of enquiry were identified which concluded the evidence gathering stage of the investigation which then meant that I would need to collate all of the evidence to put to the offender in interview. </w:t>
      </w:r>
    </w:p>
    <w:p w14:paraId="160A8AE0" w14:textId="77777777" w:rsidR="00F33908" w:rsidRDefault="00F33908" w:rsidP="00F33908"/>
    <w:p w14:paraId="2D7E637B" w14:textId="77777777" w:rsidR="00F33908" w:rsidRDefault="00F33908" w:rsidP="00F33908">
      <w:r>
        <w:t>After the statement was completed, I then wanted to ensure that the victim had all of the necessary support and help that they required and I identified that the police may not necessarily be the most appropriate service for some support required. Here I understood the importance and the benefits of partnerships in policing where police partners, such as social services, housing, etc, may be able to provide a support in regards to securing their home address, putting them in touch with appropriate bodies such as Women’s Aid and provide a coordinated approach in supporting a victim, (College of Policing, 2020). This would be done through a ‘Public Protection Notification’ which is required to be submitted due to the domestic element of the incident and this would notify police partner agencies of this incident and allow them to risk assess the victim and identify what support they may require. Due to the risk presented in this incident, I also mentioned to the victim that I would be referring them to Victim Support which is an independent body that helps victims of crime on a personal level and to assist them by helping them understand their rights as a victim and to identify strategies to help them cope from the impact of crime and ultimately recover, (Victim Support, 2024). In reference to the support offered to the victim, this was very effective as the support offered by police and partner agencies allowed the victim to address their concerns and to ensure that they felt supported and not isolated through the investigation and criminal justice process to the extent that they provided key evidence against the offender which would both safeguard the victim and increase the effectiveness of the investigation through achieving best evidence.</w:t>
      </w:r>
    </w:p>
    <w:p w14:paraId="64BB30AF" w14:textId="77777777" w:rsidR="00F33908" w:rsidRDefault="00F33908" w:rsidP="00F33908"/>
    <w:p w14:paraId="7C47A2F4" w14:textId="77777777" w:rsidR="00F33908" w:rsidRDefault="00F33908" w:rsidP="00F33908">
      <w:r>
        <w:t>The next step of the investigation was to then interview the offender in order to acquire their account of events and to put to them the evidence that was obtained throughout the investigation. In order to conduct a thorough and professional interview to obtain best evidence, the interview would follow the PEACE model for the purpose of putting all the evidence gathered towards the offender and to explore their account fully by identifying any enquiries which they may present, (WOOD, 2023, pg-584). The first stage of this model refers to ‘planning and preparation’ where the investigator would need to establish the aims and objectives of the interview which in this case would be putting the evidence of the victim statement, images of the victims injuries and images of damage to the victims address to the suspect to ascertain their account and place the onus on them to explain how the damage and injuries occurred, (WOOD, 2023 PG-590). This step is followed by the ‘engage and explain’ step where the officer explains the purpose of the interview and elaborates on how the interview will proceed as well as the interviewee’s legal rights which falls in line with PACE 1984, (WOOD, 2023, PG-592). This would then lead on to the next stage of the model and interview which is the suspects ‘account’, (WOOD 2023, PG-592). This would be the main section of the interview whereby the suspect was given multiple opportunities to detail their account of events and here first asked the suspect an open question to allow them to give a free speech style account however the suspect initially provided a ‘no comment’ interview. Due to this, I had to change my interview tactics and asked more direct closed questions with reference to the images of injuries and the witness statement obtained in order to put the onus on the suspect to account for these. As a result, the suspect admitted to the offences that he had been arrested for which led me to the next stage of the interview which would be ‘closure’.  By doing this, I was able to summarise the suspects account and I asked them the reasoning behind their actions to which they disclosed that they suffer from alcohol abuse. I then identified that the suspect would require support to help with their alcohol abuse and made the custody sergeant aware in order for them to inform partner agencies who may be better equipped at supporting the suspect. This then led to the final stage of the interview process known as ‘evaluation’ where it was identified that no further lines of enquiry were supplied by the suspect, the interview did achieve its original objectives and that it ultimately contributed to the investigation by providing more key evidence incriminating the suspect, (WOOD, 2023, pg-594).</w:t>
      </w:r>
    </w:p>
    <w:p w14:paraId="634374BB" w14:textId="77777777" w:rsidR="00F33908" w:rsidRDefault="00F33908" w:rsidP="00F33908"/>
    <w:p w14:paraId="2DE22125" w14:textId="77777777" w:rsidR="00F33908" w:rsidRDefault="00F33908" w:rsidP="00F33908"/>
    <w:p w14:paraId="571E61E8" w14:textId="77777777" w:rsidR="00F33908" w:rsidRDefault="00F33908" w:rsidP="00F33908">
      <w:r>
        <w:t>Reflecting on this investigation using the Gibbs Reflective Model, I was able to describe the investigation and the steps that I took to progress it and achieve the best evidence to contribute to it. I was able to acknowledge that my feeling of the police being the best suited to tackle a complex domestic incident like this was short sighted and that in order to effectively support a victim and other, it would require multiple partner agencies to engage the issue from different angles which would also form part of my evaluation. After the investigation was complete, I analysed it and identified that by being patient with the victim, I was able to gain their support which provided the key evidence related to this incident but identified that I could have used better communication with the victim on initial attendance to build a rapport with them from the start. I then was able to conclude that domestic incidents are complex due to the relationships involved in incidents which may dissuade a victim or witness from providing key evidence. This highlighted to me the importance of communication and building a rapport with a victim or witness as well as ensuring that safeguarding is implemented for all involved due to the added emotional stress that a domestic incident may yield, (University of Edinburgh, 2020).</w:t>
      </w:r>
    </w:p>
    <w:p w14:paraId="439ED67A" w14:textId="77777777" w:rsidR="00F33908" w:rsidRDefault="00F33908" w:rsidP="00F33908"/>
    <w:p w14:paraId="3F96CDF4" w14:textId="77777777" w:rsidR="00F33908" w:rsidRDefault="00F33908" w:rsidP="00F33908"/>
    <w:p w14:paraId="1767D5FF" w14:textId="77777777" w:rsidR="00F33908" w:rsidRDefault="00F33908" w:rsidP="00F33908"/>
    <w:p w14:paraId="05894EA3" w14:textId="77777777" w:rsidR="00F33908" w:rsidRDefault="00F33908" w:rsidP="00F33908">
      <w:r>
        <w:t>In conclusion, the processes in this investigation were highly effective as it led to a positive prosecution of the suspect in a complex domestic related case where the victim initially didn’t support police action but after reengaging with them, they provided the key evidence which led to a successful investigation. The support provided to the victim and offender was effective as it empowered the victim to the extent that they were able to provide evidence against a domestic offender.</w:t>
      </w:r>
    </w:p>
    <w:p w14:paraId="7F9A8320" w14:textId="77777777" w:rsidR="00F33908" w:rsidRDefault="00F33908" w:rsidP="00F33908"/>
    <w:p w14:paraId="65A56081" w14:textId="77777777" w:rsidR="00F33908" w:rsidRDefault="00F33908" w:rsidP="00F33908"/>
    <w:p w14:paraId="147414B3" w14:textId="77777777" w:rsidR="00F33908" w:rsidRDefault="00F33908" w:rsidP="00F33908">
      <w:r>
        <w:t>Word count: 2200</w:t>
      </w:r>
    </w:p>
    <w:p w14:paraId="3EC9C538" w14:textId="77777777" w:rsidR="00F33908" w:rsidRDefault="00F33908" w:rsidP="0FF883D4">
      <w:pPr>
        <w:ind w:right="237"/>
        <w:jc w:val="both"/>
        <w:rPr>
          <w:b/>
          <w:bCs/>
          <w:color w:val="000000" w:themeColor="text1"/>
          <w:sz w:val="28"/>
          <w:szCs w:val="28"/>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28887288" w:rsidR="0FF883D4" w:rsidRDefault="5CE196A1" w:rsidP="5CE196A1">
      <w:r w:rsidRPr="5CE196A1">
        <w:rPr>
          <w:rFonts w:eastAsia="Arial"/>
          <w:b/>
          <w:bCs/>
          <w:color w:val="000000" w:themeColor="text1"/>
          <w:sz w:val="24"/>
          <w:szCs w:val="24"/>
        </w:rPr>
        <w:t xml:space="preserve">Authentication signature: </w:t>
      </w:r>
      <w:r w:rsidR="00A71CF5">
        <w:rPr>
          <w:rFonts w:eastAsia="Arial"/>
          <w:b/>
          <w:bCs/>
          <w:color w:val="000000" w:themeColor="text1"/>
          <w:sz w:val="24"/>
          <w:szCs w:val="24"/>
        </w:rPr>
        <w:t>PC 8569 ELLIS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466748D" w:rsidR="0FF883D4" w:rsidRDefault="5CE196A1" w:rsidP="5CE196A1">
      <w:r w:rsidRPr="5CE196A1">
        <w:rPr>
          <w:rFonts w:eastAsia="Arial"/>
          <w:b/>
          <w:bCs/>
          <w:color w:val="000000" w:themeColor="text1"/>
          <w:sz w:val="24"/>
          <w:szCs w:val="24"/>
        </w:rPr>
        <w:t xml:space="preserve">Signed: </w:t>
      </w:r>
      <w:r w:rsidR="00A71CF5">
        <w:rPr>
          <w:rFonts w:eastAsia="Arial"/>
          <w:b/>
          <w:bCs/>
          <w:color w:val="000000" w:themeColor="text1"/>
          <w:sz w:val="24"/>
          <w:szCs w:val="24"/>
        </w:rPr>
        <w:t>PC 8569 Daniel Ellis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739E57A" w:rsidR="0FF883D4" w:rsidRPr="00A71CF5" w:rsidRDefault="5CE196A1" w:rsidP="00A71CF5">
      <w:pPr>
        <w:sectPr w:rsidR="0FF883D4" w:rsidRPr="00A71CF5" w:rsidSect="0022001B">
          <w:footerReference w:type="default" r:id="rId1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71CF5">
        <w:t xml:space="preserve"> </w:t>
      </w:r>
      <w:r w:rsidR="00A71CF5">
        <w:rPr>
          <w:b/>
          <w:bCs/>
          <w:sz w:val="24"/>
          <w:szCs w:val="24"/>
          <w:lang w:eastAsia="zh-TW"/>
        </w:rPr>
        <w:t>27/07/2024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8FEFAD2" w14:textId="77777777" w:rsidR="00F33908" w:rsidRDefault="00F33908" w:rsidP="00EA28F1">
      <w:pPr>
        <w:keepNext/>
        <w:spacing w:before="240" w:after="60"/>
        <w:ind w:right="237"/>
        <w:jc w:val="both"/>
        <w:rPr>
          <w:sz w:val="24"/>
          <w:szCs w:val="24"/>
        </w:rPr>
      </w:pPr>
    </w:p>
    <w:p w14:paraId="10EE30C1" w14:textId="1FE10846" w:rsidR="00F33908" w:rsidRPr="00F33908" w:rsidRDefault="00F33908" w:rsidP="00EA28F1">
      <w:pPr>
        <w:keepNext/>
        <w:spacing w:before="240" w:after="60"/>
        <w:ind w:right="237"/>
        <w:jc w:val="both"/>
        <w:rPr>
          <w:b/>
          <w:bCs/>
          <w:sz w:val="24"/>
          <w:szCs w:val="24"/>
        </w:rPr>
      </w:pPr>
      <w:r w:rsidRPr="00F33908">
        <w:rPr>
          <w:b/>
          <w:bCs/>
          <w:sz w:val="24"/>
          <w:szCs w:val="24"/>
        </w:rPr>
        <w:t>Task 1 Bibliography</w:t>
      </w:r>
    </w:p>
    <w:p w14:paraId="0B559935" w14:textId="77777777" w:rsidR="00F33908" w:rsidRDefault="00F33908" w:rsidP="00F33908"/>
    <w:p w14:paraId="0BF93202" w14:textId="77777777" w:rsidR="00F33908" w:rsidRDefault="00F33908" w:rsidP="00F33908">
      <w:r>
        <w:t>College of Policing (2015) ‘Using domestic violence protection notices and domestic violence protection orders to make victims safer’ [Online] Available at:</w:t>
      </w:r>
    </w:p>
    <w:p w14:paraId="72003A89" w14:textId="77777777" w:rsidR="00F33908" w:rsidRDefault="00A71CF5" w:rsidP="00F33908">
      <w:hyperlink r:id="rId17" w:history="1">
        <w:r w:rsidR="00F33908">
          <w:rPr>
            <w:rStyle w:val="Hyperlink"/>
          </w:rPr>
          <w:t>Using domestic violence protection notices and domestic violence protection orders to make victims safer | College of Policing</w:t>
        </w:r>
      </w:hyperlink>
    </w:p>
    <w:p w14:paraId="0DD2825F" w14:textId="77777777" w:rsidR="00F33908" w:rsidRDefault="00F33908" w:rsidP="00F33908">
      <w:r>
        <w:t>Accessed: 25/01/2024</w:t>
      </w:r>
    </w:p>
    <w:p w14:paraId="7C9F7284" w14:textId="77777777" w:rsidR="00F33908" w:rsidRPr="00F33908" w:rsidRDefault="00F33908" w:rsidP="00F33908"/>
    <w:p w14:paraId="4178291D" w14:textId="77777777" w:rsidR="00F33908" w:rsidRPr="00F33908" w:rsidRDefault="00F33908" w:rsidP="00F33908"/>
    <w:p w14:paraId="25F51404" w14:textId="77777777" w:rsidR="00F33908" w:rsidRDefault="00F33908" w:rsidP="00F33908">
      <w:pPr>
        <w:pStyle w:val="NormalWeb"/>
        <w:spacing w:before="0" w:beforeAutospacing="0" w:after="0" w:afterAutospacing="0"/>
        <w:ind w:left="567" w:hanging="567"/>
        <w:rPr>
          <w:rFonts w:ascii="Arial" w:hAnsi="Arial" w:cs="Arial"/>
          <w:sz w:val="20"/>
          <w:szCs w:val="20"/>
        </w:rPr>
      </w:pPr>
      <w:r>
        <w:rPr>
          <w:rFonts w:ascii="Arial" w:hAnsi="Arial" w:cs="Arial"/>
          <w:sz w:val="20"/>
          <w:szCs w:val="20"/>
        </w:rPr>
        <w:t>College of Policing</w:t>
      </w:r>
      <w:r w:rsidRPr="00213F81">
        <w:rPr>
          <w:rFonts w:ascii="Arial" w:hAnsi="Arial" w:cs="Arial"/>
          <w:sz w:val="20"/>
          <w:szCs w:val="20"/>
        </w:rPr>
        <w:t xml:space="preserve"> (2015) </w:t>
      </w:r>
      <w:r w:rsidRPr="00213F81">
        <w:rPr>
          <w:rFonts w:ascii="Arial" w:hAnsi="Arial" w:cs="Arial"/>
          <w:i/>
          <w:iCs/>
          <w:sz w:val="20"/>
          <w:szCs w:val="20"/>
        </w:rPr>
        <w:t>Victim safety and support</w:t>
      </w:r>
      <w:r w:rsidRPr="00213F81">
        <w:rPr>
          <w:rFonts w:ascii="Arial" w:hAnsi="Arial" w:cs="Arial"/>
          <w:sz w:val="20"/>
          <w:szCs w:val="20"/>
        </w:rPr>
        <w:t xml:space="preserve">, </w:t>
      </w:r>
      <w:r w:rsidRPr="00213F81">
        <w:rPr>
          <w:rFonts w:ascii="Arial" w:hAnsi="Arial" w:cs="Arial"/>
          <w:i/>
          <w:iCs/>
          <w:sz w:val="20"/>
          <w:szCs w:val="20"/>
        </w:rPr>
        <w:t>College of Policing</w:t>
      </w:r>
      <w:r w:rsidRPr="00213F81">
        <w:rPr>
          <w:rFonts w:ascii="Arial" w:hAnsi="Arial" w:cs="Arial"/>
          <w:sz w:val="20"/>
          <w:szCs w:val="20"/>
        </w:rPr>
        <w:t xml:space="preserve">. </w:t>
      </w:r>
      <w:r>
        <w:rPr>
          <w:rFonts w:ascii="Arial" w:hAnsi="Arial" w:cs="Arial"/>
          <w:sz w:val="20"/>
          <w:szCs w:val="20"/>
        </w:rPr>
        <w:t>[Online]</w:t>
      </w:r>
      <w:r w:rsidRPr="00213F81">
        <w:rPr>
          <w:rFonts w:ascii="Arial" w:hAnsi="Arial" w:cs="Arial"/>
          <w:sz w:val="20"/>
          <w:szCs w:val="20"/>
        </w:rPr>
        <w:t>Available at:</w:t>
      </w:r>
    </w:p>
    <w:p w14:paraId="460DB186" w14:textId="77777777" w:rsidR="00F33908" w:rsidRDefault="00A71CF5" w:rsidP="00F33908">
      <w:pPr>
        <w:pStyle w:val="NormalWeb"/>
        <w:spacing w:before="0" w:beforeAutospacing="0" w:after="0" w:afterAutospacing="0"/>
        <w:ind w:left="567" w:hanging="567"/>
        <w:rPr>
          <w:rFonts w:ascii="Arial" w:hAnsi="Arial" w:cs="Arial"/>
          <w:sz w:val="20"/>
          <w:szCs w:val="20"/>
        </w:rPr>
      </w:pPr>
      <w:hyperlink r:id="rId18" w:history="1">
        <w:r w:rsidR="00F33908" w:rsidRPr="002D7FE7">
          <w:rPr>
            <w:rStyle w:val="Hyperlink"/>
            <w:rFonts w:ascii="Arial" w:hAnsi="Arial" w:cs="Arial"/>
            <w:sz w:val="20"/>
            <w:szCs w:val="20"/>
          </w:rPr>
          <w:t>https://www.college.police.uk/app/major-investigation-and-public-protection/domestic-abuse/victim safety-and-support</w:t>
        </w:r>
      </w:hyperlink>
    </w:p>
    <w:p w14:paraId="166033E1" w14:textId="77777777" w:rsidR="00F33908" w:rsidRPr="00213F81" w:rsidRDefault="00F33908" w:rsidP="00F33908">
      <w:pPr>
        <w:pStyle w:val="NormalWeb"/>
        <w:spacing w:before="0" w:beforeAutospacing="0" w:after="0" w:afterAutospacing="0"/>
        <w:ind w:left="567" w:hanging="567"/>
        <w:rPr>
          <w:rFonts w:ascii="Arial" w:hAnsi="Arial" w:cs="Arial"/>
          <w:sz w:val="20"/>
          <w:szCs w:val="20"/>
        </w:rPr>
      </w:pPr>
      <w:r w:rsidRPr="00213F81">
        <w:rPr>
          <w:rFonts w:ascii="Arial" w:hAnsi="Arial" w:cs="Arial"/>
          <w:sz w:val="20"/>
          <w:szCs w:val="20"/>
        </w:rPr>
        <w:t xml:space="preserve"> Accessed: 01</w:t>
      </w:r>
      <w:r>
        <w:rPr>
          <w:rFonts w:ascii="Arial" w:hAnsi="Arial" w:cs="Arial"/>
          <w:sz w:val="20"/>
          <w:szCs w:val="20"/>
        </w:rPr>
        <w:t>/02/</w:t>
      </w:r>
      <w:r w:rsidRPr="00213F81">
        <w:rPr>
          <w:rFonts w:ascii="Arial" w:hAnsi="Arial" w:cs="Arial"/>
          <w:sz w:val="20"/>
          <w:szCs w:val="20"/>
        </w:rPr>
        <w:t xml:space="preserve">2024 </w:t>
      </w:r>
    </w:p>
    <w:p w14:paraId="03B2FC2F" w14:textId="77777777" w:rsidR="00F33908" w:rsidRPr="00EC4E2B" w:rsidRDefault="00F33908" w:rsidP="00F33908">
      <w:pPr>
        <w:rPr>
          <w:b/>
          <w:bCs/>
        </w:rPr>
      </w:pPr>
    </w:p>
    <w:p w14:paraId="696C3859" w14:textId="77777777" w:rsidR="00F33908" w:rsidRDefault="00F33908" w:rsidP="00F33908"/>
    <w:p w14:paraId="77BA9E0C" w14:textId="77777777" w:rsidR="00F33908" w:rsidRDefault="00F33908" w:rsidP="00F33908">
      <w:r>
        <w:t xml:space="preserve">Di Lemma L.C.G., Davies A.R., Ford K., Hughes K., </w:t>
      </w:r>
      <w:proofErr w:type="spellStart"/>
      <w:r>
        <w:t>Homolova</w:t>
      </w:r>
      <w:proofErr w:type="spellEnd"/>
      <w:r>
        <w:t xml:space="preserve"> L., Gray B and Richardson G. (2019). ’Responding to Adverse Childhood Experiences: An evidence review of interventions to prevent and address adversity across the life course’. </w:t>
      </w:r>
      <w:r>
        <w:rPr>
          <w:i/>
          <w:iCs/>
        </w:rPr>
        <w:t>Public Health Wales, Cardiff and Bangor University</w:t>
      </w:r>
      <w:r>
        <w:t>. 1(1): 1-42</w:t>
      </w:r>
    </w:p>
    <w:p w14:paraId="4D4E2BE5" w14:textId="77777777" w:rsidR="00F33908" w:rsidRDefault="00F33908" w:rsidP="00F33908"/>
    <w:p w14:paraId="410F2C51" w14:textId="77777777" w:rsidR="00F33908" w:rsidRDefault="00F33908" w:rsidP="00F33908">
      <w:pPr>
        <w:pStyle w:val="NormalWeb"/>
        <w:spacing w:before="0" w:beforeAutospacing="0" w:after="0" w:afterAutospacing="0"/>
        <w:ind w:left="567" w:hanging="567"/>
        <w:rPr>
          <w:rFonts w:ascii="Arial" w:hAnsi="Arial" w:cs="Arial"/>
          <w:sz w:val="20"/>
          <w:szCs w:val="20"/>
        </w:rPr>
      </w:pPr>
      <w:r w:rsidRPr="00C83A98">
        <w:rPr>
          <w:rFonts w:ascii="Arial" w:hAnsi="Arial" w:cs="Arial"/>
          <w:sz w:val="20"/>
          <w:szCs w:val="20"/>
        </w:rPr>
        <w:t>Dr Dominic Wood, Dr Sarah Bradshaw, Dr Tara Dickens. Dr Julian Parker-</w:t>
      </w:r>
      <w:proofErr w:type="spellStart"/>
      <w:r w:rsidRPr="00C83A98">
        <w:rPr>
          <w:rFonts w:ascii="Arial" w:hAnsi="Arial" w:cs="Arial"/>
          <w:sz w:val="20"/>
          <w:szCs w:val="20"/>
        </w:rPr>
        <w:t>Mcleod</w:t>
      </w:r>
      <w:proofErr w:type="spellEnd"/>
      <w:r w:rsidRPr="00C83A98">
        <w:rPr>
          <w:rFonts w:ascii="Arial" w:hAnsi="Arial" w:cs="Arial"/>
          <w:sz w:val="20"/>
          <w:szCs w:val="20"/>
        </w:rPr>
        <w:t xml:space="preserve">, Dr Francis Simpson, Graham Weaver (2023) </w:t>
      </w:r>
      <w:proofErr w:type="spellStart"/>
      <w:r w:rsidRPr="00C83A98">
        <w:rPr>
          <w:rFonts w:ascii="Arial" w:hAnsi="Arial" w:cs="Arial"/>
          <w:i/>
          <w:iCs/>
          <w:sz w:val="20"/>
          <w:szCs w:val="20"/>
        </w:rPr>
        <w:t>Blackstones</w:t>
      </w:r>
      <w:proofErr w:type="spellEnd"/>
      <w:r w:rsidRPr="00C83A98">
        <w:rPr>
          <w:rFonts w:ascii="Arial" w:hAnsi="Arial" w:cs="Arial"/>
          <w:i/>
          <w:iCs/>
          <w:sz w:val="20"/>
          <w:szCs w:val="20"/>
        </w:rPr>
        <w:t xml:space="preserve"> handbook for policing students</w:t>
      </w:r>
      <w:r w:rsidRPr="00C83A98">
        <w:rPr>
          <w:rFonts w:ascii="Arial" w:hAnsi="Arial" w:cs="Arial"/>
          <w:sz w:val="20"/>
          <w:szCs w:val="20"/>
        </w:rPr>
        <w:t>, 17</w:t>
      </w:r>
      <w:r w:rsidRPr="00C83A98">
        <w:rPr>
          <w:rFonts w:ascii="Arial" w:hAnsi="Arial" w:cs="Arial"/>
          <w:sz w:val="20"/>
          <w:szCs w:val="20"/>
          <w:vertAlign w:val="superscript"/>
        </w:rPr>
        <w:t>th</w:t>
      </w:r>
      <w:r w:rsidRPr="00C83A98">
        <w:rPr>
          <w:rFonts w:ascii="Arial" w:hAnsi="Arial" w:cs="Arial"/>
          <w:sz w:val="20"/>
          <w:szCs w:val="20"/>
        </w:rPr>
        <w:t xml:space="preserve"> edition, Oxford: Oxford University Press. safe lives (2017) </w:t>
      </w:r>
      <w:r w:rsidRPr="00C83A98">
        <w:rPr>
          <w:rFonts w:ascii="Arial" w:hAnsi="Arial" w:cs="Arial"/>
          <w:i/>
          <w:iCs/>
          <w:sz w:val="20"/>
          <w:szCs w:val="20"/>
        </w:rPr>
        <w:t xml:space="preserve">Resources for </w:t>
      </w:r>
      <w:proofErr w:type="spellStart"/>
      <w:r w:rsidRPr="00C83A98">
        <w:rPr>
          <w:rFonts w:ascii="Arial" w:hAnsi="Arial" w:cs="Arial"/>
          <w:i/>
          <w:iCs/>
          <w:sz w:val="20"/>
          <w:szCs w:val="20"/>
        </w:rPr>
        <w:t>marac</w:t>
      </w:r>
      <w:proofErr w:type="spellEnd"/>
      <w:r w:rsidRPr="00C83A98">
        <w:rPr>
          <w:rFonts w:ascii="Arial" w:hAnsi="Arial" w:cs="Arial"/>
          <w:i/>
          <w:iCs/>
          <w:sz w:val="20"/>
          <w:szCs w:val="20"/>
        </w:rPr>
        <w:t xml:space="preserve"> meetings</w:t>
      </w:r>
      <w:r w:rsidRPr="00C83A98">
        <w:rPr>
          <w:rFonts w:ascii="Arial" w:hAnsi="Arial" w:cs="Arial"/>
          <w:sz w:val="20"/>
          <w:szCs w:val="20"/>
        </w:rPr>
        <w:t xml:space="preserve">, </w:t>
      </w:r>
      <w:proofErr w:type="spellStart"/>
      <w:r w:rsidRPr="00C83A98">
        <w:rPr>
          <w:rFonts w:ascii="Arial" w:hAnsi="Arial" w:cs="Arial"/>
          <w:i/>
          <w:iCs/>
          <w:sz w:val="20"/>
          <w:szCs w:val="20"/>
        </w:rPr>
        <w:t>Safelives</w:t>
      </w:r>
      <w:proofErr w:type="spellEnd"/>
      <w:r w:rsidRPr="00C83A98">
        <w:rPr>
          <w:rFonts w:ascii="Arial" w:hAnsi="Arial" w:cs="Arial"/>
          <w:sz w:val="20"/>
          <w:szCs w:val="20"/>
        </w:rPr>
        <w:t>. Available at:</w:t>
      </w:r>
    </w:p>
    <w:p w14:paraId="7E23E781" w14:textId="77777777" w:rsidR="00F33908" w:rsidRDefault="00F33908" w:rsidP="00F33908">
      <w:pPr>
        <w:pStyle w:val="NormalWeb"/>
        <w:spacing w:before="0" w:beforeAutospacing="0" w:after="0" w:afterAutospacing="0"/>
        <w:ind w:left="567" w:hanging="567"/>
        <w:rPr>
          <w:rFonts w:ascii="Arial" w:hAnsi="Arial" w:cs="Arial"/>
          <w:sz w:val="20"/>
          <w:szCs w:val="20"/>
        </w:rPr>
      </w:pPr>
      <w:r w:rsidRPr="00C83A98">
        <w:rPr>
          <w:rFonts w:ascii="Arial" w:hAnsi="Arial" w:cs="Arial"/>
          <w:sz w:val="20"/>
          <w:szCs w:val="20"/>
        </w:rPr>
        <w:t xml:space="preserve"> </w:t>
      </w:r>
      <w:hyperlink r:id="rId19" w:history="1">
        <w:r w:rsidRPr="002D7FE7">
          <w:rPr>
            <w:rStyle w:val="Hyperlink"/>
            <w:rFonts w:ascii="Arial" w:hAnsi="Arial" w:cs="Arial"/>
            <w:sz w:val="20"/>
            <w:szCs w:val="20"/>
          </w:rPr>
          <w:t>https://safelives.org.uk/practice-support/resources-marac-meetings</w:t>
        </w:r>
      </w:hyperlink>
    </w:p>
    <w:p w14:paraId="42753606" w14:textId="77777777" w:rsidR="00F33908" w:rsidRDefault="00F33908" w:rsidP="00F33908">
      <w:pPr>
        <w:pStyle w:val="NormalWeb"/>
        <w:spacing w:before="0" w:beforeAutospacing="0"/>
        <w:ind w:left="567" w:hanging="567"/>
        <w:rPr>
          <w:rFonts w:ascii="Arial" w:hAnsi="Arial" w:cs="Arial"/>
          <w:sz w:val="20"/>
          <w:szCs w:val="20"/>
        </w:rPr>
      </w:pPr>
      <w:r w:rsidRPr="00C83A98">
        <w:rPr>
          <w:rFonts w:ascii="Arial" w:hAnsi="Arial" w:cs="Arial"/>
          <w:sz w:val="20"/>
          <w:szCs w:val="20"/>
        </w:rPr>
        <w:t>Accessed: 01</w:t>
      </w:r>
      <w:r>
        <w:rPr>
          <w:rFonts w:ascii="Arial" w:hAnsi="Arial" w:cs="Arial"/>
          <w:sz w:val="20"/>
          <w:szCs w:val="20"/>
        </w:rPr>
        <w:t>/02/</w:t>
      </w:r>
      <w:r w:rsidRPr="00C83A98">
        <w:rPr>
          <w:rFonts w:ascii="Arial" w:hAnsi="Arial" w:cs="Arial"/>
          <w:sz w:val="20"/>
          <w:szCs w:val="20"/>
        </w:rPr>
        <w:t xml:space="preserve">2024. </w:t>
      </w:r>
    </w:p>
    <w:p w14:paraId="5B1C9335" w14:textId="77777777" w:rsidR="00F33908" w:rsidRDefault="00F33908" w:rsidP="00F33908"/>
    <w:p w14:paraId="57ADC944" w14:textId="77777777" w:rsidR="00F33908" w:rsidRDefault="00F33908" w:rsidP="00F33908"/>
    <w:p w14:paraId="4AF6BBA5" w14:textId="77777777" w:rsidR="00F33908" w:rsidRDefault="00F33908" w:rsidP="00F33908">
      <w:r>
        <w:t>Janse. B (2022) ‘</w:t>
      </w:r>
      <w:proofErr w:type="spellStart"/>
      <w:r>
        <w:t>Bortons</w:t>
      </w:r>
      <w:proofErr w:type="spellEnd"/>
      <w:r>
        <w:t xml:space="preserve"> Model of reflection’ in </w:t>
      </w:r>
      <w:r>
        <w:rPr>
          <w:i/>
          <w:iCs/>
        </w:rPr>
        <w:t>TOOLSHERO</w:t>
      </w:r>
      <w:r>
        <w:t xml:space="preserve"> [Online] Available at:</w:t>
      </w:r>
    </w:p>
    <w:p w14:paraId="76897F68" w14:textId="77777777" w:rsidR="00F33908" w:rsidRDefault="00A71CF5" w:rsidP="00F33908">
      <w:hyperlink r:id="rId20" w:history="1">
        <w:r w:rsidR="00F33908">
          <w:rPr>
            <w:rStyle w:val="Hyperlink"/>
          </w:rPr>
          <w:t xml:space="preserve">Borton's model of reflection theory - </w:t>
        </w:r>
        <w:proofErr w:type="spellStart"/>
        <w:r w:rsidR="00F33908">
          <w:rPr>
            <w:rStyle w:val="Hyperlink"/>
          </w:rPr>
          <w:t>Toolshero</w:t>
        </w:r>
        <w:proofErr w:type="spellEnd"/>
      </w:hyperlink>
    </w:p>
    <w:p w14:paraId="13E9AA27" w14:textId="77777777" w:rsidR="00F33908" w:rsidRPr="0028482A" w:rsidRDefault="00F33908" w:rsidP="00F33908">
      <w:r>
        <w:t>Accessed: 25/01/2024</w:t>
      </w:r>
    </w:p>
    <w:p w14:paraId="063146E7" w14:textId="77777777" w:rsidR="00F33908" w:rsidRDefault="00F33908" w:rsidP="00F33908"/>
    <w:p w14:paraId="2F665E59" w14:textId="77777777" w:rsidR="00F33908" w:rsidRDefault="00F33908" w:rsidP="00F33908">
      <w:pPr>
        <w:pStyle w:val="NormalWeb"/>
        <w:spacing w:before="0" w:beforeAutospacing="0"/>
        <w:rPr>
          <w:rFonts w:ascii="Arial" w:hAnsi="Arial" w:cs="Arial"/>
          <w:sz w:val="20"/>
          <w:szCs w:val="20"/>
        </w:rPr>
      </w:pPr>
    </w:p>
    <w:p w14:paraId="053E3CED" w14:textId="77777777" w:rsidR="00F33908" w:rsidRDefault="00F33908" w:rsidP="00F33908">
      <w:pPr>
        <w:pStyle w:val="NormalWeb"/>
        <w:spacing w:before="0" w:beforeAutospacing="0" w:after="0" w:afterAutospacing="0"/>
        <w:ind w:left="567" w:hanging="567"/>
        <w:rPr>
          <w:rFonts w:ascii="Arial" w:hAnsi="Arial" w:cs="Arial"/>
          <w:sz w:val="20"/>
          <w:szCs w:val="20"/>
        </w:rPr>
      </w:pPr>
      <w:r w:rsidRPr="002D235F">
        <w:rPr>
          <w:rFonts w:ascii="Arial" w:hAnsi="Arial" w:cs="Arial"/>
          <w:sz w:val="20"/>
          <w:szCs w:val="20"/>
        </w:rPr>
        <w:t xml:space="preserve">NPCC (2018) </w:t>
      </w:r>
      <w:r w:rsidRPr="002D235F">
        <w:rPr>
          <w:rFonts w:ascii="Arial" w:hAnsi="Arial" w:cs="Arial"/>
          <w:i/>
          <w:iCs/>
          <w:sz w:val="20"/>
          <w:szCs w:val="20"/>
        </w:rPr>
        <w:t>Policing, health and Social Care: Working together to protect and prevent harm to vulnerable people</w:t>
      </w:r>
      <w:r w:rsidRPr="002D235F">
        <w:rPr>
          <w:rFonts w:ascii="Arial" w:hAnsi="Arial" w:cs="Arial"/>
          <w:sz w:val="20"/>
          <w:szCs w:val="20"/>
        </w:rPr>
        <w:t xml:space="preserve">, </w:t>
      </w:r>
      <w:r w:rsidRPr="002D235F">
        <w:rPr>
          <w:rFonts w:ascii="Arial" w:hAnsi="Arial" w:cs="Arial"/>
          <w:i/>
          <w:iCs/>
          <w:sz w:val="20"/>
          <w:szCs w:val="20"/>
        </w:rPr>
        <w:t>National Police Chiefs’ Council (NPCC)</w:t>
      </w:r>
      <w:r w:rsidRPr="002D235F">
        <w:rPr>
          <w:rFonts w:ascii="Arial" w:hAnsi="Arial" w:cs="Arial"/>
          <w:sz w:val="20"/>
          <w:szCs w:val="20"/>
        </w:rPr>
        <w:t xml:space="preserve">. </w:t>
      </w:r>
    </w:p>
    <w:p w14:paraId="3FB3F33D" w14:textId="77777777" w:rsidR="00F33908" w:rsidRDefault="00F33908" w:rsidP="00F33908">
      <w:pPr>
        <w:pStyle w:val="NormalWeb"/>
        <w:spacing w:before="0" w:beforeAutospacing="0"/>
        <w:ind w:left="567" w:hanging="567"/>
        <w:rPr>
          <w:rFonts w:ascii="Arial" w:hAnsi="Arial" w:cs="Arial"/>
          <w:sz w:val="20"/>
          <w:szCs w:val="20"/>
        </w:rPr>
      </w:pPr>
      <w:r w:rsidRPr="002D235F">
        <w:rPr>
          <w:rFonts w:ascii="Arial" w:hAnsi="Arial" w:cs="Arial"/>
          <w:sz w:val="20"/>
          <w:szCs w:val="20"/>
        </w:rPr>
        <w:t xml:space="preserve">Available at: https://news.npcc.police.uk/releases/policing-health-and-social-care-consensus </w:t>
      </w:r>
    </w:p>
    <w:p w14:paraId="75874C44" w14:textId="77777777" w:rsidR="00F33908" w:rsidRPr="002D235F" w:rsidRDefault="00F33908" w:rsidP="00F33908">
      <w:pPr>
        <w:pStyle w:val="NormalWeb"/>
        <w:spacing w:before="0" w:beforeAutospacing="0"/>
        <w:ind w:left="567" w:hanging="567"/>
        <w:rPr>
          <w:rFonts w:ascii="Arial" w:hAnsi="Arial" w:cs="Arial"/>
          <w:sz w:val="20"/>
          <w:szCs w:val="20"/>
        </w:rPr>
      </w:pPr>
      <w:r w:rsidRPr="002D235F">
        <w:rPr>
          <w:rFonts w:ascii="Arial" w:hAnsi="Arial" w:cs="Arial"/>
          <w:sz w:val="20"/>
          <w:szCs w:val="20"/>
        </w:rPr>
        <w:t xml:space="preserve">Accessed: 02 February 2024. </w:t>
      </w:r>
    </w:p>
    <w:p w14:paraId="6285B620" w14:textId="77777777" w:rsidR="00F33908" w:rsidRPr="00C83A98" w:rsidRDefault="00F33908" w:rsidP="00F33908">
      <w:pPr>
        <w:pStyle w:val="NormalWeb"/>
        <w:spacing w:before="0" w:beforeAutospacing="0"/>
        <w:ind w:left="567" w:hanging="567"/>
        <w:rPr>
          <w:rFonts w:ascii="Arial" w:hAnsi="Arial" w:cs="Arial"/>
          <w:sz w:val="20"/>
          <w:szCs w:val="20"/>
        </w:rPr>
      </w:pPr>
    </w:p>
    <w:p w14:paraId="3EA8D958" w14:textId="77777777" w:rsidR="00F33908" w:rsidRDefault="00F33908" w:rsidP="00F33908"/>
    <w:p w14:paraId="6EA6D823" w14:textId="77777777" w:rsidR="00F33908" w:rsidRDefault="00F33908" w:rsidP="00F33908"/>
    <w:p w14:paraId="11BEA862" w14:textId="77777777" w:rsidR="00F33908" w:rsidRDefault="00F33908" w:rsidP="00F33908">
      <w:r>
        <w:t xml:space="preserve">Surrey Police (2022) ‘Repeat Victim’ [Online] </w:t>
      </w:r>
    </w:p>
    <w:p w14:paraId="5A4E8035" w14:textId="77777777" w:rsidR="00F33908" w:rsidRDefault="00F33908" w:rsidP="00F33908">
      <w:r>
        <w:t xml:space="preserve">Available at </w:t>
      </w:r>
      <w:hyperlink r:id="rId21" w:history="1">
        <w:r>
          <w:rPr>
            <w:rStyle w:val="Hyperlink"/>
          </w:rPr>
          <w:t>Repeat Victim (surrey.police.uk)</w:t>
        </w:r>
      </w:hyperlink>
      <w:r>
        <w:t xml:space="preserve"> (Accessed: 22/01/2024)</w:t>
      </w:r>
    </w:p>
    <w:p w14:paraId="10994B79" w14:textId="77777777" w:rsidR="00F33908" w:rsidRDefault="00F33908" w:rsidP="00F33908"/>
    <w:p w14:paraId="63F108BE" w14:textId="77777777" w:rsidR="00F33908" w:rsidRDefault="00F33908" w:rsidP="00F33908">
      <w:r>
        <w:t xml:space="preserve">The University of Edinburgh (2020) ‘Gibbs reflective cycle’ in </w:t>
      </w:r>
      <w:r>
        <w:rPr>
          <w:i/>
          <w:iCs/>
        </w:rPr>
        <w:t>Reflection toolkit</w:t>
      </w:r>
      <w:r>
        <w:t xml:space="preserve">, [Online] Available: </w:t>
      </w:r>
      <w:hyperlink r:id="rId22" w:history="1">
        <w:r>
          <w:rPr>
            <w:rStyle w:val="Hyperlink"/>
          </w:rPr>
          <w:t>Gibbs' Reflective Cycle | The University of Edinburgh</w:t>
        </w:r>
      </w:hyperlink>
    </w:p>
    <w:p w14:paraId="30E94C2C" w14:textId="77777777" w:rsidR="00F33908" w:rsidRDefault="00F33908" w:rsidP="00F33908">
      <w:r>
        <w:t>Accessed: 25/01/2024</w:t>
      </w:r>
    </w:p>
    <w:p w14:paraId="011C0416" w14:textId="77777777" w:rsidR="00F33908" w:rsidRDefault="00F33908" w:rsidP="00F33908">
      <w:pPr>
        <w:pStyle w:val="NormalWeb"/>
        <w:spacing w:after="0" w:afterAutospacing="0"/>
        <w:ind w:left="567" w:hanging="567"/>
        <w:rPr>
          <w:rFonts w:ascii="Arial" w:hAnsi="Arial" w:cs="Arial"/>
          <w:sz w:val="20"/>
          <w:szCs w:val="20"/>
        </w:rPr>
      </w:pPr>
      <w:r w:rsidRPr="004C5EEF">
        <w:rPr>
          <w:rFonts w:ascii="Arial" w:hAnsi="Arial" w:cs="Arial"/>
          <w:sz w:val="20"/>
          <w:szCs w:val="20"/>
        </w:rPr>
        <w:t xml:space="preserve">Wood, S. </w:t>
      </w:r>
      <w:r w:rsidRPr="004C5EEF">
        <w:rPr>
          <w:rFonts w:ascii="Arial" w:hAnsi="Arial" w:cs="Arial"/>
          <w:i/>
          <w:iCs/>
          <w:sz w:val="20"/>
          <w:szCs w:val="20"/>
        </w:rPr>
        <w:t>et al.</w:t>
      </w:r>
      <w:r w:rsidRPr="004C5EEF">
        <w:rPr>
          <w:rFonts w:ascii="Arial" w:hAnsi="Arial" w:cs="Arial"/>
          <w:sz w:val="20"/>
          <w:szCs w:val="20"/>
        </w:rPr>
        <w:t xml:space="preserve"> (2023) </w:t>
      </w:r>
      <w:r w:rsidRPr="004C5EEF">
        <w:rPr>
          <w:rFonts w:ascii="Arial" w:hAnsi="Arial" w:cs="Arial"/>
          <w:i/>
          <w:iCs/>
          <w:sz w:val="20"/>
          <w:szCs w:val="20"/>
        </w:rPr>
        <w:t>A practical handbook on adverse childhood experiences (ACES) delivering ...</w:t>
      </w:r>
      <w:r w:rsidRPr="004C5EEF">
        <w:rPr>
          <w:rFonts w:ascii="Arial" w:hAnsi="Arial" w:cs="Arial"/>
          <w:sz w:val="20"/>
          <w:szCs w:val="20"/>
        </w:rPr>
        <w:t xml:space="preserve">, </w:t>
      </w:r>
      <w:r w:rsidRPr="004C5EEF">
        <w:rPr>
          <w:rFonts w:ascii="Arial" w:hAnsi="Arial" w:cs="Arial"/>
          <w:i/>
          <w:iCs/>
          <w:sz w:val="20"/>
          <w:szCs w:val="20"/>
        </w:rPr>
        <w:t>A practical handbook on  Adverse Childhood Experiences (ACEs) Delivering prevention, building resilience and  developing trauma-informed systems</w:t>
      </w:r>
      <w:r w:rsidRPr="004C5EEF">
        <w:rPr>
          <w:rFonts w:ascii="Arial" w:hAnsi="Arial" w:cs="Arial"/>
          <w:sz w:val="20"/>
          <w:szCs w:val="20"/>
        </w:rPr>
        <w:t xml:space="preserve">. Available at: </w:t>
      </w:r>
    </w:p>
    <w:p w14:paraId="2AD57A23" w14:textId="77777777" w:rsidR="00F33908" w:rsidRDefault="00F33908" w:rsidP="00F33908">
      <w:pPr>
        <w:pStyle w:val="NormalWeb"/>
        <w:spacing w:before="0" w:beforeAutospacing="0" w:after="0" w:afterAutospacing="0"/>
        <w:rPr>
          <w:rFonts w:ascii="Arial" w:hAnsi="Arial" w:cs="Arial"/>
          <w:sz w:val="20"/>
          <w:szCs w:val="20"/>
        </w:rPr>
      </w:pPr>
      <w:r w:rsidRPr="004C5EEF">
        <w:rPr>
          <w:rFonts w:ascii="Arial" w:hAnsi="Arial" w:cs="Arial"/>
          <w:sz w:val="20"/>
          <w:szCs w:val="20"/>
        </w:rPr>
        <w:t xml:space="preserve">https://phwwhocc.co.uk/wp-content/uploads/2023/10/PHW-WHO-ACEs-Handbook-Eng-18_09_23.pdf </w:t>
      </w:r>
    </w:p>
    <w:p w14:paraId="5ABB68C1" w14:textId="77777777" w:rsidR="00F33908" w:rsidRPr="004C5EEF" w:rsidRDefault="00F33908" w:rsidP="00F33908">
      <w:pPr>
        <w:pStyle w:val="NormalWeb"/>
        <w:spacing w:before="0" w:beforeAutospacing="0" w:after="0" w:afterAutospacing="0"/>
        <w:ind w:left="567" w:hanging="567"/>
        <w:rPr>
          <w:rFonts w:ascii="Arial" w:hAnsi="Arial" w:cs="Arial"/>
          <w:sz w:val="20"/>
          <w:szCs w:val="20"/>
        </w:rPr>
      </w:pPr>
      <w:r w:rsidRPr="004C5EEF">
        <w:rPr>
          <w:rFonts w:ascii="Arial" w:hAnsi="Arial" w:cs="Arial"/>
          <w:sz w:val="20"/>
          <w:szCs w:val="20"/>
        </w:rPr>
        <w:t>Accessed: 01</w:t>
      </w:r>
      <w:r>
        <w:rPr>
          <w:rFonts w:ascii="Arial" w:hAnsi="Arial" w:cs="Arial"/>
          <w:sz w:val="20"/>
          <w:szCs w:val="20"/>
        </w:rPr>
        <w:t>/02/</w:t>
      </w:r>
      <w:r w:rsidRPr="004C5EEF">
        <w:rPr>
          <w:rFonts w:ascii="Arial" w:hAnsi="Arial" w:cs="Arial"/>
          <w:sz w:val="20"/>
          <w:szCs w:val="20"/>
        </w:rPr>
        <w:t xml:space="preserve">2024. </w:t>
      </w:r>
    </w:p>
    <w:p w14:paraId="32E7C999" w14:textId="77777777" w:rsidR="00F33908" w:rsidRPr="00F33908" w:rsidRDefault="00F33908" w:rsidP="00F33908"/>
    <w:p w14:paraId="23F7D6A3" w14:textId="5ED5D17C" w:rsidR="00F33908" w:rsidRDefault="00F33908" w:rsidP="00F33908">
      <w:pPr>
        <w:rPr>
          <w:b/>
          <w:bCs/>
          <w:sz w:val="24"/>
          <w:szCs w:val="24"/>
        </w:rPr>
      </w:pPr>
    </w:p>
    <w:p w14:paraId="6055628C" w14:textId="77777777" w:rsidR="00F33908" w:rsidRDefault="00F33908" w:rsidP="00F33908">
      <w:pPr>
        <w:rPr>
          <w:b/>
          <w:bCs/>
          <w:sz w:val="24"/>
          <w:szCs w:val="24"/>
        </w:rPr>
      </w:pPr>
    </w:p>
    <w:p w14:paraId="4B21A317" w14:textId="77777777" w:rsidR="00F33908" w:rsidRPr="00F33908" w:rsidRDefault="00F33908" w:rsidP="00F33908">
      <w:pPr>
        <w:rPr>
          <w:b/>
          <w:bCs/>
          <w:sz w:val="24"/>
          <w:szCs w:val="24"/>
        </w:rPr>
      </w:pPr>
    </w:p>
    <w:p w14:paraId="2C99187C" w14:textId="5BE67B02" w:rsidR="00F33908" w:rsidRPr="00F33908" w:rsidRDefault="00F33908" w:rsidP="00F33908">
      <w:pPr>
        <w:rPr>
          <w:b/>
          <w:bCs/>
          <w:sz w:val="24"/>
          <w:szCs w:val="24"/>
        </w:rPr>
      </w:pPr>
      <w:r w:rsidRPr="00F33908">
        <w:rPr>
          <w:b/>
          <w:bCs/>
          <w:sz w:val="24"/>
          <w:szCs w:val="24"/>
        </w:rPr>
        <w:t>Task 2 Bibliography</w:t>
      </w:r>
    </w:p>
    <w:p w14:paraId="379B36C5" w14:textId="77777777" w:rsidR="00F33908" w:rsidRDefault="00F33908" w:rsidP="00F33908">
      <w:pPr>
        <w:tabs>
          <w:tab w:val="left" w:pos="1330"/>
        </w:tabs>
      </w:pPr>
    </w:p>
    <w:p w14:paraId="5890E26E" w14:textId="77777777" w:rsidR="00F33908" w:rsidRDefault="00F33908" w:rsidP="00F33908">
      <w:r>
        <w:t xml:space="preserve">College of Policing (2013) </w:t>
      </w:r>
      <w:r>
        <w:rPr>
          <w:i/>
          <w:iCs/>
        </w:rPr>
        <w:t>Investigation process, College of Policing</w:t>
      </w:r>
    </w:p>
    <w:p w14:paraId="494B7F03" w14:textId="77777777" w:rsidR="00F33908" w:rsidRDefault="00F33908" w:rsidP="00F33908">
      <w:r>
        <w:t xml:space="preserve">Available at: </w:t>
      </w:r>
      <w:hyperlink r:id="rId23" w:history="1">
        <w:r>
          <w:rPr>
            <w:rStyle w:val="Hyperlink"/>
          </w:rPr>
          <w:t>Investigation process | College of Policing</w:t>
        </w:r>
      </w:hyperlink>
    </w:p>
    <w:p w14:paraId="705462E4" w14:textId="77777777" w:rsidR="00F33908" w:rsidRPr="00607A56" w:rsidRDefault="00F33908" w:rsidP="00F33908">
      <w:r>
        <w:t>Accessed: 01/03/2024</w:t>
      </w:r>
    </w:p>
    <w:p w14:paraId="7062A5A2" w14:textId="77777777" w:rsidR="00F33908" w:rsidRDefault="00F33908" w:rsidP="00F33908">
      <w:pPr>
        <w:rPr>
          <w:b/>
          <w:bCs/>
        </w:rPr>
      </w:pPr>
    </w:p>
    <w:p w14:paraId="13792BC5" w14:textId="77777777" w:rsidR="00F33908" w:rsidRDefault="00F33908" w:rsidP="00F33908">
      <w:pPr>
        <w:rPr>
          <w:i/>
          <w:iCs/>
        </w:rPr>
      </w:pPr>
      <w:r>
        <w:t xml:space="preserve">College of Policing (2013) </w:t>
      </w:r>
      <w:r>
        <w:rPr>
          <w:i/>
          <w:iCs/>
        </w:rPr>
        <w:t>National Decision Model, College of policing</w:t>
      </w:r>
    </w:p>
    <w:p w14:paraId="2A90D80B" w14:textId="77777777" w:rsidR="00F33908" w:rsidRDefault="00F33908" w:rsidP="00F33908">
      <w:r>
        <w:t xml:space="preserve">Available at: </w:t>
      </w:r>
      <w:hyperlink r:id="rId24" w:history="1">
        <w:r>
          <w:rPr>
            <w:rStyle w:val="Hyperlink"/>
          </w:rPr>
          <w:t>National decision model | College of Policing</w:t>
        </w:r>
      </w:hyperlink>
    </w:p>
    <w:p w14:paraId="11BCEFAC" w14:textId="77777777" w:rsidR="00F33908" w:rsidRDefault="00F33908" w:rsidP="00F33908">
      <w:r>
        <w:t>Accessed: 29/02/2024</w:t>
      </w:r>
    </w:p>
    <w:p w14:paraId="18434C83" w14:textId="77777777" w:rsidR="00F33908" w:rsidRDefault="00F33908" w:rsidP="00F33908"/>
    <w:p w14:paraId="68DB0BD0" w14:textId="77777777" w:rsidR="00F33908" w:rsidRDefault="00F33908" w:rsidP="00F33908">
      <w:pPr>
        <w:rPr>
          <w:i/>
          <w:iCs/>
        </w:rPr>
      </w:pPr>
      <w:r>
        <w:t xml:space="preserve">College of Policing (2020) </w:t>
      </w:r>
      <w:r>
        <w:rPr>
          <w:i/>
          <w:iCs/>
        </w:rPr>
        <w:t>Partnership working, College of Policing</w:t>
      </w:r>
    </w:p>
    <w:p w14:paraId="36611CAE" w14:textId="77777777" w:rsidR="00F33908" w:rsidRDefault="00F33908" w:rsidP="00F33908">
      <w:r>
        <w:t xml:space="preserve">Available at: </w:t>
      </w:r>
      <w:hyperlink r:id="rId25" w:history="1">
        <w:r>
          <w:rPr>
            <w:rStyle w:val="Hyperlink"/>
          </w:rPr>
          <w:t>Partnership working | College of Policing</w:t>
        </w:r>
      </w:hyperlink>
    </w:p>
    <w:p w14:paraId="46960B30" w14:textId="77777777" w:rsidR="00F33908" w:rsidRPr="00FF1AAB" w:rsidRDefault="00F33908" w:rsidP="00F33908">
      <w:r>
        <w:t>Accessed: 01/03/2024</w:t>
      </w:r>
    </w:p>
    <w:p w14:paraId="05381153" w14:textId="77777777" w:rsidR="00F33908" w:rsidRDefault="00F33908" w:rsidP="00F33908"/>
    <w:p w14:paraId="52FD4B4F" w14:textId="77777777" w:rsidR="00F33908" w:rsidRDefault="00F33908" w:rsidP="00F33908">
      <w:r>
        <w:t xml:space="preserve">Crown Prosecution Service (2021) </w:t>
      </w:r>
      <w:r>
        <w:rPr>
          <w:i/>
          <w:iCs/>
        </w:rPr>
        <w:t>Special Measures</w:t>
      </w:r>
      <w:r>
        <w:t xml:space="preserve">, </w:t>
      </w:r>
      <w:r>
        <w:rPr>
          <w:i/>
          <w:iCs/>
        </w:rPr>
        <w:t>Crown Prosecution Service</w:t>
      </w:r>
    </w:p>
    <w:p w14:paraId="5A3EEB57" w14:textId="77777777" w:rsidR="00F33908" w:rsidRDefault="00F33908" w:rsidP="00F33908">
      <w:r>
        <w:t xml:space="preserve">Available at: </w:t>
      </w:r>
      <w:hyperlink r:id="rId26" w:history="1">
        <w:r>
          <w:rPr>
            <w:rStyle w:val="Hyperlink"/>
          </w:rPr>
          <w:t>Special Measures | The Crown Prosecution Service (cps.gov.uk)</w:t>
        </w:r>
      </w:hyperlink>
    </w:p>
    <w:p w14:paraId="3AD75A0C" w14:textId="77777777" w:rsidR="00F33908" w:rsidRPr="006A0DE2" w:rsidRDefault="00F33908" w:rsidP="00F33908">
      <w:r>
        <w:t>Accessed: 01/03/2024</w:t>
      </w:r>
    </w:p>
    <w:p w14:paraId="72A65858" w14:textId="77777777" w:rsidR="00F33908" w:rsidRDefault="00F33908" w:rsidP="00F33908"/>
    <w:p w14:paraId="72982DF0" w14:textId="77777777" w:rsidR="00F33908" w:rsidRDefault="00F33908" w:rsidP="00F33908">
      <w:r>
        <w:t xml:space="preserve">HMICFRS (2023) </w:t>
      </w:r>
      <w:r>
        <w:rPr>
          <w:i/>
          <w:iCs/>
        </w:rPr>
        <w:t>Golden Hour Principle, His Majesty’s Inspectorate of Constabulary, Fire &amp; rescue services</w:t>
      </w:r>
      <w:r>
        <w:t xml:space="preserve"> Available at:</w:t>
      </w:r>
    </w:p>
    <w:p w14:paraId="532747B3" w14:textId="77777777" w:rsidR="00F33908" w:rsidRDefault="00A71CF5" w:rsidP="00F33908">
      <w:hyperlink r:id="rId27" w:history="1">
        <w:r w:rsidR="00F33908">
          <w:rPr>
            <w:rStyle w:val="Hyperlink"/>
          </w:rPr>
          <w:t>Golden hour principle - His Majesty’s Inspectorate of Constabulary and Fire &amp; Rescue Services (justiceinspectorates.gov.uk)</w:t>
        </w:r>
      </w:hyperlink>
    </w:p>
    <w:p w14:paraId="24F66D14" w14:textId="77777777" w:rsidR="00F33908" w:rsidRDefault="00F33908" w:rsidP="00F33908">
      <w:r>
        <w:t>Accessed: 29/02/2024</w:t>
      </w:r>
    </w:p>
    <w:p w14:paraId="1CC363F2" w14:textId="77777777" w:rsidR="00F33908" w:rsidRDefault="00F33908" w:rsidP="00F33908"/>
    <w:p w14:paraId="0EDDFFED" w14:textId="77777777" w:rsidR="00F33908" w:rsidRDefault="00F33908" w:rsidP="00F33908">
      <w:pPr>
        <w:rPr>
          <w:i/>
          <w:iCs/>
        </w:rPr>
      </w:pPr>
      <w:r>
        <w:t xml:space="preserve">Home Office (2023) </w:t>
      </w:r>
      <w:r>
        <w:rPr>
          <w:i/>
          <w:iCs/>
        </w:rPr>
        <w:t>Crime outcomes in England and Wales 2022 to 2023, GOV.UK</w:t>
      </w:r>
    </w:p>
    <w:p w14:paraId="75AFE5BC" w14:textId="77777777" w:rsidR="00F33908" w:rsidRDefault="00F33908" w:rsidP="00F33908">
      <w:r>
        <w:t xml:space="preserve">Available at: </w:t>
      </w:r>
      <w:hyperlink r:id="rId28" w:history="1">
        <w:r>
          <w:rPr>
            <w:rStyle w:val="Hyperlink"/>
          </w:rPr>
          <w:t>Crime outcomes in England and Wales 2022 to 2023 - GOV.UK (www.gov.uk)</w:t>
        </w:r>
      </w:hyperlink>
    </w:p>
    <w:p w14:paraId="780D57CD" w14:textId="77777777" w:rsidR="00F33908" w:rsidRDefault="00F33908" w:rsidP="00F33908">
      <w:r>
        <w:t>Accessed: 29/02/2024</w:t>
      </w:r>
    </w:p>
    <w:p w14:paraId="32EE5314" w14:textId="77777777" w:rsidR="00F33908" w:rsidRDefault="00F33908" w:rsidP="00F33908"/>
    <w:p w14:paraId="7BF5E6A0" w14:textId="77777777" w:rsidR="00F33908" w:rsidRDefault="00F33908" w:rsidP="00F33908">
      <w:r>
        <w:t xml:space="preserve">Rethink Mental Illness (2023) </w:t>
      </w:r>
      <w:r>
        <w:rPr>
          <w:i/>
          <w:iCs/>
        </w:rPr>
        <w:t>Appropriate Adult – at the police station</w:t>
      </w:r>
    </w:p>
    <w:p w14:paraId="239D8974" w14:textId="77777777" w:rsidR="00F33908" w:rsidRDefault="00F33908" w:rsidP="00F33908">
      <w:r>
        <w:t xml:space="preserve">Available at: </w:t>
      </w:r>
      <w:hyperlink r:id="rId29" w:history="1">
        <w:r>
          <w:rPr>
            <w:rStyle w:val="Hyperlink"/>
          </w:rPr>
          <w:t>Appropriate adult - At the police station (rethink.org)</w:t>
        </w:r>
      </w:hyperlink>
    </w:p>
    <w:p w14:paraId="6DAEEE65" w14:textId="77777777" w:rsidR="00F33908" w:rsidRDefault="00F33908" w:rsidP="00F33908">
      <w:r>
        <w:t>Accessed: 01/03/2024</w:t>
      </w:r>
    </w:p>
    <w:p w14:paraId="6AFC8EED" w14:textId="77777777" w:rsidR="00F33908" w:rsidRDefault="00F33908" w:rsidP="00F33908">
      <w:pPr>
        <w:rPr>
          <w:i/>
          <w:iCs/>
        </w:rPr>
      </w:pPr>
      <w:r>
        <w:t xml:space="preserve">University of Edinburgh, </w:t>
      </w:r>
      <w:r>
        <w:rPr>
          <w:i/>
          <w:iCs/>
        </w:rPr>
        <w:t>Gibbs Reflective Cycle (2020) University of Edinburgh</w:t>
      </w:r>
    </w:p>
    <w:p w14:paraId="76040C36" w14:textId="77777777" w:rsidR="00F33908" w:rsidRDefault="00F33908" w:rsidP="00F33908">
      <w:r>
        <w:t xml:space="preserve">Available at: </w:t>
      </w:r>
      <w:hyperlink r:id="rId30" w:history="1">
        <w:r>
          <w:rPr>
            <w:rStyle w:val="Hyperlink"/>
          </w:rPr>
          <w:t>Gibbs' Reflective Cycle | The University of Edinburgh</w:t>
        </w:r>
      </w:hyperlink>
    </w:p>
    <w:p w14:paraId="14556609" w14:textId="77777777" w:rsidR="00F33908" w:rsidRPr="0077160E" w:rsidRDefault="00F33908" w:rsidP="00F33908">
      <w:r>
        <w:t>Accessed: 02/03/2024</w:t>
      </w:r>
    </w:p>
    <w:p w14:paraId="2B3828D5" w14:textId="77777777" w:rsidR="00F33908" w:rsidRDefault="00F33908" w:rsidP="00F33908"/>
    <w:p w14:paraId="24834ABF" w14:textId="77777777" w:rsidR="00F33908" w:rsidRDefault="00F33908" w:rsidP="00F33908">
      <w:r>
        <w:t xml:space="preserve">Victim Support (2024) </w:t>
      </w:r>
      <w:r>
        <w:rPr>
          <w:i/>
          <w:iCs/>
        </w:rPr>
        <w:t>Help and support, Victim Support</w:t>
      </w:r>
    </w:p>
    <w:p w14:paraId="5BD75348" w14:textId="77777777" w:rsidR="00F33908" w:rsidRDefault="00F33908" w:rsidP="00F33908">
      <w:r>
        <w:t xml:space="preserve">Available at: </w:t>
      </w:r>
      <w:hyperlink r:id="rId31" w:history="1">
        <w:r>
          <w:rPr>
            <w:rStyle w:val="Hyperlink"/>
          </w:rPr>
          <w:t>How we can help - Victim Support</w:t>
        </w:r>
      </w:hyperlink>
    </w:p>
    <w:p w14:paraId="6EA2DF73" w14:textId="77777777" w:rsidR="00F33908" w:rsidRPr="004A50FC" w:rsidRDefault="00F33908" w:rsidP="00F33908">
      <w:r>
        <w:t>Accessed: 01/03/2024</w:t>
      </w:r>
    </w:p>
    <w:p w14:paraId="79632700" w14:textId="77777777" w:rsidR="00F33908" w:rsidRDefault="00F33908" w:rsidP="00F33908"/>
    <w:p w14:paraId="6BDC1E50" w14:textId="77777777" w:rsidR="00F33908" w:rsidRPr="00D87B8B" w:rsidRDefault="00F33908" w:rsidP="00F33908">
      <w:r>
        <w:t xml:space="preserve">Wood, D. (2023) </w:t>
      </w:r>
      <w:r>
        <w:rPr>
          <w:i/>
          <w:iCs/>
        </w:rPr>
        <w:t xml:space="preserve">Blackstone’s handbook for policing students. </w:t>
      </w:r>
      <w:r>
        <w:t>Oxford: Oxford University Press</w:t>
      </w:r>
    </w:p>
    <w:p w14:paraId="7FF22A09" w14:textId="745D3A87" w:rsidR="00F33908" w:rsidRPr="00F33908" w:rsidRDefault="00F33908" w:rsidP="00F33908">
      <w:pPr>
        <w:tabs>
          <w:tab w:val="left" w:pos="1330"/>
        </w:tabs>
      </w:pPr>
      <w:r>
        <w:tab/>
      </w:r>
    </w:p>
    <w:sectPr w:rsidR="00F33908" w:rsidRPr="00F3390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8F076A" w14:textId="77777777" w:rsidR="005F4F50" w:rsidRDefault="005F4F50">
      <w:r>
        <w:separator/>
      </w:r>
    </w:p>
  </w:endnote>
  <w:endnote w:type="continuationSeparator" w:id="0">
    <w:p w14:paraId="6DA1EAB9" w14:textId="77777777" w:rsidR="005F4F50" w:rsidRDefault="005F4F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63BC78" w14:textId="77777777" w:rsidR="005F4F50" w:rsidRDefault="005F4F50">
      <w:r>
        <w:separator/>
      </w:r>
    </w:p>
  </w:footnote>
  <w:footnote w:type="continuationSeparator" w:id="0">
    <w:p w14:paraId="77BBA8FA" w14:textId="77777777" w:rsidR="005F4F50" w:rsidRDefault="005F4F5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3E7D"/>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2AE4"/>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4F50"/>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185"/>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2A07"/>
    <w:rsid w:val="007C35F1"/>
    <w:rsid w:val="007C6A87"/>
    <w:rsid w:val="007C705D"/>
    <w:rsid w:val="007D0A07"/>
    <w:rsid w:val="007D0C96"/>
    <w:rsid w:val="007D133D"/>
    <w:rsid w:val="007D3EB4"/>
    <w:rsid w:val="007D3F16"/>
    <w:rsid w:val="007D469A"/>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1CF5"/>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26D8B"/>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8DD"/>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3908"/>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F3390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victim%20safety-and-support" TargetMode="External"/><Relationship Id="rId26" Type="http://schemas.openxmlformats.org/officeDocument/2006/relationships/hyperlink" Target="https://www.cps.gov.uk/legal-guidance/special-measures" TargetMode="External"/><Relationship Id="rId3" Type="http://schemas.openxmlformats.org/officeDocument/2006/relationships/customXml" Target="../customXml/item3.xml"/><Relationship Id="rId21" Type="http://schemas.openxmlformats.org/officeDocument/2006/relationships/hyperlink" Target="https://www.surrey.police.uk/SysSiteAssets/foi-media/surrey/policies/repeat-victim-v4-08.2022.pdf" TargetMode="Externa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5" Type="http://schemas.openxmlformats.org/officeDocument/2006/relationships/hyperlink" Target="https://www.college.police.uk/app/major-investigation-and-public-protection/hate-crime/partnership-work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oolshero.com/personal-development/borton-model-of-reflection/" TargetMode="External"/><Relationship Id="rId29" Type="http://schemas.openxmlformats.org/officeDocument/2006/relationships/hyperlink" Target="https://www.rethink.org/advice-and-information/rights-restrictions/police-courts-and-prison/appropriate-adult-at-the-police-st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gov.uk/government/statistics/crime-outcomes-in-england-and-wales-2022-to-2023/crime-outcomes-in-england-and-wales-2022-to-2023" TargetMode="External"/><Relationship Id="rId10" Type="http://schemas.openxmlformats.org/officeDocument/2006/relationships/endnotes" Target="endnotes.xml"/><Relationship Id="rId19" Type="http://schemas.openxmlformats.org/officeDocument/2006/relationships/hyperlink" Target="https://safelives.org.uk/practice-support/resources-marac-meetings" TargetMode="External"/><Relationship Id="rId31" Type="http://schemas.openxmlformats.org/officeDocument/2006/relationships/hyperlink" Target="https://www.victimsupport.org.uk/help-and-support/how-we-can-hel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hyperlink" Target="https://hmicfrs.justiceinspectorates.gov.uk/glossary/golden-hour-principle/" TargetMode="External"/><Relationship Id="rId30"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20</Pages>
  <Words>6280</Words>
  <Characters>36609</Characters>
  <Application>Microsoft Office Word</Application>
  <DocSecurity>0</DocSecurity>
  <Lines>305</Lines>
  <Paragraphs>85</Paragraphs>
  <ScaleCrop>false</ScaleCrop>
  <Company>Powys County Council</Company>
  <LinksUpToDate>false</LinksUpToDate>
  <CharactersWithSpaces>42804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Ellis,Daniel swp8569</cp:lastModifiedBy>
  <cp:revision>7</cp:revision>
  <cp:lastPrinted>2014-08-26T08:55:00Z</cp:lastPrinted>
  <dcterms:created xsi:type="dcterms:W3CDTF">2024-01-11T11:48:00Z</dcterms:created>
  <dcterms:modified xsi:type="dcterms:W3CDTF">2024-07-27T12:07:00Z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2024-01-11T11:48:58Z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fbc7c202-e774-4a5c-8250-2ee4e5f2e9ae</vt:lpwstr>
  </property>
  <property fmtid="{D5CDD505-2E9C-101B-9397-08002B2CF9AE}" pid="9" name="MSIP_Label_66cf8fe5-b7b7-4df7-b38d-1c61ac2f6639_ContentBits">
    <vt:lpwstr>0</vt:lpwstr>
  </property>
</Properties>
</file>