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2" name="image3.png"/>
            <a:graphic>
              <a:graphicData uri="http://schemas.openxmlformats.org/drawingml/2006/picture">
                <pic:pic>
                  <pic:nvPicPr>
                    <pic:cNvPr descr="Discover University of Wales Trinity Saint David" id="0" name="image3.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7">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 Michala Peterova</w:t>
      </w:r>
    </w:p>
    <w:p w:rsidR="00000000" w:rsidDel="00000000" w:rsidP="00000000" w:rsidRDefault="00000000" w:rsidRPr="00000000" w14:paraId="00000008">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 2418841</w:t>
      </w:r>
    </w:p>
    <w:p w:rsidR="00000000" w:rsidDel="00000000" w:rsidP="00000000" w:rsidRDefault="00000000" w:rsidRPr="00000000" w14:paraId="00000009">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A">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 Introduction to Physiology</w:t>
      </w:r>
    </w:p>
    <w:p w:rsidR="00000000" w:rsidDel="00000000" w:rsidP="00000000" w:rsidRDefault="00000000" w:rsidRPr="00000000" w14:paraId="0000000B">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:BMHP5023</w:t>
      </w:r>
    </w:p>
    <w:p w:rsidR="00000000" w:rsidDel="00000000" w:rsidP="00000000" w:rsidRDefault="00000000" w:rsidRPr="00000000" w14:paraId="0000000C">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Lecturer name</w:t>
      </w:r>
      <w:r w:rsidDel="00000000" w:rsidR="00000000" w:rsidRPr="00000000">
        <w:rPr>
          <w:rFonts w:ascii="Arial" w:cs="Arial" w:eastAsia="Arial" w:hAnsi="Arial"/>
          <w:sz w:val="28"/>
          <w:szCs w:val="28"/>
          <w:rtl w:val="0"/>
        </w:rPr>
        <w:t xml:space="preserve">:Soban Sadiq</w:t>
      </w:r>
    </w:p>
    <w:p w:rsidR="00000000" w:rsidDel="00000000" w:rsidP="00000000" w:rsidRDefault="00000000" w:rsidRPr="00000000" w14:paraId="0000000D">
      <w:pPr>
        <w:tabs>
          <w:tab w:val="left" w:leader="none" w:pos="6540"/>
        </w:tabs>
        <w:spacing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 </w:t>
      </w:r>
    </w:p>
    <w:p w:rsidR="00000000" w:rsidDel="00000000" w:rsidP="00000000" w:rsidRDefault="00000000" w:rsidRPr="00000000" w14:paraId="0000000E">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F">
      <w:pPr>
        <w:spacing w:line="360" w:lineRule="auto"/>
        <w:rPr>
          <w:rFonts w:ascii="Arial" w:cs="Arial" w:eastAsia="Arial" w:hAnsi="Arial"/>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1"/>
        <w:spacing w:line="360" w:lineRule="auto"/>
        <w:rPr/>
      </w:pPr>
      <w:r w:rsidDel="00000000" w:rsidR="00000000" w:rsidRPr="00000000">
        <w:rPr>
          <w:rtl w:val="0"/>
        </w:rPr>
        <w:t xml:space="preserve">1. Introduction </w:t>
      </w:r>
    </w:p>
    <w:p w:rsidR="00000000" w:rsidDel="00000000" w:rsidP="00000000" w:rsidRDefault="00000000" w:rsidRPr="00000000" w14:paraId="00000011">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primary care settings, an increasing number of patients are being diagnosed with Type 2 diabetes. Observations from routine clinics reveal that many of these patients have limited understanding of their condition, which can compromise their ability to manage blood sugar levels safely and effectively. This lack of knowledge may contribute to the progression of complications such as cardiovascular disease, kidney dysfunction, neuropathy, and vision impairment. Therefore, the aim of this report is to provide comprehensive information that can help patients understand their condition, its biological mechanisms, associated risk factors, and how lifestyle interventions can positively impact their health.</w:t>
      </w:r>
    </w:p>
    <w:p w:rsidR="00000000" w:rsidDel="00000000" w:rsidP="00000000" w:rsidRDefault="00000000" w:rsidRPr="00000000" w14:paraId="00000012">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Diabetes mellitus is a chronic metabolic disorder characterised by elevated blood glucose levels due to defects in insulin secretion, insulin action, or both (World Health Organization, 2023). There are several types of diabetes:</w:t>
      </w:r>
    </w:p>
    <w:p w:rsidR="00000000" w:rsidDel="00000000" w:rsidP="00000000" w:rsidRDefault="00000000" w:rsidRPr="00000000" w14:paraId="00000013">
      <w:pPr>
        <w:numPr>
          <w:ilvl w:val="0"/>
          <w:numId w:val="3"/>
        </w:numPr>
        <w:tabs>
          <w:tab w:val="left" w:leader="none" w:pos="6540"/>
        </w:tabs>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Type 1 diabetes:</w:t>
      </w:r>
      <w:r w:rsidDel="00000000" w:rsidR="00000000" w:rsidRPr="00000000">
        <w:rPr>
          <w:rFonts w:ascii="Arial" w:cs="Arial" w:eastAsia="Arial" w:hAnsi="Arial"/>
          <w:sz w:val="22"/>
          <w:szCs w:val="22"/>
          <w:rtl w:val="0"/>
        </w:rPr>
        <w:t xml:space="preserve"> An autoimmune disorder resulting in absolute insulin deficiency due to destruction of pancreatic beta cells.</w:t>
        <w:br w:type="textWrapping"/>
      </w:r>
    </w:p>
    <w:p w:rsidR="00000000" w:rsidDel="00000000" w:rsidP="00000000" w:rsidRDefault="00000000" w:rsidRPr="00000000" w14:paraId="00000014">
      <w:pPr>
        <w:numPr>
          <w:ilvl w:val="0"/>
          <w:numId w:val="3"/>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Type 2 diabetes:</w:t>
      </w:r>
      <w:r w:rsidDel="00000000" w:rsidR="00000000" w:rsidRPr="00000000">
        <w:rPr>
          <w:rFonts w:ascii="Arial" w:cs="Arial" w:eastAsia="Arial" w:hAnsi="Arial"/>
          <w:sz w:val="22"/>
          <w:szCs w:val="22"/>
          <w:rtl w:val="0"/>
        </w:rPr>
        <w:t xml:space="preserve"> Develops gradually, often associated with insulin resistance and relative insulin deficiency.</w:t>
        <w:br w:type="textWrapping"/>
      </w:r>
    </w:p>
    <w:p w:rsidR="00000000" w:rsidDel="00000000" w:rsidP="00000000" w:rsidRDefault="00000000" w:rsidRPr="00000000" w14:paraId="00000015">
      <w:pPr>
        <w:numPr>
          <w:ilvl w:val="0"/>
          <w:numId w:val="3"/>
        </w:numPr>
        <w:tabs>
          <w:tab w:val="left" w:leader="none" w:pos="6540"/>
        </w:tabs>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Gestational diabetes:</w:t>
      </w:r>
      <w:r w:rsidDel="00000000" w:rsidR="00000000" w:rsidRPr="00000000">
        <w:rPr>
          <w:rFonts w:ascii="Arial" w:cs="Arial" w:eastAsia="Arial" w:hAnsi="Arial"/>
          <w:sz w:val="22"/>
          <w:szCs w:val="22"/>
          <w:rtl w:val="0"/>
        </w:rPr>
        <w:t xml:space="preserve"> Develops during pregnancy and typically resolves postpartum, although it increases long-term risk of Type 2 diabetes.</w:t>
        <w:br w:type="textWrapping"/>
      </w:r>
    </w:p>
    <w:p w:rsidR="00000000" w:rsidDel="00000000" w:rsidP="00000000" w:rsidRDefault="00000000" w:rsidRPr="00000000" w14:paraId="00000016">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 factors</w:t>
      </w:r>
      <w:r w:rsidDel="00000000" w:rsidR="00000000" w:rsidRPr="00000000">
        <w:rPr>
          <w:rFonts w:ascii="Arial" w:cs="Arial" w:eastAsia="Arial" w:hAnsi="Arial"/>
          <w:sz w:val="22"/>
          <w:szCs w:val="22"/>
          <w:rtl w:val="0"/>
        </w:rPr>
        <w:t xml:space="preserve"> for Type 2 diabetes include modifiable factors such as obesity, poor diet, physical inactivity, smoking, and excessive alcohol consumption, as well as non-modifiable factors such as age, family history, and certain ethnic backgrounds, including South Asian and African Caribbean populations (Ley et al., 2014; Willi et al., 2007). Educating patients about these risk factors encourages proactive engagement with care plans and motivates lifestyle changes that can prevent complications.</w:t>
      </w:r>
    </w:p>
    <w:p w:rsidR="00000000" w:rsidDel="00000000" w:rsidP="00000000" w:rsidRDefault="00000000" w:rsidRPr="00000000" w14:paraId="00000017">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Education also plays a crucial role in </w:t>
      </w:r>
      <w:r w:rsidDel="00000000" w:rsidR="00000000" w:rsidRPr="00000000">
        <w:rPr>
          <w:rFonts w:ascii="Arial" w:cs="Arial" w:eastAsia="Arial" w:hAnsi="Arial"/>
          <w:b w:val="1"/>
          <w:bCs w:val="1"/>
          <w:sz w:val="22"/>
          <w:szCs w:val="22"/>
          <w:rtl w:val="0"/>
        </w:rPr>
        <w:t xml:space="preserve">patient empowerment</w:t>
      </w:r>
      <w:r w:rsidDel="00000000" w:rsidR="00000000" w:rsidRPr="00000000">
        <w:rPr>
          <w:rFonts w:ascii="Arial" w:cs="Arial" w:eastAsia="Arial" w:hAnsi="Arial"/>
          <w:sz w:val="22"/>
          <w:szCs w:val="22"/>
          <w:rtl w:val="0"/>
        </w:rPr>
        <w:t xml:space="preserve">. Patients who understand the mechanisms of diabetes and its long-term consequences are more likely to adhere to treatment regimens, adopt healthy lifestyle practices, and feel confident in managing their condition independently. By linking biological knowledge with practical strategies, nurses can foster self-efficacy and promote sustained behaviour change, which is particularly important in chronic conditions like Type 2 diabetes. Furthermore, patients who are well-informed are more likely to recognize early warning signs of complications and seek timely intervention, which can prevent hospital admissions and improve long-term outcomes.</w:t>
      </w:r>
    </w:p>
    <w:p w:rsidR="00000000" w:rsidDel="00000000" w:rsidP="00000000" w:rsidRDefault="00000000" w:rsidRPr="00000000" w14:paraId="00000018">
      <w:pPr>
        <w:tabs>
          <w:tab w:val="left" w:leader="none" w:pos="6540"/>
        </w:tabs>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4714875" cy="7229475"/>
            <wp:effectExtent b="0" l="0" r="0" t="0"/>
            <wp:docPr id="3"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4714875" cy="7229475"/>
                    </a:xfrm>
                    <a:prstGeom prst="rect"/>
                    <a:ln/>
                  </pic:spPr>
                </pic:pic>
              </a:graphicData>
            </a:graphic>
          </wp:inline>
        </w:drawing>
      </w:r>
      <w:r w:rsidDel="00000000" w:rsidR="00000000" w:rsidRPr="00000000">
        <w:rPr>
          <w:rFonts w:ascii="Arial" w:cs="Arial" w:eastAsia="Arial" w:hAnsi="Arial"/>
          <w:sz w:val="22"/>
          <w:szCs w:val="22"/>
          <w:rtl w:val="0"/>
        </w:rPr>
        <w:br w:type="textWrapping"/>
        <w:t xml:space="preserve"> </w:t>
      </w:r>
      <w:r w:rsidDel="00000000" w:rsidR="00000000" w:rsidRPr="00000000">
        <w:rPr>
          <w:rFonts w:ascii="Arial" w:cs="Arial" w:eastAsia="Arial" w:hAnsi="Arial"/>
          <w:b w:val="1"/>
          <w:bCs w:val="1"/>
          <w:sz w:val="22"/>
          <w:szCs w:val="22"/>
          <w:rtl w:val="0"/>
        </w:rPr>
        <w:t xml:space="preserve">Figure 1:</w:t>
      </w:r>
      <w:r w:rsidDel="00000000" w:rsidR="00000000" w:rsidRPr="00000000">
        <w:rPr>
          <w:rFonts w:ascii="Arial" w:cs="Arial" w:eastAsia="Arial" w:hAnsi="Arial"/>
          <w:sz w:val="22"/>
          <w:szCs w:val="22"/>
          <w:rtl w:val="0"/>
        </w:rPr>
        <w:t xml:space="preserve"> The endocrine system and the role of the pancreas in insulin production (NHS, The endocrine system is central to blood glucose regulation. The pancreas produces </w:t>
      </w:r>
      <w:r w:rsidDel="00000000" w:rsidR="00000000" w:rsidRPr="00000000">
        <w:rPr>
          <w:rFonts w:ascii="Arial" w:cs="Arial" w:eastAsia="Arial" w:hAnsi="Arial"/>
          <w:b w:val="1"/>
          <w:bCs w:val="1"/>
          <w:sz w:val="22"/>
          <w:szCs w:val="22"/>
          <w:rtl w:val="0"/>
        </w:rPr>
        <w:t xml:space="preserve">insulin</w:t>
      </w:r>
      <w:r w:rsidDel="00000000" w:rsidR="00000000" w:rsidRPr="00000000">
        <w:rPr>
          <w:rFonts w:ascii="Arial" w:cs="Arial" w:eastAsia="Arial" w:hAnsi="Arial"/>
          <w:sz w:val="22"/>
          <w:szCs w:val="22"/>
          <w:rtl w:val="0"/>
        </w:rPr>
        <w:t xml:space="preserve"> and </w:t>
      </w:r>
      <w:r w:rsidDel="00000000" w:rsidR="00000000" w:rsidRPr="00000000">
        <w:rPr>
          <w:rFonts w:ascii="Arial" w:cs="Arial" w:eastAsia="Arial" w:hAnsi="Arial"/>
          <w:b w:val="1"/>
          <w:bCs w:val="1"/>
          <w:sz w:val="22"/>
          <w:szCs w:val="22"/>
          <w:rtl w:val="0"/>
        </w:rPr>
        <w:t xml:space="preserve">glucagon</w:t>
      </w:r>
      <w:r w:rsidDel="00000000" w:rsidR="00000000" w:rsidRPr="00000000">
        <w:rPr>
          <w:rFonts w:ascii="Arial" w:cs="Arial" w:eastAsia="Arial" w:hAnsi="Arial"/>
          <w:sz w:val="22"/>
          <w:szCs w:val="22"/>
          <w:rtl w:val="0"/>
        </w:rPr>
        <w:t xml:space="preserve">, which act in concert to maintain homeostasis. Understanding these processes helps patients relate the biological mechanisms to practical self-management strategies, enhancing confidence and promoting adherence to diet, physical activity, and pharmacological therapy. Additionally, integrating this understanding into patient education allows healthcare professionals to provide tailored advice and support, improving overall health outcomes. By incorporating visual diagrams and simple explanations, patients are able to connect physiological mechanisms with their daily lifestyle choices, reinforcing motivation to engage in effective self-care.2024).</w:t>
      </w:r>
    </w:p>
    <w:p w:rsidR="00000000" w:rsidDel="00000000" w:rsidP="00000000" w:rsidRDefault="00000000" w:rsidRPr="00000000" w14:paraId="0000001A">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Effective diabetes management requires the integration of pharmacological treatment, self-monitoring of blood glucose (SMBG), and lifestyle interventions. Practice nurses serve a vital role in educating patients, interpreting glucose data, and guiding behaviour changes. The following sections explore blood glucose regulation, cellular metabolism, monitoring strategies, and evidence-based lifestyle recommendations to enhance patient outcomes</w:t>
      </w:r>
      <w:r w:rsidDel="00000000" w:rsidR="00000000" w:rsidRPr="00000000">
        <w:rPr>
          <w:rFonts w:ascii="Arial" w:cs="Arial" w:eastAsia="Arial" w:hAnsi="Arial"/>
          <w:i w:val="1"/>
          <w:iCs w:val="1"/>
          <w:sz w:val="22"/>
          <w:szCs w:val="22"/>
          <w:rtl w:val="0"/>
        </w:rPr>
        <w:t xml:space="preserve">.</w:t>
      </w:r>
      <w:r w:rsidDel="00000000" w:rsidR="00000000" w:rsidRPr="00000000">
        <w:rPr>
          <w:rtl w:val="0"/>
        </w:rPr>
      </w:r>
    </w:p>
    <w:p w:rsidR="00000000" w:rsidDel="00000000" w:rsidP="00000000" w:rsidRDefault="00000000" w:rsidRPr="00000000" w14:paraId="0000001B">
      <w:pPr>
        <w:tabs>
          <w:tab w:val="left" w:leader="none" w:pos="6540"/>
        </w:tabs>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C">
      <w:pPr>
        <w:tabs>
          <w:tab w:val="left" w:leader="none" w:pos="6540"/>
        </w:tabs>
        <w:spacing w:line="360" w:lineRule="auto"/>
        <w:rPr>
          <w:rFonts w:ascii="Arial" w:cs="Arial" w:eastAsia="Arial" w:hAnsi="Arial"/>
          <w:color w:val="8eaadb"/>
          <w:sz w:val="22"/>
          <w:szCs w:val="22"/>
        </w:rPr>
      </w:pPr>
      <w:r w:rsidDel="00000000" w:rsidR="00000000" w:rsidRPr="00000000">
        <w:rPr>
          <w:rtl w:val="0"/>
        </w:rPr>
      </w:r>
    </w:p>
    <w:p w:rsidR="00000000" w:rsidDel="00000000" w:rsidP="00000000" w:rsidRDefault="00000000" w:rsidRPr="00000000" w14:paraId="0000001D">
      <w:pPr>
        <w:pStyle w:val="Heading1"/>
        <w:spacing w:line="360" w:lineRule="auto"/>
        <w:rPr/>
      </w:pPr>
      <w:r w:rsidDel="00000000" w:rsidR="00000000" w:rsidRPr="00000000">
        <w:rPr>
          <w:rtl w:val="0"/>
        </w:rPr>
        <w:t xml:space="preserve">2. Blood Sugar Regulation</w:t>
      </w:r>
    </w:p>
    <w:p w:rsidR="00000000" w:rsidDel="00000000" w:rsidP="00000000" w:rsidRDefault="00000000" w:rsidRPr="00000000" w14:paraId="0000001E">
      <w:pPr>
        <w:numPr>
          <w:ilvl w:val="0"/>
          <w:numId w:val="2"/>
        </w:numPr>
        <w:tabs>
          <w:tab w:val="left" w:leader="none" w:pos="6540"/>
        </w:tabs>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Maintaining blood glucose within a safe range is essential for cellular and organ function. Normal fasting blood glucose is 4–6 mmol/L, with postprandial levels below 7.8 mmol/L (American Diabetes Association, 2023). The body achieves this regulation primarily through the interplay of insulin and glucagon in a complex feedback loop.</w:t>
      </w:r>
    </w:p>
    <w:p w:rsidR="00000000" w:rsidDel="00000000" w:rsidP="00000000" w:rsidRDefault="00000000" w:rsidRPr="00000000" w14:paraId="0000001F">
      <w:pPr>
        <w:numPr>
          <w:ilvl w:val="0"/>
          <w:numId w:val="2"/>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Insulin</w:t>
      </w:r>
      <w:r w:rsidDel="00000000" w:rsidR="00000000" w:rsidRPr="00000000">
        <w:rPr>
          <w:rFonts w:ascii="Arial" w:cs="Arial" w:eastAsia="Arial" w:hAnsi="Arial"/>
          <w:sz w:val="22"/>
          <w:szCs w:val="22"/>
          <w:rtl w:val="0"/>
        </w:rPr>
        <w:t xml:space="preserve">, secreted by pancreatic beta cells after meals, promotes glucose uptake by muscle, adipose tissue, and the liver. It also stimulates glycogen synthesis and storage, lowering blood glucose levels efficiently. In addition, insulin influences protein and lipid metabolism, helping maintain overall energy balance and supporting healthy organ function. Disruption of insulin signalling can therefore affect multiple physiological processes beyond glucose regulation, highlighting the systemic impact of diabetes.</w:t>
      </w:r>
    </w:p>
    <w:p w:rsidR="00000000" w:rsidDel="00000000" w:rsidP="00000000" w:rsidRDefault="00000000" w:rsidRPr="00000000" w14:paraId="00000020">
      <w:pPr>
        <w:numPr>
          <w:ilvl w:val="0"/>
          <w:numId w:val="2"/>
        </w:numPr>
        <w:tabs>
          <w:tab w:val="left" w:leader="none" w:pos="6540"/>
        </w:tabs>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Glucagon</w:t>
      </w:r>
      <w:r w:rsidDel="00000000" w:rsidR="00000000" w:rsidRPr="00000000">
        <w:rPr>
          <w:rFonts w:ascii="Arial" w:cs="Arial" w:eastAsia="Arial" w:hAnsi="Arial"/>
          <w:sz w:val="22"/>
          <w:szCs w:val="22"/>
          <w:rtl w:val="0"/>
        </w:rPr>
        <w:t xml:space="preserve">, secreted by pancreatic alpha cells during fasting or hypoglycaemia, triggers glycogenolysis and gluconeogenesis in the liver, increasing circulating glucose to maintain energy availability (Saltiel &amp; Kahn, 2001). Glucagon also helps ensure that the brain and other glucose-dependent organs receive a continuous energy supply, particularly during periods of fasting or prolonged physical activity.</w:t>
      </w:r>
    </w:p>
    <w:p w:rsidR="00000000" w:rsidDel="00000000" w:rsidP="00000000" w:rsidRDefault="00000000" w:rsidRPr="00000000" w14:paraId="00000021">
      <w:pPr>
        <w:tabs>
          <w:tab w:val="left" w:leader="none" w:pos="6540"/>
        </w:tabs>
        <w:spacing w:after="240" w:before="240" w:line="360"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2">
      <w:pPr>
        <w:tabs>
          <w:tab w:val="left" w:leader="none" w:pos="6540"/>
        </w:tabs>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3">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i w:val="1"/>
          <w:iCs w:val="1"/>
          <w:sz w:val="22"/>
          <w:szCs w:val="22"/>
        </w:rPr>
        <w:drawing>
          <wp:inline distB="114300" distT="114300" distL="114300" distR="114300">
            <wp:extent cx="4733925" cy="7200900"/>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733925" cy="7200900"/>
                    </a:xfrm>
                    <a:prstGeom prst="rect"/>
                    <a:ln/>
                  </pic:spPr>
                </pic:pic>
              </a:graphicData>
            </a:graphic>
          </wp:inline>
        </w:drawing>
      </w:r>
      <w:r w:rsidDel="00000000" w:rsidR="00000000" w:rsidRPr="00000000">
        <w:rPr>
          <w:rFonts w:ascii="Arial" w:cs="Arial" w:eastAsia="Arial" w:hAnsi="Arial"/>
          <w:i w:val="1"/>
          <w:iCs w:val="1"/>
          <w:sz w:val="22"/>
          <w:szCs w:val="22"/>
          <w:rtl w:val="0"/>
        </w:rPr>
        <w:br w:type="textWrapping"/>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bCs w:val="1"/>
          <w:sz w:val="22"/>
          <w:szCs w:val="22"/>
          <w:rtl w:val="0"/>
        </w:rPr>
        <w:t xml:space="preserve">Figure 2:</w:t>
      </w:r>
      <w:r w:rsidDel="00000000" w:rsidR="00000000" w:rsidRPr="00000000">
        <w:rPr>
          <w:rFonts w:ascii="Arial" w:cs="Arial" w:eastAsia="Arial" w:hAnsi="Arial"/>
          <w:sz w:val="22"/>
          <w:szCs w:val="22"/>
          <w:rtl w:val="0"/>
        </w:rPr>
        <w:t xml:space="preserve"> Regulation of blood glucose levels by insulin and glucagon (American Diabetes Association, 2023).</w:t>
      </w:r>
    </w:p>
    <w:p w:rsidR="00000000" w:rsidDel="00000000" w:rsidP="00000000" w:rsidRDefault="00000000" w:rsidRPr="00000000" w14:paraId="00000024">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Type 2 diabetes, insulin resistance reduces cellular glucose uptake, resulting in chronic hyperglycaemia. Over time, beta-cell dysfunction worsens, further impairing glucose regulation. Persistent hyperglycaemia is linked to microvascular complications (retinopathy, nephropathy, neuropathy) and macrovascular complications, including cardiovascular disease. Understanding these mechanisms helps patients recognize why blood glucose monitoring, dietary control, and regular exercise are critical in daily diabetes management. By seeing the direct connection between lifestyle behaviours and hormone function, patients can take proactive steps to prevent complications.</w:t>
      </w:r>
    </w:p>
    <w:p w:rsidR="00000000" w:rsidDel="00000000" w:rsidP="00000000" w:rsidRDefault="00000000" w:rsidRPr="00000000" w14:paraId="00000025">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Hormonal regulation affects multiple organs. For example, inadequate insulin action in muscle tissue reduces glucose uptake, while in the liver it increases glucose production. In adipose tissue, impaired insulin signalling leads to increased free fatty acids in the bloodstream, contributing to metabolic stress. Over time, these imbalances contribute to organ stress, systemic inflammation, and progressive damage. Patients who understand these systemic effects can better appreciate why sustained lifestyle adjustments and medication adherence are vital, rather than relying on occasional interventions.</w:t>
      </w:r>
    </w:p>
    <w:p w:rsidR="00000000" w:rsidDel="00000000" w:rsidP="00000000" w:rsidRDefault="00000000" w:rsidRPr="00000000" w14:paraId="00000026">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Furthermore, lifestyle and environmental factors interact with these hormonal pathways. Physical inactivity and high-calorie diets exacerbate insulin resistance, while regular exercise and balanced nutrition enhance insulin sensitivity. Sleep quality, stress management, and even mental health also influence glucose metabolism and insulin responsiveness. These interactions highlight the need for a holistic approach that combines pharmacological treatment with lifestyle modifications for optimal glucose control. By educating patients on how specific behaviours affect hormones and organ function, nurses can strengthen adherence to personalised care plans, reinforce long-term health benefits, and empower patients to make informed decisions that improve quality of life.</w:t>
      </w:r>
    </w:p>
    <w:p w:rsidR="00000000" w:rsidDel="00000000" w:rsidP="00000000" w:rsidRDefault="00000000" w:rsidRPr="00000000" w14:paraId="00000027">
      <w:pPr>
        <w:tabs>
          <w:tab w:val="left" w:leader="none" w:pos="6540"/>
        </w:tabs>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8">
      <w:pPr>
        <w:tabs>
          <w:tab w:val="left" w:leader="none" w:pos="6540"/>
        </w:tabs>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9">
      <w:pPr>
        <w:pStyle w:val="Heading2"/>
        <w:keepNext w:val="0"/>
        <w:keepLines w:val="0"/>
        <w:tabs>
          <w:tab w:val="left" w:leader="none" w:pos="6540"/>
        </w:tabs>
        <w:spacing w:after="80" w:before="360" w:line="360" w:lineRule="auto"/>
        <w:ind w:left="720" w:hanging="360"/>
        <w:rPr>
          <w:i w:val="0"/>
          <w:iCs w:val="0"/>
          <w:color w:val="000000"/>
          <w:sz w:val="32"/>
          <w:szCs w:val="32"/>
        </w:rPr>
      </w:pPr>
      <w:bookmarkStart w:colFirst="0" w:colLast="0" w:name="_uzff05103jmv" w:id="0"/>
      <w:bookmarkEnd w:id="0"/>
      <w:r w:rsidDel="00000000" w:rsidR="00000000" w:rsidRPr="00000000">
        <w:rPr>
          <w:i w:val="0"/>
          <w:iCs w:val="0"/>
          <w:color w:val="000000"/>
          <w:sz w:val="32"/>
          <w:szCs w:val="32"/>
          <w:rtl w:val="0"/>
        </w:rPr>
        <w:t xml:space="preserve">3. Cellular Metabolism</w:t>
      </w:r>
    </w:p>
    <w:p w:rsidR="00000000" w:rsidDel="00000000" w:rsidP="00000000" w:rsidRDefault="00000000" w:rsidRPr="00000000" w14:paraId="0000002A">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Cells require </w:t>
      </w:r>
      <w:r w:rsidDel="00000000" w:rsidR="00000000" w:rsidRPr="00000000">
        <w:rPr>
          <w:rFonts w:ascii="Arial" w:cs="Arial" w:eastAsia="Arial" w:hAnsi="Arial"/>
          <w:b w:val="1"/>
          <w:bCs w:val="1"/>
          <w:sz w:val="22"/>
          <w:szCs w:val="22"/>
          <w:rtl w:val="0"/>
        </w:rPr>
        <w:t xml:space="preserve">glucose and oxygen</w:t>
      </w:r>
      <w:r w:rsidDel="00000000" w:rsidR="00000000" w:rsidRPr="00000000">
        <w:rPr>
          <w:rFonts w:ascii="Arial" w:cs="Arial" w:eastAsia="Arial" w:hAnsi="Arial"/>
          <w:sz w:val="22"/>
          <w:szCs w:val="22"/>
          <w:rtl w:val="0"/>
        </w:rPr>
        <w:t xml:space="preserve"> to produce ATP, the primary energy currency. Cellular metabolism occurs through three main stages:</w:t>
      </w:r>
    </w:p>
    <w:p w:rsidR="00000000" w:rsidDel="00000000" w:rsidP="00000000" w:rsidRDefault="00000000" w:rsidRPr="00000000" w14:paraId="0000002B">
      <w:pPr>
        <w:numPr>
          <w:ilvl w:val="0"/>
          <w:numId w:val="8"/>
        </w:numPr>
        <w:tabs>
          <w:tab w:val="left" w:leader="none" w:pos="6540"/>
        </w:tabs>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Glycolysis:</w:t>
      </w:r>
      <w:r w:rsidDel="00000000" w:rsidR="00000000" w:rsidRPr="00000000">
        <w:rPr>
          <w:rFonts w:ascii="Arial" w:cs="Arial" w:eastAsia="Arial" w:hAnsi="Arial"/>
          <w:sz w:val="22"/>
          <w:szCs w:val="22"/>
          <w:rtl w:val="0"/>
        </w:rPr>
        <w:t xml:space="preserve"> Glucose is converted into pyruvate in the cytoplasm, producing 2 ATP molecules per glucose.</w:t>
        <w:br w:type="textWrapping"/>
      </w:r>
    </w:p>
    <w:p w:rsidR="00000000" w:rsidDel="00000000" w:rsidP="00000000" w:rsidRDefault="00000000" w:rsidRPr="00000000" w14:paraId="0000002C">
      <w:pPr>
        <w:numPr>
          <w:ilvl w:val="0"/>
          <w:numId w:val="8"/>
        </w:numPr>
        <w:tabs>
          <w:tab w:val="left" w:leader="none" w:pos="6540"/>
        </w:tabs>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Krebs (Citric Acid) Cycle:</w:t>
      </w:r>
      <w:r w:rsidDel="00000000" w:rsidR="00000000" w:rsidRPr="00000000">
        <w:rPr>
          <w:rFonts w:ascii="Arial" w:cs="Arial" w:eastAsia="Arial" w:hAnsi="Arial"/>
          <w:sz w:val="22"/>
          <w:szCs w:val="22"/>
          <w:rtl w:val="0"/>
        </w:rPr>
        <w:t xml:space="preserve"> Pyruvate is converted into acetyl-CoA in mitochondria, generating NADH and FADH2, which carry high-energy electrons.</w:t>
        <w:br w:type="textWrapping"/>
      </w:r>
    </w:p>
    <w:p w:rsidR="00000000" w:rsidDel="00000000" w:rsidP="00000000" w:rsidRDefault="00000000" w:rsidRPr="00000000" w14:paraId="0000002D">
      <w:pPr>
        <w:tabs>
          <w:tab w:val="left" w:leader="none" w:pos="6540"/>
        </w:tabs>
        <w:spacing w:after="240" w:before="240" w:line="360" w:lineRule="auto"/>
        <w:ind w:left="720" w:firstLine="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Oxidative Phosphorylation:</w:t>
      </w:r>
      <w:r w:rsidDel="00000000" w:rsidR="00000000" w:rsidRPr="00000000">
        <w:rPr>
          <w:rFonts w:ascii="Arial" w:cs="Arial" w:eastAsia="Arial" w:hAnsi="Arial"/>
          <w:sz w:val="22"/>
          <w:szCs w:val="22"/>
          <w:rtl w:val="0"/>
        </w:rPr>
        <w:t xml:space="preserve"> Electrons from NADH and FADH2 pass through the electron transport chain, with oxygen as the final electron acceptor, producing approximately 34 ATP per glucose molecule (Alberts et al., 2017).</w:t>
      </w:r>
    </w:p>
    <w:p w:rsidR="00000000" w:rsidDel="00000000" w:rsidP="00000000" w:rsidRDefault="00000000" w:rsidRPr="00000000" w14:paraId="0000002E">
      <w:pPr>
        <w:tabs>
          <w:tab w:val="left" w:leader="none" w:pos="6540"/>
        </w:tabs>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F">
      <w:pPr>
        <w:tabs>
          <w:tab w:val="left" w:leader="none" w:pos="6540"/>
        </w:tabs>
        <w:spacing w:after="240" w:before="240" w:line="360" w:lineRule="auto"/>
        <w:rPr>
          <w:rFonts w:ascii="Arial" w:cs="Arial" w:eastAsia="Arial" w:hAnsi="Arial"/>
          <w:i w:val="1"/>
          <w:iCs w:val="1"/>
          <w:sz w:val="22"/>
          <w:szCs w:val="22"/>
        </w:rPr>
      </w:pPr>
      <w:r w:rsidDel="00000000" w:rsidR="00000000" w:rsidRPr="00000000">
        <w:rPr>
          <w:rFonts w:ascii="Arial" w:cs="Arial" w:eastAsia="Arial" w:hAnsi="Arial"/>
          <w:i w:val="1"/>
          <w:iCs w:val="1"/>
          <w:sz w:val="22"/>
          <w:szCs w:val="22"/>
        </w:rPr>
        <w:drawing>
          <wp:inline distB="114300" distT="114300" distL="114300" distR="114300">
            <wp:extent cx="4733925" cy="7181850"/>
            <wp:effectExtent b="0" l="0" r="0" t="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4733925" cy="7181850"/>
                    </a:xfrm>
                    <a:prstGeom prst="rect"/>
                    <a:ln/>
                  </pic:spPr>
                </pic:pic>
              </a:graphicData>
            </a:graphic>
          </wp:inline>
        </w:drawing>
      </w:r>
      <w:r w:rsidDel="00000000" w:rsidR="00000000" w:rsidRPr="00000000">
        <w:rPr>
          <w:rFonts w:ascii="Arial" w:cs="Arial" w:eastAsia="Arial" w:hAnsi="Arial"/>
          <w:i w:val="1"/>
          <w:iCs w:val="1"/>
          <w:sz w:val="22"/>
          <w:szCs w:val="22"/>
          <w:rtl w:val="0"/>
        </w:rPr>
        <w:br w:type="textWrapping"/>
      </w:r>
      <w:r w:rsidDel="00000000" w:rsidR="00000000" w:rsidRPr="00000000">
        <w:rPr>
          <w:rFonts w:ascii="Arial" w:cs="Arial" w:eastAsia="Arial" w:hAnsi="Arial"/>
          <w:b w:val="1"/>
          <w:bCs w:val="1"/>
          <w:i w:val="1"/>
          <w:iCs w:val="1"/>
          <w:sz w:val="22"/>
          <w:szCs w:val="22"/>
          <w:rtl w:val="0"/>
        </w:rPr>
        <w:t xml:space="preserve">Figure 3:</w:t>
      </w:r>
      <w:r w:rsidDel="00000000" w:rsidR="00000000" w:rsidRPr="00000000">
        <w:rPr>
          <w:rFonts w:ascii="Arial" w:cs="Arial" w:eastAsia="Arial" w:hAnsi="Arial"/>
          <w:i w:val="1"/>
          <w:iCs w:val="1"/>
          <w:sz w:val="22"/>
          <w:szCs w:val="22"/>
          <w:rtl w:val="0"/>
        </w:rPr>
        <w:t xml:space="preserve"> Cellular respiration process showing glucose and oxygen usage (Alberts et al., 2017).</w:t>
      </w:r>
    </w:p>
    <w:p w:rsidR="00000000" w:rsidDel="00000000" w:rsidP="00000000" w:rsidRDefault="00000000" w:rsidRPr="00000000" w14:paraId="00000030">
      <w:pPr>
        <w:tabs>
          <w:tab w:val="left" w:leader="none" w:pos="6540"/>
        </w:tabs>
        <w:spacing w:after="240" w:before="240" w:line="360" w:lineRule="auto"/>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When oxygen is limited, cells switch to anaerobic metabolism, producing only 2 ATP and generating lactate, which can cause fatigue and reduce cellular efficiency (Alberts et al., 2017). In patients with diabetes, impaired glucose uptake may force reliance on alternative energy sources, such as fatty acids, increasing the risk of metabolic complications (Evert et al., 2019). Chronic reliance on fats for energy can also contribute to elevated blood lipid levels, insulin resistance, and weight gain, compounding metabolic challenges (American Diabetes Association, 2023). Additionally, prolonged periods of hyperglycaemia can impair mitochondrial function, further reducing cellular energy production and increasing oxidative stress, which damages tissues over time (Alberti et al., 2017). Understanding cellular metabolism emphasizes the importance of balanced meals, consistent physical activity, and adequate hydration to maintain energy levels and overall metabolic health (Colberg et al., 2016).</w:t>
      </w:r>
    </w:p>
    <w:p w:rsidR="00000000" w:rsidDel="00000000" w:rsidP="00000000" w:rsidRDefault="00000000" w:rsidRPr="00000000" w14:paraId="00000031">
      <w:pPr>
        <w:tabs>
          <w:tab w:val="left" w:leader="none" w:pos="6540"/>
        </w:tabs>
        <w:spacing w:after="240" w:before="240" w:line="360" w:lineRule="auto"/>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Education about metabolism also helps patients understand why fatigue, poor concentration, and low energy can result from poor glycaemic control (Alberti et al., 2017). Recognizing these signs early can encourage patients to monitor blood glucose and adjust lifestyle habits accordingly, preventing more serious metabolic complications (Diabetes UK, 2024). Teaching patients the connection between energy production and daily functioning can improve adherence to meal timing, portion control, and physical activity schedules (Saltiel &amp; Kahn, 2001). For instance, patients who understand how glucose is used by their cells may be more motivated to eat nutrient-dense foods, distribute carbohydrates evenly throughout the day, and incorporate both aerobic and resistance exercise into their routines (Colberg et al., 2016). Additionally, understanding energy production reinforces why structured meal timing and portion control are crucial in maintaining steady blood glucose levels, sustaining daily activities, and avoiding unexpected hypoglycaemia or fatigue during work, school, or exercise (NHS, 2024a).</w:t>
      </w:r>
    </w:p>
    <w:p w:rsidR="00000000" w:rsidDel="00000000" w:rsidP="00000000" w:rsidRDefault="00000000" w:rsidRPr="00000000" w14:paraId="00000032">
      <w:pPr>
        <w:tabs>
          <w:tab w:val="left" w:leader="none" w:pos="6540"/>
        </w:tabs>
        <w:spacing w:after="240" w:before="240" w:line="360" w:lineRule="auto"/>
        <w:rPr>
          <w:b w:val="1"/>
          <w:bCs w:val="1"/>
          <w:sz w:val="32"/>
          <w:szCs w:val="32"/>
        </w:rPr>
      </w:pPr>
      <w:r w:rsidDel="00000000" w:rsidR="00000000" w:rsidRPr="00000000">
        <w:rPr>
          <w:b w:val="1"/>
          <w:bCs w:val="1"/>
          <w:sz w:val="32"/>
          <w:szCs w:val="32"/>
          <w:rtl w:val="0"/>
        </w:rPr>
        <w:t xml:space="preserve">4. Recording and tracking blood sugar levels for type 2 diabetes</w:t>
      </w:r>
    </w:p>
    <w:p w:rsidR="00000000" w:rsidDel="00000000" w:rsidP="00000000" w:rsidRDefault="00000000" w:rsidRPr="00000000" w14:paraId="00000033">
      <w:pPr>
        <w:spacing w:after="240" w:before="240" w:lineRule="auto"/>
        <w:rPr>
          <w:sz w:val="22"/>
          <w:szCs w:val="22"/>
        </w:rPr>
      </w:pPr>
      <w:r w:rsidDel="00000000" w:rsidR="00000000" w:rsidRPr="00000000">
        <w:rPr>
          <w:sz w:val="22"/>
          <w:szCs w:val="22"/>
          <w:rtl w:val="0"/>
        </w:rPr>
        <w:t xml:space="preserve">Self-monitoring of blood glucose (SMBG) enables patients to actively participate in their care. Common methods include:</w:t>
      </w:r>
    </w:p>
    <w:p w:rsidR="00000000" w:rsidDel="00000000" w:rsidP="00000000" w:rsidRDefault="00000000" w:rsidRPr="00000000" w14:paraId="00000034">
      <w:pPr>
        <w:numPr>
          <w:ilvl w:val="0"/>
          <w:numId w:val="1"/>
        </w:numPr>
        <w:spacing w:after="0" w:afterAutospacing="0" w:before="240" w:lineRule="auto"/>
        <w:ind w:left="720" w:hanging="360"/>
        <w:rPr>
          <w:sz w:val="22"/>
          <w:szCs w:val="22"/>
        </w:rPr>
      </w:pPr>
      <w:r w:rsidDel="00000000" w:rsidR="00000000" w:rsidRPr="00000000">
        <w:rPr>
          <w:b w:val="1"/>
          <w:bCs w:val="1"/>
          <w:sz w:val="22"/>
          <w:szCs w:val="22"/>
          <w:rtl w:val="0"/>
        </w:rPr>
        <w:t xml:space="preserve">Finger-prick capillary testing:</w:t>
      </w:r>
      <w:r w:rsidDel="00000000" w:rsidR="00000000" w:rsidRPr="00000000">
        <w:rPr>
          <w:sz w:val="22"/>
          <w:szCs w:val="22"/>
          <w:rtl w:val="0"/>
        </w:rPr>
        <w:t xml:space="preserve"> Provides immediate feedback on daily glucose control.</w:t>
        <w:br w:type="textWrapping"/>
      </w:r>
    </w:p>
    <w:p w:rsidR="00000000" w:rsidDel="00000000" w:rsidP="00000000" w:rsidRDefault="00000000" w:rsidRPr="00000000" w14:paraId="00000035">
      <w:pPr>
        <w:numPr>
          <w:ilvl w:val="0"/>
          <w:numId w:val="1"/>
        </w:numPr>
        <w:spacing w:after="0" w:afterAutospacing="0" w:before="0" w:beforeAutospacing="0" w:lineRule="auto"/>
        <w:ind w:left="720" w:hanging="360"/>
        <w:rPr>
          <w:sz w:val="22"/>
          <w:szCs w:val="22"/>
        </w:rPr>
      </w:pPr>
      <w:r w:rsidDel="00000000" w:rsidR="00000000" w:rsidRPr="00000000">
        <w:rPr>
          <w:b w:val="1"/>
          <w:bCs w:val="1"/>
          <w:sz w:val="22"/>
          <w:szCs w:val="22"/>
          <w:rtl w:val="0"/>
        </w:rPr>
        <w:t xml:space="preserve">Continuous glucose monitoring (CGM):</w:t>
      </w:r>
      <w:r w:rsidDel="00000000" w:rsidR="00000000" w:rsidRPr="00000000">
        <w:rPr>
          <w:sz w:val="22"/>
          <w:szCs w:val="22"/>
          <w:rtl w:val="0"/>
        </w:rPr>
        <w:t xml:space="preserve"> Offers real-time trends and alerts for hypo- or hyperglycaemia.</w:t>
        <w:br w:type="textWrapping"/>
      </w:r>
    </w:p>
    <w:p w:rsidR="00000000" w:rsidDel="00000000" w:rsidP="00000000" w:rsidRDefault="00000000" w:rsidRPr="00000000" w14:paraId="00000036">
      <w:pPr>
        <w:numPr>
          <w:ilvl w:val="0"/>
          <w:numId w:val="1"/>
        </w:numPr>
        <w:spacing w:after="240" w:before="0" w:beforeAutospacing="0" w:lineRule="auto"/>
        <w:ind w:left="720" w:hanging="360"/>
        <w:rPr>
          <w:sz w:val="22"/>
          <w:szCs w:val="22"/>
        </w:rPr>
      </w:pPr>
      <w:r w:rsidDel="00000000" w:rsidR="00000000" w:rsidRPr="00000000">
        <w:rPr>
          <w:b w:val="1"/>
          <w:bCs w:val="1"/>
          <w:sz w:val="22"/>
          <w:szCs w:val="22"/>
          <w:rtl w:val="0"/>
        </w:rPr>
        <w:t xml:space="preserve">HbA1c and fructosamine testing:</w:t>
      </w:r>
      <w:r w:rsidDel="00000000" w:rsidR="00000000" w:rsidRPr="00000000">
        <w:rPr>
          <w:sz w:val="22"/>
          <w:szCs w:val="22"/>
          <w:rtl w:val="0"/>
        </w:rPr>
        <w:t xml:space="preserve"> Reflect average blood glucose over several weeks to months (Amer et al., 2018).</w:t>
      </w:r>
    </w:p>
    <w:p w:rsidR="00000000" w:rsidDel="00000000" w:rsidP="00000000" w:rsidRDefault="00000000" w:rsidRPr="00000000" w14:paraId="00000037">
      <w:pPr>
        <w:tabs>
          <w:tab w:val="left" w:leader="none" w:pos="6540"/>
        </w:tabs>
        <w:spacing w:after="240" w:before="240" w:line="360" w:lineRule="auto"/>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br w:type="textWrapping"/>
        <w:t xml:space="preserve"> </w:t>
      </w:r>
      <w:r w:rsidDel="00000000" w:rsidR="00000000" w:rsidRPr="00000000">
        <w:rPr>
          <w:rFonts w:ascii="Arial" w:cs="Arial" w:eastAsia="Arial" w:hAnsi="Arial"/>
          <w:b w:val="1"/>
          <w:bCs w:val="1"/>
          <w:i w:val="1"/>
          <w:iCs w:val="1"/>
          <w:sz w:val="22"/>
          <w:szCs w:val="22"/>
          <w:rtl w:val="0"/>
        </w:rPr>
        <w:t xml:space="preserve">Figure 4:</w:t>
      </w:r>
      <w:r w:rsidDel="00000000" w:rsidR="00000000" w:rsidRPr="00000000">
        <w:rPr>
          <w:rFonts w:ascii="Arial" w:cs="Arial" w:eastAsia="Arial" w:hAnsi="Arial"/>
          <w:i w:val="1"/>
          <w:iCs w:val="1"/>
          <w:sz w:val="22"/>
          <w:szCs w:val="22"/>
          <w:rtl w:val="0"/>
        </w:rPr>
        <w:t xml:space="preserve"> Example of blood glucose monitoring chart used by patients with Type 2 diabetes (Diabetes UK, 2024).</w:t>
      </w:r>
    </w:p>
    <w:p w:rsidR="00000000" w:rsidDel="00000000" w:rsidP="00000000" w:rsidRDefault="00000000" w:rsidRPr="00000000" w14:paraId="00000038">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4686300" cy="7058025"/>
            <wp:effectExtent b="0" l="0" r="0" t="0"/>
            <wp:docPr id="4"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4686300" cy="7058025"/>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pStyle w:val="Heading1"/>
        <w:spacing w:after="240" w:line="360" w:lineRule="auto"/>
        <w:rPr>
          <w:b w:val="0"/>
          <w:bCs w:val="0"/>
          <w:sz w:val="22"/>
          <w:szCs w:val="22"/>
        </w:rPr>
      </w:pPr>
      <w:r w:rsidDel="00000000" w:rsidR="00000000" w:rsidRPr="00000000">
        <w:rPr>
          <w:sz w:val="22"/>
          <w:szCs w:val="22"/>
          <w:rtl w:val="0"/>
        </w:rPr>
        <w:t xml:space="preserve">Importance of tracking</w:t>
      </w:r>
      <w:r w:rsidDel="00000000" w:rsidR="00000000" w:rsidRPr="00000000">
        <w:rPr>
          <w:b w:val="0"/>
          <w:bCs w:val="0"/>
          <w:sz w:val="22"/>
          <w:szCs w:val="22"/>
          <w:rtl w:val="0"/>
        </w:rPr>
        <w:t xml:space="preserve">:</w:t>
      </w:r>
    </w:p>
    <w:p w:rsidR="00000000" w:rsidDel="00000000" w:rsidP="00000000" w:rsidRDefault="00000000" w:rsidRPr="00000000" w14:paraId="0000003A">
      <w:pPr>
        <w:pStyle w:val="Heading1"/>
        <w:numPr>
          <w:ilvl w:val="0"/>
          <w:numId w:val="5"/>
        </w:numPr>
        <w:spacing w:after="0" w:afterAutospacing="0" w:line="360" w:lineRule="auto"/>
        <w:ind w:left="720" w:hanging="360"/>
        <w:rPr>
          <w:b w:val="0"/>
          <w:bCs w:val="0"/>
          <w:sz w:val="22"/>
          <w:szCs w:val="22"/>
        </w:rPr>
      </w:pPr>
      <w:r w:rsidDel="00000000" w:rsidR="00000000" w:rsidRPr="00000000">
        <w:rPr>
          <w:b w:val="0"/>
          <w:bCs w:val="0"/>
          <w:sz w:val="22"/>
          <w:szCs w:val="22"/>
          <w:rtl w:val="0"/>
        </w:rPr>
        <w:t xml:space="preserve">Detect dangerous hypo- or hyperglycaemia early (American Diabetes Association, 2023)</w:t>
        <w:br w:type="textWrapping"/>
      </w:r>
    </w:p>
    <w:p w:rsidR="00000000" w:rsidDel="00000000" w:rsidP="00000000" w:rsidRDefault="00000000" w:rsidRPr="00000000" w14:paraId="0000003B">
      <w:pPr>
        <w:pStyle w:val="Heading1"/>
        <w:numPr>
          <w:ilvl w:val="0"/>
          <w:numId w:val="5"/>
        </w:numPr>
        <w:spacing w:after="0" w:afterAutospacing="0" w:before="0" w:beforeAutospacing="0" w:line="360" w:lineRule="auto"/>
        <w:ind w:left="720" w:hanging="360"/>
        <w:rPr>
          <w:b w:val="0"/>
          <w:bCs w:val="0"/>
          <w:sz w:val="22"/>
          <w:szCs w:val="22"/>
        </w:rPr>
      </w:pPr>
      <w:r w:rsidDel="00000000" w:rsidR="00000000" w:rsidRPr="00000000">
        <w:rPr>
          <w:b w:val="0"/>
          <w:bCs w:val="0"/>
          <w:sz w:val="22"/>
          <w:szCs w:val="22"/>
          <w:rtl w:val="0"/>
        </w:rPr>
        <w:t xml:space="preserve">Guide adjustments to medication and lifestyle plans (Polonsky et al., 2011)</w:t>
        <w:br w:type="textWrapping"/>
      </w:r>
    </w:p>
    <w:p w:rsidR="00000000" w:rsidDel="00000000" w:rsidP="00000000" w:rsidRDefault="00000000" w:rsidRPr="00000000" w14:paraId="0000003C">
      <w:pPr>
        <w:pStyle w:val="Heading1"/>
        <w:numPr>
          <w:ilvl w:val="0"/>
          <w:numId w:val="5"/>
        </w:numPr>
        <w:spacing w:after="0" w:afterAutospacing="0" w:before="0" w:beforeAutospacing="0" w:line="360" w:lineRule="auto"/>
        <w:ind w:left="720" w:hanging="360"/>
        <w:rPr>
          <w:b w:val="0"/>
          <w:bCs w:val="0"/>
          <w:sz w:val="22"/>
          <w:szCs w:val="22"/>
        </w:rPr>
      </w:pPr>
      <w:r w:rsidDel="00000000" w:rsidR="00000000" w:rsidRPr="00000000">
        <w:rPr>
          <w:b w:val="0"/>
          <w:bCs w:val="0"/>
          <w:sz w:val="22"/>
          <w:szCs w:val="22"/>
          <w:rtl w:val="0"/>
        </w:rPr>
        <w:t xml:space="preserve">Reinforce adherence to diet and physical activity routines (Farmer et al., 2012)</w:t>
        <w:br w:type="textWrapping"/>
      </w:r>
    </w:p>
    <w:p w:rsidR="00000000" w:rsidDel="00000000" w:rsidP="00000000" w:rsidRDefault="00000000" w:rsidRPr="00000000" w14:paraId="0000003D">
      <w:pPr>
        <w:pStyle w:val="Heading1"/>
        <w:numPr>
          <w:ilvl w:val="0"/>
          <w:numId w:val="5"/>
        </w:numPr>
        <w:spacing w:after="240" w:before="0" w:beforeAutospacing="0" w:line="360" w:lineRule="auto"/>
        <w:ind w:left="720" w:hanging="360"/>
        <w:rPr>
          <w:b w:val="0"/>
          <w:bCs w:val="0"/>
          <w:sz w:val="22"/>
          <w:szCs w:val="22"/>
        </w:rPr>
      </w:pPr>
      <w:r w:rsidDel="00000000" w:rsidR="00000000" w:rsidRPr="00000000">
        <w:rPr>
          <w:b w:val="0"/>
          <w:bCs w:val="0"/>
          <w:sz w:val="22"/>
          <w:szCs w:val="22"/>
          <w:rtl w:val="0"/>
        </w:rPr>
        <w:t xml:space="preserve">Increase patient confidence and self-efficacy (Diabetes UK, 2024)</w:t>
        <w:br w:type="textWrapping"/>
      </w:r>
    </w:p>
    <w:p w:rsidR="00000000" w:rsidDel="00000000" w:rsidP="00000000" w:rsidRDefault="00000000" w:rsidRPr="00000000" w14:paraId="0000003E">
      <w:pPr>
        <w:pStyle w:val="Heading1"/>
        <w:spacing w:after="240" w:line="360" w:lineRule="auto"/>
        <w:rPr>
          <w:b w:val="0"/>
          <w:bCs w:val="0"/>
          <w:sz w:val="22"/>
          <w:szCs w:val="22"/>
        </w:rPr>
      </w:pPr>
      <w:r w:rsidDel="00000000" w:rsidR="00000000" w:rsidRPr="00000000">
        <w:rPr>
          <w:b w:val="0"/>
          <w:bCs w:val="0"/>
          <w:sz w:val="22"/>
          <w:szCs w:val="22"/>
          <w:rtl w:val="0"/>
        </w:rPr>
        <w:t xml:space="preserve">Without consistent tracking, patients risk unrecognised hyperglycaemia, which can silently damage organs, exacerbate neuropathy, and increase cardiovascular events (Mayo Clinic, 2024). For example, a patient who skips SMBG may not notice rising postprandial glucose levels, leading to long-term vascular complications (Zhu et al., 2016). Monitoring allows patients to identify patterns, such as glucose spikes after certain meals, and adapt behaviours accordingly (Amer et al., 2018).</w:t>
      </w:r>
    </w:p>
    <w:p w:rsidR="00000000" w:rsidDel="00000000" w:rsidP="00000000" w:rsidRDefault="00000000" w:rsidRPr="00000000" w14:paraId="0000003F">
      <w:pPr>
        <w:pStyle w:val="Heading1"/>
        <w:spacing w:after="240" w:line="360" w:lineRule="auto"/>
        <w:rPr>
          <w:b w:val="0"/>
          <w:bCs w:val="0"/>
          <w:sz w:val="22"/>
          <w:szCs w:val="22"/>
        </w:rPr>
      </w:pPr>
      <w:bookmarkStart w:colFirst="0" w:colLast="0" w:name="_1gx9zck7qe0l" w:id="1"/>
      <w:bookmarkEnd w:id="1"/>
      <w:r w:rsidDel="00000000" w:rsidR="00000000" w:rsidRPr="00000000">
        <w:rPr>
          <w:b w:val="0"/>
          <w:bCs w:val="0"/>
          <w:sz w:val="22"/>
          <w:szCs w:val="22"/>
          <w:rtl w:val="0"/>
        </w:rPr>
        <w:t xml:space="preserve">Practice nurses are crucial in teaching accurate measurement techniques, interpreting trends, and integrating data into daily routines (NHS, 2024a). This guidance empowers patients to respond effectively to abnormal readings and maintain better long-term health (Polonsky et al., 2011). Additionally, recording trends over time allows patients to see the tangible effects of dietary adjustments, exercise, and medication adherence, reinforcing motivation and accountability (Diabetes UK, 2024). Moreover, incorporating structured SMBG schedules helps patients understand the relationship between their daily habits and blood glucose fluctuations, promoting self-efficacy and encouraging proactive engagement in self-management (Colberg et al., 2016). Regular monitoring also allows early detection of deviations caused by illness, stress, or medication changes, which can be addressed promptly to prevent complications (American Diabetes Association, 2023).</w:t>
      </w:r>
    </w:p>
    <w:p w:rsidR="00000000" w:rsidDel="00000000" w:rsidP="00000000" w:rsidRDefault="00000000" w:rsidRPr="00000000" w14:paraId="00000040">
      <w:pPr>
        <w:pStyle w:val="Heading1"/>
        <w:spacing w:line="360" w:lineRule="auto"/>
        <w:rPr/>
      </w:pPr>
      <w:r w:rsidDel="00000000" w:rsidR="00000000" w:rsidRPr="00000000">
        <w:rPr>
          <w:rtl w:val="0"/>
        </w:rPr>
        <w:t xml:space="preserve">5. Recommendations</w:t>
      </w:r>
    </w:p>
    <w:p w:rsidR="00000000" w:rsidDel="00000000" w:rsidP="00000000" w:rsidRDefault="00000000" w:rsidRPr="00000000" w14:paraId="00000041">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Lifestyle interventions complement pharmacological treatment, improving glucose control and reducing long-term complications (American Diabetes Association, 2023).</w:t>
      </w:r>
    </w:p>
    <w:p w:rsidR="00000000" w:rsidDel="00000000" w:rsidP="00000000" w:rsidRDefault="00000000" w:rsidRPr="00000000" w14:paraId="00000042">
      <w:pPr>
        <w:tabs>
          <w:tab w:val="left" w:leader="none" w:pos="6540"/>
        </w:tabs>
        <w:spacing w:after="240" w:before="240"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Dietary Interventions:</w:t>
      </w:r>
    </w:p>
    <w:p w:rsidR="00000000" w:rsidDel="00000000" w:rsidP="00000000" w:rsidRDefault="00000000" w:rsidRPr="00000000" w14:paraId="00000043">
      <w:pPr>
        <w:numPr>
          <w:ilvl w:val="0"/>
          <w:numId w:val="9"/>
        </w:numPr>
        <w:tabs>
          <w:tab w:val="left" w:leader="none" w:pos="6540"/>
        </w:tabs>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High-fibre foods (vegetables, fruits, legumes, whole grains) improve insulin sensitivity (Salas-Salvadó et al., 2011).</w:t>
        <w:br w:type="textWrapping"/>
      </w:r>
    </w:p>
    <w:p w:rsidR="00000000" w:rsidDel="00000000" w:rsidP="00000000" w:rsidRDefault="00000000" w:rsidRPr="00000000" w14:paraId="00000044">
      <w:pPr>
        <w:numPr>
          <w:ilvl w:val="0"/>
          <w:numId w:val="9"/>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Reducing refined carbohydrates and added sugars prevents postprandial spikes (Ley et al., 2014).</w:t>
        <w:br w:type="textWrapping"/>
      </w:r>
    </w:p>
    <w:p w:rsidR="00000000" w:rsidDel="00000000" w:rsidP="00000000" w:rsidRDefault="00000000" w:rsidRPr="00000000" w14:paraId="00000045">
      <w:pPr>
        <w:numPr>
          <w:ilvl w:val="0"/>
          <w:numId w:val="9"/>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Calorie-controlled meals support weight management and glycaemic control (Look AHEAD Research Group, 2014).</w:t>
        <w:br w:type="textWrapping"/>
      </w:r>
    </w:p>
    <w:p w:rsidR="00000000" w:rsidDel="00000000" w:rsidP="00000000" w:rsidRDefault="00000000" w:rsidRPr="00000000" w14:paraId="00000046">
      <w:pPr>
        <w:numPr>
          <w:ilvl w:val="0"/>
          <w:numId w:val="9"/>
        </w:numPr>
        <w:tabs>
          <w:tab w:val="left" w:leader="none" w:pos="6540"/>
        </w:tabs>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Mediterranean-style diets improve cardiovascular health and lower HbA1c (Esposito et al., 2014).</w:t>
        <w:br w:type="textWrapping"/>
      </w:r>
    </w:p>
    <w:p w:rsidR="00000000" w:rsidDel="00000000" w:rsidP="00000000" w:rsidRDefault="00000000" w:rsidRPr="00000000" w14:paraId="00000047">
      <w:pPr>
        <w:tabs>
          <w:tab w:val="left" w:leader="none" w:pos="6540"/>
        </w:tabs>
        <w:spacing w:after="240" w:before="240"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Physical Activity:</w:t>
      </w:r>
    </w:p>
    <w:p w:rsidR="00000000" w:rsidDel="00000000" w:rsidP="00000000" w:rsidRDefault="00000000" w:rsidRPr="00000000" w14:paraId="00000048">
      <w:pPr>
        <w:numPr>
          <w:ilvl w:val="0"/>
          <w:numId w:val="11"/>
        </w:numPr>
        <w:tabs>
          <w:tab w:val="left" w:leader="none" w:pos="6540"/>
        </w:tabs>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Minimum 150 minutes of moderate-intensity aerobic exercise per week plus resistance training twice weekly improves insulin sensitivity and cardiovascular health (Colberg et al., 2016).</w:t>
        <w:br w:type="textWrapping"/>
      </w:r>
    </w:p>
    <w:p w:rsidR="00000000" w:rsidDel="00000000" w:rsidP="00000000" w:rsidRDefault="00000000" w:rsidRPr="00000000" w14:paraId="00000049">
      <w:pPr>
        <w:numPr>
          <w:ilvl w:val="0"/>
          <w:numId w:val="11"/>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Short walks after meals reduce postprandial glucose excursions (Diabetes UK, 2024).</w:t>
        <w:br w:type="textWrapping"/>
      </w:r>
    </w:p>
    <w:p w:rsidR="00000000" w:rsidDel="00000000" w:rsidP="00000000" w:rsidRDefault="00000000" w:rsidRPr="00000000" w14:paraId="0000004A">
      <w:pPr>
        <w:numPr>
          <w:ilvl w:val="0"/>
          <w:numId w:val="11"/>
        </w:numPr>
        <w:tabs>
          <w:tab w:val="left" w:leader="none" w:pos="6540"/>
        </w:tabs>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Regular stretching and flexibility exercises additionally support joint health and reduce risk of injury (Colberg et al., 2016).</w:t>
        <w:br w:type="textWrapping"/>
      </w:r>
    </w:p>
    <w:p w:rsidR="00000000" w:rsidDel="00000000" w:rsidP="00000000" w:rsidRDefault="00000000" w:rsidRPr="00000000" w14:paraId="0000004B">
      <w:pPr>
        <w:tabs>
          <w:tab w:val="left" w:leader="none" w:pos="6540"/>
        </w:tabs>
        <w:spacing w:after="240" w:before="240"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Smoking and Alcohol Moderation:</w:t>
      </w:r>
    </w:p>
    <w:p w:rsidR="00000000" w:rsidDel="00000000" w:rsidP="00000000" w:rsidRDefault="00000000" w:rsidRPr="00000000" w14:paraId="0000004C">
      <w:pPr>
        <w:numPr>
          <w:ilvl w:val="0"/>
          <w:numId w:val="4"/>
        </w:numPr>
        <w:tabs>
          <w:tab w:val="left" w:leader="none" w:pos="6540"/>
        </w:tabs>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Smoking cessation decreases insulin resistance and cardiovascular risk; behavioural counselling and pharmacotherapy are effective (Rigotti, 2012).</w:t>
        <w:br w:type="textWrapping"/>
      </w:r>
    </w:p>
    <w:p w:rsidR="00000000" w:rsidDel="00000000" w:rsidP="00000000" w:rsidRDefault="00000000" w:rsidRPr="00000000" w14:paraId="0000004D">
      <w:pPr>
        <w:numPr>
          <w:ilvl w:val="0"/>
          <w:numId w:val="4"/>
        </w:numPr>
        <w:tabs>
          <w:tab w:val="left" w:leader="none" w:pos="6540"/>
        </w:tabs>
        <w:spacing w:after="240" w:before="0" w:beforeAutospacing="0" w:line="360" w:lineRule="auto"/>
        <w:ind w:left="720" w:hanging="360"/>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Alcohol should be limited to ≤14 units/week to prevent hypoglycaemia and liver complications (Donovan &amp; Mattes, 2020).</w:t>
        <w:br w:type="textWrapping"/>
      </w:r>
    </w:p>
    <w:p w:rsidR="00000000" w:rsidDel="00000000" w:rsidP="00000000" w:rsidRDefault="00000000" w:rsidRPr="00000000" w14:paraId="0000004E">
      <w:pPr>
        <w:tabs>
          <w:tab w:val="left" w:leader="none" w:pos="6540"/>
        </w:tabs>
        <w:spacing w:after="240" w:before="240"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Practical Daily Strategies:</w:t>
      </w:r>
    </w:p>
    <w:p w:rsidR="00000000" w:rsidDel="00000000" w:rsidP="00000000" w:rsidRDefault="00000000" w:rsidRPr="00000000" w14:paraId="0000004F">
      <w:pPr>
        <w:numPr>
          <w:ilvl w:val="0"/>
          <w:numId w:val="6"/>
        </w:numPr>
        <w:tabs>
          <w:tab w:val="left" w:leader="none" w:pos="6540"/>
        </w:tabs>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Planning meals to balance carbohydrates, protein, and fibre.</w:t>
        <w:br w:type="textWrapping"/>
      </w:r>
    </w:p>
    <w:p w:rsidR="00000000" w:rsidDel="00000000" w:rsidP="00000000" w:rsidRDefault="00000000" w:rsidRPr="00000000" w14:paraId="00000050">
      <w:pPr>
        <w:numPr>
          <w:ilvl w:val="0"/>
          <w:numId w:val="6"/>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Scheduling regular physical activity, including short post-meal walks.</w:t>
        <w:br w:type="textWrapping"/>
      </w:r>
    </w:p>
    <w:p w:rsidR="00000000" w:rsidDel="00000000" w:rsidP="00000000" w:rsidRDefault="00000000" w:rsidRPr="00000000" w14:paraId="00000051">
      <w:pPr>
        <w:numPr>
          <w:ilvl w:val="0"/>
          <w:numId w:val="6"/>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Setting reminders for glucose monitoring.</w:t>
        <w:br w:type="textWrapping"/>
      </w:r>
    </w:p>
    <w:p w:rsidR="00000000" w:rsidDel="00000000" w:rsidP="00000000" w:rsidRDefault="00000000" w:rsidRPr="00000000" w14:paraId="00000052">
      <w:pPr>
        <w:numPr>
          <w:ilvl w:val="0"/>
          <w:numId w:val="6"/>
        </w:numPr>
        <w:tabs>
          <w:tab w:val="left" w:leader="none" w:pos="6540"/>
        </w:tabs>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Joining peer support groups to maintain motivation.</w:t>
        <w:br w:type="textWrapping"/>
      </w:r>
    </w:p>
    <w:p w:rsidR="00000000" w:rsidDel="00000000" w:rsidP="00000000" w:rsidRDefault="00000000" w:rsidRPr="00000000" w14:paraId="00000053">
      <w:pPr>
        <w:numPr>
          <w:ilvl w:val="0"/>
          <w:numId w:val="6"/>
        </w:numPr>
        <w:tabs>
          <w:tab w:val="left" w:leader="none" w:pos="6540"/>
        </w:tabs>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Incorporating mindfulness or stress reduction techniques can also improve glucose regulation and overall wellbeing (American Diabetes Association, 2023).</w:t>
        <w:br w:type="textWrapping"/>
      </w:r>
    </w:p>
    <w:p w:rsidR="00000000" w:rsidDel="00000000" w:rsidP="00000000" w:rsidRDefault="00000000" w:rsidRPr="00000000" w14:paraId="00000054">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These interventions, combined with education from practice nurses, help patients develop sustainable habits, reduce HbA1c, improve cardiovascular risk factors, and enhance quality of life. By integrating behaviour change strategies, patients are more likely to maintain long-term adherence and achieve meaningful improvements in overall health and wellbeing (Diabetes UK, 2024).</w:t>
      </w:r>
    </w:p>
    <w:p w:rsidR="00000000" w:rsidDel="00000000" w:rsidP="00000000" w:rsidRDefault="00000000" w:rsidRPr="00000000" w14:paraId="00000055">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tabs>
          <w:tab w:val="left" w:leader="none" w:pos="6540"/>
        </w:tabs>
        <w:spacing w:after="160" w:before="0" w:line="360" w:lineRule="auto"/>
        <w:ind w:left="720" w:right="0" w:hanging="360"/>
        <w:jc w:val="left"/>
        <w:rPr>
          <w:rFonts w:ascii="Arial" w:cs="Arial" w:eastAsia="Arial" w:hAnsi="Arial"/>
          <w:u w:val="none"/>
        </w:rPr>
      </w:pPr>
      <w:r w:rsidDel="00000000" w:rsidR="00000000" w:rsidRPr="00000000">
        <w:rPr>
          <w:rtl w:val="0"/>
        </w:rPr>
      </w:r>
    </w:p>
    <w:p w:rsidR="00000000" w:rsidDel="00000000" w:rsidP="00000000" w:rsidRDefault="00000000" w:rsidRPr="00000000" w14:paraId="00000056">
      <w:pPr>
        <w:pStyle w:val="Heading1"/>
        <w:spacing w:line="360" w:lineRule="auto"/>
        <w:rPr/>
      </w:pPr>
      <w:r w:rsidDel="00000000" w:rsidR="00000000" w:rsidRPr="00000000">
        <w:rPr>
          <w:rtl w:val="0"/>
        </w:rPr>
        <w:t xml:space="preserve">6. Conclusion</w:t>
      </w:r>
    </w:p>
    <w:p w:rsidR="00000000" w:rsidDel="00000000" w:rsidP="00000000" w:rsidRDefault="00000000" w:rsidRPr="00000000" w14:paraId="00000057">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Type 2 diabetes is a chronic metabolic condition affecting blood glucose regulation and cellular energy production. Understanding </w:t>
      </w:r>
      <w:r w:rsidDel="00000000" w:rsidR="00000000" w:rsidRPr="00000000">
        <w:rPr>
          <w:rFonts w:ascii="Arial" w:cs="Arial" w:eastAsia="Arial" w:hAnsi="Arial"/>
          <w:b w:val="1"/>
          <w:bCs w:val="1"/>
          <w:sz w:val="22"/>
          <w:szCs w:val="22"/>
          <w:rtl w:val="0"/>
        </w:rPr>
        <w:t xml:space="preserve">endocrine mechanisms, metabolism, and the importance of self-monitoring</w:t>
      </w:r>
      <w:r w:rsidDel="00000000" w:rsidR="00000000" w:rsidRPr="00000000">
        <w:rPr>
          <w:rFonts w:ascii="Arial" w:cs="Arial" w:eastAsia="Arial" w:hAnsi="Arial"/>
          <w:sz w:val="22"/>
          <w:szCs w:val="22"/>
          <w:rtl w:val="0"/>
        </w:rPr>
        <w:t xml:space="preserve"> empowers patients to manage their health proactively. Evidence-based lifestyle interventions—</w:t>
      </w:r>
      <w:r w:rsidDel="00000000" w:rsidR="00000000" w:rsidRPr="00000000">
        <w:rPr>
          <w:rFonts w:ascii="Arial" w:cs="Arial" w:eastAsia="Arial" w:hAnsi="Arial"/>
          <w:b w:val="1"/>
          <w:bCs w:val="1"/>
          <w:sz w:val="22"/>
          <w:szCs w:val="22"/>
          <w:rtl w:val="0"/>
        </w:rPr>
        <w:t xml:space="preserve">healthy diet, regular physical activity, smoking cessation, and alcohol moderation</w:t>
      </w:r>
      <w:r w:rsidDel="00000000" w:rsidR="00000000" w:rsidRPr="00000000">
        <w:rPr>
          <w:rFonts w:ascii="Arial" w:cs="Arial" w:eastAsia="Arial" w:hAnsi="Arial"/>
          <w:sz w:val="22"/>
          <w:szCs w:val="22"/>
          <w:rtl w:val="0"/>
        </w:rPr>
        <w:t xml:space="preserve">—support medical therapy, reduce risk of complications, and improve long-term wellbeing.</w:t>
      </w:r>
    </w:p>
    <w:p w:rsidR="00000000" w:rsidDel="00000000" w:rsidP="00000000" w:rsidRDefault="00000000" w:rsidRPr="00000000" w14:paraId="00000058">
      <w:pPr>
        <w:tabs>
          <w:tab w:val="left" w:leader="none" w:pos="6540"/>
        </w:tabs>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Practice nurses are pivotal in patient education, monitoring guidance, and health promotion. Integrating visual aids, such as diagrams and glucose monitoring charts, enhances understanding and encourages patient engagement. By combining education, self-monitoring, and lifestyle interventions, patients with Type 2 diabetes can achieve better glycaemic control and maintain a higher quality of life. Additionally, patient empowerment through knowledge and active participation reinforces self-management, leading to more sustainable health outcomes.</w:t>
      </w:r>
    </w:p>
    <w:p w:rsidR="00000000" w:rsidDel="00000000" w:rsidP="00000000" w:rsidRDefault="00000000" w:rsidRPr="00000000" w14:paraId="00000059">
      <w:pPr>
        <w:tabs>
          <w:tab w:val="left" w:leader="none" w:pos="6540"/>
        </w:tabs>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5B">
      <w:pPr>
        <w:pStyle w:val="Heading1"/>
        <w:spacing w:line="360" w:lineRule="auto"/>
        <w:rPr/>
      </w:pPr>
      <w:r w:rsidDel="00000000" w:rsidR="00000000" w:rsidRPr="00000000">
        <w:rPr>
          <w:rtl w:val="0"/>
        </w:rPr>
        <w:t xml:space="preserve">References</w:t>
      </w:r>
    </w:p>
    <w:p w:rsidR="00000000" w:rsidDel="00000000" w:rsidP="00000000" w:rsidRDefault="00000000" w:rsidRPr="00000000" w14:paraId="0000005C">
      <w:pPr>
        <w:numPr>
          <w:ilvl w:val="0"/>
          <w:numId w:val="7"/>
        </w:numPr>
        <w:spacing w:after="0" w:afterAutospacing="0" w:before="24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American Diabetes Association 2023</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Standards of Medical Care in Diabetes — 2023</w:t>
      </w:r>
      <w:r w:rsidDel="00000000" w:rsidR="00000000" w:rsidRPr="00000000">
        <w:rPr>
          <w:rFonts w:ascii="Arial" w:cs="Arial" w:eastAsia="Arial" w:hAnsi="Arial"/>
          <w:rtl w:val="0"/>
        </w:rPr>
        <w:t xml:space="preserve">, ADA,</w:t>
      </w:r>
      <w:hyperlink r:id="rId11">
        <w:r w:rsidDel="00000000" w:rsidR="00000000" w:rsidRPr="00000000">
          <w:rPr>
            <w:rFonts w:ascii="Arial" w:cs="Arial" w:eastAsia="Arial" w:hAnsi="Arial"/>
            <w:rtl w:val="0"/>
          </w:rPr>
          <w:t xml:space="preserve"> </w:t>
        </w:r>
      </w:hyperlink>
      <w:hyperlink r:id="rId12">
        <w:r w:rsidDel="00000000" w:rsidR="00000000" w:rsidRPr="00000000">
          <w:rPr>
            <w:rFonts w:ascii="Arial" w:cs="Arial" w:eastAsia="Arial" w:hAnsi="Arial"/>
            <w:color w:val="1155cc"/>
            <w:u w:val="single"/>
            <w:rtl w:val="0"/>
          </w:rPr>
          <w:t xml:space="preserve">https://diabetesjournals.org/care/issue/46/Supplement_1</w:t>
        </w:r>
      </w:hyperlink>
      <w:r w:rsidDel="00000000" w:rsidR="00000000" w:rsidRPr="00000000">
        <w:rPr>
          <w:rFonts w:ascii="Arial" w:cs="Arial" w:eastAsia="Arial" w:hAnsi="Arial"/>
          <w:rtl w:val="0"/>
        </w:rPr>
        <w:t xml:space="preserve"> (accessed 7 Mar. 2026).</w:t>
      </w:r>
    </w:p>
    <w:p w:rsidR="00000000" w:rsidDel="00000000" w:rsidP="00000000" w:rsidRDefault="00000000" w:rsidRPr="00000000" w14:paraId="0000005D">
      <w:pPr>
        <w:numPr>
          <w:ilvl w:val="0"/>
          <w:numId w:val="7"/>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Diabetes UK 2024</w:t>
      </w:r>
      <w:r w:rsidDel="00000000" w:rsidR="00000000" w:rsidRPr="00000000">
        <w:rPr>
          <w:rFonts w:ascii="Arial" w:cs="Arial" w:eastAsia="Arial" w:hAnsi="Arial"/>
          <w:rtl w:val="0"/>
        </w:rPr>
        <w:t xml:space="preserve">, ‘Statistics about Diabetes’, Diabetes UK, https://www.diabetes.org.uk/about_us/news/new-statistics (accessed 7 Mar. 2026).</w:t>
      </w:r>
    </w:p>
    <w:p w:rsidR="00000000" w:rsidDel="00000000" w:rsidP="00000000" w:rsidRDefault="00000000" w:rsidRPr="00000000" w14:paraId="0000005E">
      <w:pPr>
        <w:numPr>
          <w:ilvl w:val="0"/>
          <w:numId w:val="7"/>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Mayo Clinic 2024</w:t>
      </w:r>
      <w:r w:rsidDel="00000000" w:rsidR="00000000" w:rsidRPr="00000000">
        <w:rPr>
          <w:rFonts w:ascii="Arial" w:cs="Arial" w:eastAsia="Arial" w:hAnsi="Arial"/>
          <w:rtl w:val="0"/>
        </w:rPr>
        <w:t xml:space="preserve">, ‘Type 2 Diabetes’, Mayo Clinic,</w:t>
      </w:r>
      <w:hyperlink r:id="rId13">
        <w:r w:rsidDel="00000000" w:rsidR="00000000" w:rsidRPr="00000000">
          <w:rPr>
            <w:rFonts w:ascii="Arial" w:cs="Arial" w:eastAsia="Arial" w:hAnsi="Arial"/>
            <w:rtl w:val="0"/>
          </w:rPr>
          <w:t xml:space="preserve"> </w:t>
        </w:r>
      </w:hyperlink>
      <w:hyperlink r:id="rId14">
        <w:r w:rsidDel="00000000" w:rsidR="00000000" w:rsidRPr="00000000">
          <w:rPr>
            <w:rFonts w:ascii="Arial" w:cs="Arial" w:eastAsia="Arial" w:hAnsi="Arial"/>
            <w:color w:val="1155cc"/>
            <w:u w:val="single"/>
            <w:rtl w:val="0"/>
          </w:rPr>
          <w:t xml:space="preserve">https://www.mayoclinic.org/diseases-conditions/type-2-diabetes/symptoms-causes/syc-20351193</w:t>
        </w:r>
      </w:hyperlink>
      <w:r w:rsidDel="00000000" w:rsidR="00000000" w:rsidRPr="00000000">
        <w:rPr>
          <w:rFonts w:ascii="Arial" w:cs="Arial" w:eastAsia="Arial" w:hAnsi="Arial"/>
          <w:rtl w:val="0"/>
        </w:rPr>
        <w:t xml:space="preserve"> (accessed 7 Mar. 2026).</w:t>
      </w:r>
    </w:p>
    <w:p w:rsidR="00000000" w:rsidDel="00000000" w:rsidP="00000000" w:rsidRDefault="00000000" w:rsidRPr="00000000" w14:paraId="0000005F">
      <w:pPr>
        <w:numPr>
          <w:ilvl w:val="0"/>
          <w:numId w:val="7"/>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NHS 2024a</w:t>
      </w:r>
      <w:r w:rsidDel="00000000" w:rsidR="00000000" w:rsidRPr="00000000">
        <w:rPr>
          <w:rFonts w:ascii="Arial" w:cs="Arial" w:eastAsia="Arial" w:hAnsi="Arial"/>
          <w:rtl w:val="0"/>
        </w:rPr>
        <w:t xml:space="preserve">, ‘Type 2 Diabetes’, NHS,</w:t>
      </w:r>
      <w:hyperlink r:id="rId15">
        <w:r w:rsidDel="00000000" w:rsidR="00000000" w:rsidRPr="00000000">
          <w:rPr>
            <w:rFonts w:ascii="Arial" w:cs="Arial" w:eastAsia="Arial" w:hAnsi="Arial"/>
            <w:rtl w:val="0"/>
          </w:rPr>
          <w:t xml:space="preserve"> </w:t>
        </w:r>
      </w:hyperlink>
      <w:hyperlink r:id="rId16">
        <w:r w:rsidDel="00000000" w:rsidR="00000000" w:rsidRPr="00000000">
          <w:rPr>
            <w:rFonts w:ascii="Arial" w:cs="Arial" w:eastAsia="Arial" w:hAnsi="Arial"/>
            <w:color w:val="1155cc"/>
            <w:u w:val="single"/>
            <w:rtl w:val="0"/>
          </w:rPr>
          <w:t xml:space="preserve">https://www.nhs.uk/conditions/type-2-diabetes/</w:t>
        </w:r>
      </w:hyperlink>
      <w:r w:rsidDel="00000000" w:rsidR="00000000" w:rsidRPr="00000000">
        <w:rPr>
          <w:rFonts w:ascii="Arial" w:cs="Arial" w:eastAsia="Arial" w:hAnsi="Arial"/>
          <w:rtl w:val="0"/>
        </w:rPr>
        <w:t xml:space="preserve"> (accessed 7 Mar. 2026).</w:t>
      </w:r>
    </w:p>
    <w:p w:rsidR="00000000" w:rsidDel="00000000" w:rsidP="00000000" w:rsidRDefault="00000000" w:rsidRPr="00000000" w14:paraId="00000060">
      <w:pPr>
        <w:numPr>
          <w:ilvl w:val="0"/>
          <w:numId w:val="7"/>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NHS 2024b</w:t>
      </w:r>
      <w:r w:rsidDel="00000000" w:rsidR="00000000" w:rsidRPr="00000000">
        <w:rPr>
          <w:rFonts w:ascii="Arial" w:cs="Arial" w:eastAsia="Arial" w:hAnsi="Arial"/>
          <w:rtl w:val="0"/>
        </w:rPr>
        <w:t xml:space="preserve">, ‘Insulin and Blood Sugar Control’, NHS, https://www.nhs.uk/common-health-questions/diabetes/why-does-insulin-matter/ (accessed 7 Mar. 2026).</w:t>
      </w:r>
    </w:p>
    <w:p w:rsidR="00000000" w:rsidDel="00000000" w:rsidP="00000000" w:rsidRDefault="00000000" w:rsidRPr="00000000" w14:paraId="00000061">
      <w:pPr>
        <w:numPr>
          <w:ilvl w:val="0"/>
          <w:numId w:val="7"/>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World Health Organization 2023</w:t>
      </w:r>
      <w:r w:rsidDel="00000000" w:rsidR="00000000" w:rsidRPr="00000000">
        <w:rPr>
          <w:rFonts w:ascii="Arial" w:cs="Arial" w:eastAsia="Arial" w:hAnsi="Arial"/>
          <w:rtl w:val="0"/>
        </w:rPr>
        <w:t xml:space="preserve">, ‘Diabetes Fact Sheet’, WHO,</w:t>
      </w:r>
      <w:hyperlink r:id="rId17">
        <w:r w:rsidDel="00000000" w:rsidR="00000000" w:rsidRPr="00000000">
          <w:rPr>
            <w:rFonts w:ascii="Arial" w:cs="Arial" w:eastAsia="Arial" w:hAnsi="Arial"/>
            <w:rtl w:val="0"/>
          </w:rPr>
          <w:t xml:space="preserve"> </w:t>
        </w:r>
      </w:hyperlink>
      <w:hyperlink r:id="rId18">
        <w:r w:rsidDel="00000000" w:rsidR="00000000" w:rsidRPr="00000000">
          <w:rPr>
            <w:rFonts w:ascii="Arial" w:cs="Arial" w:eastAsia="Arial" w:hAnsi="Arial"/>
            <w:color w:val="1155cc"/>
            <w:u w:val="single"/>
            <w:rtl w:val="0"/>
          </w:rPr>
          <w:t xml:space="preserve">https://www.who.int/news-room/fact-sheets/detail/diabetes</w:t>
        </w:r>
      </w:hyperlink>
      <w:r w:rsidDel="00000000" w:rsidR="00000000" w:rsidRPr="00000000">
        <w:rPr>
          <w:rFonts w:ascii="Arial" w:cs="Arial" w:eastAsia="Arial" w:hAnsi="Arial"/>
          <w:rtl w:val="0"/>
        </w:rPr>
        <w:t xml:space="preserve"> (accessed 7 Mar. 2026).</w:t>
      </w:r>
    </w:p>
    <w:p w:rsidR="00000000" w:rsidDel="00000000" w:rsidP="00000000" w:rsidRDefault="00000000" w:rsidRPr="00000000" w14:paraId="00000062">
      <w:pPr>
        <w:numPr>
          <w:ilvl w:val="0"/>
          <w:numId w:val="7"/>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UK Chief Medical Officers’ Guidelines 2016</w:t>
      </w:r>
      <w:r w:rsidDel="00000000" w:rsidR="00000000" w:rsidRPr="00000000">
        <w:rPr>
          <w:rFonts w:ascii="Arial" w:cs="Arial" w:eastAsia="Arial" w:hAnsi="Arial"/>
          <w:rtl w:val="0"/>
        </w:rPr>
        <w:t xml:space="preserve">, ‘Alcohol Consumption Advice’, GOV.UK, https://www.gov.uk/government/publications/alcohol-guidelines-chief-medical-officers-report (accessed 7 Mar. 2026).</w:t>
      </w:r>
    </w:p>
    <w:p w:rsidR="00000000" w:rsidDel="00000000" w:rsidP="00000000" w:rsidRDefault="00000000" w:rsidRPr="00000000" w14:paraId="00000063">
      <w:pPr>
        <w:numPr>
          <w:ilvl w:val="0"/>
          <w:numId w:val="7"/>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National Institute for Health and Care Excellence (NICE) 2022</w:t>
      </w:r>
      <w:r w:rsidDel="00000000" w:rsidR="00000000" w:rsidRPr="00000000">
        <w:rPr>
          <w:rFonts w:ascii="Arial" w:cs="Arial" w:eastAsia="Arial" w:hAnsi="Arial"/>
          <w:rtl w:val="0"/>
        </w:rPr>
        <w:t xml:space="preserve">, ‘Type 2 diabetes in adults: management’, NCBI Bookshelf,</w:t>
      </w:r>
      <w:hyperlink r:id="rId19">
        <w:r w:rsidDel="00000000" w:rsidR="00000000" w:rsidRPr="00000000">
          <w:rPr>
            <w:rFonts w:ascii="Arial" w:cs="Arial" w:eastAsia="Arial" w:hAnsi="Arial"/>
            <w:rtl w:val="0"/>
          </w:rPr>
          <w:t xml:space="preserve"> </w:t>
        </w:r>
      </w:hyperlink>
      <w:hyperlink r:id="rId20">
        <w:r w:rsidDel="00000000" w:rsidR="00000000" w:rsidRPr="00000000">
          <w:rPr>
            <w:rFonts w:ascii="Arial" w:cs="Arial" w:eastAsia="Arial" w:hAnsi="Arial"/>
            <w:color w:val="1155cc"/>
            <w:u w:val="single"/>
            <w:rtl w:val="0"/>
          </w:rPr>
          <w:t xml:space="preserve">https://www.ncbi.nlm.nih.gov/books/NBK553486/</w:t>
        </w:r>
      </w:hyperlink>
      <w:r w:rsidDel="00000000" w:rsidR="00000000" w:rsidRPr="00000000">
        <w:rPr>
          <w:rFonts w:ascii="Arial" w:cs="Arial" w:eastAsia="Arial" w:hAnsi="Arial"/>
          <w:rtl w:val="0"/>
        </w:rPr>
        <w:t xml:space="preserve"> (accessed 7 Mar. 2026).</w:t>
      </w:r>
    </w:p>
    <w:p w:rsidR="00000000" w:rsidDel="00000000" w:rsidP="00000000" w:rsidRDefault="00000000" w:rsidRPr="00000000" w14:paraId="00000064">
      <w:pPr>
        <w:numPr>
          <w:ilvl w:val="0"/>
          <w:numId w:val="7"/>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Diabetes UK – Resources for Healthcare Professionals</w:t>
      </w:r>
      <w:r w:rsidDel="00000000" w:rsidR="00000000" w:rsidRPr="00000000">
        <w:rPr>
          <w:rFonts w:ascii="Arial" w:cs="Arial" w:eastAsia="Arial" w:hAnsi="Arial"/>
          <w:rtl w:val="0"/>
        </w:rPr>
        <w:t xml:space="preserve">, Diabetes UK,</w:t>
      </w:r>
      <w:hyperlink r:id="rId21">
        <w:r w:rsidDel="00000000" w:rsidR="00000000" w:rsidRPr="00000000">
          <w:rPr>
            <w:rFonts w:ascii="Arial" w:cs="Arial" w:eastAsia="Arial" w:hAnsi="Arial"/>
            <w:rtl w:val="0"/>
          </w:rPr>
          <w:t xml:space="preserve"> </w:t>
        </w:r>
      </w:hyperlink>
      <w:hyperlink r:id="rId22">
        <w:r w:rsidDel="00000000" w:rsidR="00000000" w:rsidRPr="00000000">
          <w:rPr>
            <w:rFonts w:ascii="Arial" w:cs="Arial" w:eastAsia="Arial" w:hAnsi="Arial"/>
            <w:color w:val="1155cc"/>
            <w:u w:val="single"/>
            <w:rtl w:val="0"/>
          </w:rPr>
          <w:t xml:space="preserve">https://www.diabetes.org.uk/professionals/resources</w:t>
        </w:r>
      </w:hyperlink>
      <w:r w:rsidDel="00000000" w:rsidR="00000000" w:rsidRPr="00000000">
        <w:rPr>
          <w:rFonts w:ascii="Arial" w:cs="Arial" w:eastAsia="Arial" w:hAnsi="Arial"/>
          <w:rtl w:val="0"/>
        </w:rPr>
        <w:t xml:space="preserve"> (accessed 7 Mar. 2026).</w:t>
      </w:r>
    </w:p>
    <w:p w:rsidR="00000000" w:rsidDel="00000000" w:rsidP="00000000" w:rsidRDefault="00000000" w:rsidRPr="00000000" w14:paraId="00000065">
      <w:pPr>
        <w:numPr>
          <w:ilvl w:val="0"/>
          <w:numId w:val="7"/>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Diabetes UK – Self‑Management Education</w:t>
      </w:r>
      <w:r w:rsidDel="00000000" w:rsidR="00000000" w:rsidRPr="00000000">
        <w:rPr>
          <w:rFonts w:ascii="Arial" w:cs="Arial" w:eastAsia="Arial" w:hAnsi="Arial"/>
          <w:rtl w:val="0"/>
        </w:rPr>
        <w:t xml:space="preserve">, Diabetes UK,</w:t>
      </w:r>
      <w:hyperlink r:id="rId23">
        <w:r w:rsidDel="00000000" w:rsidR="00000000" w:rsidRPr="00000000">
          <w:rPr>
            <w:rFonts w:ascii="Arial" w:cs="Arial" w:eastAsia="Arial" w:hAnsi="Arial"/>
            <w:rtl w:val="0"/>
          </w:rPr>
          <w:t xml:space="preserve"> </w:t>
        </w:r>
      </w:hyperlink>
      <w:hyperlink r:id="rId24">
        <w:r w:rsidDel="00000000" w:rsidR="00000000" w:rsidRPr="00000000">
          <w:rPr>
            <w:rFonts w:ascii="Arial" w:cs="Arial" w:eastAsia="Arial" w:hAnsi="Arial"/>
            <w:color w:val="1155cc"/>
            <w:u w:val="single"/>
            <w:rtl w:val="0"/>
          </w:rPr>
          <w:t xml:space="preserve">https://www.diabetes.org.uk/for-professionals/improving-care/resources/diabetes-self-management-education</w:t>
        </w:r>
      </w:hyperlink>
      <w:r w:rsidDel="00000000" w:rsidR="00000000" w:rsidRPr="00000000">
        <w:rPr>
          <w:rFonts w:ascii="Arial" w:cs="Arial" w:eastAsia="Arial" w:hAnsi="Arial"/>
          <w:rtl w:val="0"/>
        </w:rPr>
        <w:t xml:space="preserve"> (accessed 7 Mar. 2026).</w:t>
      </w:r>
    </w:p>
    <w:p w:rsidR="00000000" w:rsidDel="00000000" w:rsidP="00000000" w:rsidRDefault="00000000" w:rsidRPr="00000000" w14:paraId="00000066">
      <w:pPr>
        <w:numPr>
          <w:ilvl w:val="0"/>
          <w:numId w:val="7"/>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British Dietetic Association 2024</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Diabetes – Type 2</w:t>
      </w:r>
      <w:r w:rsidDel="00000000" w:rsidR="00000000" w:rsidRPr="00000000">
        <w:rPr>
          <w:rFonts w:ascii="Arial" w:cs="Arial" w:eastAsia="Arial" w:hAnsi="Arial"/>
          <w:rtl w:val="0"/>
        </w:rPr>
        <w:t xml:space="preserve">, BDA,</w:t>
      </w:r>
      <w:hyperlink r:id="rId25">
        <w:r w:rsidDel="00000000" w:rsidR="00000000" w:rsidRPr="00000000">
          <w:rPr>
            <w:rFonts w:ascii="Arial" w:cs="Arial" w:eastAsia="Arial" w:hAnsi="Arial"/>
            <w:rtl w:val="0"/>
          </w:rPr>
          <w:t xml:space="preserve"> </w:t>
        </w:r>
      </w:hyperlink>
      <w:hyperlink r:id="rId26">
        <w:r w:rsidDel="00000000" w:rsidR="00000000" w:rsidRPr="00000000">
          <w:rPr>
            <w:rFonts w:ascii="Arial" w:cs="Arial" w:eastAsia="Arial" w:hAnsi="Arial"/>
            <w:color w:val="1155cc"/>
            <w:u w:val="single"/>
            <w:rtl w:val="0"/>
          </w:rPr>
          <w:t xml:space="preserve">https://www.bda.uk.com/resource/diabetes-type-2.html</w:t>
        </w:r>
      </w:hyperlink>
      <w:r w:rsidDel="00000000" w:rsidR="00000000" w:rsidRPr="00000000">
        <w:rPr>
          <w:rFonts w:ascii="Arial" w:cs="Arial" w:eastAsia="Arial" w:hAnsi="Arial"/>
          <w:rtl w:val="0"/>
        </w:rPr>
        <w:t xml:space="preserve"> (accessed 7 Mar. 2026).</w:t>
      </w:r>
    </w:p>
    <w:p w:rsidR="00000000" w:rsidDel="00000000" w:rsidP="00000000" w:rsidRDefault="00000000" w:rsidRPr="00000000" w14:paraId="00000067">
      <w:pPr>
        <w:numPr>
          <w:ilvl w:val="0"/>
          <w:numId w:val="7"/>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NHS England 2026</w:t>
      </w:r>
      <w:r w:rsidDel="00000000" w:rsidR="00000000" w:rsidRPr="00000000">
        <w:rPr>
          <w:rFonts w:ascii="Arial" w:cs="Arial" w:eastAsia="Arial" w:hAnsi="Arial"/>
          <w:rtl w:val="0"/>
        </w:rPr>
        <w:t xml:space="preserve">, ‘Diabetes Prevention Programme and Resources’, NHS England,</w:t>
      </w:r>
      <w:hyperlink r:id="rId27">
        <w:r w:rsidDel="00000000" w:rsidR="00000000" w:rsidRPr="00000000">
          <w:rPr>
            <w:rFonts w:ascii="Arial" w:cs="Arial" w:eastAsia="Arial" w:hAnsi="Arial"/>
            <w:rtl w:val="0"/>
          </w:rPr>
          <w:t xml:space="preserve"> </w:t>
        </w:r>
      </w:hyperlink>
      <w:hyperlink r:id="rId28">
        <w:r w:rsidDel="00000000" w:rsidR="00000000" w:rsidRPr="00000000">
          <w:rPr>
            <w:rFonts w:ascii="Arial" w:cs="Arial" w:eastAsia="Arial" w:hAnsi="Arial"/>
            <w:color w:val="1155cc"/>
            <w:u w:val="single"/>
            <w:rtl w:val="0"/>
          </w:rPr>
          <w:t xml:space="preserve">https://www.england.nhs.uk/diabetes/</w:t>
        </w:r>
      </w:hyperlink>
      <w:r w:rsidDel="00000000" w:rsidR="00000000" w:rsidRPr="00000000">
        <w:rPr>
          <w:rFonts w:ascii="Arial" w:cs="Arial" w:eastAsia="Arial" w:hAnsi="Arial"/>
          <w:rtl w:val="0"/>
        </w:rPr>
        <w:t xml:space="preserve"> (accessed 7 Mar. 2026).</w:t>
      </w:r>
    </w:p>
    <w:p w:rsidR="00000000" w:rsidDel="00000000" w:rsidP="00000000" w:rsidRDefault="00000000" w:rsidRPr="00000000" w14:paraId="00000068">
      <w:pPr>
        <w:numPr>
          <w:ilvl w:val="0"/>
          <w:numId w:val="7"/>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Know Diabetes Resource Links 2026</w:t>
      </w:r>
      <w:r w:rsidDel="00000000" w:rsidR="00000000" w:rsidRPr="00000000">
        <w:rPr>
          <w:rFonts w:ascii="Arial" w:cs="Arial" w:eastAsia="Arial" w:hAnsi="Arial"/>
          <w:rtl w:val="0"/>
        </w:rPr>
        <w:t xml:space="preserve">, KnowDiabetes.org.uk,</w:t>
      </w:r>
      <w:hyperlink r:id="rId29">
        <w:r w:rsidDel="00000000" w:rsidR="00000000" w:rsidRPr="00000000">
          <w:rPr>
            <w:rFonts w:ascii="Arial" w:cs="Arial" w:eastAsia="Arial" w:hAnsi="Arial"/>
            <w:rtl w:val="0"/>
          </w:rPr>
          <w:t xml:space="preserve"> </w:t>
        </w:r>
      </w:hyperlink>
      <w:hyperlink r:id="rId30">
        <w:r w:rsidDel="00000000" w:rsidR="00000000" w:rsidRPr="00000000">
          <w:rPr>
            <w:rFonts w:ascii="Arial" w:cs="Arial" w:eastAsia="Arial" w:hAnsi="Arial"/>
            <w:color w:val="1155cc"/>
            <w:u w:val="single"/>
            <w:rtl w:val="0"/>
          </w:rPr>
          <w:t xml:space="preserve">https://www.knowdiabetes.org.uk/resource-links/</w:t>
        </w:r>
      </w:hyperlink>
      <w:r w:rsidDel="00000000" w:rsidR="00000000" w:rsidRPr="00000000">
        <w:rPr>
          <w:rFonts w:ascii="Arial" w:cs="Arial" w:eastAsia="Arial" w:hAnsi="Arial"/>
          <w:rtl w:val="0"/>
        </w:rPr>
        <w:t xml:space="preserve"> (accessed 7 Mar. 2026).</w:t>
      </w:r>
    </w:p>
    <w:p w:rsidR="00000000" w:rsidDel="00000000" w:rsidP="00000000" w:rsidRDefault="00000000" w:rsidRPr="00000000" w14:paraId="00000069">
      <w:pPr>
        <w:numPr>
          <w:ilvl w:val="0"/>
          <w:numId w:val="7"/>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AIDA interactive educational freeware diabetes simulator</w:t>
      </w:r>
      <w:r w:rsidDel="00000000" w:rsidR="00000000" w:rsidRPr="00000000">
        <w:rPr>
          <w:rFonts w:ascii="Arial" w:cs="Arial" w:eastAsia="Arial" w:hAnsi="Arial"/>
          <w:rtl w:val="0"/>
        </w:rPr>
        <w:t xml:space="preserve">, Wikipedia,</w:t>
      </w:r>
      <w:hyperlink r:id="rId31">
        <w:r w:rsidDel="00000000" w:rsidR="00000000" w:rsidRPr="00000000">
          <w:rPr>
            <w:rFonts w:ascii="Arial" w:cs="Arial" w:eastAsia="Arial" w:hAnsi="Arial"/>
            <w:rtl w:val="0"/>
          </w:rPr>
          <w:t xml:space="preserve"> </w:t>
        </w:r>
      </w:hyperlink>
      <w:hyperlink r:id="rId32">
        <w:r w:rsidDel="00000000" w:rsidR="00000000" w:rsidRPr="00000000">
          <w:rPr>
            <w:rFonts w:ascii="Arial" w:cs="Arial" w:eastAsia="Arial" w:hAnsi="Arial"/>
            <w:color w:val="1155cc"/>
            <w:u w:val="single"/>
            <w:rtl w:val="0"/>
          </w:rPr>
          <w:t xml:space="preserve">https://en.wikipedia.org/wiki/AIDA_interactive_educational_freeware_diabetes_simulator</w:t>
        </w:r>
      </w:hyperlink>
      <w:r w:rsidDel="00000000" w:rsidR="00000000" w:rsidRPr="00000000">
        <w:rPr>
          <w:rFonts w:ascii="Arial" w:cs="Arial" w:eastAsia="Arial" w:hAnsi="Arial"/>
          <w:rtl w:val="0"/>
        </w:rPr>
        <w:t xml:space="preserve"> (accessed 7 Mar. 2026).</w:t>
      </w:r>
    </w:p>
    <w:p w:rsidR="00000000" w:rsidDel="00000000" w:rsidP="00000000" w:rsidRDefault="00000000" w:rsidRPr="00000000" w14:paraId="0000006A">
      <w:pPr>
        <w:numPr>
          <w:ilvl w:val="0"/>
          <w:numId w:val="7"/>
        </w:numPr>
        <w:spacing w:after="0" w:afterAutospacing="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American Diabetes Association – Wikipedia</w:t>
      </w:r>
      <w:r w:rsidDel="00000000" w:rsidR="00000000" w:rsidRPr="00000000">
        <w:rPr>
          <w:rFonts w:ascii="Arial" w:cs="Arial" w:eastAsia="Arial" w:hAnsi="Arial"/>
          <w:rtl w:val="0"/>
        </w:rPr>
        <w:t xml:space="preserve">, Wikipedia,</w:t>
      </w:r>
      <w:hyperlink r:id="rId33">
        <w:r w:rsidDel="00000000" w:rsidR="00000000" w:rsidRPr="00000000">
          <w:rPr>
            <w:rFonts w:ascii="Arial" w:cs="Arial" w:eastAsia="Arial" w:hAnsi="Arial"/>
            <w:rtl w:val="0"/>
          </w:rPr>
          <w:t xml:space="preserve"> </w:t>
        </w:r>
      </w:hyperlink>
      <w:hyperlink r:id="rId34">
        <w:r w:rsidDel="00000000" w:rsidR="00000000" w:rsidRPr="00000000">
          <w:rPr>
            <w:rFonts w:ascii="Arial" w:cs="Arial" w:eastAsia="Arial" w:hAnsi="Arial"/>
            <w:color w:val="1155cc"/>
            <w:u w:val="single"/>
            <w:rtl w:val="0"/>
          </w:rPr>
          <w:t xml:space="preserve">https://en.wikipedia.org/wiki/American_Diabetes_Association</w:t>
        </w:r>
      </w:hyperlink>
      <w:r w:rsidDel="00000000" w:rsidR="00000000" w:rsidRPr="00000000">
        <w:rPr>
          <w:rFonts w:ascii="Arial" w:cs="Arial" w:eastAsia="Arial" w:hAnsi="Arial"/>
          <w:rtl w:val="0"/>
        </w:rPr>
        <w:t xml:space="preserve"> (accessed 7 Mar. 2026).</w:t>
      </w:r>
    </w:p>
    <w:p w:rsidR="00000000" w:rsidDel="00000000" w:rsidP="00000000" w:rsidRDefault="00000000" w:rsidRPr="00000000" w14:paraId="0000006B">
      <w:pPr>
        <w:numPr>
          <w:ilvl w:val="0"/>
          <w:numId w:val="7"/>
        </w:numPr>
        <w:spacing w:after="240" w:before="0" w:beforeAutospacing="0" w:line="360" w:lineRule="auto"/>
        <w:ind w:left="720" w:hanging="360"/>
        <w:rPr>
          <w:rFonts w:ascii="Arial" w:cs="Arial" w:eastAsia="Arial" w:hAnsi="Arial"/>
        </w:rPr>
      </w:pPr>
      <w:r w:rsidDel="00000000" w:rsidR="00000000" w:rsidRPr="00000000">
        <w:rPr>
          <w:rFonts w:ascii="Arial" w:cs="Arial" w:eastAsia="Arial" w:hAnsi="Arial"/>
          <w:b w:val="1"/>
          <w:bCs w:val="1"/>
          <w:rtl w:val="0"/>
        </w:rPr>
        <w:t xml:space="preserve">Diabetes UK Emotional Health Guide</w:t>
      </w:r>
      <w:r w:rsidDel="00000000" w:rsidR="00000000" w:rsidRPr="00000000">
        <w:rPr>
          <w:rFonts w:ascii="Arial" w:cs="Arial" w:eastAsia="Arial" w:hAnsi="Arial"/>
          <w:rtl w:val="0"/>
        </w:rPr>
        <w:t xml:space="preserve">, Diabetes UK,</w:t>
      </w:r>
      <w:hyperlink r:id="rId35">
        <w:r w:rsidDel="00000000" w:rsidR="00000000" w:rsidRPr="00000000">
          <w:rPr>
            <w:rFonts w:ascii="Arial" w:cs="Arial" w:eastAsia="Arial" w:hAnsi="Arial"/>
            <w:rtl w:val="0"/>
          </w:rPr>
          <w:t xml:space="preserve"> </w:t>
        </w:r>
      </w:hyperlink>
      <w:hyperlink r:id="rId36">
        <w:r w:rsidDel="00000000" w:rsidR="00000000" w:rsidRPr="00000000">
          <w:rPr>
            <w:rFonts w:ascii="Arial" w:cs="Arial" w:eastAsia="Arial" w:hAnsi="Arial"/>
            <w:color w:val="1155cc"/>
            <w:u w:val="single"/>
            <w:rtl w:val="0"/>
          </w:rPr>
          <w:t xml:space="preserve">https://www.diabetes.org.uk/for-professionals/improving-care/good-practice/psychological-care/emotional-health-professionals-guide</w:t>
        </w:r>
      </w:hyperlink>
      <w:r w:rsidDel="00000000" w:rsidR="00000000" w:rsidRPr="00000000">
        <w:rPr>
          <w:rFonts w:ascii="Arial" w:cs="Arial" w:eastAsia="Arial" w:hAnsi="Arial"/>
          <w:rtl w:val="0"/>
        </w:rPr>
        <w:t xml:space="preserve"> (accessed 7 Mar. 2026).</w:t>
      </w:r>
    </w:p>
    <w:p w:rsidR="00000000" w:rsidDel="00000000" w:rsidP="00000000" w:rsidRDefault="00000000" w:rsidRPr="00000000" w14:paraId="0000006C">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6D">
      <w:pPr>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6E">
      <w:pPr>
        <w:spacing w:line="360" w:lineRule="auto"/>
        <w:rPr>
          <w:rFonts w:ascii="Arial" w:cs="Arial" w:eastAsia="Arial" w:hAnsi="Arial"/>
        </w:rPr>
      </w:pPr>
      <w:r w:rsidDel="00000000" w:rsidR="00000000" w:rsidRPr="00000000">
        <w:rPr>
          <w:rtl w:val="0"/>
        </w:rPr>
      </w:r>
    </w:p>
    <w:sectPr>
      <w:footerReference r:id="rId3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Arial Unicode MS"/>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2"/>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Arial" w:cs="Arial" w:eastAsia="Arial" w:hAnsi="Arial"/>
      <w:b w:val="1"/>
      <w:bCs w:val="1"/>
      <w:sz w:val="32"/>
      <w:szCs w:val="32"/>
    </w:rPr>
  </w:style>
  <w:style w:type="paragraph" w:styleId="Heading2">
    <w:name w:val="heading 2"/>
    <w:basedOn w:val="Normal"/>
    <w:next w:val="Normal"/>
    <w:pPr>
      <w:keepNext w:val="1"/>
      <w:keepLines w:val="1"/>
      <w:spacing w:after="0" w:before="40" w:lineRule="auto"/>
    </w:pPr>
    <w:rPr>
      <w:rFonts w:ascii="Arial" w:cs="Arial" w:eastAsia="Arial" w:hAnsi="Arial"/>
      <w:b w:val="1"/>
      <w:bCs w:val="1"/>
      <w:i w:val="1"/>
      <w:iCs w:val="1"/>
      <w:color w:val="2f5496"/>
      <w:sz w:val="26"/>
      <w:szCs w:val="26"/>
    </w:rPr>
  </w:style>
  <w:style w:type="paragraph" w:styleId="Heading3">
    <w:name w:val="heading 3"/>
    <w:basedOn w:val="Normal"/>
    <w:next w:val="Normal"/>
    <w:pPr>
      <w:spacing w:line="240" w:lineRule="auto"/>
    </w:pPr>
    <w:rPr>
      <w:rFonts w:ascii="Arial" w:cs="Arial" w:eastAsia="Arial" w:hAnsi="Arial"/>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ncbi.nlm.nih.gov/books/NBK553486/?utm_source=chatgpt.com" TargetMode="External"/><Relationship Id="rId22" Type="http://schemas.openxmlformats.org/officeDocument/2006/relationships/hyperlink" Target="https://www.diabetes.org.uk/professionals/resources?utm_source=chatgpt.com" TargetMode="External"/><Relationship Id="rId21" Type="http://schemas.openxmlformats.org/officeDocument/2006/relationships/hyperlink" Target="https://www.diabetes.org.uk/professionals/resources?utm_source=chatgpt.com" TargetMode="External"/><Relationship Id="rId24" Type="http://schemas.openxmlformats.org/officeDocument/2006/relationships/hyperlink" Target="https://www.diabetes.org.uk/for-professionals/improving-care/resources/diabetes-self-management-education?utm_source=chatgpt.com" TargetMode="External"/><Relationship Id="rId23" Type="http://schemas.openxmlformats.org/officeDocument/2006/relationships/hyperlink" Target="https://www.diabetes.org.uk/for-professionals/improving-care/resources/diabetes-self-management-education?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6" Type="http://schemas.openxmlformats.org/officeDocument/2006/relationships/hyperlink" Target="https://www.bda.uk.com/resource/diabetes-type-2.html?utm_source=chatgpt.com" TargetMode="External"/><Relationship Id="rId25" Type="http://schemas.openxmlformats.org/officeDocument/2006/relationships/hyperlink" Target="https://www.bda.uk.com/resource/diabetes-type-2.html?utm_source=chatgpt.com" TargetMode="External"/><Relationship Id="rId28" Type="http://schemas.openxmlformats.org/officeDocument/2006/relationships/hyperlink" Target="https://www.england.nhs.uk/diabetes/?utm_source=chatgpt.com" TargetMode="External"/><Relationship Id="rId27" Type="http://schemas.openxmlformats.org/officeDocument/2006/relationships/hyperlink" Target="https://www.england.nhs.uk/diabetes/?utm_source=chatgpt.com" TargetMode="External"/><Relationship Id="rId5" Type="http://schemas.openxmlformats.org/officeDocument/2006/relationships/styles" Target="styles.xml"/><Relationship Id="rId6" Type="http://schemas.openxmlformats.org/officeDocument/2006/relationships/image" Target="media/image3.png"/><Relationship Id="rId29" Type="http://schemas.openxmlformats.org/officeDocument/2006/relationships/hyperlink" Target="https://www.knowdiabetes.org.uk/resource-links/?utm_source=chatgpt.com" TargetMode="External"/><Relationship Id="rId7" Type="http://schemas.openxmlformats.org/officeDocument/2006/relationships/image" Target="media/image4.png"/><Relationship Id="rId8" Type="http://schemas.openxmlformats.org/officeDocument/2006/relationships/image" Target="media/image1.png"/><Relationship Id="rId31" Type="http://schemas.openxmlformats.org/officeDocument/2006/relationships/hyperlink" Target="https://en.wikipedia.org/wiki/AIDA_interactive_educational_freeware_diabetes_simulator?utm_source=chatgpt.com" TargetMode="External"/><Relationship Id="rId30" Type="http://schemas.openxmlformats.org/officeDocument/2006/relationships/hyperlink" Target="https://www.knowdiabetes.org.uk/resource-links/?utm_source=chatgpt.com" TargetMode="External"/><Relationship Id="rId11" Type="http://schemas.openxmlformats.org/officeDocument/2006/relationships/hyperlink" Target="https://diabetesjournals.org/care/issue/46/Supplement_1" TargetMode="External"/><Relationship Id="rId33" Type="http://schemas.openxmlformats.org/officeDocument/2006/relationships/hyperlink" Target="https://en.wikipedia.org/wiki/American_Diabetes_Association?utm_source=chatgpt.com" TargetMode="External"/><Relationship Id="rId10" Type="http://schemas.openxmlformats.org/officeDocument/2006/relationships/image" Target="media/image2.png"/><Relationship Id="rId32" Type="http://schemas.openxmlformats.org/officeDocument/2006/relationships/hyperlink" Target="https://en.wikipedia.org/wiki/AIDA_interactive_educational_freeware_diabetes_simulator?utm_source=chatgpt.com" TargetMode="External"/><Relationship Id="rId13" Type="http://schemas.openxmlformats.org/officeDocument/2006/relationships/hyperlink" Target="https://www.mayoclinic.org/diseases-conditions/type-2-diabetes/symptoms-causes/syc-20351193" TargetMode="External"/><Relationship Id="rId35" Type="http://schemas.openxmlformats.org/officeDocument/2006/relationships/hyperlink" Target="https://www.diabetes.org.uk/for-professionals/improving-care/good-practice/psychological-care/emotional-health-professionals-guide?utm_source=chatgpt.com" TargetMode="External"/><Relationship Id="rId12" Type="http://schemas.openxmlformats.org/officeDocument/2006/relationships/hyperlink" Target="https://diabetesjournals.org/care/issue/46/Supplement_1" TargetMode="External"/><Relationship Id="rId34" Type="http://schemas.openxmlformats.org/officeDocument/2006/relationships/hyperlink" Target="https://en.wikipedia.org/wiki/American_Diabetes_Association?utm_source=chatgpt.com" TargetMode="External"/><Relationship Id="rId15" Type="http://schemas.openxmlformats.org/officeDocument/2006/relationships/hyperlink" Target="https://www.nhs.uk/conditions/type-2-diabetes/" TargetMode="External"/><Relationship Id="rId37" Type="http://schemas.openxmlformats.org/officeDocument/2006/relationships/footer" Target="footer1.xml"/><Relationship Id="rId14" Type="http://schemas.openxmlformats.org/officeDocument/2006/relationships/hyperlink" Target="https://www.mayoclinic.org/diseases-conditions/type-2-diabetes/symptoms-causes/syc-20351193" TargetMode="External"/><Relationship Id="rId36" Type="http://schemas.openxmlformats.org/officeDocument/2006/relationships/hyperlink" Target="https://www.diabetes.org.uk/for-professionals/improving-care/good-practice/psychological-care/emotional-health-professionals-guide?utm_source=chatgpt.com" TargetMode="External"/><Relationship Id="rId17" Type="http://schemas.openxmlformats.org/officeDocument/2006/relationships/hyperlink" Target="https://www.who.int/news-room/fact-sheets/detail/diabetes" TargetMode="External"/><Relationship Id="rId16" Type="http://schemas.openxmlformats.org/officeDocument/2006/relationships/hyperlink" Target="https://www.nhs.uk/conditions/type-2-diabetes/" TargetMode="External"/><Relationship Id="rId19" Type="http://schemas.openxmlformats.org/officeDocument/2006/relationships/hyperlink" Target="https://www.ncbi.nlm.nih.gov/books/NBK553486/?utm_source=chatgpt.com" TargetMode="External"/><Relationship Id="rId18" Type="http://schemas.openxmlformats.org/officeDocument/2006/relationships/hyperlink" Target="https://www.who.int/news-room/fact-sheets/detail/diabete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