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669F7" w14:textId="77777777" w:rsidR="00EC1043" w:rsidRDefault="00EC1043" w:rsidP="00EC1043">
      <w:pPr>
        <w:rPr>
          <w:rFonts w:ascii="Times New Roman" w:hAnsi="Times New Roman" w:cs="Times New Roman"/>
          <w:sz w:val="28"/>
          <w:szCs w:val="28"/>
        </w:rPr>
      </w:pPr>
      <w:r>
        <w:rPr>
          <w:rFonts w:ascii="Times New Roman" w:hAnsi="Times New Roman" w:cs="Times New Roman"/>
          <w:sz w:val="28"/>
          <w:szCs w:val="28"/>
        </w:rPr>
        <w:t xml:space="preserve">               </w:t>
      </w:r>
      <w:r w:rsidRPr="00147AFF">
        <w:rPr>
          <w:rFonts w:ascii="Times New Roman" w:hAnsi="Times New Roman" w:cs="Times New Roman"/>
          <w:sz w:val="28"/>
          <w:szCs w:val="28"/>
        </w:rPr>
        <w:t xml:space="preserve">   </w:t>
      </w:r>
    </w:p>
    <w:p w14:paraId="26E5F997" w14:textId="77777777" w:rsidR="00EC1043" w:rsidRDefault="00EC1043" w:rsidP="00EC1043">
      <w:pPr>
        <w:rPr>
          <w:rFonts w:ascii="Times New Roman" w:hAnsi="Times New Roman" w:cs="Times New Roman"/>
          <w:sz w:val="28"/>
          <w:szCs w:val="28"/>
        </w:rPr>
      </w:pPr>
    </w:p>
    <w:p w14:paraId="5150A217" w14:textId="77777777" w:rsidR="00EC1043" w:rsidRDefault="00EC1043" w:rsidP="00EC1043">
      <w:pPr>
        <w:rPr>
          <w:rFonts w:ascii="Times New Roman" w:hAnsi="Times New Roman" w:cs="Times New Roman"/>
          <w:sz w:val="28"/>
          <w:szCs w:val="28"/>
        </w:rPr>
      </w:pPr>
    </w:p>
    <w:p w14:paraId="1BFCDDA3" w14:textId="77777777" w:rsidR="00EC1043" w:rsidRDefault="00EC1043" w:rsidP="00EC1043">
      <w:pPr>
        <w:rPr>
          <w:rFonts w:ascii="Times New Roman" w:hAnsi="Times New Roman" w:cs="Times New Roman"/>
          <w:sz w:val="28"/>
          <w:szCs w:val="28"/>
        </w:rPr>
      </w:pPr>
    </w:p>
    <w:p w14:paraId="07780D12" w14:textId="77777777" w:rsidR="00EC1043" w:rsidRDefault="00EC1043" w:rsidP="00EC1043">
      <w:pPr>
        <w:rPr>
          <w:rFonts w:ascii="Times New Roman" w:hAnsi="Times New Roman" w:cs="Times New Roman"/>
          <w:sz w:val="28"/>
          <w:szCs w:val="28"/>
        </w:rPr>
      </w:pPr>
    </w:p>
    <w:p w14:paraId="695A1CFF" w14:textId="77777777" w:rsidR="00EC1043" w:rsidRDefault="00EC1043" w:rsidP="00EC1043">
      <w:pPr>
        <w:rPr>
          <w:rFonts w:ascii="Times New Roman" w:hAnsi="Times New Roman" w:cs="Times New Roman"/>
          <w:sz w:val="28"/>
          <w:szCs w:val="28"/>
        </w:rPr>
      </w:pPr>
    </w:p>
    <w:p w14:paraId="356EEF5C" w14:textId="77777777" w:rsidR="00EC1043" w:rsidRDefault="00EC1043" w:rsidP="00EC1043">
      <w:pPr>
        <w:rPr>
          <w:rFonts w:ascii="Times New Roman" w:hAnsi="Times New Roman" w:cs="Times New Roman"/>
          <w:sz w:val="28"/>
          <w:szCs w:val="28"/>
        </w:rPr>
      </w:pPr>
    </w:p>
    <w:p w14:paraId="33DC9FDD" w14:textId="50AD759D" w:rsidR="00EC1043" w:rsidRPr="00147AFF" w:rsidRDefault="00EC1043" w:rsidP="00EC1043">
      <w:pPr>
        <w:rPr>
          <w:rFonts w:ascii="Times New Roman" w:hAnsi="Times New Roman" w:cs="Times New Roman"/>
          <w:sz w:val="28"/>
          <w:szCs w:val="28"/>
        </w:rPr>
      </w:pPr>
      <w:r>
        <w:rPr>
          <w:rFonts w:ascii="Times New Roman" w:hAnsi="Times New Roman" w:cs="Times New Roman"/>
          <w:sz w:val="28"/>
          <w:szCs w:val="28"/>
        </w:rPr>
        <w:t xml:space="preserve">                 </w:t>
      </w:r>
      <w:r w:rsidRPr="00147AFF">
        <w:rPr>
          <w:rFonts w:ascii="Times New Roman" w:hAnsi="Times New Roman" w:cs="Times New Roman"/>
          <w:sz w:val="28"/>
          <w:szCs w:val="28"/>
        </w:rPr>
        <w:t>STUDENT NAME: Sladjana Koprivica</w:t>
      </w:r>
    </w:p>
    <w:p w14:paraId="31EDB8BA" w14:textId="713D39C5" w:rsidR="00EC1043" w:rsidRPr="00C73C99" w:rsidRDefault="00EC1043" w:rsidP="00EC1043">
      <w:pPr>
        <w:rPr>
          <w:rFonts w:ascii="Arial" w:hAnsi="Arial" w:cs="Arial"/>
          <w:sz w:val="24"/>
          <w:szCs w:val="24"/>
        </w:rPr>
      </w:pPr>
      <w:r w:rsidRPr="00147AFF">
        <w:rPr>
          <w:rFonts w:ascii="Times New Roman" w:hAnsi="Times New Roman" w:cs="Times New Roman"/>
          <w:sz w:val="28"/>
          <w:szCs w:val="28"/>
        </w:rPr>
        <w:t xml:space="preserve">                  MODULE </w:t>
      </w:r>
      <w:r>
        <w:rPr>
          <w:rFonts w:ascii="Times New Roman" w:hAnsi="Times New Roman" w:cs="Times New Roman"/>
          <w:sz w:val="28"/>
          <w:szCs w:val="28"/>
        </w:rPr>
        <w:t xml:space="preserve">NAME: </w:t>
      </w:r>
      <w:r w:rsidR="00677E26" w:rsidRPr="00C73C99">
        <w:rPr>
          <w:rFonts w:ascii="Arial" w:hAnsi="Arial" w:cs="Arial"/>
          <w:sz w:val="24"/>
          <w:szCs w:val="24"/>
        </w:rPr>
        <w:t>Managing Business Information</w:t>
      </w:r>
    </w:p>
    <w:p w14:paraId="07D49070" w14:textId="4A25020F" w:rsidR="00EC1043" w:rsidRPr="00147AFF" w:rsidRDefault="00EC1043" w:rsidP="00EC1043">
      <w:pPr>
        <w:rPr>
          <w:rFonts w:ascii="Times New Roman" w:hAnsi="Times New Roman" w:cs="Times New Roman"/>
          <w:sz w:val="28"/>
          <w:szCs w:val="28"/>
        </w:rPr>
      </w:pPr>
      <w:r w:rsidRPr="00147AFF">
        <w:rPr>
          <w:rFonts w:ascii="Times New Roman" w:hAnsi="Times New Roman" w:cs="Times New Roman"/>
          <w:sz w:val="28"/>
          <w:szCs w:val="28"/>
        </w:rPr>
        <w:t xml:space="preserve">                  MODULE CODE: </w:t>
      </w:r>
      <w:r>
        <w:rPr>
          <w:rFonts w:ascii="Times New Roman" w:hAnsi="Times New Roman" w:cs="Times New Roman"/>
          <w:sz w:val="28"/>
          <w:szCs w:val="28"/>
        </w:rPr>
        <w:t>(LCLM</w:t>
      </w:r>
      <w:r w:rsidR="00677E26">
        <w:rPr>
          <w:rFonts w:ascii="Times New Roman" w:hAnsi="Times New Roman" w:cs="Times New Roman"/>
          <w:sz w:val="28"/>
          <w:szCs w:val="28"/>
        </w:rPr>
        <w:t>5004</w:t>
      </w:r>
      <w:r w:rsidRPr="00147AFF">
        <w:rPr>
          <w:rFonts w:ascii="Times New Roman" w:hAnsi="Times New Roman" w:cs="Times New Roman"/>
          <w:sz w:val="28"/>
          <w:szCs w:val="28"/>
        </w:rPr>
        <w:t>-LON)</w:t>
      </w:r>
    </w:p>
    <w:p w14:paraId="00B5DC80" w14:textId="77777777" w:rsidR="00EC1043" w:rsidRPr="00147AFF" w:rsidRDefault="00EC1043" w:rsidP="00EC1043">
      <w:pPr>
        <w:rPr>
          <w:rFonts w:ascii="Times New Roman" w:hAnsi="Times New Roman" w:cs="Times New Roman"/>
          <w:sz w:val="28"/>
          <w:szCs w:val="28"/>
        </w:rPr>
      </w:pPr>
      <w:r w:rsidRPr="00147AFF">
        <w:rPr>
          <w:rFonts w:ascii="Times New Roman" w:hAnsi="Times New Roman" w:cs="Times New Roman"/>
          <w:sz w:val="28"/>
          <w:szCs w:val="28"/>
        </w:rPr>
        <w:t xml:space="preserve">                  STUDENT ID: 2427801</w:t>
      </w:r>
    </w:p>
    <w:p w14:paraId="5BD8DCBC" w14:textId="2A014003" w:rsidR="00EC1043" w:rsidRPr="00147AFF" w:rsidRDefault="00EC1043" w:rsidP="00EC1043">
      <w:pPr>
        <w:rPr>
          <w:rFonts w:ascii="Times New Roman" w:hAnsi="Times New Roman" w:cs="Times New Roman"/>
          <w:sz w:val="28"/>
          <w:szCs w:val="28"/>
        </w:rPr>
      </w:pPr>
      <w:r>
        <w:rPr>
          <w:rFonts w:ascii="Times New Roman" w:hAnsi="Times New Roman" w:cs="Times New Roman"/>
          <w:sz w:val="28"/>
          <w:szCs w:val="28"/>
        </w:rPr>
        <w:t xml:space="preserve">                  LECTURER: </w:t>
      </w:r>
      <w:r w:rsidR="00677E26">
        <w:rPr>
          <w:rFonts w:ascii="Times New Roman" w:hAnsi="Times New Roman" w:cs="Times New Roman"/>
          <w:sz w:val="28"/>
          <w:szCs w:val="28"/>
        </w:rPr>
        <w:t xml:space="preserve">Amir </w:t>
      </w:r>
      <w:proofErr w:type="spellStart"/>
      <w:r w:rsidR="00677E26">
        <w:rPr>
          <w:rFonts w:ascii="Times New Roman" w:hAnsi="Times New Roman" w:cs="Times New Roman"/>
          <w:sz w:val="28"/>
          <w:szCs w:val="28"/>
        </w:rPr>
        <w:t>Homayounfard</w:t>
      </w:r>
      <w:proofErr w:type="spellEnd"/>
    </w:p>
    <w:p w14:paraId="29990805" w14:textId="473F5275" w:rsidR="00EC1043" w:rsidRPr="00147AFF" w:rsidRDefault="00EC1043" w:rsidP="00EC1043">
      <w:pPr>
        <w:rPr>
          <w:rFonts w:ascii="Times New Roman" w:hAnsi="Times New Roman" w:cs="Times New Roman"/>
          <w:sz w:val="28"/>
          <w:szCs w:val="28"/>
        </w:rPr>
      </w:pPr>
      <w:r w:rsidRPr="00147AFF">
        <w:rPr>
          <w:rFonts w:ascii="Times New Roman" w:hAnsi="Times New Roman" w:cs="Times New Roman"/>
          <w:sz w:val="28"/>
          <w:szCs w:val="28"/>
        </w:rPr>
        <w:t xml:space="preserve">                  TITLE:</w:t>
      </w:r>
      <w:r>
        <w:rPr>
          <w:rFonts w:ascii="Times New Roman" w:hAnsi="Times New Roman" w:cs="Times New Roman"/>
          <w:sz w:val="28"/>
          <w:szCs w:val="28"/>
        </w:rPr>
        <w:t xml:space="preserve">  </w:t>
      </w:r>
      <w:r w:rsidR="00677E26">
        <w:rPr>
          <w:rFonts w:ascii="Times New Roman" w:hAnsi="Times New Roman" w:cs="Times New Roman"/>
          <w:sz w:val="28"/>
          <w:szCs w:val="28"/>
        </w:rPr>
        <w:t>Individual Report</w:t>
      </w:r>
    </w:p>
    <w:p w14:paraId="6ED56016" w14:textId="77777777" w:rsidR="00EC1043" w:rsidRDefault="00EC1043" w:rsidP="00EC1043"/>
    <w:p w14:paraId="11828AD8" w14:textId="77777777" w:rsidR="0006468A" w:rsidRDefault="0006468A"/>
    <w:p w14:paraId="1302DFD9" w14:textId="77777777" w:rsidR="00EC1043" w:rsidRDefault="00EC1043"/>
    <w:p w14:paraId="1F1BA777" w14:textId="77777777" w:rsidR="00EC1043" w:rsidRDefault="00EC1043"/>
    <w:p w14:paraId="71E884F4" w14:textId="77777777" w:rsidR="00EC1043" w:rsidRDefault="00EC1043"/>
    <w:p w14:paraId="682B6DD6" w14:textId="77777777" w:rsidR="00EC1043" w:rsidRDefault="00EC1043"/>
    <w:p w14:paraId="56DBCF27" w14:textId="77777777" w:rsidR="00EC1043" w:rsidRDefault="00EC1043"/>
    <w:p w14:paraId="257DCEF1" w14:textId="77777777" w:rsidR="00EC1043" w:rsidRDefault="00EC1043"/>
    <w:p w14:paraId="3DD1E789" w14:textId="77777777" w:rsidR="00EC1043" w:rsidRDefault="00EC1043"/>
    <w:p w14:paraId="42AB095F" w14:textId="77777777" w:rsidR="00EC1043" w:rsidRDefault="00EC1043"/>
    <w:p w14:paraId="50AB2045" w14:textId="77777777" w:rsidR="00EC1043" w:rsidRDefault="00EC1043"/>
    <w:p w14:paraId="6FACD1FA" w14:textId="77777777" w:rsidR="00EC1043" w:rsidRDefault="00EC1043"/>
    <w:p w14:paraId="2DEA6D47" w14:textId="77777777" w:rsidR="00EC1043" w:rsidRDefault="00EC1043"/>
    <w:p w14:paraId="5CFE6D7C" w14:textId="77777777" w:rsidR="00EC1043" w:rsidRDefault="00EC1043"/>
    <w:p w14:paraId="50DC1696" w14:textId="77777777" w:rsidR="00EC1043" w:rsidRDefault="00EC1043"/>
    <w:p w14:paraId="1C29CDBF" w14:textId="77777777" w:rsidR="00EC1043" w:rsidRDefault="00EC1043"/>
    <w:p w14:paraId="0A02F261" w14:textId="77777777" w:rsidR="00EC1043" w:rsidRDefault="00EC1043"/>
    <w:p w14:paraId="175C1BBB" w14:textId="77777777" w:rsidR="00EC1043" w:rsidRDefault="00EC1043"/>
    <w:p w14:paraId="029ABEEE" w14:textId="77777777" w:rsidR="00EC1043" w:rsidRDefault="00EC1043"/>
    <w:p w14:paraId="3530618B" w14:textId="77777777" w:rsidR="00EC1043" w:rsidRPr="003E20CD" w:rsidRDefault="00EC1043">
      <w:pPr>
        <w:rPr>
          <w:rFonts w:ascii="Arial" w:hAnsi="Arial" w:cs="Arial"/>
        </w:rPr>
      </w:pPr>
    </w:p>
    <w:p w14:paraId="5E2BB65E" w14:textId="77777777" w:rsidR="00EC1043" w:rsidRPr="003E20CD" w:rsidRDefault="00EC1043" w:rsidP="00EC1043">
      <w:pPr>
        <w:rPr>
          <w:rFonts w:ascii="Arial" w:hAnsi="Arial" w:cs="Arial"/>
          <w:b/>
          <w:bCs/>
          <w:sz w:val="28"/>
          <w:szCs w:val="28"/>
        </w:rPr>
      </w:pPr>
      <w:r w:rsidRPr="003E20CD">
        <w:rPr>
          <w:rFonts w:ascii="Arial" w:hAnsi="Arial" w:cs="Arial"/>
          <w:b/>
          <w:bCs/>
          <w:sz w:val="28"/>
          <w:szCs w:val="28"/>
        </w:rPr>
        <w:t>Table of Constance:</w:t>
      </w:r>
    </w:p>
    <w:p w14:paraId="4E001208" w14:textId="77777777" w:rsidR="00EC1043" w:rsidRPr="003E20CD" w:rsidRDefault="00EC1043" w:rsidP="00EC1043">
      <w:pPr>
        <w:rPr>
          <w:rFonts w:ascii="Arial" w:hAnsi="Arial" w:cs="Arial"/>
          <w:b/>
          <w:bCs/>
          <w:sz w:val="28"/>
          <w:szCs w:val="28"/>
        </w:rPr>
      </w:pPr>
    </w:p>
    <w:p w14:paraId="73C0AD98" w14:textId="77777777" w:rsidR="00EC1043" w:rsidRPr="003E20CD" w:rsidRDefault="00EC1043" w:rsidP="00EC1043">
      <w:pPr>
        <w:rPr>
          <w:rFonts w:ascii="Arial" w:hAnsi="Arial" w:cs="Arial"/>
          <w:b/>
          <w:bCs/>
          <w:sz w:val="24"/>
          <w:szCs w:val="24"/>
        </w:rPr>
      </w:pPr>
    </w:p>
    <w:p w14:paraId="41D0A79D" w14:textId="77777777" w:rsidR="00EC1043" w:rsidRPr="003E20CD" w:rsidRDefault="00EC1043" w:rsidP="00EC1043">
      <w:pPr>
        <w:rPr>
          <w:rFonts w:ascii="Arial" w:hAnsi="Arial" w:cs="Arial"/>
          <w:sz w:val="24"/>
          <w:szCs w:val="24"/>
        </w:rPr>
      </w:pPr>
    </w:p>
    <w:p w14:paraId="7CBB1490" w14:textId="77777777" w:rsidR="00EC1043" w:rsidRPr="003E20CD" w:rsidRDefault="00EC1043" w:rsidP="00EC1043">
      <w:pPr>
        <w:rPr>
          <w:rFonts w:ascii="Arial" w:hAnsi="Arial" w:cs="Arial"/>
          <w:sz w:val="24"/>
          <w:szCs w:val="24"/>
        </w:rPr>
      </w:pPr>
    </w:p>
    <w:p w14:paraId="3010D30C" w14:textId="4F9DA18B" w:rsidR="00EC1043" w:rsidRPr="003E20CD" w:rsidRDefault="00EC1043" w:rsidP="00EC1043">
      <w:pPr>
        <w:pStyle w:val="ListParagraph"/>
        <w:numPr>
          <w:ilvl w:val="0"/>
          <w:numId w:val="1"/>
        </w:numPr>
        <w:rPr>
          <w:rFonts w:ascii="Arial" w:hAnsi="Arial" w:cs="Arial"/>
          <w:sz w:val="24"/>
          <w:szCs w:val="24"/>
        </w:rPr>
      </w:pPr>
      <w:r w:rsidRPr="003E20CD">
        <w:rPr>
          <w:rFonts w:ascii="Arial" w:hAnsi="Arial" w:cs="Arial"/>
          <w:sz w:val="24"/>
          <w:szCs w:val="24"/>
        </w:rPr>
        <w:t>Introduction………………………………………………………p</w:t>
      </w:r>
      <w:r w:rsidR="005A68A6">
        <w:rPr>
          <w:rFonts w:ascii="Arial" w:hAnsi="Arial" w:cs="Arial"/>
          <w:sz w:val="24"/>
          <w:szCs w:val="24"/>
        </w:rPr>
        <w:t>3</w:t>
      </w:r>
    </w:p>
    <w:p w14:paraId="4080D2C2" w14:textId="77777777" w:rsidR="001F58F9" w:rsidRPr="003E20CD" w:rsidRDefault="001F58F9" w:rsidP="001F58F9">
      <w:pPr>
        <w:pStyle w:val="ListParagraph"/>
        <w:ind w:left="643"/>
        <w:rPr>
          <w:rFonts w:ascii="Arial" w:hAnsi="Arial" w:cs="Arial"/>
          <w:sz w:val="24"/>
          <w:szCs w:val="24"/>
        </w:rPr>
      </w:pPr>
    </w:p>
    <w:p w14:paraId="74FEA432" w14:textId="6D4B335A" w:rsidR="00EC1043" w:rsidRPr="003E20CD" w:rsidRDefault="001F58F9" w:rsidP="001F58F9">
      <w:pPr>
        <w:pStyle w:val="ListParagraph"/>
        <w:numPr>
          <w:ilvl w:val="1"/>
          <w:numId w:val="1"/>
        </w:numPr>
        <w:rPr>
          <w:rFonts w:ascii="Arial" w:hAnsi="Arial" w:cs="Arial"/>
          <w:sz w:val="24"/>
          <w:szCs w:val="24"/>
        </w:rPr>
      </w:pPr>
      <w:r w:rsidRPr="003E20CD">
        <w:rPr>
          <w:rFonts w:ascii="Arial" w:hAnsi="Arial" w:cs="Arial"/>
          <w:sz w:val="24"/>
          <w:szCs w:val="24"/>
        </w:rPr>
        <w:t>Key Challenges and proposal objectives ……………………p</w:t>
      </w:r>
      <w:r w:rsidR="005A68A6">
        <w:rPr>
          <w:rFonts w:ascii="Arial" w:hAnsi="Arial" w:cs="Arial"/>
          <w:sz w:val="24"/>
          <w:szCs w:val="24"/>
        </w:rPr>
        <w:t>3</w:t>
      </w:r>
    </w:p>
    <w:p w14:paraId="715212E5" w14:textId="78FDE613" w:rsidR="001F58F9" w:rsidRPr="003E20CD" w:rsidRDefault="001F58F9" w:rsidP="001F58F9">
      <w:pPr>
        <w:ind w:left="283"/>
        <w:rPr>
          <w:rFonts w:ascii="Arial" w:hAnsi="Arial" w:cs="Arial"/>
          <w:sz w:val="24"/>
          <w:szCs w:val="24"/>
        </w:rPr>
      </w:pPr>
      <w:r w:rsidRPr="003E20CD">
        <w:rPr>
          <w:rFonts w:ascii="Arial" w:hAnsi="Arial" w:cs="Arial"/>
          <w:sz w:val="24"/>
          <w:szCs w:val="24"/>
        </w:rPr>
        <w:t>2.Evaluation of existing systems………………………………</w:t>
      </w:r>
      <w:proofErr w:type="gramStart"/>
      <w:r w:rsidRPr="003E20CD">
        <w:rPr>
          <w:rFonts w:ascii="Arial" w:hAnsi="Arial" w:cs="Arial"/>
          <w:sz w:val="24"/>
          <w:szCs w:val="24"/>
        </w:rPr>
        <w:t>….p</w:t>
      </w:r>
      <w:proofErr w:type="gramEnd"/>
      <w:r w:rsidR="005A68A6">
        <w:rPr>
          <w:rFonts w:ascii="Arial" w:hAnsi="Arial" w:cs="Arial"/>
          <w:sz w:val="24"/>
          <w:szCs w:val="24"/>
        </w:rPr>
        <w:t>4</w:t>
      </w:r>
    </w:p>
    <w:p w14:paraId="394B1CE6" w14:textId="725D0EFA" w:rsidR="001F58F9" w:rsidRPr="003E20CD" w:rsidRDefault="001F58F9" w:rsidP="001F58F9">
      <w:pPr>
        <w:ind w:left="283"/>
        <w:rPr>
          <w:rFonts w:ascii="Arial" w:hAnsi="Arial" w:cs="Arial"/>
          <w:sz w:val="24"/>
          <w:szCs w:val="24"/>
        </w:rPr>
      </w:pPr>
      <w:r w:rsidRPr="003E20CD">
        <w:rPr>
          <w:rFonts w:ascii="Arial" w:hAnsi="Arial" w:cs="Arial"/>
          <w:sz w:val="24"/>
          <w:szCs w:val="24"/>
        </w:rPr>
        <w:t>3.Recommended solution………………………………………</w:t>
      </w:r>
      <w:proofErr w:type="gramStart"/>
      <w:r w:rsidRPr="003E20CD">
        <w:rPr>
          <w:rFonts w:ascii="Arial" w:hAnsi="Arial" w:cs="Arial"/>
          <w:sz w:val="24"/>
          <w:szCs w:val="24"/>
        </w:rPr>
        <w:t>….p</w:t>
      </w:r>
      <w:proofErr w:type="gramEnd"/>
      <w:r w:rsidR="005A68A6">
        <w:rPr>
          <w:rFonts w:ascii="Arial" w:hAnsi="Arial" w:cs="Arial"/>
          <w:sz w:val="24"/>
          <w:szCs w:val="24"/>
        </w:rPr>
        <w:t>5</w:t>
      </w:r>
    </w:p>
    <w:p w14:paraId="0D982452" w14:textId="7714818E" w:rsidR="001F58F9" w:rsidRPr="003E20CD" w:rsidRDefault="001F58F9" w:rsidP="001F58F9">
      <w:pPr>
        <w:ind w:left="283"/>
        <w:rPr>
          <w:rFonts w:ascii="Arial" w:hAnsi="Arial" w:cs="Arial"/>
          <w:sz w:val="24"/>
          <w:szCs w:val="24"/>
        </w:rPr>
      </w:pPr>
      <w:r w:rsidRPr="003E20CD">
        <w:rPr>
          <w:rFonts w:ascii="Arial" w:hAnsi="Arial" w:cs="Arial"/>
          <w:sz w:val="24"/>
          <w:szCs w:val="24"/>
        </w:rPr>
        <w:t>3.1 Integrated cloud business system……………………………p</w:t>
      </w:r>
      <w:r w:rsidR="005A68A6">
        <w:rPr>
          <w:rFonts w:ascii="Arial" w:hAnsi="Arial" w:cs="Arial"/>
          <w:sz w:val="24"/>
          <w:szCs w:val="24"/>
        </w:rPr>
        <w:t>5</w:t>
      </w:r>
    </w:p>
    <w:p w14:paraId="594B470C" w14:textId="170541A0" w:rsidR="001F58F9" w:rsidRPr="003E20CD" w:rsidRDefault="001F58F9" w:rsidP="001F58F9">
      <w:pPr>
        <w:ind w:left="283"/>
        <w:rPr>
          <w:rFonts w:ascii="Arial" w:hAnsi="Arial" w:cs="Arial"/>
          <w:sz w:val="24"/>
          <w:szCs w:val="24"/>
        </w:rPr>
      </w:pPr>
      <w:r w:rsidRPr="003E20CD">
        <w:rPr>
          <w:rFonts w:ascii="Arial" w:hAnsi="Arial" w:cs="Arial"/>
          <w:sz w:val="24"/>
          <w:szCs w:val="24"/>
        </w:rPr>
        <w:t>3.</w:t>
      </w:r>
      <w:r w:rsidR="00F55BA5" w:rsidRPr="003E20CD">
        <w:rPr>
          <w:rFonts w:ascii="Arial" w:hAnsi="Arial" w:cs="Arial"/>
          <w:sz w:val="24"/>
          <w:szCs w:val="24"/>
        </w:rPr>
        <w:t>2. Alternative</w:t>
      </w:r>
      <w:r w:rsidRPr="003E20CD">
        <w:rPr>
          <w:rFonts w:ascii="Arial" w:hAnsi="Arial" w:cs="Arial"/>
          <w:sz w:val="24"/>
          <w:szCs w:val="24"/>
        </w:rPr>
        <w:t xml:space="preserve"> Options &amp; satisfactions………………………</w:t>
      </w:r>
      <w:proofErr w:type="gramStart"/>
      <w:r w:rsidR="003C70C0">
        <w:rPr>
          <w:rFonts w:ascii="Arial" w:hAnsi="Arial" w:cs="Arial"/>
          <w:sz w:val="24"/>
          <w:szCs w:val="24"/>
        </w:rPr>
        <w:t>…</w:t>
      </w:r>
      <w:r w:rsidRPr="003E20CD">
        <w:rPr>
          <w:rFonts w:ascii="Arial" w:hAnsi="Arial" w:cs="Arial"/>
          <w:sz w:val="24"/>
          <w:szCs w:val="24"/>
        </w:rPr>
        <w:t>.p</w:t>
      </w:r>
      <w:proofErr w:type="gramEnd"/>
      <w:r w:rsidR="005A68A6">
        <w:rPr>
          <w:rFonts w:ascii="Arial" w:hAnsi="Arial" w:cs="Arial"/>
          <w:sz w:val="24"/>
          <w:szCs w:val="24"/>
        </w:rPr>
        <w:t>5-6</w:t>
      </w:r>
    </w:p>
    <w:p w14:paraId="78A08B46" w14:textId="57EEA348" w:rsidR="001F58F9" w:rsidRPr="003E20CD" w:rsidRDefault="001F58F9" w:rsidP="001F58F9">
      <w:pPr>
        <w:ind w:left="283"/>
        <w:rPr>
          <w:rFonts w:ascii="Arial" w:hAnsi="Arial" w:cs="Arial"/>
          <w:sz w:val="24"/>
          <w:szCs w:val="24"/>
        </w:rPr>
      </w:pPr>
      <w:r w:rsidRPr="003E20CD">
        <w:rPr>
          <w:rFonts w:ascii="Arial" w:hAnsi="Arial" w:cs="Arial"/>
          <w:sz w:val="24"/>
          <w:szCs w:val="24"/>
        </w:rPr>
        <w:t xml:space="preserve">3.3 </w:t>
      </w:r>
      <w:r w:rsidR="00F55BA5" w:rsidRPr="003E20CD">
        <w:rPr>
          <w:rFonts w:ascii="Arial" w:hAnsi="Arial" w:cs="Arial"/>
          <w:sz w:val="24"/>
          <w:szCs w:val="24"/>
        </w:rPr>
        <w:t>Operational data</w:t>
      </w:r>
      <w:r w:rsidRPr="003E20CD">
        <w:rPr>
          <w:rFonts w:ascii="Arial" w:hAnsi="Arial" w:cs="Arial"/>
          <w:sz w:val="24"/>
          <w:szCs w:val="24"/>
        </w:rPr>
        <w:t xml:space="preserve"> &amp; decision benefits……………………</w:t>
      </w:r>
      <w:proofErr w:type="gramStart"/>
      <w:r w:rsidRPr="003E20CD">
        <w:rPr>
          <w:rFonts w:ascii="Arial" w:hAnsi="Arial" w:cs="Arial"/>
          <w:sz w:val="24"/>
          <w:szCs w:val="24"/>
        </w:rPr>
        <w:t>….p</w:t>
      </w:r>
      <w:proofErr w:type="gramEnd"/>
      <w:r w:rsidR="005A68A6">
        <w:rPr>
          <w:rFonts w:ascii="Arial" w:hAnsi="Arial" w:cs="Arial"/>
          <w:sz w:val="24"/>
          <w:szCs w:val="24"/>
        </w:rPr>
        <w:t>6</w:t>
      </w:r>
    </w:p>
    <w:p w14:paraId="32E5807F" w14:textId="69EFD0C1" w:rsidR="001F58F9" w:rsidRPr="003E20CD" w:rsidRDefault="001F58F9" w:rsidP="001F58F9">
      <w:pPr>
        <w:ind w:left="283"/>
        <w:rPr>
          <w:rFonts w:ascii="Arial" w:hAnsi="Arial" w:cs="Arial"/>
          <w:sz w:val="24"/>
          <w:szCs w:val="24"/>
        </w:rPr>
      </w:pPr>
      <w:r w:rsidRPr="003E20CD">
        <w:rPr>
          <w:rFonts w:ascii="Arial" w:hAnsi="Arial" w:cs="Arial"/>
          <w:sz w:val="24"/>
          <w:szCs w:val="24"/>
        </w:rPr>
        <w:t xml:space="preserve">4. </w:t>
      </w:r>
      <w:r w:rsidR="00F55BA5" w:rsidRPr="003E20CD">
        <w:rPr>
          <w:rFonts w:ascii="Arial" w:hAnsi="Arial" w:cs="Arial"/>
          <w:sz w:val="24"/>
          <w:szCs w:val="24"/>
        </w:rPr>
        <w:t>Implementation</w:t>
      </w:r>
      <w:r w:rsidRPr="003E20CD">
        <w:rPr>
          <w:rFonts w:ascii="Arial" w:hAnsi="Arial" w:cs="Arial"/>
          <w:sz w:val="24"/>
          <w:szCs w:val="24"/>
        </w:rPr>
        <w:t xml:space="preserve"> Plan……………………………………………p</w:t>
      </w:r>
      <w:r w:rsidR="005A68A6">
        <w:rPr>
          <w:rFonts w:ascii="Arial" w:hAnsi="Arial" w:cs="Arial"/>
          <w:sz w:val="24"/>
          <w:szCs w:val="24"/>
        </w:rPr>
        <w:t>7</w:t>
      </w:r>
    </w:p>
    <w:p w14:paraId="71DC763B" w14:textId="30286337" w:rsidR="001F58F9" w:rsidRPr="003E20CD" w:rsidRDefault="001F58F9" w:rsidP="001F58F9">
      <w:pPr>
        <w:ind w:left="283"/>
        <w:rPr>
          <w:rFonts w:ascii="Arial" w:hAnsi="Arial" w:cs="Arial"/>
          <w:sz w:val="24"/>
          <w:szCs w:val="24"/>
        </w:rPr>
      </w:pPr>
      <w:r w:rsidRPr="003E20CD">
        <w:rPr>
          <w:rFonts w:ascii="Arial" w:hAnsi="Arial" w:cs="Arial"/>
          <w:sz w:val="24"/>
          <w:szCs w:val="24"/>
        </w:rPr>
        <w:t>4.1 Migration integration and resting…………………………</w:t>
      </w:r>
      <w:proofErr w:type="gramStart"/>
      <w:r w:rsidRPr="003E20CD">
        <w:rPr>
          <w:rFonts w:ascii="Arial" w:hAnsi="Arial" w:cs="Arial"/>
          <w:sz w:val="24"/>
          <w:szCs w:val="24"/>
        </w:rPr>
        <w:t>….p</w:t>
      </w:r>
      <w:proofErr w:type="gramEnd"/>
      <w:r w:rsidR="005A68A6">
        <w:rPr>
          <w:rFonts w:ascii="Arial" w:hAnsi="Arial" w:cs="Arial"/>
          <w:sz w:val="24"/>
          <w:szCs w:val="24"/>
        </w:rPr>
        <w:t>7</w:t>
      </w:r>
    </w:p>
    <w:p w14:paraId="499F4F64" w14:textId="15EC3CB3" w:rsidR="001F58F9" w:rsidRPr="003E20CD" w:rsidRDefault="001F58F9" w:rsidP="001F58F9">
      <w:pPr>
        <w:ind w:left="283"/>
        <w:rPr>
          <w:rFonts w:ascii="Arial" w:hAnsi="Arial" w:cs="Arial"/>
          <w:sz w:val="24"/>
          <w:szCs w:val="24"/>
        </w:rPr>
      </w:pPr>
      <w:r w:rsidRPr="003E20CD">
        <w:rPr>
          <w:rFonts w:ascii="Arial" w:hAnsi="Arial" w:cs="Arial"/>
          <w:sz w:val="24"/>
          <w:szCs w:val="24"/>
        </w:rPr>
        <w:t>4.</w:t>
      </w:r>
      <w:r w:rsidR="00F55BA5" w:rsidRPr="003E20CD">
        <w:rPr>
          <w:rFonts w:ascii="Arial" w:hAnsi="Arial" w:cs="Arial"/>
          <w:sz w:val="24"/>
          <w:szCs w:val="24"/>
        </w:rPr>
        <w:t>2. Training</w:t>
      </w:r>
      <w:r w:rsidRPr="003E20CD">
        <w:rPr>
          <w:rFonts w:ascii="Arial" w:hAnsi="Arial" w:cs="Arial"/>
          <w:sz w:val="24"/>
          <w:szCs w:val="24"/>
        </w:rPr>
        <w:t xml:space="preserve"> and change management………………………</w:t>
      </w:r>
      <w:r w:rsidR="003C70C0">
        <w:rPr>
          <w:rFonts w:ascii="Arial" w:hAnsi="Arial" w:cs="Arial"/>
          <w:sz w:val="24"/>
          <w:szCs w:val="24"/>
        </w:rPr>
        <w:t>..</w:t>
      </w:r>
      <w:r w:rsidRPr="003E20CD">
        <w:rPr>
          <w:rFonts w:ascii="Arial" w:hAnsi="Arial" w:cs="Arial"/>
          <w:sz w:val="24"/>
          <w:szCs w:val="24"/>
        </w:rPr>
        <w:t>.p</w:t>
      </w:r>
      <w:r w:rsidR="005A68A6">
        <w:rPr>
          <w:rFonts w:ascii="Arial" w:hAnsi="Arial" w:cs="Arial"/>
          <w:sz w:val="24"/>
          <w:szCs w:val="24"/>
        </w:rPr>
        <w:t>7</w:t>
      </w:r>
    </w:p>
    <w:p w14:paraId="28918EB8" w14:textId="6DBF556C" w:rsidR="001F58F9" w:rsidRPr="003E20CD" w:rsidRDefault="001F58F9" w:rsidP="001F58F9">
      <w:pPr>
        <w:ind w:left="283"/>
        <w:rPr>
          <w:rFonts w:ascii="Arial" w:hAnsi="Arial" w:cs="Arial"/>
          <w:sz w:val="24"/>
          <w:szCs w:val="24"/>
        </w:rPr>
      </w:pPr>
      <w:r w:rsidRPr="003E20CD">
        <w:rPr>
          <w:rFonts w:ascii="Arial" w:hAnsi="Arial" w:cs="Arial"/>
          <w:sz w:val="24"/>
          <w:szCs w:val="24"/>
        </w:rPr>
        <w:t>4.3 Risk controls &amp; success management…………………</w:t>
      </w:r>
      <w:proofErr w:type="gramStart"/>
      <w:r w:rsidRPr="003E20CD">
        <w:rPr>
          <w:rFonts w:ascii="Arial" w:hAnsi="Arial" w:cs="Arial"/>
          <w:sz w:val="24"/>
          <w:szCs w:val="24"/>
        </w:rPr>
        <w:t>…</w:t>
      </w:r>
      <w:r w:rsidR="003C70C0">
        <w:rPr>
          <w:rFonts w:ascii="Arial" w:hAnsi="Arial" w:cs="Arial"/>
          <w:sz w:val="24"/>
          <w:szCs w:val="24"/>
        </w:rPr>
        <w:t>..</w:t>
      </w:r>
      <w:proofErr w:type="gramEnd"/>
      <w:r w:rsidRPr="003E20CD">
        <w:rPr>
          <w:rFonts w:ascii="Arial" w:hAnsi="Arial" w:cs="Arial"/>
          <w:sz w:val="24"/>
          <w:szCs w:val="24"/>
        </w:rPr>
        <w:t>p</w:t>
      </w:r>
      <w:r w:rsidR="005A68A6">
        <w:rPr>
          <w:rFonts w:ascii="Arial" w:hAnsi="Arial" w:cs="Arial"/>
          <w:sz w:val="24"/>
          <w:szCs w:val="24"/>
        </w:rPr>
        <w:t>7-8</w:t>
      </w:r>
    </w:p>
    <w:p w14:paraId="6DFA2583" w14:textId="005EFA57" w:rsidR="001F58F9" w:rsidRPr="003E20CD" w:rsidRDefault="001F58F9" w:rsidP="001F58F9">
      <w:pPr>
        <w:ind w:left="283"/>
        <w:rPr>
          <w:rFonts w:ascii="Arial" w:hAnsi="Arial" w:cs="Arial"/>
          <w:sz w:val="24"/>
          <w:szCs w:val="24"/>
        </w:rPr>
      </w:pPr>
      <w:r w:rsidRPr="003E20CD">
        <w:rPr>
          <w:rFonts w:ascii="Arial" w:hAnsi="Arial" w:cs="Arial"/>
          <w:sz w:val="24"/>
          <w:szCs w:val="24"/>
        </w:rPr>
        <w:t>5. Conclusion………………………………………………………p</w:t>
      </w:r>
      <w:r w:rsidR="005A68A6">
        <w:rPr>
          <w:rFonts w:ascii="Arial" w:hAnsi="Arial" w:cs="Arial"/>
          <w:sz w:val="24"/>
          <w:szCs w:val="24"/>
        </w:rPr>
        <w:t>8</w:t>
      </w:r>
    </w:p>
    <w:p w14:paraId="6E4D3826" w14:textId="56B68869" w:rsidR="001F58F9" w:rsidRPr="003E20CD" w:rsidRDefault="001F58F9" w:rsidP="001F58F9">
      <w:pPr>
        <w:ind w:left="283"/>
        <w:rPr>
          <w:rFonts w:ascii="Arial" w:hAnsi="Arial" w:cs="Arial"/>
          <w:sz w:val="24"/>
          <w:szCs w:val="24"/>
        </w:rPr>
      </w:pPr>
      <w:r w:rsidRPr="003E20CD">
        <w:rPr>
          <w:rFonts w:ascii="Arial" w:hAnsi="Arial" w:cs="Arial"/>
          <w:sz w:val="24"/>
          <w:szCs w:val="24"/>
        </w:rPr>
        <w:t>6. Reference List ………………………………………………</w:t>
      </w:r>
      <w:proofErr w:type="gramStart"/>
      <w:r w:rsidRPr="003E20CD">
        <w:rPr>
          <w:rFonts w:ascii="Arial" w:hAnsi="Arial" w:cs="Arial"/>
          <w:sz w:val="24"/>
          <w:szCs w:val="24"/>
        </w:rPr>
        <w:t>….p</w:t>
      </w:r>
      <w:proofErr w:type="gramEnd"/>
      <w:r w:rsidR="005A68A6">
        <w:rPr>
          <w:rFonts w:ascii="Arial" w:hAnsi="Arial" w:cs="Arial"/>
          <w:sz w:val="24"/>
          <w:szCs w:val="24"/>
        </w:rPr>
        <w:t>9</w:t>
      </w:r>
    </w:p>
    <w:p w14:paraId="3AF3A5B3" w14:textId="77777777" w:rsidR="001F58F9" w:rsidRPr="003E20CD" w:rsidRDefault="001F58F9" w:rsidP="001F58F9">
      <w:pPr>
        <w:ind w:left="283"/>
        <w:rPr>
          <w:rFonts w:ascii="Arial" w:hAnsi="Arial" w:cs="Arial"/>
          <w:sz w:val="24"/>
          <w:szCs w:val="24"/>
        </w:rPr>
      </w:pPr>
    </w:p>
    <w:p w14:paraId="67EDF6F1" w14:textId="77777777" w:rsidR="00EC1043" w:rsidRPr="003E20CD" w:rsidRDefault="00EC1043" w:rsidP="00EC1043">
      <w:pPr>
        <w:ind w:left="360"/>
        <w:rPr>
          <w:rFonts w:ascii="Arial" w:hAnsi="Arial" w:cs="Arial"/>
          <w:sz w:val="24"/>
          <w:szCs w:val="24"/>
        </w:rPr>
      </w:pPr>
    </w:p>
    <w:p w14:paraId="4FABB8F9" w14:textId="77777777" w:rsidR="00EC1043" w:rsidRPr="003E20CD" w:rsidRDefault="00EC1043">
      <w:pPr>
        <w:rPr>
          <w:rFonts w:ascii="Arial" w:hAnsi="Arial" w:cs="Arial"/>
          <w:sz w:val="24"/>
          <w:szCs w:val="24"/>
        </w:rPr>
      </w:pPr>
    </w:p>
    <w:p w14:paraId="7BDC5D0F" w14:textId="77777777" w:rsidR="00EC1043" w:rsidRPr="003E20CD" w:rsidRDefault="00EC1043">
      <w:pPr>
        <w:rPr>
          <w:rFonts w:ascii="Arial" w:hAnsi="Arial" w:cs="Arial"/>
          <w:sz w:val="24"/>
          <w:szCs w:val="24"/>
        </w:rPr>
      </w:pPr>
    </w:p>
    <w:p w14:paraId="070DA087" w14:textId="77777777" w:rsidR="00EC1043" w:rsidRPr="003E20CD" w:rsidRDefault="00EC1043">
      <w:pPr>
        <w:rPr>
          <w:rFonts w:ascii="Arial" w:hAnsi="Arial" w:cs="Arial"/>
          <w:sz w:val="24"/>
          <w:szCs w:val="24"/>
        </w:rPr>
      </w:pPr>
    </w:p>
    <w:p w14:paraId="519FBD1A" w14:textId="77777777" w:rsidR="00EC1043" w:rsidRPr="003E20CD" w:rsidRDefault="00EC1043">
      <w:pPr>
        <w:rPr>
          <w:rFonts w:ascii="Arial" w:hAnsi="Arial" w:cs="Arial"/>
          <w:sz w:val="24"/>
          <w:szCs w:val="24"/>
        </w:rPr>
      </w:pPr>
    </w:p>
    <w:p w14:paraId="73E3310B" w14:textId="77777777" w:rsidR="00EC1043" w:rsidRPr="003E20CD" w:rsidRDefault="00EC1043">
      <w:pPr>
        <w:rPr>
          <w:rFonts w:ascii="Arial" w:hAnsi="Arial" w:cs="Arial"/>
          <w:sz w:val="24"/>
          <w:szCs w:val="24"/>
        </w:rPr>
      </w:pPr>
    </w:p>
    <w:p w14:paraId="4D91A7B1" w14:textId="77777777" w:rsidR="00F55BA5" w:rsidRPr="003E20CD" w:rsidRDefault="00F55BA5" w:rsidP="001C0A95">
      <w:pPr>
        <w:spacing w:after="0" w:line="240" w:lineRule="auto"/>
        <w:jc w:val="both"/>
        <w:rPr>
          <w:rFonts w:ascii="Arial" w:hAnsi="Arial" w:cs="Arial"/>
          <w:sz w:val="24"/>
          <w:szCs w:val="24"/>
        </w:rPr>
      </w:pPr>
    </w:p>
    <w:p w14:paraId="594735C0" w14:textId="77777777" w:rsidR="00F55BA5" w:rsidRPr="003E20CD" w:rsidRDefault="00F55BA5" w:rsidP="001C0A95">
      <w:pPr>
        <w:spacing w:after="0" w:line="240" w:lineRule="auto"/>
        <w:jc w:val="both"/>
        <w:rPr>
          <w:rFonts w:ascii="Arial" w:hAnsi="Arial" w:cs="Arial"/>
          <w:sz w:val="24"/>
          <w:szCs w:val="24"/>
        </w:rPr>
      </w:pPr>
    </w:p>
    <w:p w14:paraId="3756A10A" w14:textId="77777777" w:rsidR="00DD6706" w:rsidRDefault="00DD6706" w:rsidP="001C0A95">
      <w:pPr>
        <w:spacing w:after="0" w:line="240" w:lineRule="auto"/>
        <w:jc w:val="both"/>
        <w:rPr>
          <w:rFonts w:ascii="Arial" w:eastAsia="Times New Roman" w:hAnsi="Arial" w:cs="Arial"/>
          <w:b/>
          <w:bCs/>
          <w:color w:val="111111"/>
          <w:sz w:val="24"/>
          <w:szCs w:val="24"/>
          <w:lang w:eastAsia="en-GB"/>
        </w:rPr>
      </w:pPr>
    </w:p>
    <w:p w14:paraId="2C153167" w14:textId="7B564309" w:rsidR="001C0A95" w:rsidRPr="003E20CD" w:rsidRDefault="001C0A95" w:rsidP="001C0A95">
      <w:pPr>
        <w:spacing w:after="0" w:line="240" w:lineRule="auto"/>
        <w:jc w:val="both"/>
        <w:rPr>
          <w:rFonts w:ascii="Arial" w:eastAsia="Times New Roman" w:hAnsi="Arial" w:cs="Arial"/>
          <w:b/>
          <w:bCs/>
          <w:color w:val="111111"/>
          <w:sz w:val="24"/>
          <w:szCs w:val="24"/>
          <w:lang w:eastAsia="en-GB"/>
        </w:rPr>
      </w:pPr>
      <w:r w:rsidRPr="003E20CD">
        <w:rPr>
          <w:rFonts w:ascii="Arial" w:eastAsia="Times New Roman" w:hAnsi="Arial" w:cs="Arial"/>
          <w:b/>
          <w:bCs/>
          <w:color w:val="111111"/>
          <w:sz w:val="24"/>
          <w:szCs w:val="24"/>
          <w:lang w:eastAsia="en-GB"/>
        </w:rPr>
        <w:t>1.Introduction</w:t>
      </w:r>
    </w:p>
    <w:p w14:paraId="0B0D104F" w14:textId="2BFAFF87" w:rsidR="00EC1043" w:rsidRPr="003E20CD" w:rsidRDefault="00DD6706"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Maldita</w:t>
      </w:r>
      <w:r w:rsidR="008071F4" w:rsidRPr="003E20CD">
        <w:rPr>
          <w:rFonts w:ascii="Arial" w:eastAsia="Times New Roman" w:hAnsi="Arial" w:cs="Arial"/>
          <w:color w:val="111111"/>
          <w:sz w:val="24"/>
          <w:szCs w:val="24"/>
          <w:lang w:eastAsia="en-GB"/>
        </w:rPr>
        <w:t xml:space="preserve"> Ltd. is a fast-growing consumer-electronics retailer operating 30 stores and an </w:t>
      </w:r>
      <w:r w:rsidR="001C0A95" w:rsidRPr="003E20CD">
        <w:rPr>
          <w:rFonts w:ascii="Arial" w:eastAsia="Times New Roman" w:hAnsi="Arial" w:cs="Arial"/>
          <w:color w:val="111111"/>
          <w:sz w:val="24"/>
          <w:szCs w:val="24"/>
          <w:lang w:eastAsia="en-GB"/>
        </w:rPr>
        <w:t>online store</w:t>
      </w:r>
      <w:r w:rsidR="008071F4" w:rsidRPr="003E20CD">
        <w:rPr>
          <w:rFonts w:ascii="Arial" w:eastAsia="Times New Roman" w:hAnsi="Arial" w:cs="Arial"/>
          <w:color w:val="111111"/>
          <w:sz w:val="24"/>
          <w:szCs w:val="24"/>
          <w:lang w:eastAsia="en-GB"/>
        </w:rPr>
        <w:t xml:space="preserve">. </w:t>
      </w:r>
    </w:p>
    <w:p w14:paraId="511F5EF1" w14:textId="7C612543" w:rsidR="001C0A95" w:rsidRPr="003E20CD" w:rsidRDefault="008071F4" w:rsidP="001C0A95">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 xml:space="preserve">Sales </w:t>
      </w:r>
      <w:r w:rsidR="00EC1043" w:rsidRPr="003E20CD">
        <w:rPr>
          <w:rFonts w:ascii="Arial" w:eastAsia="Times New Roman" w:hAnsi="Arial" w:cs="Arial"/>
          <w:color w:val="111111"/>
          <w:sz w:val="24"/>
          <w:szCs w:val="24"/>
          <w:lang w:eastAsia="en-GB"/>
        </w:rPr>
        <w:t>growth is being held back by separate systems that do not work together rather than market demand. Manual inventory records create overselling and excess stock; customer data stored in separate systems prevents effective service and personalised marketing; spreadsheet reporting delays decisions; and weak access controls expose the company to privacy and cyber risk.</w:t>
      </w:r>
      <w:r w:rsidR="001C0A95" w:rsidRPr="003E20CD">
        <w:rPr>
          <w:rFonts w:ascii="Arial" w:eastAsia="Times New Roman" w:hAnsi="Arial" w:cs="Arial"/>
          <w:color w:val="111111"/>
          <w:sz w:val="24"/>
          <w:szCs w:val="24"/>
          <w:lang w:eastAsia="en-GB"/>
        </w:rPr>
        <w:t xml:space="preserve"> </w:t>
      </w:r>
      <w:r w:rsidR="001C0A95" w:rsidRPr="003E20CD">
        <w:rPr>
          <w:rFonts w:ascii="Arial" w:eastAsia="Times New Roman" w:hAnsi="Arial" w:cs="Arial"/>
          <w:color w:val="111111"/>
          <w:sz w:val="24"/>
          <w:szCs w:val="24"/>
          <w:lang w:eastAsia="en-GB"/>
        </w:rPr>
        <w:t>The result is preventable refunds, delayed fulfilment, overstocking, weak forecasting and poor customer experiences.</w:t>
      </w:r>
    </w:p>
    <w:p w14:paraId="3B8A1CCA" w14:textId="77777777" w:rsidR="001C0A95" w:rsidRPr="003E20CD" w:rsidRDefault="001C0A95" w:rsidP="001C0A95">
      <w:pPr>
        <w:spacing w:after="0" w:line="240" w:lineRule="auto"/>
        <w:jc w:val="both"/>
        <w:rPr>
          <w:rFonts w:ascii="Arial" w:eastAsia="Times New Roman" w:hAnsi="Arial" w:cs="Arial"/>
          <w:color w:val="111111"/>
          <w:sz w:val="24"/>
          <w:szCs w:val="24"/>
          <w:lang w:eastAsia="en-GB"/>
        </w:rPr>
      </w:pPr>
    </w:p>
    <w:p w14:paraId="6BCF4FA3" w14:textId="6D9B4313" w:rsidR="00EC1043" w:rsidRPr="003E20CD" w:rsidRDefault="00EC1043"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 xml:space="preserve"> The recommended solution is a cloud business system with connected modules integrating enterprise resource planning (ERP), customer relationship management (CRM), order and inventory management, and business intelligence (BI) for reports and dashboards through a shared data structure with clear controls. This option offers stronger complete process control than isolated replacements while avoiding the high cost and dependence created by extensive custom-built software. A phased, 12-month rollout begins with discovery, data management and system design, then </w:t>
      </w:r>
      <w:r w:rsidR="001C0A95" w:rsidRPr="003E20CD">
        <w:rPr>
          <w:rFonts w:ascii="Arial" w:eastAsia="Times New Roman" w:hAnsi="Arial" w:cs="Arial"/>
          <w:color w:val="111111"/>
          <w:sz w:val="24"/>
          <w:szCs w:val="24"/>
          <w:lang w:eastAsia="en-GB"/>
        </w:rPr>
        <w:t>pilots’</w:t>
      </w:r>
      <w:r w:rsidRPr="003E20CD">
        <w:rPr>
          <w:rFonts w:ascii="Arial" w:eastAsia="Times New Roman" w:hAnsi="Arial" w:cs="Arial"/>
          <w:color w:val="111111"/>
          <w:sz w:val="24"/>
          <w:szCs w:val="24"/>
          <w:lang w:eastAsia="en-GB"/>
        </w:rPr>
        <w:t xml:space="preserve"> inventory and order processes before expanding to CRM, finance, analytics and all 30 stores. Benefits will be measured through inventory accuracy, online cancellation rates, fulfilment time, reporting cycle time, customer-service resolution and security compliance. The proposal emphasises improving the way work is carried out, data quality, training and strong management because enterprise-system value depends on organisational use by employees as much as technology.</w:t>
      </w:r>
    </w:p>
    <w:p w14:paraId="5A90EE57" w14:textId="77777777" w:rsidR="00F55BA5" w:rsidRPr="003E20CD" w:rsidRDefault="00F55BA5" w:rsidP="00EC1043">
      <w:pPr>
        <w:spacing w:after="0" w:line="240" w:lineRule="auto"/>
        <w:jc w:val="both"/>
        <w:rPr>
          <w:rFonts w:ascii="Arial" w:eastAsia="Times New Roman" w:hAnsi="Arial" w:cs="Arial"/>
          <w:color w:val="111111"/>
          <w:sz w:val="24"/>
          <w:szCs w:val="24"/>
          <w:lang w:eastAsia="en-GB"/>
        </w:rPr>
      </w:pPr>
    </w:p>
    <w:p w14:paraId="7C24F4A3" w14:textId="77777777" w:rsidR="00F55BA5" w:rsidRPr="003E20CD" w:rsidRDefault="00F55BA5" w:rsidP="00EC1043">
      <w:pPr>
        <w:spacing w:after="0" w:line="240" w:lineRule="auto"/>
        <w:jc w:val="both"/>
        <w:rPr>
          <w:rFonts w:ascii="Arial" w:eastAsia="Times New Roman" w:hAnsi="Arial" w:cs="Arial"/>
          <w:color w:val="111111"/>
          <w:sz w:val="24"/>
          <w:szCs w:val="24"/>
          <w:lang w:eastAsia="en-GB"/>
        </w:rPr>
      </w:pPr>
    </w:p>
    <w:p w14:paraId="6A98001D" w14:textId="77777777" w:rsidR="008071F4" w:rsidRPr="003E20CD" w:rsidRDefault="008071F4" w:rsidP="00EC1043">
      <w:pPr>
        <w:spacing w:after="0" w:line="240" w:lineRule="auto"/>
        <w:jc w:val="both"/>
        <w:rPr>
          <w:rFonts w:ascii="Arial" w:eastAsia="Times New Roman" w:hAnsi="Arial" w:cs="Arial"/>
          <w:color w:val="111111"/>
          <w:sz w:val="24"/>
          <w:szCs w:val="24"/>
          <w:lang w:eastAsia="en-GB"/>
        </w:rPr>
      </w:pPr>
    </w:p>
    <w:p w14:paraId="6A1AFC25" w14:textId="77777777" w:rsidR="008071F4" w:rsidRPr="003E20CD" w:rsidRDefault="008071F4" w:rsidP="00EC1043">
      <w:pPr>
        <w:spacing w:after="0" w:line="240" w:lineRule="auto"/>
        <w:jc w:val="both"/>
        <w:rPr>
          <w:rFonts w:ascii="Arial" w:eastAsia="Times New Roman" w:hAnsi="Arial" w:cs="Arial"/>
          <w:color w:val="111111"/>
          <w:sz w:val="24"/>
          <w:szCs w:val="24"/>
          <w:lang w:eastAsia="en-GB"/>
        </w:rPr>
      </w:pPr>
    </w:p>
    <w:p w14:paraId="05F75779" w14:textId="4158320F" w:rsidR="00EC1043" w:rsidRPr="003E20CD" w:rsidRDefault="00EC1043" w:rsidP="00EC1043">
      <w:pPr>
        <w:spacing w:after="0" w:line="240" w:lineRule="auto"/>
        <w:jc w:val="both"/>
        <w:rPr>
          <w:rFonts w:ascii="Arial" w:eastAsia="Times New Roman" w:hAnsi="Arial" w:cs="Arial"/>
          <w:b/>
          <w:bCs/>
          <w:sz w:val="24"/>
          <w:szCs w:val="24"/>
          <w:lang w:eastAsia="en-GB"/>
        </w:rPr>
      </w:pPr>
      <w:r w:rsidRPr="003E20CD">
        <w:rPr>
          <w:rFonts w:ascii="Arial" w:eastAsia="Times New Roman" w:hAnsi="Arial" w:cs="Arial"/>
          <w:b/>
          <w:bCs/>
          <w:sz w:val="24"/>
          <w:szCs w:val="24"/>
          <w:lang w:eastAsia="en-GB"/>
        </w:rPr>
        <w:t>1.</w:t>
      </w:r>
      <w:r w:rsidR="001C0A95" w:rsidRPr="003E20CD">
        <w:rPr>
          <w:rFonts w:ascii="Arial" w:eastAsia="Times New Roman" w:hAnsi="Arial" w:cs="Arial"/>
          <w:b/>
          <w:bCs/>
          <w:sz w:val="24"/>
          <w:szCs w:val="24"/>
          <w:lang w:eastAsia="en-GB"/>
        </w:rPr>
        <w:t>1</w:t>
      </w:r>
      <w:r w:rsidRPr="003E20CD">
        <w:rPr>
          <w:rFonts w:ascii="Arial" w:eastAsia="Times New Roman" w:hAnsi="Arial" w:cs="Arial"/>
          <w:b/>
          <w:bCs/>
          <w:sz w:val="24"/>
          <w:szCs w:val="24"/>
          <w:lang w:eastAsia="en-GB"/>
        </w:rPr>
        <w:t xml:space="preserve"> Key challenges and proposal objective</w:t>
      </w:r>
    </w:p>
    <w:p w14:paraId="7CE37C91" w14:textId="72D536AE" w:rsidR="00EC1043" w:rsidRPr="003E20CD" w:rsidRDefault="00EC1043"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 xml:space="preserve">Five connected challenges require attention: inaccurate stock visibility, fragmented customer information, slow reporting, inadequate data protection, and weak links between departments. Treating each </w:t>
      </w:r>
      <w:r w:rsidR="001C0A95" w:rsidRPr="003E20CD">
        <w:rPr>
          <w:rFonts w:ascii="Arial" w:eastAsia="Times New Roman" w:hAnsi="Arial" w:cs="Arial"/>
          <w:color w:val="111111"/>
          <w:sz w:val="24"/>
          <w:szCs w:val="24"/>
          <w:lang w:eastAsia="en-GB"/>
        </w:rPr>
        <w:t>area</w:t>
      </w:r>
      <w:r w:rsidRPr="003E20CD">
        <w:rPr>
          <w:rFonts w:ascii="Arial" w:eastAsia="Times New Roman" w:hAnsi="Arial" w:cs="Arial"/>
          <w:color w:val="111111"/>
          <w:sz w:val="24"/>
          <w:szCs w:val="24"/>
          <w:lang w:eastAsia="en-GB"/>
        </w:rPr>
        <w:t xml:space="preserve"> separately would create more interfaces and unclear responsibility for data. The proposal therefore evaluates the present environment and recommends an integrated information-system structure that supports control of daily work, decisions based on accurate evidence and future growth. The objective is not simply software replacement; processes, roles, data standards and controls must be redesigned so that one trusted transaction can support selling, reordering stock, finance, service and analysis (Laudon and Laudon, 2022; Stair and Reynolds, 2020).</w:t>
      </w:r>
    </w:p>
    <w:p w14:paraId="5F54AC15" w14:textId="77777777" w:rsidR="00EC1043" w:rsidRPr="003E20CD" w:rsidRDefault="00EC1043" w:rsidP="00EC1043">
      <w:pPr>
        <w:spacing w:after="0" w:line="240" w:lineRule="auto"/>
        <w:jc w:val="both"/>
        <w:rPr>
          <w:rFonts w:ascii="Arial" w:eastAsia="Times New Roman" w:hAnsi="Arial" w:cs="Arial"/>
          <w:color w:val="111111"/>
          <w:sz w:val="24"/>
          <w:szCs w:val="24"/>
          <w:lang w:eastAsia="en-GB"/>
        </w:rPr>
      </w:pPr>
    </w:p>
    <w:p w14:paraId="02E5DDC0" w14:textId="77777777" w:rsidR="00EC1043" w:rsidRPr="003E20CD" w:rsidRDefault="00EC1043" w:rsidP="00EC1043">
      <w:pPr>
        <w:spacing w:after="0" w:line="240" w:lineRule="auto"/>
        <w:jc w:val="both"/>
        <w:rPr>
          <w:rFonts w:ascii="Arial" w:eastAsia="Times New Roman" w:hAnsi="Arial" w:cs="Arial"/>
          <w:color w:val="111111"/>
          <w:sz w:val="24"/>
          <w:szCs w:val="24"/>
          <w:lang w:eastAsia="en-GB"/>
        </w:rPr>
      </w:pPr>
    </w:p>
    <w:p w14:paraId="15CBB556" w14:textId="77777777" w:rsidR="00F55BA5" w:rsidRPr="003E20CD" w:rsidRDefault="00F55BA5" w:rsidP="00EC1043">
      <w:pPr>
        <w:spacing w:after="0" w:line="240" w:lineRule="auto"/>
        <w:jc w:val="both"/>
        <w:rPr>
          <w:rFonts w:ascii="Arial" w:eastAsia="Times New Roman" w:hAnsi="Arial" w:cs="Arial"/>
          <w:color w:val="111111"/>
          <w:sz w:val="24"/>
          <w:szCs w:val="24"/>
          <w:lang w:eastAsia="en-GB"/>
        </w:rPr>
      </w:pPr>
    </w:p>
    <w:p w14:paraId="4D58335C" w14:textId="77777777" w:rsidR="00F55BA5" w:rsidRPr="003E20CD" w:rsidRDefault="00F55BA5" w:rsidP="00EC1043">
      <w:pPr>
        <w:spacing w:after="0" w:line="240" w:lineRule="auto"/>
        <w:jc w:val="both"/>
        <w:rPr>
          <w:rFonts w:ascii="Arial" w:eastAsia="Times New Roman" w:hAnsi="Arial" w:cs="Arial"/>
          <w:color w:val="111111"/>
          <w:sz w:val="24"/>
          <w:szCs w:val="24"/>
          <w:lang w:eastAsia="en-GB"/>
        </w:rPr>
      </w:pPr>
    </w:p>
    <w:p w14:paraId="4C3C2541" w14:textId="77777777" w:rsidR="00F55BA5" w:rsidRPr="003E20CD" w:rsidRDefault="00F55BA5" w:rsidP="00EC1043">
      <w:pPr>
        <w:spacing w:after="0" w:line="240" w:lineRule="auto"/>
        <w:jc w:val="both"/>
        <w:rPr>
          <w:rFonts w:ascii="Arial" w:eastAsia="Times New Roman" w:hAnsi="Arial" w:cs="Arial"/>
          <w:color w:val="111111"/>
          <w:sz w:val="24"/>
          <w:szCs w:val="24"/>
          <w:lang w:eastAsia="en-GB"/>
        </w:rPr>
      </w:pPr>
    </w:p>
    <w:p w14:paraId="2A4CDB8E" w14:textId="77777777" w:rsidR="00F55BA5" w:rsidRPr="003E20CD" w:rsidRDefault="00F55BA5" w:rsidP="00EC1043">
      <w:pPr>
        <w:spacing w:after="0" w:line="240" w:lineRule="auto"/>
        <w:jc w:val="both"/>
        <w:rPr>
          <w:rFonts w:ascii="Arial" w:eastAsia="Times New Roman" w:hAnsi="Arial" w:cs="Arial"/>
          <w:color w:val="111111"/>
          <w:sz w:val="24"/>
          <w:szCs w:val="24"/>
          <w:lang w:eastAsia="en-GB"/>
        </w:rPr>
      </w:pPr>
    </w:p>
    <w:p w14:paraId="5F22A645" w14:textId="77777777" w:rsidR="00F55BA5" w:rsidRPr="003E20CD" w:rsidRDefault="00F55BA5" w:rsidP="00EC1043">
      <w:pPr>
        <w:spacing w:after="0" w:line="240" w:lineRule="auto"/>
        <w:jc w:val="both"/>
        <w:rPr>
          <w:rFonts w:ascii="Arial" w:eastAsia="Times New Roman" w:hAnsi="Arial" w:cs="Arial"/>
          <w:color w:val="111111"/>
          <w:sz w:val="24"/>
          <w:szCs w:val="24"/>
          <w:lang w:eastAsia="en-GB"/>
        </w:rPr>
      </w:pPr>
    </w:p>
    <w:p w14:paraId="07137E36" w14:textId="77777777" w:rsidR="00F55BA5" w:rsidRPr="003E20CD" w:rsidRDefault="00F55BA5" w:rsidP="00EC1043">
      <w:pPr>
        <w:spacing w:after="0" w:line="240" w:lineRule="auto"/>
        <w:jc w:val="both"/>
        <w:rPr>
          <w:rFonts w:ascii="Arial" w:eastAsia="Times New Roman" w:hAnsi="Arial" w:cs="Arial"/>
          <w:color w:val="111111"/>
          <w:sz w:val="24"/>
          <w:szCs w:val="24"/>
          <w:lang w:eastAsia="en-GB"/>
        </w:rPr>
      </w:pPr>
    </w:p>
    <w:p w14:paraId="7DB204C4" w14:textId="77777777" w:rsidR="00F55BA5" w:rsidRPr="003E20CD" w:rsidRDefault="00F55BA5" w:rsidP="00EC1043">
      <w:pPr>
        <w:spacing w:after="0" w:line="240" w:lineRule="auto"/>
        <w:jc w:val="both"/>
        <w:rPr>
          <w:rFonts w:ascii="Arial" w:eastAsia="Times New Roman" w:hAnsi="Arial" w:cs="Arial"/>
          <w:color w:val="111111"/>
          <w:sz w:val="24"/>
          <w:szCs w:val="24"/>
          <w:lang w:eastAsia="en-GB"/>
        </w:rPr>
      </w:pPr>
    </w:p>
    <w:p w14:paraId="743E64C4" w14:textId="77777777" w:rsidR="00DD6706" w:rsidRDefault="00DD6706" w:rsidP="00EC1043">
      <w:pPr>
        <w:spacing w:after="0" w:line="240" w:lineRule="auto"/>
        <w:jc w:val="both"/>
        <w:rPr>
          <w:rFonts w:ascii="Arial" w:eastAsia="Times New Roman" w:hAnsi="Arial" w:cs="Arial"/>
          <w:b/>
          <w:bCs/>
          <w:color w:val="111111"/>
          <w:sz w:val="24"/>
          <w:szCs w:val="24"/>
          <w:lang w:eastAsia="en-GB"/>
        </w:rPr>
      </w:pPr>
    </w:p>
    <w:p w14:paraId="32016A42" w14:textId="77777777" w:rsidR="00DD6706" w:rsidRDefault="00DD6706" w:rsidP="00EC1043">
      <w:pPr>
        <w:spacing w:after="0" w:line="240" w:lineRule="auto"/>
        <w:jc w:val="both"/>
        <w:rPr>
          <w:rFonts w:ascii="Arial" w:eastAsia="Times New Roman" w:hAnsi="Arial" w:cs="Arial"/>
          <w:b/>
          <w:bCs/>
          <w:color w:val="111111"/>
          <w:sz w:val="24"/>
          <w:szCs w:val="24"/>
          <w:lang w:eastAsia="en-GB"/>
        </w:rPr>
      </w:pPr>
    </w:p>
    <w:p w14:paraId="66620D0F" w14:textId="18ACA34C" w:rsidR="00EC1043" w:rsidRPr="003E20CD" w:rsidRDefault="00EC1043" w:rsidP="00EC1043">
      <w:pPr>
        <w:spacing w:after="0" w:line="240" w:lineRule="auto"/>
        <w:jc w:val="both"/>
        <w:rPr>
          <w:rFonts w:ascii="Arial" w:eastAsia="Times New Roman" w:hAnsi="Arial" w:cs="Arial"/>
          <w:b/>
          <w:bCs/>
          <w:color w:val="111111"/>
          <w:sz w:val="24"/>
          <w:szCs w:val="24"/>
          <w:lang w:eastAsia="en-GB"/>
        </w:rPr>
      </w:pPr>
      <w:r w:rsidRPr="003E20CD">
        <w:rPr>
          <w:rFonts w:ascii="Arial" w:eastAsia="Times New Roman" w:hAnsi="Arial" w:cs="Arial"/>
          <w:b/>
          <w:bCs/>
          <w:color w:val="111111"/>
          <w:sz w:val="24"/>
          <w:szCs w:val="24"/>
          <w:lang w:eastAsia="en-GB"/>
        </w:rPr>
        <w:t>2.Evaluation of Existing Systems</w:t>
      </w:r>
    </w:p>
    <w:p w14:paraId="24C9C951" w14:textId="5480A5B6" w:rsidR="00EC1043" w:rsidRDefault="00EC1043"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The present environment resembles a collection of separate systems used by each department with spreadsheets acting as the integration layer. Such arrangements may be inexpensive when volumes are low, but they become fragile as channels, products and locations grow. Table 1 links each current weakness to its day-to-day and long-term effect.</w:t>
      </w:r>
    </w:p>
    <w:p w14:paraId="779CD7D1" w14:textId="77777777" w:rsidR="00DD6706" w:rsidRPr="003E20CD" w:rsidRDefault="00DD6706" w:rsidP="00EC1043">
      <w:pPr>
        <w:spacing w:after="0" w:line="240" w:lineRule="auto"/>
        <w:jc w:val="both"/>
        <w:rPr>
          <w:rFonts w:ascii="Arial" w:eastAsia="Times New Roman" w:hAnsi="Arial" w:cs="Arial"/>
          <w:color w:val="111111"/>
          <w:sz w:val="24"/>
          <w:szCs w:val="24"/>
          <w:lang w:eastAsia="en-GB"/>
        </w:rPr>
      </w:pPr>
    </w:p>
    <w:tbl>
      <w:tblPr>
        <w:tblW w:w="936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300"/>
        <w:gridCol w:w="3300"/>
        <w:gridCol w:w="3760"/>
      </w:tblGrid>
      <w:tr w:rsidR="00EC1043" w:rsidRPr="003E20CD" w14:paraId="6A32AC0D" w14:textId="77777777">
        <w:tc>
          <w:tcPr>
            <w:tcW w:w="2300" w:type="dxa"/>
            <w:shd w:val="clear" w:color="auto" w:fill="16324F"/>
            <w:tcMar>
              <w:top w:w="80" w:type="dxa"/>
              <w:left w:w="0" w:type="dxa"/>
              <w:bottom w:w="80" w:type="dxa"/>
              <w:right w:w="0" w:type="dxa"/>
            </w:tcMar>
            <w:vAlign w:val="center"/>
            <w:hideMark/>
          </w:tcPr>
          <w:p w14:paraId="6C3CE69D" w14:textId="77777777" w:rsidR="00EC1043" w:rsidRPr="003E20CD" w:rsidRDefault="00EC1043" w:rsidP="00EC1043">
            <w:pPr>
              <w:spacing w:after="0" w:line="240" w:lineRule="auto"/>
              <w:jc w:val="center"/>
              <w:rPr>
                <w:rFonts w:ascii="Arial" w:eastAsia="Times New Roman" w:hAnsi="Arial" w:cs="Arial"/>
                <w:color w:val="111111"/>
                <w:sz w:val="24"/>
                <w:szCs w:val="24"/>
                <w:lang w:eastAsia="en-GB"/>
              </w:rPr>
            </w:pPr>
            <w:r w:rsidRPr="003E20CD">
              <w:rPr>
                <w:rFonts w:ascii="Arial" w:eastAsia="Times New Roman" w:hAnsi="Arial" w:cs="Arial"/>
                <w:b/>
                <w:bCs/>
                <w:color w:val="FFFFFF"/>
                <w:sz w:val="24"/>
                <w:szCs w:val="24"/>
                <w:lang w:eastAsia="en-GB"/>
              </w:rPr>
              <w:t>Current system</w:t>
            </w:r>
          </w:p>
        </w:tc>
        <w:tc>
          <w:tcPr>
            <w:tcW w:w="3300" w:type="dxa"/>
            <w:shd w:val="clear" w:color="auto" w:fill="16324F"/>
            <w:tcMar>
              <w:top w:w="80" w:type="dxa"/>
              <w:left w:w="0" w:type="dxa"/>
              <w:bottom w:w="80" w:type="dxa"/>
              <w:right w:w="0" w:type="dxa"/>
            </w:tcMar>
            <w:vAlign w:val="center"/>
            <w:hideMark/>
          </w:tcPr>
          <w:p w14:paraId="77680C18" w14:textId="77777777" w:rsidR="00EC1043" w:rsidRPr="003E20CD" w:rsidRDefault="00EC1043" w:rsidP="00EC1043">
            <w:pPr>
              <w:spacing w:after="0" w:line="240" w:lineRule="auto"/>
              <w:jc w:val="center"/>
              <w:rPr>
                <w:rFonts w:ascii="Arial" w:eastAsia="Times New Roman" w:hAnsi="Arial" w:cs="Arial"/>
                <w:color w:val="111111"/>
                <w:sz w:val="24"/>
                <w:szCs w:val="24"/>
                <w:lang w:eastAsia="en-GB"/>
              </w:rPr>
            </w:pPr>
            <w:r w:rsidRPr="003E20CD">
              <w:rPr>
                <w:rFonts w:ascii="Arial" w:eastAsia="Times New Roman" w:hAnsi="Arial" w:cs="Arial"/>
                <w:b/>
                <w:bCs/>
                <w:color w:val="FFFFFF"/>
                <w:sz w:val="24"/>
                <w:szCs w:val="24"/>
                <w:lang w:eastAsia="en-GB"/>
              </w:rPr>
              <w:t>Information-system gap</w:t>
            </w:r>
          </w:p>
        </w:tc>
        <w:tc>
          <w:tcPr>
            <w:tcW w:w="3760" w:type="dxa"/>
            <w:shd w:val="clear" w:color="auto" w:fill="16324F"/>
            <w:tcMar>
              <w:top w:w="80" w:type="dxa"/>
              <w:left w:w="0" w:type="dxa"/>
              <w:bottom w:w="80" w:type="dxa"/>
              <w:right w:w="0" w:type="dxa"/>
            </w:tcMar>
            <w:vAlign w:val="center"/>
            <w:hideMark/>
          </w:tcPr>
          <w:p w14:paraId="6DA4E6AF" w14:textId="77777777" w:rsidR="00EC1043" w:rsidRPr="003E20CD" w:rsidRDefault="00EC1043" w:rsidP="00EC1043">
            <w:pPr>
              <w:spacing w:after="0" w:line="240" w:lineRule="auto"/>
              <w:jc w:val="center"/>
              <w:rPr>
                <w:rFonts w:ascii="Arial" w:eastAsia="Times New Roman" w:hAnsi="Arial" w:cs="Arial"/>
                <w:color w:val="111111"/>
                <w:sz w:val="24"/>
                <w:szCs w:val="24"/>
                <w:lang w:eastAsia="en-GB"/>
              </w:rPr>
            </w:pPr>
            <w:r w:rsidRPr="003E20CD">
              <w:rPr>
                <w:rFonts w:ascii="Arial" w:eastAsia="Times New Roman" w:hAnsi="Arial" w:cs="Arial"/>
                <w:b/>
                <w:bCs/>
                <w:color w:val="FFFFFF"/>
                <w:sz w:val="24"/>
                <w:szCs w:val="24"/>
                <w:lang w:eastAsia="en-GB"/>
              </w:rPr>
              <w:t>Business consequence</w:t>
            </w:r>
          </w:p>
        </w:tc>
      </w:tr>
      <w:tr w:rsidR="00EC1043" w:rsidRPr="003E20CD" w14:paraId="355F82D7" w14:textId="77777777">
        <w:tc>
          <w:tcPr>
            <w:tcW w:w="2300" w:type="dxa"/>
            <w:tcMar>
              <w:top w:w="80" w:type="dxa"/>
              <w:left w:w="0" w:type="dxa"/>
              <w:bottom w:w="80" w:type="dxa"/>
              <w:right w:w="0" w:type="dxa"/>
            </w:tcMar>
            <w:vAlign w:val="center"/>
            <w:hideMark/>
          </w:tcPr>
          <w:p w14:paraId="34FF5EE4"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t>Manual inventory tracking</w:t>
            </w:r>
          </w:p>
        </w:tc>
        <w:tc>
          <w:tcPr>
            <w:tcW w:w="3300" w:type="dxa"/>
            <w:tcMar>
              <w:top w:w="80" w:type="dxa"/>
              <w:left w:w="0" w:type="dxa"/>
              <w:bottom w:w="80" w:type="dxa"/>
              <w:right w:w="0" w:type="dxa"/>
            </w:tcMar>
            <w:vAlign w:val="center"/>
            <w:hideMark/>
          </w:tcPr>
          <w:p w14:paraId="43E82772"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Updates are delayed and inconsistent across 30 stores and online stock</w:t>
            </w:r>
          </w:p>
        </w:tc>
        <w:tc>
          <w:tcPr>
            <w:tcW w:w="3760" w:type="dxa"/>
            <w:tcMar>
              <w:top w:w="80" w:type="dxa"/>
              <w:left w:w="0" w:type="dxa"/>
              <w:bottom w:w="80" w:type="dxa"/>
              <w:right w:w="0" w:type="dxa"/>
            </w:tcMar>
            <w:vAlign w:val="center"/>
            <w:hideMark/>
          </w:tcPr>
          <w:p w14:paraId="3C3E195B"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Overselling, refunds, excess stock, missed sales and slow fulfilment</w:t>
            </w:r>
          </w:p>
        </w:tc>
      </w:tr>
      <w:tr w:rsidR="00EC1043" w:rsidRPr="003E20CD" w14:paraId="3284DC4E" w14:textId="77777777">
        <w:tc>
          <w:tcPr>
            <w:tcW w:w="2300" w:type="dxa"/>
            <w:shd w:val="clear" w:color="auto" w:fill="F4F6F9"/>
            <w:tcMar>
              <w:top w:w="80" w:type="dxa"/>
              <w:left w:w="0" w:type="dxa"/>
              <w:bottom w:w="80" w:type="dxa"/>
              <w:right w:w="0" w:type="dxa"/>
            </w:tcMar>
            <w:vAlign w:val="center"/>
            <w:hideMark/>
          </w:tcPr>
          <w:p w14:paraId="2C2B3039"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t>Disconnected customer records</w:t>
            </w:r>
          </w:p>
        </w:tc>
        <w:tc>
          <w:tcPr>
            <w:tcW w:w="3300" w:type="dxa"/>
            <w:shd w:val="clear" w:color="auto" w:fill="F4F6F9"/>
            <w:tcMar>
              <w:top w:w="80" w:type="dxa"/>
              <w:left w:w="0" w:type="dxa"/>
              <w:bottom w:w="80" w:type="dxa"/>
              <w:right w:w="0" w:type="dxa"/>
            </w:tcMar>
            <w:vAlign w:val="center"/>
            <w:hideMark/>
          </w:tcPr>
          <w:p w14:paraId="0FE5C471"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No reliable customer number or complete purchase and customer-service history</w:t>
            </w:r>
          </w:p>
        </w:tc>
        <w:tc>
          <w:tcPr>
            <w:tcW w:w="3760" w:type="dxa"/>
            <w:shd w:val="clear" w:color="auto" w:fill="F4F6F9"/>
            <w:tcMar>
              <w:top w:w="80" w:type="dxa"/>
              <w:left w:w="0" w:type="dxa"/>
              <w:bottom w:w="80" w:type="dxa"/>
              <w:right w:w="0" w:type="dxa"/>
            </w:tcMar>
            <w:vAlign w:val="center"/>
            <w:hideMark/>
          </w:tcPr>
          <w:p w14:paraId="7CADCC55"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Repeated questions, weak complaint handling and untargeted marketing</w:t>
            </w:r>
          </w:p>
        </w:tc>
      </w:tr>
      <w:tr w:rsidR="00EC1043" w:rsidRPr="003E20CD" w14:paraId="1ADDC931" w14:textId="77777777">
        <w:tc>
          <w:tcPr>
            <w:tcW w:w="2300" w:type="dxa"/>
            <w:tcMar>
              <w:top w:w="80" w:type="dxa"/>
              <w:left w:w="0" w:type="dxa"/>
              <w:bottom w:w="80" w:type="dxa"/>
              <w:right w:w="0" w:type="dxa"/>
            </w:tcMar>
            <w:vAlign w:val="center"/>
            <w:hideMark/>
          </w:tcPr>
          <w:p w14:paraId="2E0466E4"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t>Spreadsheet reporting</w:t>
            </w:r>
          </w:p>
        </w:tc>
        <w:tc>
          <w:tcPr>
            <w:tcW w:w="3300" w:type="dxa"/>
            <w:tcMar>
              <w:top w:w="80" w:type="dxa"/>
              <w:left w:w="0" w:type="dxa"/>
              <w:bottom w:w="80" w:type="dxa"/>
              <w:right w:w="0" w:type="dxa"/>
            </w:tcMar>
            <w:vAlign w:val="center"/>
            <w:hideMark/>
          </w:tcPr>
          <w:p w14:paraId="79EC0866"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Manual extraction, checking that figures match and formula dependence</w:t>
            </w:r>
          </w:p>
        </w:tc>
        <w:tc>
          <w:tcPr>
            <w:tcW w:w="3760" w:type="dxa"/>
            <w:tcMar>
              <w:top w:w="80" w:type="dxa"/>
              <w:left w:w="0" w:type="dxa"/>
              <w:bottom w:w="80" w:type="dxa"/>
              <w:right w:w="0" w:type="dxa"/>
            </w:tcMar>
            <w:vAlign w:val="center"/>
            <w:hideMark/>
          </w:tcPr>
          <w:p w14:paraId="6F0B2D82"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Errors, out-of-date reports, slow forecasting and weak management control</w:t>
            </w:r>
          </w:p>
        </w:tc>
      </w:tr>
      <w:tr w:rsidR="00EC1043" w:rsidRPr="003E20CD" w14:paraId="05B51D5C" w14:textId="77777777">
        <w:tc>
          <w:tcPr>
            <w:tcW w:w="2300" w:type="dxa"/>
            <w:shd w:val="clear" w:color="auto" w:fill="F4F6F9"/>
            <w:tcMar>
              <w:top w:w="80" w:type="dxa"/>
              <w:left w:w="0" w:type="dxa"/>
              <w:bottom w:w="80" w:type="dxa"/>
              <w:right w:w="0" w:type="dxa"/>
            </w:tcMar>
            <w:vAlign w:val="center"/>
            <w:hideMark/>
          </w:tcPr>
          <w:p w14:paraId="497C251B"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t>Separate sales, finance and inventory tools</w:t>
            </w:r>
          </w:p>
        </w:tc>
        <w:tc>
          <w:tcPr>
            <w:tcW w:w="3300" w:type="dxa"/>
            <w:shd w:val="clear" w:color="auto" w:fill="F4F6F9"/>
            <w:tcMar>
              <w:top w:w="80" w:type="dxa"/>
              <w:left w:w="0" w:type="dxa"/>
              <w:bottom w:w="80" w:type="dxa"/>
              <w:right w:w="0" w:type="dxa"/>
            </w:tcMar>
            <w:vAlign w:val="center"/>
            <w:hideMark/>
          </w:tcPr>
          <w:p w14:paraId="3AA86183"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Duplicate entry and unclear ownership of master data</w:t>
            </w:r>
          </w:p>
        </w:tc>
        <w:tc>
          <w:tcPr>
            <w:tcW w:w="3760" w:type="dxa"/>
            <w:shd w:val="clear" w:color="auto" w:fill="F4F6F9"/>
            <w:tcMar>
              <w:top w:w="80" w:type="dxa"/>
              <w:left w:w="0" w:type="dxa"/>
              <w:bottom w:w="80" w:type="dxa"/>
              <w:right w:w="0" w:type="dxa"/>
            </w:tcMar>
            <w:vAlign w:val="center"/>
            <w:hideMark/>
          </w:tcPr>
          <w:p w14:paraId="68B1BD39"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Labour waste, delays in checking that figures match and different figures for the same activity</w:t>
            </w:r>
          </w:p>
        </w:tc>
      </w:tr>
      <w:tr w:rsidR="00EC1043" w:rsidRPr="003E20CD" w14:paraId="2FA934DB" w14:textId="77777777">
        <w:tc>
          <w:tcPr>
            <w:tcW w:w="2300" w:type="dxa"/>
            <w:tcMar>
              <w:top w:w="80" w:type="dxa"/>
              <w:left w:w="0" w:type="dxa"/>
              <w:bottom w:w="80" w:type="dxa"/>
              <w:right w:w="0" w:type="dxa"/>
            </w:tcMar>
            <w:vAlign w:val="center"/>
            <w:hideMark/>
          </w:tcPr>
          <w:p w14:paraId="10340A3F"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t>Weak security and privacy controls</w:t>
            </w:r>
          </w:p>
        </w:tc>
        <w:tc>
          <w:tcPr>
            <w:tcW w:w="3300" w:type="dxa"/>
            <w:tcMar>
              <w:top w:w="80" w:type="dxa"/>
              <w:left w:w="0" w:type="dxa"/>
              <w:bottom w:w="80" w:type="dxa"/>
              <w:right w:w="0" w:type="dxa"/>
            </w:tcMar>
            <w:vAlign w:val="center"/>
            <w:hideMark/>
          </w:tcPr>
          <w:p w14:paraId="3779D2BA"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Excess access, poor ability to follow and check activity and uncertain data retention and consent status</w:t>
            </w:r>
          </w:p>
        </w:tc>
        <w:tc>
          <w:tcPr>
            <w:tcW w:w="3760" w:type="dxa"/>
            <w:tcMar>
              <w:top w:w="80" w:type="dxa"/>
              <w:left w:w="0" w:type="dxa"/>
              <w:bottom w:w="80" w:type="dxa"/>
              <w:right w:w="0" w:type="dxa"/>
            </w:tcMar>
            <w:vAlign w:val="center"/>
            <w:hideMark/>
          </w:tcPr>
          <w:p w14:paraId="5795FA1E"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Unauthorised disclosure, regulatory exposure and loss of trust</w:t>
            </w:r>
          </w:p>
        </w:tc>
      </w:tr>
    </w:tbl>
    <w:p w14:paraId="095D74E0" w14:textId="77777777" w:rsidR="00EC1043" w:rsidRPr="003E20CD" w:rsidRDefault="00EC1043" w:rsidP="00EC1043">
      <w:pPr>
        <w:spacing w:after="0" w:line="240" w:lineRule="auto"/>
        <w:jc w:val="center"/>
        <w:rPr>
          <w:rFonts w:ascii="Arial" w:eastAsia="Times New Roman" w:hAnsi="Arial" w:cs="Arial"/>
          <w:i/>
          <w:iCs/>
          <w:color w:val="5B6573"/>
          <w:sz w:val="24"/>
          <w:szCs w:val="24"/>
          <w:lang w:eastAsia="en-GB"/>
        </w:rPr>
      </w:pPr>
      <w:r w:rsidRPr="003E20CD">
        <w:rPr>
          <w:rFonts w:ascii="Arial" w:eastAsia="Times New Roman" w:hAnsi="Arial" w:cs="Arial"/>
          <w:i/>
          <w:iCs/>
          <w:color w:val="5B6573"/>
          <w:sz w:val="24"/>
          <w:szCs w:val="24"/>
          <w:lang w:eastAsia="en-GB"/>
        </w:rPr>
        <w:t xml:space="preserve">Table 1. Evaluation of </w:t>
      </w:r>
      <w:proofErr w:type="spellStart"/>
      <w:r w:rsidRPr="003E20CD">
        <w:rPr>
          <w:rFonts w:ascii="Arial" w:eastAsia="Times New Roman" w:hAnsi="Arial" w:cs="Arial"/>
          <w:i/>
          <w:iCs/>
          <w:color w:val="5B6573"/>
          <w:sz w:val="24"/>
          <w:szCs w:val="24"/>
          <w:lang w:eastAsia="en-GB"/>
        </w:rPr>
        <w:t>Maldiva</w:t>
      </w:r>
      <w:proofErr w:type="spellEnd"/>
      <w:r w:rsidRPr="003E20CD">
        <w:rPr>
          <w:rFonts w:ascii="Arial" w:eastAsia="Times New Roman" w:hAnsi="Arial" w:cs="Arial"/>
          <w:i/>
          <w:iCs/>
          <w:color w:val="5B6573"/>
          <w:sz w:val="24"/>
          <w:szCs w:val="24"/>
          <w:lang w:eastAsia="en-GB"/>
        </w:rPr>
        <w:t xml:space="preserve"> Ltd.’s current information systems</w:t>
      </w:r>
    </w:p>
    <w:p w14:paraId="1D8EED7D" w14:textId="77777777" w:rsidR="001C0A95" w:rsidRPr="003E20CD" w:rsidRDefault="001C0A95" w:rsidP="00EC1043">
      <w:pPr>
        <w:spacing w:after="0" w:line="240" w:lineRule="auto"/>
        <w:jc w:val="center"/>
        <w:rPr>
          <w:rFonts w:ascii="Arial" w:eastAsia="Times New Roman" w:hAnsi="Arial" w:cs="Arial"/>
          <w:color w:val="111111"/>
          <w:sz w:val="24"/>
          <w:szCs w:val="24"/>
          <w:lang w:eastAsia="en-GB"/>
        </w:rPr>
      </w:pPr>
    </w:p>
    <w:p w14:paraId="61597B82" w14:textId="77777777" w:rsidR="00EC1043" w:rsidRPr="003E20CD" w:rsidRDefault="00EC1043"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 xml:space="preserve">The greatest weakness is the absence of one reliable version of the data. A sale should reserve stock, update availability, create the financial record and enrich the customer record once. Instead, </w:t>
      </w:r>
      <w:proofErr w:type="spellStart"/>
      <w:r w:rsidRPr="003E20CD">
        <w:rPr>
          <w:rFonts w:ascii="Arial" w:eastAsia="Times New Roman" w:hAnsi="Arial" w:cs="Arial"/>
          <w:color w:val="111111"/>
          <w:sz w:val="24"/>
          <w:szCs w:val="24"/>
          <w:lang w:eastAsia="en-GB"/>
        </w:rPr>
        <w:t>Maldiva’s</w:t>
      </w:r>
      <w:proofErr w:type="spellEnd"/>
      <w:r w:rsidRPr="003E20CD">
        <w:rPr>
          <w:rFonts w:ascii="Arial" w:eastAsia="Times New Roman" w:hAnsi="Arial" w:cs="Arial"/>
          <w:color w:val="111111"/>
          <w:sz w:val="24"/>
          <w:szCs w:val="24"/>
          <w:lang w:eastAsia="en-GB"/>
        </w:rPr>
        <w:t xml:space="preserve"> employees transfer the same facts between applications, creating delays and conflicting versions. This limits both systems used for daily work and systems that provide information to managers: dashboards cannot be reliable when their original data is incomplete or late. ERP research shows that benefits for the business come from linking business processes and systems, not merely ownership of individual modules (Ruivo, Oliveira and Neto, 2017). CRM also produces greater value when integrated with ERP rather than deployed as a stand-alone application (Hendricks, Singhal and Stratman, 2007).</w:t>
      </w:r>
    </w:p>
    <w:p w14:paraId="40E404AA" w14:textId="77777777" w:rsidR="00EC1043" w:rsidRPr="003E20CD" w:rsidRDefault="00EC1043"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 xml:space="preserve">The present approach also creates ethical issues. Separate customer records make it harder to correct data, answer access requests and control keeping customers. </w:t>
      </w:r>
      <w:proofErr w:type="spellStart"/>
      <w:r w:rsidRPr="003E20CD">
        <w:rPr>
          <w:rFonts w:ascii="Arial" w:eastAsia="Times New Roman" w:hAnsi="Arial" w:cs="Arial"/>
          <w:color w:val="111111"/>
          <w:sz w:val="24"/>
          <w:szCs w:val="24"/>
          <w:lang w:eastAsia="en-GB"/>
        </w:rPr>
        <w:t>Maldiva</w:t>
      </w:r>
      <w:proofErr w:type="spellEnd"/>
      <w:r w:rsidRPr="003E20CD">
        <w:rPr>
          <w:rFonts w:ascii="Arial" w:eastAsia="Times New Roman" w:hAnsi="Arial" w:cs="Arial"/>
          <w:color w:val="111111"/>
          <w:sz w:val="24"/>
          <w:szCs w:val="24"/>
          <w:lang w:eastAsia="en-GB"/>
        </w:rPr>
        <w:t xml:space="preserve"> must collect only data that is adequate, relevant and needed for a clear purpose (ICO, 2026a).</w:t>
      </w:r>
    </w:p>
    <w:p w14:paraId="7F944F06" w14:textId="77777777" w:rsidR="00EC1043" w:rsidRPr="003E20CD" w:rsidRDefault="00EC1043" w:rsidP="00EC1043">
      <w:pPr>
        <w:spacing w:after="0" w:line="240" w:lineRule="auto"/>
        <w:jc w:val="both"/>
        <w:rPr>
          <w:rFonts w:ascii="Arial" w:eastAsia="Times New Roman" w:hAnsi="Arial" w:cs="Arial"/>
          <w:color w:val="111111"/>
          <w:sz w:val="24"/>
          <w:szCs w:val="24"/>
          <w:lang w:eastAsia="en-GB"/>
        </w:rPr>
      </w:pPr>
    </w:p>
    <w:p w14:paraId="545598D2" w14:textId="77777777" w:rsidR="00F55BA5" w:rsidRPr="003E20CD" w:rsidRDefault="00F55BA5" w:rsidP="00EC1043">
      <w:pPr>
        <w:spacing w:after="0" w:line="240" w:lineRule="auto"/>
        <w:jc w:val="both"/>
        <w:rPr>
          <w:rFonts w:ascii="Arial" w:eastAsia="Times New Roman" w:hAnsi="Arial" w:cs="Arial"/>
          <w:b/>
          <w:bCs/>
          <w:sz w:val="24"/>
          <w:szCs w:val="24"/>
          <w:lang w:eastAsia="en-GB"/>
        </w:rPr>
      </w:pPr>
    </w:p>
    <w:p w14:paraId="41646370" w14:textId="77777777" w:rsidR="003E20CD" w:rsidRDefault="003E20CD" w:rsidP="00EC1043">
      <w:pPr>
        <w:spacing w:after="0" w:line="240" w:lineRule="auto"/>
        <w:jc w:val="both"/>
        <w:rPr>
          <w:rFonts w:ascii="Arial" w:eastAsia="Times New Roman" w:hAnsi="Arial" w:cs="Arial"/>
          <w:b/>
          <w:bCs/>
          <w:sz w:val="24"/>
          <w:szCs w:val="24"/>
          <w:lang w:eastAsia="en-GB"/>
        </w:rPr>
      </w:pPr>
    </w:p>
    <w:p w14:paraId="2C9D446F" w14:textId="77777777" w:rsidR="003E20CD" w:rsidRDefault="003E20CD" w:rsidP="00EC1043">
      <w:pPr>
        <w:spacing w:after="0" w:line="240" w:lineRule="auto"/>
        <w:jc w:val="both"/>
        <w:rPr>
          <w:rFonts w:ascii="Arial" w:eastAsia="Times New Roman" w:hAnsi="Arial" w:cs="Arial"/>
          <w:b/>
          <w:bCs/>
          <w:sz w:val="24"/>
          <w:szCs w:val="24"/>
          <w:lang w:eastAsia="en-GB"/>
        </w:rPr>
      </w:pPr>
    </w:p>
    <w:p w14:paraId="2F871EFB" w14:textId="77777777" w:rsidR="003E20CD" w:rsidRDefault="003E20CD" w:rsidP="00EC1043">
      <w:pPr>
        <w:spacing w:after="0" w:line="240" w:lineRule="auto"/>
        <w:jc w:val="both"/>
        <w:rPr>
          <w:rFonts w:ascii="Arial" w:eastAsia="Times New Roman" w:hAnsi="Arial" w:cs="Arial"/>
          <w:b/>
          <w:bCs/>
          <w:sz w:val="24"/>
          <w:szCs w:val="24"/>
          <w:lang w:eastAsia="en-GB"/>
        </w:rPr>
      </w:pPr>
    </w:p>
    <w:p w14:paraId="6BC2BDF3" w14:textId="77777777" w:rsidR="003E20CD" w:rsidRDefault="003E20CD" w:rsidP="00EC1043">
      <w:pPr>
        <w:spacing w:after="0" w:line="240" w:lineRule="auto"/>
        <w:jc w:val="both"/>
        <w:rPr>
          <w:rFonts w:ascii="Arial" w:eastAsia="Times New Roman" w:hAnsi="Arial" w:cs="Arial"/>
          <w:b/>
          <w:bCs/>
          <w:sz w:val="24"/>
          <w:szCs w:val="24"/>
          <w:lang w:eastAsia="en-GB"/>
        </w:rPr>
      </w:pPr>
    </w:p>
    <w:p w14:paraId="7C17D009" w14:textId="6DBC4C29" w:rsidR="00EC1043" w:rsidRPr="003E20CD" w:rsidRDefault="00EC1043" w:rsidP="00EC1043">
      <w:pPr>
        <w:spacing w:after="0" w:line="240" w:lineRule="auto"/>
        <w:jc w:val="both"/>
        <w:rPr>
          <w:rFonts w:ascii="Arial" w:eastAsia="Times New Roman" w:hAnsi="Arial" w:cs="Arial"/>
          <w:b/>
          <w:bCs/>
          <w:sz w:val="24"/>
          <w:szCs w:val="24"/>
          <w:lang w:eastAsia="en-GB"/>
        </w:rPr>
      </w:pPr>
      <w:r w:rsidRPr="003E20CD">
        <w:rPr>
          <w:rFonts w:ascii="Arial" w:eastAsia="Times New Roman" w:hAnsi="Arial" w:cs="Arial"/>
          <w:b/>
          <w:bCs/>
          <w:sz w:val="24"/>
          <w:szCs w:val="24"/>
          <w:lang w:eastAsia="en-GB"/>
        </w:rPr>
        <w:lastRenderedPageBreak/>
        <w:t xml:space="preserve">3.Recommended Solution </w:t>
      </w:r>
    </w:p>
    <w:p w14:paraId="3DCA5A8A" w14:textId="77777777" w:rsidR="008071F4" w:rsidRPr="003E20CD" w:rsidRDefault="008071F4" w:rsidP="00EC1043">
      <w:pPr>
        <w:spacing w:after="0" w:line="240" w:lineRule="auto"/>
        <w:jc w:val="both"/>
        <w:rPr>
          <w:rFonts w:ascii="Arial" w:eastAsia="Times New Roman" w:hAnsi="Arial" w:cs="Arial"/>
          <w:b/>
          <w:bCs/>
          <w:sz w:val="24"/>
          <w:szCs w:val="24"/>
          <w:lang w:eastAsia="en-GB"/>
        </w:rPr>
      </w:pPr>
    </w:p>
    <w:p w14:paraId="6FBE9A58" w14:textId="024DC1FE" w:rsidR="00EC1043" w:rsidRPr="003E20CD" w:rsidRDefault="00EC1043" w:rsidP="00EC1043">
      <w:pPr>
        <w:spacing w:after="0" w:line="240" w:lineRule="auto"/>
        <w:jc w:val="both"/>
        <w:rPr>
          <w:rFonts w:ascii="Arial" w:eastAsia="Times New Roman" w:hAnsi="Arial" w:cs="Arial"/>
          <w:b/>
          <w:bCs/>
          <w:sz w:val="24"/>
          <w:szCs w:val="24"/>
          <w:lang w:eastAsia="en-GB"/>
        </w:rPr>
      </w:pPr>
      <w:r w:rsidRPr="003E20CD">
        <w:rPr>
          <w:rFonts w:ascii="Arial" w:eastAsia="Times New Roman" w:hAnsi="Arial" w:cs="Arial"/>
          <w:b/>
          <w:bCs/>
          <w:sz w:val="24"/>
          <w:szCs w:val="24"/>
          <w:lang w:eastAsia="en-GB"/>
        </w:rPr>
        <w:t>3.1 Integrated cloud business system</w:t>
      </w:r>
    </w:p>
    <w:p w14:paraId="7E34198D" w14:textId="77777777" w:rsidR="00EC1043" w:rsidRPr="003E20CD" w:rsidRDefault="00EC1043"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A cloud system made up of connected modules is recommended, combining four capabilities around a shared structure for product, customer and sales data. First, ERP should manage purchasing, suppliers, finance, accounts and reordering stock. Second, an order management system (OMS), supported by warehouse/store inventory functions, should choose which location will supply each order almost immediately across sales channels, reserve items at checkout and coordinate fulfilment, returns and online ordering with store collection. Third, CRM should create a customer view protected by access rights containing purchases, interactions, preferences and cases. Fourth, BI should provide dashboards based on approved data, alerts and forecasting from the same daily business data. Standard APIs should connect the e-commerce platform, payment services, point-of-sale devices, couriers and any retained specialist applications.</w:t>
      </w:r>
    </w:p>
    <w:p w14:paraId="2FC53288" w14:textId="77777777" w:rsidR="00EC1043" w:rsidRPr="003E20CD" w:rsidRDefault="00EC1043"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Cloud delivery allows the system to grow across stores, receive central updates and provide predictable subscription costs. However, it creates dependence on the supplier (Schütte and Kari, 2025). The contract must cover service standards, where the data is stored, backup recovery, security incidents, price changes and help when changing supplier. Standard settings should be used wherever possible to control cost and complexity.</w:t>
      </w:r>
    </w:p>
    <w:p w14:paraId="31A59807" w14:textId="77777777" w:rsidR="008071F4" w:rsidRPr="003E20CD" w:rsidRDefault="008071F4" w:rsidP="00EC1043">
      <w:pPr>
        <w:spacing w:after="0" w:line="240" w:lineRule="auto"/>
        <w:jc w:val="both"/>
        <w:rPr>
          <w:rFonts w:ascii="Arial" w:eastAsia="Times New Roman" w:hAnsi="Arial" w:cs="Arial"/>
          <w:color w:val="111111"/>
          <w:sz w:val="24"/>
          <w:szCs w:val="24"/>
          <w:lang w:eastAsia="en-GB"/>
        </w:rPr>
      </w:pPr>
    </w:p>
    <w:p w14:paraId="2060AB9E" w14:textId="77777777" w:rsidR="008071F4" w:rsidRPr="003E20CD" w:rsidRDefault="008071F4" w:rsidP="00EC1043">
      <w:pPr>
        <w:spacing w:after="0" w:line="240" w:lineRule="auto"/>
        <w:jc w:val="both"/>
        <w:rPr>
          <w:rFonts w:ascii="Arial" w:eastAsia="Times New Roman" w:hAnsi="Arial" w:cs="Arial"/>
          <w:color w:val="111111"/>
          <w:sz w:val="24"/>
          <w:szCs w:val="24"/>
          <w:lang w:eastAsia="en-GB"/>
        </w:rPr>
      </w:pPr>
    </w:p>
    <w:p w14:paraId="3B304C12" w14:textId="77777777" w:rsidR="00EC1043" w:rsidRPr="003E20CD" w:rsidRDefault="00EC1043" w:rsidP="00EC1043">
      <w:pPr>
        <w:spacing w:after="0" w:line="240" w:lineRule="auto"/>
        <w:jc w:val="both"/>
        <w:rPr>
          <w:rFonts w:ascii="Arial" w:eastAsia="Times New Roman" w:hAnsi="Arial" w:cs="Arial"/>
          <w:b/>
          <w:bCs/>
          <w:sz w:val="24"/>
          <w:szCs w:val="24"/>
          <w:lang w:eastAsia="en-GB"/>
        </w:rPr>
      </w:pPr>
      <w:r w:rsidRPr="003E20CD">
        <w:rPr>
          <w:rFonts w:ascii="Arial" w:eastAsia="Times New Roman" w:hAnsi="Arial" w:cs="Arial"/>
          <w:b/>
          <w:bCs/>
          <w:sz w:val="24"/>
          <w:szCs w:val="24"/>
          <w:lang w:eastAsia="en-GB"/>
        </w:rPr>
        <w:t>3.2 Alternative options and justification</w:t>
      </w:r>
    </w:p>
    <w:p w14:paraId="53225339" w14:textId="77777777" w:rsidR="001C0A95" w:rsidRPr="003E20CD" w:rsidRDefault="001C0A95" w:rsidP="00EC1043">
      <w:pPr>
        <w:spacing w:after="0" w:line="240" w:lineRule="auto"/>
        <w:jc w:val="both"/>
        <w:rPr>
          <w:rFonts w:ascii="Arial" w:eastAsia="Times New Roman" w:hAnsi="Arial" w:cs="Arial"/>
          <w:sz w:val="24"/>
          <w:szCs w:val="24"/>
          <w:lang w:eastAsia="en-GB"/>
        </w:rPr>
      </w:pPr>
    </w:p>
    <w:tbl>
      <w:tblPr>
        <w:tblW w:w="936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1787"/>
        <w:gridCol w:w="2488"/>
        <w:gridCol w:w="3721"/>
        <w:gridCol w:w="1364"/>
      </w:tblGrid>
      <w:tr w:rsidR="00EC1043" w:rsidRPr="003E20CD" w14:paraId="7D1E23C3" w14:textId="77777777">
        <w:tc>
          <w:tcPr>
            <w:tcW w:w="1800" w:type="dxa"/>
            <w:shd w:val="clear" w:color="auto" w:fill="16324F"/>
            <w:tcMar>
              <w:top w:w="80" w:type="dxa"/>
              <w:left w:w="0" w:type="dxa"/>
              <w:bottom w:w="80" w:type="dxa"/>
              <w:right w:w="0" w:type="dxa"/>
            </w:tcMar>
            <w:vAlign w:val="center"/>
            <w:hideMark/>
          </w:tcPr>
          <w:p w14:paraId="46E31F03" w14:textId="77777777" w:rsidR="00EC1043" w:rsidRPr="003E20CD" w:rsidRDefault="00EC1043" w:rsidP="00EC1043">
            <w:pPr>
              <w:spacing w:after="0" w:line="240" w:lineRule="auto"/>
              <w:jc w:val="center"/>
              <w:rPr>
                <w:rFonts w:ascii="Arial" w:eastAsia="Times New Roman" w:hAnsi="Arial" w:cs="Arial"/>
                <w:color w:val="111111"/>
                <w:sz w:val="24"/>
                <w:szCs w:val="24"/>
                <w:lang w:eastAsia="en-GB"/>
              </w:rPr>
            </w:pPr>
            <w:r w:rsidRPr="003E20CD">
              <w:rPr>
                <w:rFonts w:ascii="Arial" w:eastAsia="Times New Roman" w:hAnsi="Arial" w:cs="Arial"/>
                <w:b/>
                <w:bCs/>
                <w:color w:val="FFFFFF"/>
                <w:sz w:val="24"/>
                <w:szCs w:val="24"/>
                <w:lang w:eastAsia="en-GB"/>
              </w:rPr>
              <w:t>Option</w:t>
            </w:r>
          </w:p>
        </w:tc>
        <w:tc>
          <w:tcPr>
            <w:tcW w:w="2550" w:type="dxa"/>
            <w:shd w:val="clear" w:color="auto" w:fill="16324F"/>
            <w:tcMar>
              <w:top w:w="80" w:type="dxa"/>
              <w:left w:w="0" w:type="dxa"/>
              <w:bottom w:w="80" w:type="dxa"/>
              <w:right w:w="0" w:type="dxa"/>
            </w:tcMar>
            <w:vAlign w:val="center"/>
            <w:hideMark/>
          </w:tcPr>
          <w:p w14:paraId="12299314" w14:textId="77777777" w:rsidR="00EC1043" w:rsidRPr="003E20CD" w:rsidRDefault="00EC1043" w:rsidP="00EC1043">
            <w:pPr>
              <w:spacing w:after="0" w:line="240" w:lineRule="auto"/>
              <w:jc w:val="center"/>
              <w:rPr>
                <w:rFonts w:ascii="Arial" w:eastAsia="Times New Roman" w:hAnsi="Arial" w:cs="Arial"/>
                <w:color w:val="111111"/>
                <w:sz w:val="24"/>
                <w:szCs w:val="24"/>
                <w:lang w:eastAsia="en-GB"/>
              </w:rPr>
            </w:pPr>
            <w:r w:rsidRPr="003E20CD">
              <w:rPr>
                <w:rFonts w:ascii="Arial" w:eastAsia="Times New Roman" w:hAnsi="Arial" w:cs="Arial"/>
                <w:b/>
                <w:bCs/>
                <w:color w:val="FFFFFF"/>
                <w:sz w:val="24"/>
                <w:szCs w:val="24"/>
                <w:lang w:eastAsia="en-GB"/>
              </w:rPr>
              <w:t>Advantages</w:t>
            </w:r>
          </w:p>
        </w:tc>
        <w:tc>
          <w:tcPr>
            <w:tcW w:w="3850" w:type="dxa"/>
            <w:shd w:val="clear" w:color="auto" w:fill="16324F"/>
            <w:tcMar>
              <w:top w:w="80" w:type="dxa"/>
              <w:left w:w="0" w:type="dxa"/>
              <w:bottom w:w="80" w:type="dxa"/>
              <w:right w:w="0" w:type="dxa"/>
            </w:tcMar>
            <w:vAlign w:val="center"/>
            <w:hideMark/>
          </w:tcPr>
          <w:p w14:paraId="5FFC29B3" w14:textId="77777777" w:rsidR="00EC1043" w:rsidRPr="003E20CD" w:rsidRDefault="00EC1043" w:rsidP="00EC1043">
            <w:pPr>
              <w:spacing w:after="0" w:line="240" w:lineRule="auto"/>
              <w:jc w:val="center"/>
              <w:rPr>
                <w:rFonts w:ascii="Arial" w:eastAsia="Times New Roman" w:hAnsi="Arial" w:cs="Arial"/>
                <w:color w:val="111111"/>
                <w:sz w:val="24"/>
                <w:szCs w:val="24"/>
                <w:lang w:eastAsia="en-GB"/>
              </w:rPr>
            </w:pPr>
            <w:r w:rsidRPr="003E20CD">
              <w:rPr>
                <w:rFonts w:ascii="Arial" w:eastAsia="Times New Roman" w:hAnsi="Arial" w:cs="Arial"/>
                <w:b/>
                <w:bCs/>
                <w:color w:val="FFFFFF"/>
                <w:sz w:val="24"/>
                <w:szCs w:val="24"/>
                <w:lang w:eastAsia="en-GB"/>
              </w:rPr>
              <w:t>Limitations</w:t>
            </w:r>
          </w:p>
        </w:tc>
        <w:tc>
          <w:tcPr>
            <w:tcW w:w="1160" w:type="dxa"/>
            <w:shd w:val="clear" w:color="auto" w:fill="16324F"/>
            <w:tcMar>
              <w:top w:w="80" w:type="dxa"/>
              <w:left w:w="0" w:type="dxa"/>
              <w:bottom w:w="80" w:type="dxa"/>
              <w:right w:w="0" w:type="dxa"/>
            </w:tcMar>
            <w:vAlign w:val="center"/>
            <w:hideMark/>
          </w:tcPr>
          <w:p w14:paraId="67D8A426" w14:textId="77777777" w:rsidR="00EC1043" w:rsidRPr="003E20CD" w:rsidRDefault="00EC1043" w:rsidP="00EC1043">
            <w:pPr>
              <w:spacing w:after="0" w:line="240" w:lineRule="auto"/>
              <w:jc w:val="center"/>
              <w:rPr>
                <w:rFonts w:ascii="Arial" w:eastAsia="Times New Roman" w:hAnsi="Arial" w:cs="Arial"/>
                <w:color w:val="111111"/>
                <w:sz w:val="24"/>
                <w:szCs w:val="24"/>
                <w:lang w:eastAsia="en-GB"/>
              </w:rPr>
            </w:pPr>
            <w:r w:rsidRPr="003E20CD">
              <w:rPr>
                <w:rFonts w:ascii="Arial" w:eastAsia="Times New Roman" w:hAnsi="Arial" w:cs="Arial"/>
                <w:b/>
                <w:bCs/>
                <w:color w:val="FFFFFF"/>
                <w:sz w:val="24"/>
                <w:szCs w:val="24"/>
                <w:lang w:eastAsia="en-GB"/>
              </w:rPr>
              <w:t>Decision</w:t>
            </w:r>
          </w:p>
        </w:tc>
      </w:tr>
      <w:tr w:rsidR="00EC1043" w:rsidRPr="003E20CD" w14:paraId="49E71CD1" w14:textId="77777777">
        <w:tc>
          <w:tcPr>
            <w:tcW w:w="1800" w:type="dxa"/>
            <w:tcMar>
              <w:top w:w="80" w:type="dxa"/>
              <w:left w:w="0" w:type="dxa"/>
              <w:bottom w:w="80" w:type="dxa"/>
              <w:right w:w="0" w:type="dxa"/>
            </w:tcMar>
            <w:vAlign w:val="center"/>
            <w:hideMark/>
          </w:tcPr>
          <w:p w14:paraId="084EE781"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t>Continue and improve existing tools</w:t>
            </w:r>
          </w:p>
        </w:tc>
        <w:tc>
          <w:tcPr>
            <w:tcW w:w="2550" w:type="dxa"/>
            <w:tcMar>
              <w:top w:w="80" w:type="dxa"/>
              <w:left w:w="0" w:type="dxa"/>
              <w:bottom w:w="80" w:type="dxa"/>
              <w:right w:w="0" w:type="dxa"/>
            </w:tcMar>
            <w:vAlign w:val="center"/>
            <w:hideMark/>
          </w:tcPr>
          <w:p w14:paraId="5613F67C"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Lowest immediate cost and disruption</w:t>
            </w:r>
          </w:p>
        </w:tc>
        <w:tc>
          <w:tcPr>
            <w:tcW w:w="3850" w:type="dxa"/>
            <w:tcMar>
              <w:top w:w="80" w:type="dxa"/>
              <w:left w:w="0" w:type="dxa"/>
              <w:bottom w:w="80" w:type="dxa"/>
              <w:right w:w="0" w:type="dxa"/>
            </w:tcMar>
            <w:vAlign w:val="center"/>
            <w:hideMark/>
          </w:tcPr>
          <w:p w14:paraId="56E3DCD8"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Does not remove repeated data, spreadsheet dependency or integration risk</w:t>
            </w:r>
          </w:p>
        </w:tc>
        <w:tc>
          <w:tcPr>
            <w:tcW w:w="1160" w:type="dxa"/>
            <w:tcMar>
              <w:top w:w="80" w:type="dxa"/>
              <w:left w:w="0" w:type="dxa"/>
              <w:bottom w:w="80" w:type="dxa"/>
              <w:right w:w="0" w:type="dxa"/>
            </w:tcMar>
            <w:vAlign w:val="center"/>
            <w:hideMark/>
          </w:tcPr>
          <w:p w14:paraId="7E9C3696"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Reject</w:t>
            </w:r>
          </w:p>
        </w:tc>
      </w:tr>
      <w:tr w:rsidR="00EC1043" w:rsidRPr="003E20CD" w14:paraId="14A69864" w14:textId="77777777">
        <w:tc>
          <w:tcPr>
            <w:tcW w:w="1800" w:type="dxa"/>
            <w:shd w:val="clear" w:color="auto" w:fill="F4F6F9"/>
            <w:tcMar>
              <w:top w:w="80" w:type="dxa"/>
              <w:left w:w="0" w:type="dxa"/>
              <w:bottom w:w="80" w:type="dxa"/>
              <w:right w:w="0" w:type="dxa"/>
            </w:tcMar>
            <w:vAlign w:val="center"/>
            <w:hideMark/>
          </w:tcPr>
          <w:p w14:paraId="42494F5F"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t>Separate best-of-breed replacements</w:t>
            </w:r>
          </w:p>
        </w:tc>
        <w:tc>
          <w:tcPr>
            <w:tcW w:w="2550" w:type="dxa"/>
            <w:shd w:val="clear" w:color="auto" w:fill="F4F6F9"/>
            <w:tcMar>
              <w:top w:w="80" w:type="dxa"/>
              <w:left w:w="0" w:type="dxa"/>
              <w:bottom w:w="80" w:type="dxa"/>
              <w:right w:w="0" w:type="dxa"/>
            </w:tcMar>
            <w:vAlign w:val="center"/>
            <w:hideMark/>
          </w:tcPr>
          <w:p w14:paraId="1176DA5D"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Strong specialist functions and flexible vendor choice</w:t>
            </w:r>
          </w:p>
        </w:tc>
        <w:tc>
          <w:tcPr>
            <w:tcW w:w="3850" w:type="dxa"/>
            <w:shd w:val="clear" w:color="auto" w:fill="F4F6F9"/>
            <w:tcMar>
              <w:top w:w="80" w:type="dxa"/>
              <w:left w:w="0" w:type="dxa"/>
              <w:bottom w:w="80" w:type="dxa"/>
              <w:right w:w="0" w:type="dxa"/>
            </w:tcMar>
            <w:vAlign w:val="center"/>
            <w:hideMark/>
          </w:tcPr>
          <w:p w14:paraId="17A3D603"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More interfaces, identity matching, support contracts and checking that figures match</w:t>
            </w:r>
          </w:p>
        </w:tc>
        <w:tc>
          <w:tcPr>
            <w:tcW w:w="1160" w:type="dxa"/>
            <w:shd w:val="clear" w:color="auto" w:fill="F4F6F9"/>
            <w:tcMar>
              <w:top w:w="80" w:type="dxa"/>
              <w:left w:w="0" w:type="dxa"/>
              <w:bottom w:w="80" w:type="dxa"/>
              <w:right w:w="0" w:type="dxa"/>
            </w:tcMar>
            <w:vAlign w:val="center"/>
            <w:hideMark/>
          </w:tcPr>
          <w:p w14:paraId="0355FBB9"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Reserve for genuine specialist gaps</w:t>
            </w:r>
          </w:p>
        </w:tc>
      </w:tr>
      <w:tr w:rsidR="00EC1043" w:rsidRPr="003E20CD" w14:paraId="244D1A23" w14:textId="77777777">
        <w:tc>
          <w:tcPr>
            <w:tcW w:w="1800" w:type="dxa"/>
            <w:tcMar>
              <w:top w:w="80" w:type="dxa"/>
              <w:left w:w="0" w:type="dxa"/>
              <w:bottom w:w="80" w:type="dxa"/>
              <w:right w:w="0" w:type="dxa"/>
            </w:tcMar>
            <w:vAlign w:val="center"/>
            <w:hideMark/>
          </w:tcPr>
          <w:p w14:paraId="5630DFEF"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t>Custom-built software</w:t>
            </w:r>
          </w:p>
        </w:tc>
        <w:tc>
          <w:tcPr>
            <w:tcW w:w="2550" w:type="dxa"/>
            <w:tcMar>
              <w:top w:w="80" w:type="dxa"/>
              <w:left w:w="0" w:type="dxa"/>
              <w:bottom w:w="80" w:type="dxa"/>
              <w:right w:w="0" w:type="dxa"/>
            </w:tcMar>
            <w:vAlign w:val="center"/>
            <w:hideMark/>
          </w:tcPr>
          <w:p w14:paraId="2C0BC917"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Exact fit with business requirements and control</w:t>
            </w:r>
          </w:p>
        </w:tc>
        <w:tc>
          <w:tcPr>
            <w:tcW w:w="3850" w:type="dxa"/>
            <w:tcMar>
              <w:top w:w="80" w:type="dxa"/>
              <w:left w:w="0" w:type="dxa"/>
              <w:bottom w:w="80" w:type="dxa"/>
              <w:right w:w="0" w:type="dxa"/>
            </w:tcMar>
            <w:vAlign w:val="center"/>
            <w:hideMark/>
          </w:tcPr>
          <w:p w14:paraId="5B2E3518"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Highest delivery, maintenance, security and dependence on a small number of specialists</w:t>
            </w:r>
          </w:p>
        </w:tc>
        <w:tc>
          <w:tcPr>
            <w:tcW w:w="1160" w:type="dxa"/>
            <w:tcMar>
              <w:top w:w="80" w:type="dxa"/>
              <w:left w:w="0" w:type="dxa"/>
              <w:bottom w:w="80" w:type="dxa"/>
              <w:right w:w="0" w:type="dxa"/>
            </w:tcMar>
            <w:vAlign w:val="center"/>
            <w:hideMark/>
          </w:tcPr>
          <w:p w14:paraId="16B7CD56"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Reject</w:t>
            </w:r>
          </w:p>
        </w:tc>
      </w:tr>
      <w:tr w:rsidR="00EC1043" w:rsidRPr="003E20CD" w14:paraId="46D7D637" w14:textId="77777777">
        <w:tc>
          <w:tcPr>
            <w:tcW w:w="1800" w:type="dxa"/>
            <w:shd w:val="clear" w:color="auto" w:fill="F4F6F9"/>
            <w:tcMar>
              <w:top w:w="80" w:type="dxa"/>
              <w:left w:w="0" w:type="dxa"/>
              <w:bottom w:w="80" w:type="dxa"/>
              <w:right w:w="0" w:type="dxa"/>
            </w:tcMar>
            <w:vAlign w:val="center"/>
            <w:hideMark/>
          </w:tcPr>
          <w:p w14:paraId="3CF0658A"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t>Integrated cloud system</w:t>
            </w:r>
          </w:p>
        </w:tc>
        <w:tc>
          <w:tcPr>
            <w:tcW w:w="2550" w:type="dxa"/>
            <w:shd w:val="clear" w:color="auto" w:fill="F4F6F9"/>
            <w:tcMar>
              <w:top w:w="80" w:type="dxa"/>
              <w:left w:w="0" w:type="dxa"/>
              <w:bottom w:w="80" w:type="dxa"/>
              <w:right w:w="0" w:type="dxa"/>
            </w:tcMar>
            <w:vAlign w:val="center"/>
            <w:hideMark/>
          </w:tcPr>
          <w:p w14:paraId="6D743B24"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Common data, modules that can grow with the business, process automation and controls managed in one place</w:t>
            </w:r>
          </w:p>
        </w:tc>
        <w:tc>
          <w:tcPr>
            <w:tcW w:w="3850" w:type="dxa"/>
            <w:shd w:val="clear" w:color="auto" w:fill="F4F6F9"/>
            <w:tcMar>
              <w:top w:w="80" w:type="dxa"/>
              <w:left w:w="0" w:type="dxa"/>
              <w:bottom w:w="80" w:type="dxa"/>
              <w:right w:w="0" w:type="dxa"/>
            </w:tcMar>
            <w:vAlign w:val="center"/>
            <w:hideMark/>
          </w:tcPr>
          <w:p w14:paraId="1F0DD661"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Work needed to move the data, subscription cost and dependence on the supplier</w:t>
            </w:r>
          </w:p>
        </w:tc>
        <w:tc>
          <w:tcPr>
            <w:tcW w:w="1160" w:type="dxa"/>
            <w:shd w:val="clear" w:color="auto" w:fill="F4F6F9"/>
            <w:tcMar>
              <w:top w:w="80" w:type="dxa"/>
              <w:left w:w="0" w:type="dxa"/>
              <w:bottom w:w="80" w:type="dxa"/>
              <w:right w:w="0" w:type="dxa"/>
            </w:tcMar>
            <w:vAlign w:val="center"/>
            <w:hideMark/>
          </w:tcPr>
          <w:p w14:paraId="70E61C47"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Recommend</w:t>
            </w:r>
          </w:p>
        </w:tc>
      </w:tr>
    </w:tbl>
    <w:p w14:paraId="6141D0B9" w14:textId="77777777" w:rsidR="00EC1043" w:rsidRPr="003E20CD" w:rsidRDefault="00EC1043" w:rsidP="00EC1043">
      <w:pPr>
        <w:spacing w:after="0" w:line="240" w:lineRule="auto"/>
        <w:jc w:val="center"/>
        <w:rPr>
          <w:rFonts w:ascii="Arial" w:eastAsia="Times New Roman" w:hAnsi="Arial" w:cs="Arial"/>
          <w:i/>
          <w:iCs/>
          <w:color w:val="5B6573"/>
          <w:sz w:val="24"/>
          <w:szCs w:val="24"/>
          <w:lang w:eastAsia="en-GB"/>
        </w:rPr>
      </w:pPr>
      <w:r w:rsidRPr="003E20CD">
        <w:rPr>
          <w:rFonts w:ascii="Arial" w:eastAsia="Times New Roman" w:hAnsi="Arial" w:cs="Arial"/>
          <w:i/>
          <w:iCs/>
          <w:color w:val="5B6573"/>
          <w:sz w:val="24"/>
          <w:szCs w:val="24"/>
          <w:lang w:eastAsia="en-GB"/>
        </w:rPr>
        <w:t>Table 2. Options appraisal</w:t>
      </w:r>
    </w:p>
    <w:p w14:paraId="282B720D" w14:textId="77777777" w:rsidR="004714A3" w:rsidRPr="003E20CD" w:rsidRDefault="004714A3" w:rsidP="00EC1043">
      <w:pPr>
        <w:spacing w:after="0" w:line="240" w:lineRule="auto"/>
        <w:jc w:val="center"/>
        <w:rPr>
          <w:rFonts w:ascii="Arial" w:eastAsia="Times New Roman" w:hAnsi="Arial" w:cs="Arial"/>
          <w:color w:val="111111"/>
          <w:sz w:val="24"/>
          <w:szCs w:val="24"/>
          <w:lang w:eastAsia="en-GB"/>
        </w:rPr>
      </w:pPr>
    </w:p>
    <w:p w14:paraId="6BAD8F44" w14:textId="77777777" w:rsidR="00D41120" w:rsidRDefault="00D41120" w:rsidP="00EC1043">
      <w:pPr>
        <w:spacing w:after="0" w:line="240" w:lineRule="auto"/>
        <w:jc w:val="both"/>
        <w:rPr>
          <w:rFonts w:ascii="Arial" w:eastAsia="Times New Roman" w:hAnsi="Arial" w:cs="Arial"/>
          <w:color w:val="111111"/>
          <w:sz w:val="24"/>
          <w:szCs w:val="24"/>
          <w:lang w:eastAsia="en-GB"/>
        </w:rPr>
      </w:pPr>
    </w:p>
    <w:p w14:paraId="78489F56" w14:textId="77777777" w:rsidR="00DD6706" w:rsidRDefault="00DD6706" w:rsidP="00EC1043">
      <w:pPr>
        <w:spacing w:after="0" w:line="240" w:lineRule="auto"/>
        <w:jc w:val="both"/>
        <w:rPr>
          <w:rFonts w:ascii="Arial" w:eastAsia="Times New Roman" w:hAnsi="Arial" w:cs="Arial"/>
          <w:color w:val="111111"/>
          <w:sz w:val="24"/>
          <w:szCs w:val="24"/>
          <w:lang w:eastAsia="en-GB"/>
        </w:rPr>
      </w:pPr>
    </w:p>
    <w:p w14:paraId="34F133C2" w14:textId="5632888E" w:rsidR="00EC1043" w:rsidRPr="003E20CD" w:rsidRDefault="00EC1043"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lastRenderedPageBreak/>
        <w:t xml:space="preserve">The integrated option best meets </w:t>
      </w:r>
      <w:proofErr w:type="spellStart"/>
      <w:r w:rsidRPr="003E20CD">
        <w:rPr>
          <w:rFonts w:ascii="Arial" w:eastAsia="Times New Roman" w:hAnsi="Arial" w:cs="Arial"/>
          <w:color w:val="111111"/>
          <w:sz w:val="24"/>
          <w:szCs w:val="24"/>
          <w:lang w:eastAsia="en-GB"/>
        </w:rPr>
        <w:t>Maldiva’s</w:t>
      </w:r>
      <w:proofErr w:type="spellEnd"/>
      <w:r w:rsidRPr="003E20CD">
        <w:rPr>
          <w:rFonts w:ascii="Arial" w:eastAsia="Times New Roman" w:hAnsi="Arial" w:cs="Arial"/>
          <w:color w:val="111111"/>
          <w:sz w:val="24"/>
          <w:szCs w:val="24"/>
          <w:lang w:eastAsia="en-GB"/>
        </w:rPr>
        <w:t xml:space="preserve"> needs because it reduces entering the same information more than once and links each sale to stock, finance and customer records. Costs should be compared over five years, including licences, installation, integration, data cleaning, training, support and exit costs. Planned benefits include fewer refunds, less manual work, faster stock turnover and improved customer keeping customers. Supplier selection should consider business fit, security, GDPR support, reliability, usability and total cost.</w:t>
      </w:r>
    </w:p>
    <w:p w14:paraId="0A9FDCF9" w14:textId="77777777" w:rsidR="008071F4" w:rsidRPr="003E20CD" w:rsidRDefault="008071F4" w:rsidP="00EC1043">
      <w:pPr>
        <w:spacing w:after="0" w:line="240" w:lineRule="auto"/>
        <w:jc w:val="both"/>
        <w:rPr>
          <w:rFonts w:ascii="Arial" w:eastAsia="Times New Roman" w:hAnsi="Arial" w:cs="Arial"/>
          <w:color w:val="111111"/>
          <w:sz w:val="24"/>
          <w:szCs w:val="24"/>
          <w:lang w:eastAsia="en-GB"/>
        </w:rPr>
      </w:pPr>
    </w:p>
    <w:p w14:paraId="6AE2A84D" w14:textId="77777777" w:rsidR="008071F4" w:rsidRPr="003E20CD" w:rsidRDefault="008071F4" w:rsidP="00EC1043">
      <w:pPr>
        <w:spacing w:after="0" w:line="240" w:lineRule="auto"/>
        <w:jc w:val="both"/>
        <w:rPr>
          <w:rFonts w:ascii="Arial" w:eastAsia="Times New Roman" w:hAnsi="Arial" w:cs="Arial"/>
          <w:color w:val="111111"/>
          <w:sz w:val="24"/>
          <w:szCs w:val="24"/>
          <w:lang w:eastAsia="en-GB"/>
        </w:rPr>
      </w:pPr>
    </w:p>
    <w:p w14:paraId="0C5E1840" w14:textId="77777777" w:rsidR="004714A3" w:rsidRPr="003E20CD" w:rsidRDefault="004714A3" w:rsidP="00EC1043">
      <w:pPr>
        <w:spacing w:after="0" w:line="240" w:lineRule="auto"/>
        <w:jc w:val="both"/>
        <w:rPr>
          <w:rFonts w:ascii="Arial" w:eastAsia="Times New Roman" w:hAnsi="Arial" w:cs="Arial"/>
          <w:b/>
          <w:bCs/>
          <w:sz w:val="24"/>
          <w:szCs w:val="24"/>
          <w:lang w:eastAsia="en-GB"/>
        </w:rPr>
      </w:pPr>
    </w:p>
    <w:p w14:paraId="5757C56C" w14:textId="77777777" w:rsidR="004714A3" w:rsidRPr="003E20CD" w:rsidRDefault="004714A3" w:rsidP="00EC1043">
      <w:pPr>
        <w:spacing w:after="0" w:line="240" w:lineRule="auto"/>
        <w:jc w:val="both"/>
        <w:rPr>
          <w:rFonts w:ascii="Arial" w:eastAsia="Times New Roman" w:hAnsi="Arial" w:cs="Arial"/>
          <w:b/>
          <w:bCs/>
          <w:sz w:val="24"/>
          <w:szCs w:val="24"/>
          <w:lang w:eastAsia="en-GB"/>
        </w:rPr>
      </w:pPr>
    </w:p>
    <w:p w14:paraId="245B5832" w14:textId="7C5E222E" w:rsidR="00EC1043" w:rsidRPr="003E20CD" w:rsidRDefault="00EC1043" w:rsidP="00EC1043">
      <w:pPr>
        <w:spacing w:after="0" w:line="240" w:lineRule="auto"/>
        <w:jc w:val="both"/>
        <w:rPr>
          <w:rFonts w:ascii="Arial" w:eastAsia="Times New Roman" w:hAnsi="Arial" w:cs="Arial"/>
          <w:b/>
          <w:bCs/>
          <w:sz w:val="24"/>
          <w:szCs w:val="24"/>
          <w:lang w:eastAsia="en-GB"/>
        </w:rPr>
      </w:pPr>
      <w:r w:rsidRPr="003E20CD">
        <w:rPr>
          <w:rFonts w:ascii="Arial" w:eastAsia="Times New Roman" w:hAnsi="Arial" w:cs="Arial"/>
          <w:b/>
          <w:bCs/>
          <w:sz w:val="24"/>
          <w:szCs w:val="24"/>
          <w:lang w:eastAsia="en-GB"/>
        </w:rPr>
        <w:t>3.3 Operational, data and decision benefits</w:t>
      </w:r>
    </w:p>
    <w:p w14:paraId="5F532AE9" w14:textId="77777777" w:rsidR="00EC1043" w:rsidRPr="003E20CD" w:rsidRDefault="00EC1043"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At checkout, the OMS will use stock that is genuinely available to sell and reserve an item immediately, reducing orders accepted against unavailable inventory. Automated reorder points, demand history and warnings about unusual results will help store managers balance understock and overstock. Finance will receive sales, returns and purchasing entries without moving data by hand, reducing the time needed to check that figures match. CRM agents will access an authorised purchase and contact history, helping staff solve customer problems during the first contact, while marketing teams will group customers using consent and preference rules rather than uncontrolled lists.</w:t>
      </w:r>
    </w:p>
    <w:p w14:paraId="14A2280E" w14:textId="77777777" w:rsidR="00EC1043" w:rsidRPr="003E20CD" w:rsidRDefault="00EC1043"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BI dashboards will provide current measures by store, sales channel, product and customer group. Clear definitions and named data owners are essential because good decisions depend on quality of the system, quality of the information and user satisfaction (</w:t>
      </w:r>
      <w:proofErr w:type="spellStart"/>
      <w:r w:rsidRPr="003E20CD">
        <w:rPr>
          <w:rFonts w:ascii="Arial" w:eastAsia="Times New Roman" w:hAnsi="Arial" w:cs="Arial"/>
          <w:color w:val="111111"/>
          <w:sz w:val="24"/>
          <w:szCs w:val="24"/>
          <w:lang w:eastAsia="en-GB"/>
        </w:rPr>
        <w:t>DeLone</w:t>
      </w:r>
      <w:proofErr w:type="spellEnd"/>
      <w:r w:rsidRPr="003E20CD">
        <w:rPr>
          <w:rFonts w:ascii="Arial" w:eastAsia="Times New Roman" w:hAnsi="Arial" w:cs="Arial"/>
          <w:color w:val="111111"/>
          <w:sz w:val="24"/>
          <w:szCs w:val="24"/>
          <w:lang w:eastAsia="en-GB"/>
        </w:rPr>
        <w:t xml:space="preserve"> and McLean, 2003). </w:t>
      </w:r>
      <w:proofErr w:type="spellStart"/>
      <w:r w:rsidRPr="003E20CD">
        <w:rPr>
          <w:rFonts w:ascii="Arial" w:eastAsia="Times New Roman" w:hAnsi="Arial" w:cs="Arial"/>
          <w:color w:val="111111"/>
          <w:sz w:val="24"/>
          <w:szCs w:val="24"/>
          <w:lang w:eastAsia="en-GB"/>
        </w:rPr>
        <w:t>Maldiva</w:t>
      </w:r>
      <w:proofErr w:type="spellEnd"/>
      <w:r w:rsidRPr="003E20CD">
        <w:rPr>
          <w:rFonts w:ascii="Arial" w:eastAsia="Times New Roman" w:hAnsi="Arial" w:cs="Arial"/>
          <w:color w:val="111111"/>
          <w:sz w:val="24"/>
          <w:szCs w:val="24"/>
          <w:lang w:eastAsia="en-GB"/>
        </w:rPr>
        <w:t xml:space="preserve"> should measure staff use and data quality as well as financial results.</w:t>
      </w:r>
    </w:p>
    <w:p w14:paraId="69EBC9AC" w14:textId="77777777" w:rsidR="008071F4" w:rsidRPr="003E20CD" w:rsidRDefault="008071F4" w:rsidP="00EC1043">
      <w:pPr>
        <w:spacing w:after="0" w:line="240" w:lineRule="auto"/>
        <w:jc w:val="both"/>
        <w:rPr>
          <w:rFonts w:ascii="Arial" w:eastAsia="Times New Roman" w:hAnsi="Arial" w:cs="Arial"/>
          <w:color w:val="111111"/>
          <w:sz w:val="24"/>
          <w:szCs w:val="24"/>
          <w:lang w:eastAsia="en-GB"/>
        </w:rPr>
      </w:pPr>
    </w:p>
    <w:p w14:paraId="6CC280A5" w14:textId="77777777" w:rsidR="008071F4" w:rsidRPr="003E20CD" w:rsidRDefault="008071F4" w:rsidP="00EC1043">
      <w:pPr>
        <w:spacing w:after="0" w:line="240" w:lineRule="auto"/>
        <w:jc w:val="both"/>
        <w:rPr>
          <w:rFonts w:ascii="Arial" w:eastAsia="Times New Roman" w:hAnsi="Arial" w:cs="Arial"/>
          <w:color w:val="111111"/>
          <w:sz w:val="24"/>
          <w:szCs w:val="24"/>
          <w:lang w:eastAsia="en-GB"/>
        </w:rPr>
      </w:pPr>
    </w:p>
    <w:p w14:paraId="2BE75AC8" w14:textId="77777777" w:rsidR="00EC1043" w:rsidRPr="003E20CD" w:rsidRDefault="00EC1043" w:rsidP="00EC1043">
      <w:pPr>
        <w:spacing w:after="0" w:line="240" w:lineRule="auto"/>
        <w:jc w:val="both"/>
        <w:rPr>
          <w:rFonts w:ascii="Arial" w:eastAsia="Times New Roman" w:hAnsi="Arial" w:cs="Arial"/>
          <w:b/>
          <w:bCs/>
          <w:sz w:val="24"/>
          <w:szCs w:val="24"/>
          <w:lang w:eastAsia="en-GB"/>
        </w:rPr>
      </w:pPr>
      <w:r w:rsidRPr="003E20CD">
        <w:rPr>
          <w:rFonts w:ascii="Arial" w:eastAsia="Times New Roman" w:hAnsi="Arial" w:cs="Arial"/>
          <w:b/>
          <w:bCs/>
          <w:sz w:val="24"/>
          <w:szCs w:val="24"/>
          <w:lang w:eastAsia="en-GB"/>
        </w:rPr>
        <w:t>3.4 GDPR, security and ethics</w:t>
      </w:r>
    </w:p>
    <w:p w14:paraId="65927F40" w14:textId="7F4CD04D" w:rsidR="00EC1043" w:rsidRPr="003E20CD" w:rsidRDefault="00EC1043"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 xml:space="preserve">Privacy and security must be embedded from design. </w:t>
      </w:r>
      <w:proofErr w:type="spellStart"/>
      <w:r w:rsidRPr="003E20CD">
        <w:rPr>
          <w:rFonts w:ascii="Arial" w:eastAsia="Times New Roman" w:hAnsi="Arial" w:cs="Arial"/>
          <w:color w:val="111111"/>
          <w:sz w:val="24"/>
          <w:szCs w:val="24"/>
          <w:lang w:eastAsia="en-GB"/>
        </w:rPr>
        <w:t>Maldiva</w:t>
      </w:r>
      <w:proofErr w:type="spellEnd"/>
      <w:r w:rsidRPr="003E20CD">
        <w:rPr>
          <w:rFonts w:ascii="Arial" w:eastAsia="Times New Roman" w:hAnsi="Arial" w:cs="Arial"/>
          <w:color w:val="111111"/>
          <w:sz w:val="24"/>
          <w:szCs w:val="24"/>
          <w:lang w:eastAsia="en-GB"/>
        </w:rPr>
        <w:t xml:space="preserve"> should complete a data protection impact assessment, map legal reasons for using personal data and purposes, minimise collected fields, migrate only necessary records, define retention and deletion rules and provide mechanisms for customers’ data rights. Customer profiling and personalised promotions must be transparent and use appropriate consent or another valid legal basis, together with opt-out controls and testing for unfair treatment of customer groups.</w:t>
      </w:r>
    </w:p>
    <w:p w14:paraId="402896DD" w14:textId="39E06AC9" w:rsidR="00EC1043" w:rsidRPr="003E20CD" w:rsidRDefault="00EC1043"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Security controls should include single sign-on, multi-factor authentication, giving each employee only the access needed for their job, separating important duties between staff, encryption in transit and at rest, logging, regular checks of high-level access, secure APIs, finding and fixing security weaknesses, tested backups and incident response. Risk created by outside suppliers must be controlled because the platform and company helping to install the system handle critical business data. NIST CSF 2.0 structures this work around Govern, Identify, Protect, Detect, Respond and Recover (Pascoe, Quinn and Scarfone, 2024).</w:t>
      </w:r>
    </w:p>
    <w:p w14:paraId="1BAF9990" w14:textId="77777777" w:rsidR="00EC1043" w:rsidRPr="003E20CD" w:rsidRDefault="00EC1043" w:rsidP="00EC1043">
      <w:pPr>
        <w:spacing w:after="0" w:line="240" w:lineRule="auto"/>
        <w:jc w:val="both"/>
        <w:rPr>
          <w:rFonts w:ascii="Arial" w:eastAsia="Times New Roman" w:hAnsi="Arial" w:cs="Arial"/>
          <w:color w:val="111111"/>
          <w:sz w:val="24"/>
          <w:szCs w:val="24"/>
          <w:lang w:eastAsia="en-GB"/>
        </w:rPr>
      </w:pPr>
    </w:p>
    <w:p w14:paraId="5EC105CA" w14:textId="77777777" w:rsidR="00F55BA5" w:rsidRPr="003E20CD" w:rsidRDefault="00F55BA5" w:rsidP="00EC1043">
      <w:pPr>
        <w:spacing w:after="0" w:line="240" w:lineRule="auto"/>
        <w:jc w:val="both"/>
        <w:rPr>
          <w:rFonts w:ascii="Arial" w:eastAsia="Times New Roman" w:hAnsi="Arial" w:cs="Arial"/>
          <w:color w:val="111111"/>
          <w:sz w:val="24"/>
          <w:szCs w:val="24"/>
          <w:lang w:eastAsia="en-GB"/>
        </w:rPr>
      </w:pPr>
    </w:p>
    <w:p w14:paraId="022745EB" w14:textId="77777777" w:rsidR="00F55BA5" w:rsidRPr="003E20CD" w:rsidRDefault="00F55BA5" w:rsidP="00EC1043">
      <w:pPr>
        <w:spacing w:after="0" w:line="240" w:lineRule="auto"/>
        <w:jc w:val="both"/>
        <w:rPr>
          <w:rFonts w:ascii="Arial" w:eastAsia="Times New Roman" w:hAnsi="Arial" w:cs="Arial"/>
          <w:color w:val="111111"/>
          <w:sz w:val="24"/>
          <w:szCs w:val="24"/>
          <w:lang w:eastAsia="en-GB"/>
        </w:rPr>
      </w:pPr>
    </w:p>
    <w:p w14:paraId="3FE41EDB" w14:textId="77777777" w:rsidR="00F55BA5" w:rsidRPr="003E20CD" w:rsidRDefault="00F55BA5" w:rsidP="00EC1043">
      <w:pPr>
        <w:spacing w:after="0" w:line="240" w:lineRule="auto"/>
        <w:jc w:val="both"/>
        <w:rPr>
          <w:rFonts w:ascii="Arial" w:eastAsia="Times New Roman" w:hAnsi="Arial" w:cs="Arial"/>
          <w:color w:val="111111"/>
          <w:sz w:val="24"/>
          <w:szCs w:val="24"/>
          <w:lang w:eastAsia="en-GB"/>
        </w:rPr>
      </w:pPr>
    </w:p>
    <w:p w14:paraId="316A1F0B" w14:textId="77777777" w:rsidR="003E20CD" w:rsidRDefault="003E20CD" w:rsidP="00EC1043">
      <w:pPr>
        <w:spacing w:after="0" w:line="240" w:lineRule="auto"/>
        <w:jc w:val="both"/>
        <w:rPr>
          <w:rFonts w:ascii="Arial" w:eastAsia="Times New Roman" w:hAnsi="Arial" w:cs="Arial"/>
          <w:b/>
          <w:bCs/>
          <w:sz w:val="24"/>
          <w:szCs w:val="24"/>
          <w:lang w:eastAsia="en-GB"/>
        </w:rPr>
      </w:pPr>
    </w:p>
    <w:p w14:paraId="365E2EB4" w14:textId="77777777" w:rsidR="00D41120" w:rsidRDefault="00D41120" w:rsidP="00EC1043">
      <w:pPr>
        <w:spacing w:after="0" w:line="240" w:lineRule="auto"/>
        <w:jc w:val="both"/>
        <w:rPr>
          <w:rFonts w:ascii="Arial" w:eastAsia="Times New Roman" w:hAnsi="Arial" w:cs="Arial"/>
          <w:b/>
          <w:bCs/>
          <w:sz w:val="24"/>
          <w:szCs w:val="24"/>
          <w:lang w:eastAsia="en-GB"/>
        </w:rPr>
      </w:pPr>
    </w:p>
    <w:p w14:paraId="1836CBC4" w14:textId="54B81DDB" w:rsidR="00EC1043" w:rsidRPr="003E20CD" w:rsidRDefault="00EC1043" w:rsidP="00EC1043">
      <w:pPr>
        <w:spacing w:after="0" w:line="240" w:lineRule="auto"/>
        <w:jc w:val="both"/>
        <w:rPr>
          <w:rFonts w:ascii="Arial" w:eastAsia="Times New Roman" w:hAnsi="Arial" w:cs="Arial"/>
          <w:b/>
          <w:bCs/>
          <w:sz w:val="24"/>
          <w:szCs w:val="24"/>
          <w:lang w:eastAsia="en-GB"/>
        </w:rPr>
      </w:pPr>
      <w:r w:rsidRPr="003E20CD">
        <w:rPr>
          <w:rFonts w:ascii="Arial" w:eastAsia="Times New Roman" w:hAnsi="Arial" w:cs="Arial"/>
          <w:b/>
          <w:bCs/>
          <w:sz w:val="24"/>
          <w:szCs w:val="24"/>
          <w:lang w:eastAsia="en-GB"/>
        </w:rPr>
        <w:lastRenderedPageBreak/>
        <w:t>4. Implementation Plan</w:t>
      </w:r>
    </w:p>
    <w:p w14:paraId="0B5C1BE4" w14:textId="77A88D04" w:rsidR="00EC1043" w:rsidRPr="003E20CD" w:rsidRDefault="00EC1043"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A 12-month implementation in manageable stages reduces risk to daily business activities and allows lessons from a pilot to improve later waves. A steering group chaired by an executive sponsor should include IT, stores, e-commerce, finance, supply chain, marketing, customer service, security and data protection. A dedicated programme manager, managers responsible for business processes and staff responsible for data quality should hold clear authority to make decisions. Established ERP guidance emphasises clear goals, executive support, project management, process change, data accuracy and education (Umble, Haft and Umble, 2003). Success also depends on aligning installation and change activities with organisational context rather than applying the same checklist for every organisation (Gavidia, Junglas and Chou, 2023).</w:t>
      </w:r>
    </w:p>
    <w:p w14:paraId="2DA33C0C" w14:textId="77777777" w:rsidR="008364F9" w:rsidRPr="003E20CD" w:rsidRDefault="008364F9" w:rsidP="00EC1043">
      <w:pPr>
        <w:spacing w:after="0" w:line="240" w:lineRule="auto"/>
        <w:jc w:val="both"/>
        <w:rPr>
          <w:rFonts w:ascii="Arial" w:eastAsia="Times New Roman" w:hAnsi="Arial" w:cs="Arial"/>
          <w:color w:val="111111"/>
          <w:sz w:val="24"/>
          <w:szCs w:val="24"/>
          <w:lang w:eastAsia="en-GB"/>
        </w:rPr>
      </w:pPr>
    </w:p>
    <w:p w14:paraId="380DE55F" w14:textId="77777777" w:rsidR="008364F9" w:rsidRPr="003E20CD" w:rsidRDefault="008364F9" w:rsidP="00EC1043">
      <w:pPr>
        <w:spacing w:after="0" w:line="240" w:lineRule="auto"/>
        <w:jc w:val="both"/>
        <w:rPr>
          <w:rFonts w:ascii="Arial" w:eastAsia="Times New Roman" w:hAnsi="Arial" w:cs="Arial"/>
          <w:color w:val="111111"/>
          <w:sz w:val="24"/>
          <w:szCs w:val="24"/>
          <w:lang w:eastAsia="en-GB"/>
        </w:rPr>
      </w:pPr>
    </w:p>
    <w:p w14:paraId="1DC762F3" w14:textId="662EEB97" w:rsidR="00EC1043" w:rsidRPr="003E20CD" w:rsidRDefault="00EC1043" w:rsidP="00EC1043">
      <w:pPr>
        <w:spacing w:after="0" w:line="240" w:lineRule="auto"/>
        <w:jc w:val="both"/>
        <w:rPr>
          <w:rFonts w:ascii="Arial" w:eastAsia="Times New Roman" w:hAnsi="Arial" w:cs="Arial"/>
          <w:sz w:val="24"/>
          <w:szCs w:val="24"/>
          <w:lang w:eastAsia="en-GB"/>
        </w:rPr>
      </w:pPr>
      <w:r w:rsidRPr="003E20CD">
        <w:rPr>
          <w:rFonts w:ascii="Arial" w:eastAsia="Times New Roman" w:hAnsi="Arial" w:cs="Arial"/>
          <w:b/>
          <w:bCs/>
          <w:sz w:val="24"/>
          <w:szCs w:val="24"/>
          <w:lang w:eastAsia="en-GB"/>
        </w:rPr>
        <w:t>4.1 Migration, integration and testing</w:t>
      </w:r>
    </w:p>
    <w:p w14:paraId="052BC432" w14:textId="66E8DA36" w:rsidR="00EC1043" w:rsidRPr="003E20CD" w:rsidRDefault="00EC1043"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 xml:space="preserve">Data migration should follow clear stages: review the data, correct errors, remove duplicate records, map it to the new system, transfer it, validate it and check that totals match. Product identifiers, units, locations, prices, suppliers and customer identities require named owners and acceptance thresholds. At least two practice data transfers should compare record counts, financial totals and sample transactions. Interfaces should use documented APIs and monitoring rather than spreadsheet uploads. Testing must cover complete retail processes from start to </w:t>
      </w:r>
      <w:r w:rsidR="008071F4" w:rsidRPr="003E20CD">
        <w:rPr>
          <w:rFonts w:ascii="Arial" w:eastAsia="Times New Roman" w:hAnsi="Arial" w:cs="Arial"/>
          <w:color w:val="111111"/>
          <w:sz w:val="24"/>
          <w:szCs w:val="24"/>
          <w:lang w:eastAsia="en-GB"/>
        </w:rPr>
        <w:t>finish</w:t>
      </w:r>
      <w:r w:rsidRPr="003E20CD">
        <w:rPr>
          <w:rFonts w:ascii="Arial" w:eastAsia="Times New Roman" w:hAnsi="Arial" w:cs="Arial"/>
          <w:color w:val="111111"/>
          <w:sz w:val="24"/>
          <w:szCs w:val="24"/>
          <w:lang w:eastAsia="en-GB"/>
        </w:rPr>
        <w:t xml:space="preserve"> purchase order to receipt, store and online sale, cancellation, return, refund, stock transfer, finance posting, customer complaint and customer data request. Speed, security, backup recovery and service failure tests are required before go-live.</w:t>
      </w:r>
    </w:p>
    <w:p w14:paraId="7342D694" w14:textId="77777777" w:rsidR="008071F4" w:rsidRDefault="008071F4" w:rsidP="00EC1043">
      <w:pPr>
        <w:spacing w:after="0" w:line="240" w:lineRule="auto"/>
        <w:jc w:val="both"/>
        <w:rPr>
          <w:rFonts w:ascii="Arial" w:eastAsia="Times New Roman" w:hAnsi="Arial" w:cs="Arial"/>
          <w:color w:val="111111"/>
          <w:sz w:val="24"/>
          <w:szCs w:val="24"/>
          <w:lang w:eastAsia="en-GB"/>
        </w:rPr>
      </w:pPr>
    </w:p>
    <w:p w14:paraId="268B9AA3" w14:textId="77777777" w:rsidR="00D41120" w:rsidRPr="003E20CD" w:rsidRDefault="00D41120" w:rsidP="00EC1043">
      <w:pPr>
        <w:spacing w:after="0" w:line="240" w:lineRule="auto"/>
        <w:jc w:val="both"/>
        <w:rPr>
          <w:rFonts w:ascii="Arial" w:eastAsia="Times New Roman" w:hAnsi="Arial" w:cs="Arial"/>
          <w:color w:val="111111"/>
          <w:sz w:val="24"/>
          <w:szCs w:val="24"/>
          <w:lang w:eastAsia="en-GB"/>
        </w:rPr>
      </w:pPr>
    </w:p>
    <w:p w14:paraId="7B126350" w14:textId="77777777" w:rsidR="00EC1043" w:rsidRPr="003E20CD" w:rsidRDefault="00EC1043" w:rsidP="00EC1043">
      <w:pPr>
        <w:spacing w:after="0" w:line="240" w:lineRule="auto"/>
        <w:jc w:val="both"/>
        <w:rPr>
          <w:rFonts w:ascii="Arial" w:eastAsia="Times New Roman" w:hAnsi="Arial" w:cs="Arial"/>
          <w:sz w:val="24"/>
          <w:szCs w:val="24"/>
          <w:lang w:eastAsia="en-GB"/>
        </w:rPr>
      </w:pPr>
      <w:r w:rsidRPr="003E20CD">
        <w:rPr>
          <w:rFonts w:ascii="Arial" w:eastAsia="Times New Roman" w:hAnsi="Arial" w:cs="Arial"/>
          <w:b/>
          <w:bCs/>
          <w:sz w:val="24"/>
          <w:szCs w:val="24"/>
          <w:lang w:eastAsia="en-GB"/>
        </w:rPr>
        <w:t>4.2 Training and change management</w:t>
      </w:r>
    </w:p>
    <w:p w14:paraId="0B78FA43" w14:textId="77777777" w:rsidR="00EC1043" w:rsidRPr="003E20CD" w:rsidRDefault="00EC1043" w:rsidP="00EC1043">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Training should be role-based and based on real work tasks. Store colleagues need short practical sessions and sandbox exercises; managers require inventory exceptions and dashboards; service and marketing teams need CRM, consent and customer-rights training; finance and IT require controls and administration. Super-users in each rollout stage should support colleagues and report usability problems. Communications must explain why processes are changing and how success will be measured. Research into the period after implementation finds organisational factors particularly influential, confirming the need for continuing leadership and support after go-live (Alomari et al., 2023).</w:t>
      </w:r>
    </w:p>
    <w:p w14:paraId="1EB98DEB" w14:textId="77777777" w:rsidR="008071F4" w:rsidRPr="003E20CD" w:rsidRDefault="008071F4" w:rsidP="00EC1043">
      <w:pPr>
        <w:spacing w:after="0" w:line="240" w:lineRule="auto"/>
        <w:jc w:val="both"/>
        <w:rPr>
          <w:rFonts w:ascii="Arial" w:eastAsia="Times New Roman" w:hAnsi="Arial" w:cs="Arial"/>
          <w:color w:val="111111"/>
          <w:sz w:val="24"/>
          <w:szCs w:val="24"/>
          <w:lang w:eastAsia="en-GB"/>
        </w:rPr>
      </w:pPr>
    </w:p>
    <w:p w14:paraId="6BA0A4E5" w14:textId="77777777" w:rsidR="008071F4" w:rsidRPr="003E20CD" w:rsidRDefault="008071F4" w:rsidP="00EC1043">
      <w:pPr>
        <w:spacing w:after="0" w:line="240" w:lineRule="auto"/>
        <w:jc w:val="both"/>
        <w:rPr>
          <w:rFonts w:ascii="Arial" w:eastAsia="Times New Roman" w:hAnsi="Arial" w:cs="Arial"/>
          <w:color w:val="111111"/>
          <w:sz w:val="24"/>
          <w:szCs w:val="24"/>
          <w:lang w:eastAsia="en-GB"/>
        </w:rPr>
      </w:pPr>
    </w:p>
    <w:p w14:paraId="3B259C1B" w14:textId="77777777" w:rsidR="00EC1043" w:rsidRPr="003E20CD" w:rsidRDefault="00EC1043" w:rsidP="00EC1043">
      <w:pPr>
        <w:spacing w:after="0" w:line="240" w:lineRule="auto"/>
        <w:jc w:val="both"/>
        <w:rPr>
          <w:rFonts w:ascii="Arial" w:eastAsia="Times New Roman" w:hAnsi="Arial" w:cs="Arial"/>
          <w:sz w:val="24"/>
          <w:szCs w:val="24"/>
          <w:lang w:eastAsia="en-GB"/>
        </w:rPr>
      </w:pPr>
      <w:r w:rsidRPr="003E20CD">
        <w:rPr>
          <w:rFonts w:ascii="Arial" w:eastAsia="Times New Roman" w:hAnsi="Arial" w:cs="Arial"/>
          <w:b/>
          <w:bCs/>
          <w:sz w:val="24"/>
          <w:szCs w:val="24"/>
          <w:lang w:eastAsia="en-GB"/>
        </w:rPr>
        <w:t>4.3 Risks, controls and success measures</w:t>
      </w:r>
    </w:p>
    <w:tbl>
      <w:tblPr>
        <w:tblW w:w="936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00"/>
        <w:gridCol w:w="2900"/>
        <w:gridCol w:w="4360"/>
      </w:tblGrid>
      <w:tr w:rsidR="00EC1043" w:rsidRPr="003E20CD" w14:paraId="4085C7D8" w14:textId="77777777">
        <w:tc>
          <w:tcPr>
            <w:tcW w:w="2100" w:type="dxa"/>
            <w:shd w:val="clear" w:color="auto" w:fill="16324F"/>
            <w:tcMar>
              <w:top w:w="80" w:type="dxa"/>
              <w:left w:w="0" w:type="dxa"/>
              <w:bottom w:w="80" w:type="dxa"/>
              <w:right w:w="0" w:type="dxa"/>
            </w:tcMar>
            <w:vAlign w:val="center"/>
            <w:hideMark/>
          </w:tcPr>
          <w:p w14:paraId="2CE28164" w14:textId="77777777" w:rsidR="00EC1043" w:rsidRPr="003E20CD" w:rsidRDefault="00EC1043" w:rsidP="00EC1043">
            <w:pPr>
              <w:spacing w:after="0" w:line="240" w:lineRule="auto"/>
              <w:jc w:val="center"/>
              <w:rPr>
                <w:rFonts w:ascii="Arial" w:eastAsia="Times New Roman" w:hAnsi="Arial" w:cs="Arial"/>
                <w:color w:val="111111"/>
                <w:sz w:val="24"/>
                <w:szCs w:val="24"/>
                <w:lang w:eastAsia="en-GB"/>
              </w:rPr>
            </w:pPr>
            <w:r w:rsidRPr="003E20CD">
              <w:rPr>
                <w:rFonts w:ascii="Arial" w:eastAsia="Times New Roman" w:hAnsi="Arial" w:cs="Arial"/>
                <w:b/>
                <w:bCs/>
                <w:color w:val="FFFFFF"/>
                <w:sz w:val="24"/>
                <w:szCs w:val="24"/>
                <w:lang w:eastAsia="en-GB"/>
              </w:rPr>
              <w:t>Risk</w:t>
            </w:r>
          </w:p>
        </w:tc>
        <w:tc>
          <w:tcPr>
            <w:tcW w:w="2900" w:type="dxa"/>
            <w:shd w:val="clear" w:color="auto" w:fill="16324F"/>
            <w:tcMar>
              <w:top w:w="80" w:type="dxa"/>
              <w:left w:w="0" w:type="dxa"/>
              <w:bottom w:w="80" w:type="dxa"/>
              <w:right w:w="0" w:type="dxa"/>
            </w:tcMar>
            <w:vAlign w:val="center"/>
            <w:hideMark/>
          </w:tcPr>
          <w:p w14:paraId="088A9B0B" w14:textId="77777777" w:rsidR="00EC1043" w:rsidRPr="003E20CD" w:rsidRDefault="00EC1043" w:rsidP="00EC1043">
            <w:pPr>
              <w:spacing w:after="0" w:line="240" w:lineRule="auto"/>
              <w:jc w:val="center"/>
              <w:rPr>
                <w:rFonts w:ascii="Arial" w:eastAsia="Times New Roman" w:hAnsi="Arial" w:cs="Arial"/>
                <w:color w:val="111111"/>
                <w:sz w:val="24"/>
                <w:szCs w:val="24"/>
                <w:lang w:eastAsia="en-GB"/>
              </w:rPr>
            </w:pPr>
            <w:r w:rsidRPr="003E20CD">
              <w:rPr>
                <w:rFonts w:ascii="Arial" w:eastAsia="Times New Roman" w:hAnsi="Arial" w:cs="Arial"/>
                <w:b/>
                <w:bCs/>
                <w:color w:val="FFFFFF"/>
                <w:sz w:val="24"/>
                <w:szCs w:val="24"/>
                <w:lang w:eastAsia="en-GB"/>
              </w:rPr>
              <w:t>Possible effect</w:t>
            </w:r>
          </w:p>
        </w:tc>
        <w:tc>
          <w:tcPr>
            <w:tcW w:w="4360" w:type="dxa"/>
            <w:shd w:val="clear" w:color="auto" w:fill="16324F"/>
            <w:tcMar>
              <w:top w:w="80" w:type="dxa"/>
              <w:left w:w="0" w:type="dxa"/>
              <w:bottom w:w="80" w:type="dxa"/>
              <w:right w:w="0" w:type="dxa"/>
            </w:tcMar>
            <w:vAlign w:val="center"/>
            <w:hideMark/>
          </w:tcPr>
          <w:p w14:paraId="486AB3F0" w14:textId="77777777" w:rsidR="00EC1043" w:rsidRPr="003E20CD" w:rsidRDefault="00EC1043" w:rsidP="00EC1043">
            <w:pPr>
              <w:spacing w:after="0" w:line="240" w:lineRule="auto"/>
              <w:jc w:val="center"/>
              <w:rPr>
                <w:rFonts w:ascii="Arial" w:eastAsia="Times New Roman" w:hAnsi="Arial" w:cs="Arial"/>
                <w:color w:val="111111"/>
                <w:sz w:val="24"/>
                <w:szCs w:val="24"/>
                <w:lang w:eastAsia="en-GB"/>
              </w:rPr>
            </w:pPr>
            <w:r w:rsidRPr="003E20CD">
              <w:rPr>
                <w:rFonts w:ascii="Arial" w:eastAsia="Times New Roman" w:hAnsi="Arial" w:cs="Arial"/>
                <w:b/>
                <w:bCs/>
                <w:color w:val="FFFFFF"/>
                <w:sz w:val="24"/>
                <w:szCs w:val="24"/>
                <w:lang w:eastAsia="en-GB"/>
              </w:rPr>
              <w:t>Main control</w:t>
            </w:r>
          </w:p>
        </w:tc>
      </w:tr>
      <w:tr w:rsidR="00EC1043" w:rsidRPr="003E20CD" w14:paraId="3C2EC5B6" w14:textId="77777777">
        <w:tc>
          <w:tcPr>
            <w:tcW w:w="2100" w:type="dxa"/>
            <w:tcMar>
              <w:top w:w="80" w:type="dxa"/>
              <w:left w:w="0" w:type="dxa"/>
              <w:bottom w:w="80" w:type="dxa"/>
              <w:right w:w="0" w:type="dxa"/>
            </w:tcMar>
            <w:vAlign w:val="center"/>
            <w:hideMark/>
          </w:tcPr>
          <w:p w14:paraId="67507226"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t>Poor data quality</w:t>
            </w:r>
          </w:p>
        </w:tc>
        <w:tc>
          <w:tcPr>
            <w:tcW w:w="2900" w:type="dxa"/>
            <w:tcMar>
              <w:top w:w="80" w:type="dxa"/>
              <w:left w:w="0" w:type="dxa"/>
              <w:bottom w:w="80" w:type="dxa"/>
              <w:right w:w="0" w:type="dxa"/>
            </w:tcMar>
            <w:vAlign w:val="center"/>
            <w:hideMark/>
          </w:tcPr>
          <w:p w14:paraId="1437FCFD"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Incorrect stock, customer matching or finance</w:t>
            </w:r>
          </w:p>
        </w:tc>
        <w:tc>
          <w:tcPr>
            <w:tcW w:w="4360" w:type="dxa"/>
            <w:tcMar>
              <w:top w:w="80" w:type="dxa"/>
              <w:left w:w="0" w:type="dxa"/>
              <w:bottom w:w="80" w:type="dxa"/>
              <w:right w:w="0" w:type="dxa"/>
            </w:tcMar>
            <w:vAlign w:val="center"/>
            <w:hideMark/>
          </w:tcPr>
          <w:p w14:paraId="42F13FF1"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Data owners, data-cleaning rules, rehearsals and formal approval after the data has been checked</w:t>
            </w:r>
          </w:p>
        </w:tc>
      </w:tr>
      <w:tr w:rsidR="00EC1043" w:rsidRPr="003E20CD" w14:paraId="558AA47F" w14:textId="77777777">
        <w:tc>
          <w:tcPr>
            <w:tcW w:w="2100" w:type="dxa"/>
            <w:shd w:val="clear" w:color="auto" w:fill="F4F6F9"/>
            <w:tcMar>
              <w:top w:w="80" w:type="dxa"/>
              <w:left w:w="0" w:type="dxa"/>
              <w:bottom w:w="80" w:type="dxa"/>
              <w:right w:w="0" w:type="dxa"/>
            </w:tcMar>
            <w:vAlign w:val="center"/>
            <w:hideMark/>
          </w:tcPr>
          <w:p w14:paraId="6963A3B1"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t>Disruption to daily work</w:t>
            </w:r>
          </w:p>
        </w:tc>
        <w:tc>
          <w:tcPr>
            <w:tcW w:w="2900" w:type="dxa"/>
            <w:shd w:val="clear" w:color="auto" w:fill="F4F6F9"/>
            <w:tcMar>
              <w:top w:w="80" w:type="dxa"/>
              <w:left w:w="0" w:type="dxa"/>
              <w:bottom w:w="80" w:type="dxa"/>
              <w:right w:w="0" w:type="dxa"/>
            </w:tcMar>
            <w:vAlign w:val="center"/>
            <w:hideMark/>
          </w:tcPr>
          <w:p w14:paraId="2E8BAF91"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Lost sales or fulfilment delay at rollout</w:t>
            </w:r>
          </w:p>
        </w:tc>
        <w:tc>
          <w:tcPr>
            <w:tcW w:w="4360" w:type="dxa"/>
            <w:shd w:val="clear" w:color="auto" w:fill="F4F6F9"/>
            <w:tcMar>
              <w:top w:w="80" w:type="dxa"/>
              <w:left w:w="0" w:type="dxa"/>
              <w:bottom w:w="80" w:type="dxa"/>
              <w:right w:w="0" w:type="dxa"/>
            </w:tcMar>
            <w:vAlign w:val="center"/>
            <w:hideMark/>
          </w:tcPr>
          <w:p w14:paraId="3FDB2797"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 xml:space="preserve">Pilot, wave deployment, plan for returning to the old system if needed, intensive support after launch and rules </w:t>
            </w:r>
            <w:r w:rsidRPr="003E20CD">
              <w:rPr>
                <w:rFonts w:ascii="Arial" w:eastAsia="Times New Roman" w:hAnsi="Arial" w:cs="Arial"/>
                <w:color w:val="111111"/>
                <w:sz w:val="24"/>
                <w:szCs w:val="24"/>
                <w:lang w:eastAsia="en-GB"/>
              </w:rPr>
              <w:lastRenderedPageBreak/>
              <w:t>preventing risky changes during busy trading periods</w:t>
            </w:r>
          </w:p>
        </w:tc>
      </w:tr>
      <w:tr w:rsidR="00EC1043" w:rsidRPr="003E20CD" w14:paraId="1462BD1E" w14:textId="77777777">
        <w:tc>
          <w:tcPr>
            <w:tcW w:w="2100" w:type="dxa"/>
            <w:tcMar>
              <w:top w:w="80" w:type="dxa"/>
              <w:left w:w="0" w:type="dxa"/>
              <w:bottom w:w="80" w:type="dxa"/>
              <w:right w:w="0" w:type="dxa"/>
            </w:tcMar>
            <w:vAlign w:val="center"/>
            <w:hideMark/>
          </w:tcPr>
          <w:p w14:paraId="42D57168"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lastRenderedPageBreak/>
              <w:t>User resistance</w:t>
            </w:r>
          </w:p>
        </w:tc>
        <w:tc>
          <w:tcPr>
            <w:tcW w:w="2900" w:type="dxa"/>
            <w:tcMar>
              <w:top w:w="80" w:type="dxa"/>
              <w:left w:w="0" w:type="dxa"/>
              <w:bottom w:w="80" w:type="dxa"/>
              <w:right w:w="0" w:type="dxa"/>
            </w:tcMar>
            <w:vAlign w:val="center"/>
            <w:hideMark/>
          </w:tcPr>
          <w:p w14:paraId="116C7162"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Workarounds and low achievement of planned benefits</w:t>
            </w:r>
          </w:p>
        </w:tc>
        <w:tc>
          <w:tcPr>
            <w:tcW w:w="4360" w:type="dxa"/>
            <w:tcMar>
              <w:top w:w="80" w:type="dxa"/>
              <w:left w:w="0" w:type="dxa"/>
              <w:bottom w:w="80" w:type="dxa"/>
              <w:right w:w="0" w:type="dxa"/>
            </w:tcMar>
            <w:vAlign w:val="center"/>
            <w:hideMark/>
          </w:tcPr>
          <w:p w14:paraId="084684D6"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Co-design, super-users, role training and reports showing whether staff use the system</w:t>
            </w:r>
          </w:p>
        </w:tc>
      </w:tr>
      <w:tr w:rsidR="00EC1043" w:rsidRPr="003E20CD" w14:paraId="591ECC9A" w14:textId="77777777">
        <w:tc>
          <w:tcPr>
            <w:tcW w:w="2100" w:type="dxa"/>
            <w:shd w:val="clear" w:color="auto" w:fill="F4F6F9"/>
            <w:tcMar>
              <w:top w:w="80" w:type="dxa"/>
              <w:left w:w="0" w:type="dxa"/>
              <w:bottom w:w="80" w:type="dxa"/>
              <w:right w:w="0" w:type="dxa"/>
            </w:tcMar>
            <w:vAlign w:val="center"/>
            <w:hideMark/>
          </w:tcPr>
          <w:p w14:paraId="2AFDE44B"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t>Integration failure</w:t>
            </w:r>
          </w:p>
        </w:tc>
        <w:tc>
          <w:tcPr>
            <w:tcW w:w="2900" w:type="dxa"/>
            <w:shd w:val="clear" w:color="auto" w:fill="F4F6F9"/>
            <w:tcMar>
              <w:top w:w="80" w:type="dxa"/>
              <w:left w:w="0" w:type="dxa"/>
              <w:bottom w:w="80" w:type="dxa"/>
              <w:right w:w="0" w:type="dxa"/>
            </w:tcMar>
            <w:vAlign w:val="center"/>
            <w:hideMark/>
          </w:tcPr>
          <w:p w14:paraId="692BD428"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Orders or payments not synchronised</w:t>
            </w:r>
          </w:p>
        </w:tc>
        <w:tc>
          <w:tcPr>
            <w:tcW w:w="4360" w:type="dxa"/>
            <w:shd w:val="clear" w:color="auto" w:fill="F4F6F9"/>
            <w:tcMar>
              <w:top w:w="80" w:type="dxa"/>
              <w:left w:w="0" w:type="dxa"/>
              <w:bottom w:w="80" w:type="dxa"/>
              <w:right w:w="0" w:type="dxa"/>
            </w:tcMar>
            <w:vAlign w:val="center"/>
            <w:hideMark/>
          </w:tcPr>
          <w:p w14:paraId="5176E43D"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Clear rules for connections between systems, automatic checks and testing complete processes from start to finish</w:t>
            </w:r>
          </w:p>
        </w:tc>
      </w:tr>
      <w:tr w:rsidR="00EC1043" w:rsidRPr="003E20CD" w14:paraId="2BBF2E22" w14:textId="77777777">
        <w:tc>
          <w:tcPr>
            <w:tcW w:w="2100" w:type="dxa"/>
            <w:tcMar>
              <w:top w:w="80" w:type="dxa"/>
              <w:left w:w="0" w:type="dxa"/>
              <w:bottom w:w="80" w:type="dxa"/>
              <w:right w:w="0" w:type="dxa"/>
            </w:tcMar>
            <w:vAlign w:val="center"/>
            <w:hideMark/>
          </w:tcPr>
          <w:p w14:paraId="0D9C24FD"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t>Cost/schedule overrun</w:t>
            </w:r>
          </w:p>
        </w:tc>
        <w:tc>
          <w:tcPr>
            <w:tcW w:w="2900" w:type="dxa"/>
            <w:tcMar>
              <w:top w:w="80" w:type="dxa"/>
              <w:left w:w="0" w:type="dxa"/>
              <w:bottom w:w="80" w:type="dxa"/>
              <w:right w:w="0" w:type="dxa"/>
            </w:tcMar>
            <w:vAlign w:val="center"/>
            <w:hideMark/>
          </w:tcPr>
          <w:p w14:paraId="3A43A6BF"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Reduced business case value</w:t>
            </w:r>
          </w:p>
        </w:tc>
        <w:tc>
          <w:tcPr>
            <w:tcW w:w="4360" w:type="dxa"/>
            <w:tcMar>
              <w:top w:w="80" w:type="dxa"/>
              <w:left w:w="0" w:type="dxa"/>
              <w:bottom w:w="80" w:type="dxa"/>
              <w:right w:w="0" w:type="dxa"/>
            </w:tcMar>
            <w:vAlign w:val="center"/>
            <w:hideMark/>
          </w:tcPr>
          <w:p w14:paraId="5060C700"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Control of project requirements, milestone payments, contingency and independent project checks</w:t>
            </w:r>
          </w:p>
        </w:tc>
      </w:tr>
      <w:tr w:rsidR="00EC1043" w:rsidRPr="003E20CD" w14:paraId="237C34FC" w14:textId="77777777">
        <w:tc>
          <w:tcPr>
            <w:tcW w:w="2100" w:type="dxa"/>
            <w:shd w:val="clear" w:color="auto" w:fill="F4F6F9"/>
            <w:tcMar>
              <w:top w:w="80" w:type="dxa"/>
              <w:left w:w="0" w:type="dxa"/>
              <w:bottom w:w="80" w:type="dxa"/>
              <w:right w:w="0" w:type="dxa"/>
            </w:tcMar>
            <w:vAlign w:val="center"/>
            <w:hideMark/>
          </w:tcPr>
          <w:p w14:paraId="60598DBD"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t>Privacy/cyber incident</w:t>
            </w:r>
          </w:p>
        </w:tc>
        <w:tc>
          <w:tcPr>
            <w:tcW w:w="2900" w:type="dxa"/>
            <w:shd w:val="clear" w:color="auto" w:fill="F4F6F9"/>
            <w:tcMar>
              <w:top w:w="80" w:type="dxa"/>
              <w:left w:w="0" w:type="dxa"/>
              <w:bottom w:w="80" w:type="dxa"/>
              <w:right w:w="0" w:type="dxa"/>
            </w:tcMar>
            <w:vAlign w:val="center"/>
            <w:hideMark/>
          </w:tcPr>
          <w:p w14:paraId="669F7F1F"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Harm, penalties and loss of trust</w:t>
            </w:r>
          </w:p>
        </w:tc>
        <w:tc>
          <w:tcPr>
            <w:tcW w:w="4360" w:type="dxa"/>
            <w:shd w:val="clear" w:color="auto" w:fill="F4F6F9"/>
            <w:tcMar>
              <w:top w:w="80" w:type="dxa"/>
              <w:left w:w="0" w:type="dxa"/>
              <w:bottom w:w="80" w:type="dxa"/>
              <w:right w:w="0" w:type="dxa"/>
            </w:tcMar>
            <w:vAlign w:val="center"/>
            <w:hideMark/>
          </w:tcPr>
          <w:p w14:paraId="0FDCC4F2"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DPIA, access limited to job needs, encryption, monitoring, response and checks of supplier security</w:t>
            </w:r>
          </w:p>
        </w:tc>
      </w:tr>
      <w:tr w:rsidR="00EC1043" w:rsidRPr="003E20CD" w14:paraId="5D178670" w14:textId="77777777">
        <w:tc>
          <w:tcPr>
            <w:tcW w:w="2100" w:type="dxa"/>
            <w:tcMar>
              <w:top w:w="80" w:type="dxa"/>
              <w:left w:w="0" w:type="dxa"/>
              <w:bottom w:w="80" w:type="dxa"/>
              <w:right w:w="0" w:type="dxa"/>
            </w:tcMar>
            <w:vAlign w:val="center"/>
            <w:hideMark/>
          </w:tcPr>
          <w:p w14:paraId="6F095C72"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b/>
                <w:bCs/>
                <w:color w:val="16324F"/>
                <w:sz w:val="24"/>
                <w:szCs w:val="24"/>
                <w:lang w:eastAsia="en-GB"/>
              </w:rPr>
              <w:t>Difficulty changing supplier</w:t>
            </w:r>
          </w:p>
        </w:tc>
        <w:tc>
          <w:tcPr>
            <w:tcW w:w="2900" w:type="dxa"/>
            <w:tcMar>
              <w:top w:w="80" w:type="dxa"/>
              <w:left w:w="0" w:type="dxa"/>
              <w:bottom w:w="80" w:type="dxa"/>
              <w:right w:w="0" w:type="dxa"/>
            </w:tcMar>
            <w:vAlign w:val="center"/>
            <w:hideMark/>
          </w:tcPr>
          <w:p w14:paraId="552C6465"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Higher future cost and constrained change</w:t>
            </w:r>
          </w:p>
        </w:tc>
        <w:tc>
          <w:tcPr>
            <w:tcW w:w="4360" w:type="dxa"/>
            <w:tcMar>
              <w:top w:w="80" w:type="dxa"/>
              <w:left w:w="0" w:type="dxa"/>
              <w:bottom w:w="80" w:type="dxa"/>
              <w:right w:w="0" w:type="dxa"/>
            </w:tcMar>
            <w:vAlign w:val="center"/>
            <w:hideMark/>
          </w:tcPr>
          <w:p w14:paraId="23144E96" w14:textId="77777777" w:rsidR="00EC1043" w:rsidRPr="003E20CD" w:rsidRDefault="00EC1043" w:rsidP="00EC1043">
            <w:pPr>
              <w:spacing w:after="0" w:line="240" w:lineRule="auto"/>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Open system connections, export rights, plan for changing supplier and records of system settings</w:t>
            </w:r>
          </w:p>
        </w:tc>
      </w:tr>
    </w:tbl>
    <w:p w14:paraId="6A8D6E7F" w14:textId="77777777" w:rsidR="00EC1043" w:rsidRDefault="00EC1043" w:rsidP="00EC1043">
      <w:pPr>
        <w:spacing w:after="0" w:line="240" w:lineRule="auto"/>
        <w:jc w:val="center"/>
        <w:rPr>
          <w:rFonts w:ascii="Arial" w:eastAsia="Times New Roman" w:hAnsi="Arial" w:cs="Arial"/>
          <w:i/>
          <w:iCs/>
          <w:color w:val="5B6573"/>
          <w:sz w:val="24"/>
          <w:szCs w:val="24"/>
          <w:lang w:eastAsia="en-GB"/>
        </w:rPr>
      </w:pPr>
      <w:r w:rsidRPr="003E20CD">
        <w:rPr>
          <w:rFonts w:ascii="Arial" w:eastAsia="Times New Roman" w:hAnsi="Arial" w:cs="Arial"/>
          <w:i/>
          <w:iCs/>
          <w:color w:val="5B6573"/>
          <w:sz w:val="24"/>
          <w:szCs w:val="24"/>
          <w:lang w:eastAsia="en-GB"/>
        </w:rPr>
        <w:t>Table 4. Main implementation risks and controls</w:t>
      </w:r>
    </w:p>
    <w:p w14:paraId="682DD52E" w14:textId="77777777" w:rsidR="003E20CD" w:rsidRPr="003E20CD" w:rsidRDefault="003E20CD" w:rsidP="00EC1043">
      <w:pPr>
        <w:spacing w:after="0" w:line="240" w:lineRule="auto"/>
        <w:jc w:val="center"/>
        <w:rPr>
          <w:rFonts w:ascii="Arial" w:eastAsia="Times New Roman" w:hAnsi="Arial" w:cs="Arial"/>
          <w:color w:val="111111"/>
          <w:sz w:val="24"/>
          <w:szCs w:val="24"/>
          <w:lang w:eastAsia="en-GB"/>
        </w:rPr>
      </w:pPr>
    </w:p>
    <w:p w14:paraId="58FAE622" w14:textId="5EB184C4" w:rsidR="00EC1043" w:rsidRPr="003E20CD" w:rsidRDefault="00EC1043" w:rsidP="008364F9">
      <w:pPr>
        <w:spacing w:after="0" w:line="240" w:lineRule="auto"/>
        <w:jc w:val="both"/>
        <w:rPr>
          <w:rFonts w:ascii="Arial" w:eastAsia="Times New Roman" w:hAnsi="Arial" w:cs="Arial"/>
          <w:color w:val="111111"/>
          <w:sz w:val="24"/>
          <w:szCs w:val="24"/>
          <w:lang w:eastAsia="en-GB"/>
        </w:rPr>
      </w:pPr>
      <w:r w:rsidRPr="003E20CD">
        <w:rPr>
          <w:rFonts w:ascii="Arial" w:eastAsia="Times New Roman" w:hAnsi="Arial" w:cs="Arial"/>
          <w:color w:val="111111"/>
          <w:sz w:val="24"/>
          <w:szCs w:val="24"/>
          <w:lang w:eastAsia="en-GB"/>
        </w:rPr>
        <w:t>The steering group should approve go-live only when critical defects are closed, data and financial checks are successful, security and privacy actions are accepted, staff who run daily operations are trained and rollback is safe and workable. Twelve-month benefit targets should include at least 98% inventory accuracy, a 50% reduction in stock-related online cancellations, a 30% reduction in order cycle time, daily automated sales dashboards, a 25% reduction in manual time spent checking that figures match, better first-contact problem solving and quarterly access reviews completed on time. Exact targets must be confirmed from baseline evidence during discovery; presenting assumptions as approved benefits would weaken project control.</w:t>
      </w:r>
    </w:p>
    <w:p w14:paraId="212C90EF" w14:textId="77777777" w:rsidR="008364F9" w:rsidRPr="003E20CD" w:rsidRDefault="008364F9" w:rsidP="00EC1043">
      <w:pPr>
        <w:spacing w:after="0" w:line="240" w:lineRule="auto"/>
        <w:jc w:val="both"/>
        <w:rPr>
          <w:rFonts w:ascii="Arial" w:eastAsia="Times New Roman" w:hAnsi="Arial" w:cs="Arial"/>
          <w:color w:val="111111"/>
          <w:sz w:val="24"/>
          <w:szCs w:val="24"/>
          <w:lang w:eastAsia="en-GB"/>
        </w:rPr>
      </w:pPr>
    </w:p>
    <w:p w14:paraId="28B2CF98" w14:textId="1D88B8F7" w:rsidR="008364F9" w:rsidRPr="003E20CD" w:rsidRDefault="008364F9" w:rsidP="00EC1043">
      <w:pPr>
        <w:spacing w:after="0" w:line="240" w:lineRule="auto"/>
        <w:jc w:val="both"/>
        <w:rPr>
          <w:rFonts w:ascii="Arial" w:eastAsia="Times New Roman" w:hAnsi="Arial" w:cs="Arial"/>
          <w:b/>
          <w:bCs/>
          <w:color w:val="111111"/>
          <w:sz w:val="24"/>
          <w:szCs w:val="24"/>
          <w:lang w:eastAsia="en-GB"/>
        </w:rPr>
      </w:pPr>
      <w:r w:rsidRPr="003E20CD">
        <w:rPr>
          <w:rFonts w:ascii="Arial" w:eastAsia="Times New Roman" w:hAnsi="Arial" w:cs="Arial"/>
          <w:b/>
          <w:bCs/>
          <w:color w:val="111111"/>
          <w:sz w:val="24"/>
          <w:szCs w:val="24"/>
          <w:lang w:eastAsia="en-GB"/>
        </w:rPr>
        <w:t xml:space="preserve">5.Conclusion </w:t>
      </w:r>
    </w:p>
    <w:p w14:paraId="2C5B9758" w14:textId="2098DF57" w:rsidR="00EC1043" w:rsidRPr="003E20CD" w:rsidRDefault="00EC1043" w:rsidP="00EC1043">
      <w:pPr>
        <w:spacing w:after="0" w:line="240" w:lineRule="auto"/>
        <w:jc w:val="both"/>
        <w:rPr>
          <w:rFonts w:ascii="Arial" w:eastAsia="Times New Roman" w:hAnsi="Arial" w:cs="Arial"/>
          <w:color w:val="111111"/>
          <w:sz w:val="24"/>
          <w:szCs w:val="24"/>
          <w:lang w:eastAsia="en-GB"/>
        </w:rPr>
      </w:pPr>
      <w:proofErr w:type="spellStart"/>
      <w:r w:rsidRPr="003E20CD">
        <w:rPr>
          <w:rFonts w:ascii="Arial" w:eastAsia="Times New Roman" w:hAnsi="Arial" w:cs="Arial"/>
          <w:color w:val="111111"/>
          <w:sz w:val="24"/>
          <w:szCs w:val="24"/>
          <w:lang w:eastAsia="en-GB"/>
        </w:rPr>
        <w:t>Maldiva</w:t>
      </w:r>
      <w:proofErr w:type="spellEnd"/>
      <w:r w:rsidRPr="003E20CD">
        <w:rPr>
          <w:rFonts w:ascii="Arial" w:eastAsia="Times New Roman" w:hAnsi="Arial" w:cs="Arial"/>
          <w:color w:val="111111"/>
          <w:sz w:val="24"/>
          <w:szCs w:val="24"/>
          <w:lang w:eastAsia="en-GB"/>
        </w:rPr>
        <w:t xml:space="preserve"> Ltd.’s day-to-day problems arise from information stored in separate systems, manual movement of data and weak management and control. Continuing with separate systems would preserve the underlying cause, while custom-built software would add unnecessary cost and delivery risk. A cloud system with connected modules integrating ERP, real-time inventory and order management, CRM and BI </w:t>
      </w:r>
      <w:r w:rsidR="008071F4" w:rsidRPr="003E20CD">
        <w:rPr>
          <w:rFonts w:ascii="Arial" w:eastAsia="Times New Roman" w:hAnsi="Arial" w:cs="Arial"/>
          <w:color w:val="111111"/>
          <w:sz w:val="24"/>
          <w:szCs w:val="24"/>
          <w:lang w:eastAsia="en-GB"/>
        </w:rPr>
        <w:t>provide</w:t>
      </w:r>
      <w:r w:rsidRPr="003E20CD">
        <w:rPr>
          <w:rFonts w:ascii="Arial" w:eastAsia="Times New Roman" w:hAnsi="Arial" w:cs="Arial"/>
          <w:color w:val="111111"/>
          <w:sz w:val="24"/>
          <w:szCs w:val="24"/>
          <w:lang w:eastAsia="en-GB"/>
        </w:rPr>
        <w:t xml:space="preserve"> the strongest fit with the company’s long-term needs. It will connect sales, stock, finance and customer service around accurate and properly managed data; improve product availability and fulfilment; support targeted, lawful customer engagement; and provide timely management information. Benefits depend on disciplined improvement of business processes, data ownership, security, training and use by employees. A 12-month rollout based on pilot testing, supported by measurable review stages and benefits, offers a scalable route to growth without exposing all 30 stores to a single high-risk changeover.</w:t>
      </w:r>
    </w:p>
    <w:p w14:paraId="1169A1FA" w14:textId="77777777" w:rsidR="008364F9" w:rsidRPr="003E20CD" w:rsidRDefault="008364F9" w:rsidP="00EC1043">
      <w:pPr>
        <w:spacing w:after="0" w:line="240" w:lineRule="auto"/>
        <w:jc w:val="both"/>
        <w:rPr>
          <w:rFonts w:ascii="Arial" w:eastAsia="Times New Roman" w:hAnsi="Arial" w:cs="Arial"/>
          <w:color w:val="111111"/>
          <w:sz w:val="24"/>
          <w:szCs w:val="24"/>
          <w:lang w:eastAsia="en-GB"/>
        </w:rPr>
      </w:pPr>
    </w:p>
    <w:p w14:paraId="794B5169" w14:textId="77777777" w:rsidR="003E20CD" w:rsidRDefault="003E20CD" w:rsidP="00AA3EDA">
      <w:pPr>
        <w:spacing w:before="100" w:beforeAutospacing="1" w:after="100" w:afterAutospacing="1" w:line="240" w:lineRule="auto"/>
        <w:outlineLvl w:val="1"/>
        <w:rPr>
          <w:rFonts w:ascii="Arial" w:eastAsia="Times New Roman" w:hAnsi="Arial" w:cs="Arial"/>
          <w:b/>
          <w:bCs/>
          <w:color w:val="111111"/>
          <w:sz w:val="24"/>
          <w:szCs w:val="24"/>
          <w:lang w:eastAsia="en-GB"/>
        </w:rPr>
      </w:pPr>
    </w:p>
    <w:p w14:paraId="7AC756AA" w14:textId="77777777" w:rsidR="003E20CD" w:rsidRDefault="003E20CD" w:rsidP="00AA3EDA">
      <w:pPr>
        <w:spacing w:before="100" w:beforeAutospacing="1" w:after="100" w:afterAutospacing="1" w:line="240" w:lineRule="auto"/>
        <w:outlineLvl w:val="1"/>
        <w:rPr>
          <w:rFonts w:ascii="Arial" w:eastAsia="Times New Roman" w:hAnsi="Arial" w:cs="Arial"/>
          <w:b/>
          <w:bCs/>
          <w:color w:val="111111"/>
          <w:sz w:val="24"/>
          <w:szCs w:val="24"/>
          <w:lang w:eastAsia="en-GB"/>
        </w:rPr>
      </w:pPr>
    </w:p>
    <w:p w14:paraId="60E11EB3" w14:textId="597F114B" w:rsidR="00AA3EDA" w:rsidRPr="003E20CD" w:rsidRDefault="00EC6723" w:rsidP="00AA3EDA">
      <w:pPr>
        <w:spacing w:before="100" w:beforeAutospacing="1" w:after="100" w:afterAutospacing="1" w:line="240" w:lineRule="auto"/>
        <w:outlineLvl w:val="1"/>
        <w:rPr>
          <w:rFonts w:ascii="Arial" w:eastAsia="Times New Roman" w:hAnsi="Arial" w:cs="Arial"/>
          <w:b/>
          <w:bCs/>
          <w:sz w:val="24"/>
          <w:szCs w:val="24"/>
          <w:lang w:eastAsia="en-GB"/>
        </w:rPr>
      </w:pPr>
      <w:r w:rsidRPr="003E20CD">
        <w:rPr>
          <w:rFonts w:ascii="Arial" w:eastAsia="Times New Roman" w:hAnsi="Arial" w:cs="Arial"/>
          <w:b/>
          <w:bCs/>
          <w:color w:val="111111"/>
          <w:sz w:val="24"/>
          <w:szCs w:val="24"/>
          <w:lang w:eastAsia="en-GB"/>
        </w:rPr>
        <w:t>6.</w:t>
      </w:r>
      <w:r w:rsidR="00AA3EDA" w:rsidRPr="003E20CD">
        <w:rPr>
          <w:rFonts w:ascii="Arial" w:eastAsia="Times New Roman" w:hAnsi="Arial" w:cs="Arial"/>
          <w:b/>
          <w:bCs/>
          <w:sz w:val="24"/>
          <w:szCs w:val="24"/>
          <w:lang w:eastAsia="en-GB"/>
        </w:rPr>
        <w:t xml:space="preserve">Reference List </w:t>
      </w:r>
    </w:p>
    <w:p w14:paraId="3763ACF1" w14:textId="5C4318B9" w:rsidR="00AA3EDA" w:rsidRPr="003E20CD" w:rsidRDefault="00956FF8" w:rsidP="00AA3EDA">
      <w:pPr>
        <w:spacing w:before="100" w:beforeAutospacing="1" w:after="100" w:afterAutospacing="1" w:line="240" w:lineRule="auto"/>
        <w:rPr>
          <w:rFonts w:ascii="Arial" w:eastAsia="Times New Roman" w:hAnsi="Arial" w:cs="Arial"/>
          <w:sz w:val="24"/>
          <w:szCs w:val="24"/>
          <w:lang w:eastAsia="en-GB"/>
        </w:rPr>
      </w:pPr>
      <w:r w:rsidRPr="003E20CD">
        <w:rPr>
          <w:rFonts w:ascii="Arial" w:eastAsia="Times New Roman" w:hAnsi="Arial" w:cs="Arial"/>
          <w:sz w:val="24"/>
          <w:szCs w:val="24"/>
          <w:lang w:eastAsia="en-GB"/>
        </w:rPr>
        <w:t>1.</w:t>
      </w:r>
      <w:r w:rsidR="00AA3EDA" w:rsidRPr="003E20CD">
        <w:rPr>
          <w:rFonts w:ascii="Arial" w:eastAsia="Times New Roman" w:hAnsi="Arial" w:cs="Arial"/>
          <w:sz w:val="24"/>
          <w:szCs w:val="24"/>
          <w:lang w:eastAsia="en-GB"/>
        </w:rPr>
        <w:t xml:space="preserve">Alomari, I.A., Amir, A.M., Aziz, K.A. and Auzair, S.M. (2023) ‘Systematic literature review of critical success factors on enterprise resource planning post implementation’, </w:t>
      </w:r>
      <w:r w:rsidR="00AA3EDA" w:rsidRPr="003E20CD">
        <w:rPr>
          <w:rFonts w:ascii="Arial" w:eastAsia="Times New Roman" w:hAnsi="Arial" w:cs="Arial"/>
          <w:i/>
          <w:iCs/>
          <w:sz w:val="24"/>
          <w:szCs w:val="24"/>
          <w:lang w:eastAsia="en-GB"/>
        </w:rPr>
        <w:t>Cogent Business &amp; Management</w:t>
      </w:r>
      <w:r w:rsidR="00AA3EDA" w:rsidRPr="003E20CD">
        <w:rPr>
          <w:rFonts w:ascii="Arial" w:eastAsia="Times New Roman" w:hAnsi="Arial" w:cs="Arial"/>
          <w:sz w:val="24"/>
          <w:szCs w:val="24"/>
          <w:lang w:eastAsia="en-GB"/>
        </w:rPr>
        <w:t xml:space="preserve">, 10(3), article 2264001. Available at: </w:t>
      </w:r>
      <w:hyperlink r:id="rId7" w:history="1">
        <w:r w:rsidR="005C1562" w:rsidRPr="003E20CD">
          <w:rPr>
            <w:rStyle w:val="Hyperlink"/>
            <w:rFonts w:ascii="Arial" w:eastAsia="Times New Roman" w:hAnsi="Arial" w:cs="Arial"/>
            <w:sz w:val="24"/>
            <w:szCs w:val="24"/>
            <w:lang w:eastAsia="en-GB"/>
          </w:rPr>
          <w:t>https://www.tandfonline.com/</w:t>
        </w:r>
      </w:hyperlink>
      <w:r w:rsidR="005C1562" w:rsidRPr="003E20CD">
        <w:rPr>
          <w:rFonts w:ascii="Arial" w:eastAsia="Times New Roman" w:hAnsi="Arial" w:cs="Arial"/>
          <w:sz w:val="24"/>
          <w:szCs w:val="24"/>
          <w:lang w:eastAsia="en-GB"/>
        </w:rPr>
        <w:t xml:space="preserve"> </w:t>
      </w:r>
      <w:r w:rsidR="004439CE" w:rsidRPr="003E20CD">
        <w:rPr>
          <w:rFonts w:ascii="Arial" w:eastAsia="Times New Roman" w:hAnsi="Arial" w:cs="Arial"/>
          <w:sz w:val="24"/>
          <w:szCs w:val="24"/>
          <w:lang w:eastAsia="en-GB"/>
        </w:rPr>
        <w:t>(Accessed</w:t>
      </w:r>
      <w:r w:rsidR="005C1562" w:rsidRPr="003E20CD">
        <w:rPr>
          <w:rFonts w:ascii="Arial" w:eastAsia="Times New Roman" w:hAnsi="Arial" w:cs="Arial"/>
          <w:sz w:val="24"/>
          <w:szCs w:val="24"/>
          <w:lang w:eastAsia="en-GB"/>
        </w:rPr>
        <w:t xml:space="preserve"> 20.8.2026)</w:t>
      </w:r>
    </w:p>
    <w:p w14:paraId="05EE7352" w14:textId="64620AB9" w:rsidR="00AA3EDA" w:rsidRPr="003E20CD" w:rsidRDefault="00956FF8" w:rsidP="00AA3EDA">
      <w:pPr>
        <w:spacing w:before="100" w:beforeAutospacing="1" w:after="100" w:afterAutospacing="1" w:line="240" w:lineRule="auto"/>
        <w:rPr>
          <w:rFonts w:ascii="Arial" w:eastAsia="Times New Roman" w:hAnsi="Arial" w:cs="Arial"/>
          <w:sz w:val="24"/>
          <w:szCs w:val="24"/>
          <w:lang w:eastAsia="en-GB"/>
        </w:rPr>
      </w:pPr>
      <w:r w:rsidRPr="003E20CD">
        <w:rPr>
          <w:rFonts w:ascii="Arial" w:eastAsia="Times New Roman" w:hAnsi="Arial" w:cs="Arial"/>
          <w:sz w:val="24"/>
          <w:szCs w:val="24"/>
          <w:lang w:eastAsia="en-GB"/>
        </w:rPr>
        <w:t>2.</w:t>
      </w:r>
      <w:r w:rsidR="00AA3EDA" w:rsidRPr="003E20CD">
        <w:rPr>
          <w:rFonts w:ascii="Arial" w:eastAsia="Times New Roman" w:hAnsi="Arial" w:cs="Arial"/>
          <w:sz w:val="24"/>
          <w:szCs w:val="24"/>
          <w:lang w:eastAsia="en-GB"/>
        </w:rPr>
        <w:t xml:space="preserve">DeLone, W.H. and McLean, E.R. (2003) ‘The </w:t>
      </w:r>
      <w:proofErr w:type="spellStart"/>
      <w:r w:rsidR="00AA3EDA" w:rsidRPr="003E20CD">
        <w:rPr>
          <w:rFonts w:ascii="Arial" w:eastAsia="Times New Roman" w:hAnsi="Arial" w:cs="Arial"/>
          <w:sz w:val="24"/>
          <w:szCs w:val="24"/>
          <w:lang w:eastAsia="en-GB"/>
        </w:rPr>
        <w:t>DeLone</w:t>
      </w:r>
      <w:proofErr w:type="spellEnd"/>
      <w:r w:rsidR="00AA3EDA" w:rsidRPr="003E20CD">
        <w:rPr>
          <w:rFonts w:ascii="Arial" w:eastAsia="Times New Roman" w:hAnsi="Arial" w:cs="Arial"/>
          <w:sz w:val="24"/>
          <w:szCs w:val="24"/>
          <w:lang w:eastAsia="en-GB"/>
        </w:rPr>
        <w:t xml:space="preserve"> and McLean model of information systems success: a ten-year update’, </w:t>
      </w:r>
      <w:r w:rsidR="00AA3EDA" w:rsidRPr="003E20CD">
        <w:rPr>
          <w:rFonts w:ascii="Arial" w:eastAsia="Times New Roman" w:hAnsi="Arial" w:cs="Arial"/>
          <w:i/>
          <w:iCs/>
          <w:sz w:val="24"/>
          <w:szCs w:val="24"/>
          <w:lang w:eastAsia="en-GB"/>
        </w:rPr>
        <w:t>Journal of Management Information Systems</w:t>
      </w:r>
      <w:r w:rsidR="00AA3EDA" w:rsidRPr="003E20CD">
        <w:rPr>
          <w:rFonts w:ascii="Arial" w:eastAsia="Times New Roman" w:hAnsi="Arial" w:cs="Arial"/>
          <w:sz w:val="24"/>
          <w:szCs w:val="24"/>
          <w:lang w:eastAsia="en-GB"/>
        </w:rPr>
        <w:t>, 19(4), pp. 9–30. Available at:</w:t>
      </w:r>
      <w:r w:rsidR="004439CE" w:rsidRPr="003E20CD">
        <w:rPr>
          <w:rFonts w:ascii="Arial" w:hAnsi="Arial" w:cs="Arial"/>
          <w:sz w:val="24"/>
          <w:szCs w:val="24"/>
        </w:rPr>
        <w:t xml:space="preserve"> </w:t>
      </w:r>
      <w:proofErr w:type="gramStart"/>
      <w:r w:rsidR="004439CE" w:rsidRPr="003E20CD">
        <w:rPr>
          <w:rFonts w:ascii="Arial" w:eastAsia="Times New Roman" w:hAnsi="Arial" w:cs="Arial"/>
          <w:sz w:val="24"/>
          <w:szCs w:val="24"/>
          <w:lang w:eastAsia="en-GB"/>
        </w:rPr>
        <w:t>https://www.tandfonline.com/</w:t>
      </w:r>
      <w:r w:rsidR="00AA3EDA" w:rsidRPr="003E20CD">
        <w:rPr>
          <w:rFonts w:ascii="Arial" w:eastAsia="Times New Roman" w:hAnsi="Arial" w:cs="Arial"/>
          <w:sz w:val="24"/>
          <w:szCs w:val="24"/>
          <w:lang w:eastAsia="en-GB"/>
        </w:rPr>
        <w:t xml:space="preserve"> </w:t>
      </w:r>
      <w:r w:rsidR="004439CE" w:rsidRPr="003E20CD">
        <w:rPr>
          <w:rFonts w:ascii="Arial" w:eastAsia="Times New Roman" w:hAnsi="Arial" w:cs="Arial"/>
          <w:sz w:val="24"/>
          <w:szCs w:val="24"/>
          <w:lang w:eastAsia="en-GB"/>
        </w:rPr>
        <w:t xml:space="preserve"> (</w:t>
      </w:r>
      <w:proofErr w:type="gramEnd"/>
      <w:r w:rsidR="004439CE" w:rsidRPr="003E20CD">
        <w:rPr>
          <w:rFonts w:ascii="Arial" w:eastAsia="Times New Roman" w:hAnsi="Arial" w:cs="Arial"/>
          <w:sz w:val="24"/>
          <w:szCs w:val="24"/>
          <w:lang w:eastAsia="en-GB"/>
        </w:rPr>
        <w:t>Accessed 19.8.2026)</w:t>
      </w:r>
    </w:p>
    <w:p w14:paraId="27CAB522" w14:textId="2821F1B6" w:rsidR="00AA3EDA" w:rsidRPr="003E20CD" w:rsidRDefault="00956FF8" w:rsidP="00AA3EDA">
      <w:pPr>
        <w:spacing w:before="100" w:beforeAutospacing="1" w:after="100" w:afterAutospacing="1" w:line="240" w:lineRule="auto"/>
        <w:rPr>
          <w:rFonts w:ascii="Arial" w:eastAsia="Times New Roman" w:hAnsi="Arial" w:cs="Arial"/>
          <w:sz w:val="24"/>
          <w:szCs w:val="24"/>
          <w:lang w:eastAsia="en-GB"/>
        </w:rPr>
      </w:pPr>
      <w:r w:rsidRPr="003E20CD">
        <w:rPr>
          <w:rFonts w:ascii="Arial" w:eastAsia="Times New Roman" w:hAnsi="Arial" w:cs="Arial"/>
          <w:sz w:val="24"/>
          <w:szCs w:val="24"/>
          <w:lang w:eastAsia="en-GB"/>
        </w:rPr>
        <w:t>3.</w:t>
      </w:r>
      <w:r w:rsidR="00AA3EDA" w:rsidRPr="003E20CD">
        <w:rPr>
          <w:rFonts w:ascii="Arial" w:eastAsia="Times New Roman" w:hAnsi="Arial" w:cs="Arial"/>
          <w:sz w:val="24"/>
          <w:szCs w:val="24"/>
          <w:lang w:eastAsia="en-GB"/>
        </w:rPr>
        <w:t xml:space="preserve">Gavidia, J.V., Junglas, I.A. and Chou, C.-H. (2023) ‘An integrated model of ERP success: the critical role of task-context alignment’, </w:t>
      </w:r>
      <w:r w:rsidR="00AA3EDA" w:rsidRPr="003E20CD">
        <w:rPr>
          <w:rFonts w:ascii="Arial" w:eastAsia="Times New Roman" w:hAnsi="Arial" w:cs="Arial"/>
          <w:i/>
          <w:iCs/>
          <w:sz w:val="24"/>
          <w:szCs w:val="24"/>
          <w:lang w:eastAsia="en-GB"/>
        </w:rPr>
        <w:t>Enterprise Information Systems</w:t>
      </w:r>
      <w:r w:rsidR="00AA3EDA" w:rsidRPr="003E20CD">
        <w:rPr>
          <w:rFonts w:ascii="Arial" w:eastAsia="Times New Roman" w:hAnsi="Arial" w:cs="Arial"/>
          <w:sz w:val="24"/>
          <w:szCs w:val="24"/>
          <w:lang w:eastAsia="en-GB"/>
        </w:rPr>
        <w:t xml:space="preserve">, 17(1), article 1931460. Available </w:t>
      </w:r>
      <w:proofErr w:type="spellStart"/>
      <w:proofErr w:type="gramStart"/>
      <w:r w:rsidR="00AA3EDA" w:rsidRPr="003E20CD">
        <w:rPr>
          <w:rFonts w:ascii="Arial" w:eastAsia="Times New Roman" w:hAnsi="Arial" w:cs="Arial"/>
          <w:sz w:val="24"/>
          <w:szCs w:val="24"/>
          <w:lang w:eastAsia="en-GB"/>
        </w:rPr>
        <w:t>at:</w:t>
      </w:r>
      <w:r w:rsidR="004439CE" w:rsidRPr="003E20CD">
        <w:rPr>
          <w:rFonts w:ascii="Arial" w:eastAsia="Times New Roman" w:hAnsi="Arial" w:cs="Arial"/>
          <w:sz w:val="24"/>
          <w:szCs w:val="24"/>
          <w:lang w:eastAsia="en-GB"/>
        </w:rPr>
        <w:t>https</w:t>
      </w:r>
      <w:proofErr w:type="spellEnd"/>
      <w:proofErr w:type="gramEnd"/>
      <w:r w:rsidR="004439CE" w:rsidRPr="003E20CD">
        <w:rPr>
          <w:rFonts w:ascii="Arial" w:eastAsia="Times New Roman" w:hAnsi="Arial" w:cs="Arial"/>
          <w:sz w:val="24"/>
          <w:szCs w:val="24"/>
          <w:lang w:eastAsia="en-GB"/>
        </w:rPr>
        <w:t>;//</w:t>
      </w:r>
      <w:r w:rsidR="004439CE" w:rsidRPr="003E20CD">
        <w:rPr>
          <w:rFonts w:ascii="Arial" w:hAnsi="Arial" w:cs="Arial"/>
          <w:sz w:val="24"/>
          <w:szCs w:val="24"/>
        </w:rPr>
        <w:t xml:space="preserve"> </w:t>
      </w:r>
      <w:hyperlink r:id="rId8" w:history="1">
        <w:r w:rsidR="004439CE" w:rsidRPr="003E20CD">
          <w:rPr>
            <w:rFonts w:ascii="Arial" w:hAnsi="Arial" w:cs="Arial"/>
            <w:color w:val="0000FF"/>
            <w:sz w:val="24"/>
            <w:szCs w:val="24"/>
            <w:u w:val="single"/>
          </w:rPr>
          <w:t>Enterprise Information Systems | Journal | Taylor &amp; Francis Online</w:t>
        </w:r>
      </w:hyperlink>
      <w:r w:rsidR="00AA3EDA" w:rsidRPr="003E20CD">
        <w:rPr>
          <w:rFonts w:ascii="Arial" w:eastAsia="Times New Roman" w:hAnsi="Arial" w:cs="Arial"/>
          <w:sz w:val="24"/>
          <w:szCs w:val="24"/>
          <w:lang w:eastAsia="en-GB"/>
        </w:rPr>
        <w:t xml:space="preserve"> </w:t>
      </w:r>
      <w:r w:rsidR="004439CE" w:rsidRPr="003E20CD">
        <w:rPr>
          <w:rFonts w:ascii="Arial" w:eastAsia="Times New Roman" w:hAnsi="Arial" w:cs="Arial"/>
          <w:sz w:val="24"/>
          <w:szCs w:val="24"/>
          <w:lang w:eastAsia="en-GB"/>
        </w:rPr>
        <w:t>(Accessed 20.8.2026)</w:t>
      </w:r>
    </w:p>
    <w:p w14:paraId="26939080" w14:textId="4D81E9B8" w:rsidR="00AA3EDA" w:rsidRPr="003E20CD" w:rsidRDefault="00956FF8" w:rsidP="00AA3EDA">
      <w:pPr>
        <w:spacing w:before="100" w:beforeAutospacing="1" w:after="100" w:afterAutospacing="1" w:line="240" w:lineRule="auto"/>
        <w:rPr>
          <w:rFonts w:ascii="Arial" w:eastAsia="Times New Roman" w:hAnsi="Arial" w:cs="Arial"/>
          <w:sz w:val="24"/>
          <w:szCs w:val="24"/>
          <w:lang w:eastAsia="en-GB"/>
        </w:rPr>
      </w:pPr>
      <w:r w:rsidRPr="003E20CD">
        <w:rPr>
          <w:rFonts w:ascii="Arial" w:eastAsia="Times New Roman" w:hAnsi="Arial" w:cs="Arial"/>
          <w:sz w:val="24"/>
          <w:szCs w:val="24"/>
          <w:lang w:eastAsia="en-GB"/>
        </w:rPr>
        <w:t>4.</w:t>
      </w:r>
      <w:r w:rsidR="00AA3EDA" w:rsidRPr="003E20CD">
        <w:rPr>
          <w:rFonts w:ascii="Arial" w:eastAsia="Times New Roman" w:hAnsi="Arial" w:cs="Arial"/>
          <w:sz w:val="24"/>
          <w:szCs w:val="24"/>
          <w:lang w:eastAsia="en-GB"/>
        </w:rPr>
        <w:t xml:space="preserve">Hendricks, K.B., Singhal, V.R. and Stratman, J.K. (2007) ‘The impact of enterprise systems on corporate performance: a study of ERP, SCM and CRM system implementations’, </w:t>
      </w:r>
      <w:r w:rsidR="00AA3EDA" w:rsidRPr="003E20CD">
        <w:rPr>
          <w:rFonts w:ascii="Arial" w:eastAsia="Times New Roman" w:hAnsi="Arial" w:cs="Arial"/>
          <w:i/>
          <w:iCs/>
          <w:sz w:val="24"/>
          <w:szCs w:val="24"/>
          <w:lang w:eastAsia="en-GB"/>
        </w:rPr>
        <w:t>Journal of Operations Management</w:t>
      </w:r>
      <w:r w:rsidR="00AA3EDA" w:rsidRPr="003E20CD">
        <w:rPr>
          <w:rFonts w:ascii="Arial" w:eastAsia="Times New Roman" w:hAnsi="Arial" w:cs="Arial"/>
          <w:sz w:val="24"/>
          <w:szCs w:val="24"/>
          <w:lang w:eastAsia="en-GB"/>
        </w:rPr>
        <w:t xml:space="preserve">, 25(1), pp. 65–82. Available at: </w:t>
      </w:r>
      <w:hyperlink r:id="rId9" w:history="1">
        <w:r w:rsidR="00AA3EDA" w:rsidRPr="003E20CD">
          <w:rPr>
            <w:rFonts w:ascii="Arial" w:eastAsia="Times New Roman" w:hAnsi="Arial" w:cs="Arial"/>
            <w:color w:val="0000FF"/>
            <w:sz w:val="24"/>
            <w:szCs w:val="24"/>
            <w:u w:val="single"/>
            <w:lang w:eastAsia="en-GB"/>
          </w:rPr>
          <w:t>https://doi.org/10.1016/j.jom.2006.02.002</w:t>
        </w:r>
      </w:hyperlink>
      <w:r w:rsidR="00AA3EDA" w:rsidRPr="003E20CD">
        <w:rPr>
          <w:rFonts w:ascii="Arial" w:eastAsia="Times New Roman" w:hAnsi="Arial" w:cs="Arial"/>
          <w:sz w:val="24"/>
          <w:szCs w:val="24"/>
          <w:lang w:eastAsia="en-GB"/>
        </w:rPr>
        <w:t>.</w:t>
      </w:r>
    </w:p>
    <w:p w14:paraId="061B4C5B" w14:textId="14E8CC7B" w:rsidR="00AA3EDA" w:rsidRPr="003E20CD" w:rsidRDefault="00956FF8" w:rsidP="00AA3EDA">
      <w:pPr>
        <w:spacing w:before="100" w:beforeAutospacing="1" w:after="100" w:afterAutospacing="1" w:line="240" w:lineRule="auto"/>
        <w:rPr>
          <w:rFonts w:ascii="Arial" w:eastAsia="Times New Roman" w:hAnsi="Arial" w:cs="Arial"/>
          <w:sz w:val="24"/>
          <w:szCs w:val="24"/>
          <w:lang w:eastAsia="en-GB"/>
        </w:rPr>
      </w:pPr>
      <w:r w:rsidRPr="003E20CD">
        <w:rPr>
          <w:rFonts w:ascii="Arial" w:eastAsia="Times New Roman" w:hAnsi="Arial" w:cs="Arial"/>
          <w:sz w:val="24"/>
          <w:szCs w:val="24"/>
          <w:lang w:eastAsia="en-GB"/>
        </w:rPr>
        <w:t>5.</w:t>
      </w:r>
      <w:r w:rsidR="00AA3EDA" w:rsidRPr="003E20CD">
        <w:rPr>
          <w:rFonts w:ascii="Arial" w:eastAsia="Times New Roman" w:hAnsi="Arial" w:cs="Arial"/>
          <w:sz w:val="24"/>
          <w:szCs w:val="24"/>
          <w:lang w:eastAsia="en-GB"/>
        </w:rPr>
        <w:t xml:space="preserve">Information Commissioner’s Office (ICO) (2026a) </w:t>
      </w:r>
      <w:r w:rsidR="00AA3EDA" w:rsidRPr="003E20CD">
        <w:rPr>
          <w:rFonts w:ascii="Arial" w:eastAsia="Times New Roman" w:hAnsi="Arial" w:cs="Arial"/>
          <w:i/>
          <w:iCs/>
          <w:sz w:val="24"/>
          <w:szCs w:val="24"/>
          <w:lang w:eastAsia="en-GB"/>
        </w:rPr>
        <w:t>Principle (c): Data minimisation</w:t>
      </w:r>
      <w:r w:rsidR="00AA3EDA" w:rsidRPr="003E20CD">
        <w:rPr>
          <w:rFonts w:ascii="Arial" w:eastAsia="Times New Roman" w:hAnsi="Arial" w:cs="Arial"/>
          <w:sz w:val="24"/>
          <w:szCs w:val="24"/>
          <w:lang w:eastAsia="en-GB"/>
        </w:rPr>
        <w:t xml:space="preserve">. Available at: </w:t>
      </w:r>
      <w:hyperlink r:id="rId10" w:history="1">
        <w:r w:rsidR="00AA3EDA" w:rsidRPr="003E20CD">
          <w:rPr>
            <w:rFonts w:ascii="Arial" w:eastAsia="Times New Roman" w:hAnsi="Arial" w:cs="Arial"/>
            <w:color w:val="0000FF"/>
            <w:sz w:val="24"/>
            <w:szCs w:val="24"/>
            <w:u w:val="single"/>
            <w:lang w:eastAsia="en-GB"/>
          </w:rPr>
          <w:t>https://ico.org.uk/for-organisations/uk-gdpr-guidance-and-resources/data-protection-principles/a-guide-to-the-data-protection-principles/data-minimisation/</w:t>
        </w:r>
      </w:hyperlink>
      <w:r w:rsidR="00AA3EDA" w:rsidRPr="003E20CD">
        <w:rPr>
          <w:rFonts w:ascii="Arial" w:eastAsia="Times New Roman" w:hAnsi="Arial" w:cs="Arial"/>
          <w:sz w:val="24"/>
          <w:szCs w:val="24"/>
          <w:lang w:eastAsia="en-GB"/>
        </w:rPr>
        <w:t xml:space="preserve"> (Accessed: 20 August 2026).</w:t>
      </w:r>
    </w:p>
    <w:p w14:paraId="604CE7F8" w14:textId="130BCE79" w:rsidR="00AA3EDA" w:rsidRPr="003E20CD" w:rsidRDefault="00956FF8" w:rsidP="00AA3EDA">
      <w:pPr>
        <w:spacing w:before="100" w:beforeAutospacing="1" w:after="100" w:afterAutospacing="1" w:line="240" w:lineRule="auto"/>
        <w:rPr>
          <w:rFonts w:ascii="Arial" w:eastAsia="Times New Roman" w:hAnsi="Arial" w:cs="Arial"/>
          <w:sz w:val="24"/>
          <w:szCs w:val="24"/>
          <w:lang w:eastAsia="en-GB"/>
        </w:rPr>
      </w:pPr>
      <w:r w:rsidRPr="003E20CD">
        <w:rPr>
          <w:rFonts w:ascii="Arial" w:eastAsia="Times New Roman" w:hAnsi="Arial" w:cs="Arial"/>
          <w:sz w:val="24"/>
          <w:szCs w:val="24"/>
          <w:lang w:eastAsia="en-GB"/>
        </w:rPr>
        <w:t>6.</w:t>
      </w:r>
      <w:r w:rsidR="00AA3EDA" w:rsidRPr="003E20CD">
        <w:rPr>
          <w:rFonts w:ascii="Arial" w:eastAsia="Times New Roman" w:hAnsi="Arial" w:cs="Arial"/>
          <w:sz w:val="24"/>
          <w:szCs w:val="24"/>
          <w:lang w:eastAsia="en-GB"/>
        </w:rPr>
        <w:t xml:space="preserve">Information Commissioner’s Office (ICO) (2026b) </w:t>
      </w:r>
      <w:r w:rsidR="00AA3EDA" w:rsidRPr="003E20CD">
        <w:rPr>
          <w:rFonts w:ascii="Arial" w:eastAsia="Times New Roman" w:hAnsi="Arial" w:cs="Arial"/>
          <w:i/>
          <w:iCs/>
          <w:sz w:val="24"/>
          <w:szCs w:val="24"/>
          <w:lang w:eastAsia="en-GB"/>
        </w:rPr>
        <w:t>Data protection by design and by default</w:t>
      </w:r>
      <w:r w:rsidR="00AA3EDA" w:rsidRPr="003E20CD">
        <w:rPr>
          <w:rFonts w:ascii="Arial" w:eastAsia="Times New Roman" w:hAnsi="Arial" w:cs="Arial"/>
          <w:sz w:val="24"/>
          <w:szCs w:val="24"/>
          <w:lang w:eastAsia="en-GB"/>
        </w:rPr>
        <w:t xml:space="preserve">. Available at: </w:t>
      </w:r>
      <w:hyperlink r:id="rId11" w:history="1">
        <w:r w:rsidR="00AA3EDA" w:rsidRPr="003E20CD">
          <w:rPr>
            <w:rFonts w:ascii="Arial" w:eastAsia="Times New Roman" w:hAnsi="Arial" w:cs="Arial"/>
            <w:color w:val="0000FF"/>
            <w:sz w:val="24"/>
            <w:szCs w:val="24"/>
            <w:u w:val="single"/>
            <w:lang w:eastAsia="en-GB"/>
          </w:rPr>
          <w:t>https://ico.org.uk/for-organisations/uk-gdpr-guidance-and-resources/accountability-and-governance/guide-to-accountability-and-governance/data-protection-by-design-and-by-default/</w:t>
        </w:r>
      </w:hyperlink>
      <w:r w:rsidR="00AA3EDA" w:rsidRPr="003E20CD">
        <w:rPr>
          <w:rFonts w:ascii="Arial" w:eastAsia="Times New Roman" w:hAnsi="Arial" w:cs="Arial"/>
          <w:sz w:val="24"/>
          <w:szCs w:val="24"/>
          <w:lang w:eastAsia="en-GB"/>
        </w:rPr>
        <w:t xml:space="preserve"> (Accessed: 20 August 2026).</w:t>
      </w:r>
    </w:p>
    <w:p w14:paraId="016BF5AE" w14:textId="67E4A080" w:rsidR="00AA3EDA" w:rsidRPr="003E20CD" w:rsidRDefault="00956FF8" w:rsidP="00AA3EDA">
      <w:pPr>
        <w:spacing w:before="100" w:beforeAutospacing="1" w:after="100" w:afterAutospacing="1" w:line="240" w:lineRule="auto"/>
        <w:rPr>
          <w:rFonts w:ascii="Arial" w:eastAsia="Times New Roman" w:hAnsi="Arial" w:cs="Arial"/>
          <w:sz w:val="24"/>
          <w:szCs w:val="24"/>
          <w:lang w:eastAsia="en-GB"/>
        </w:rPr>
      </w:pPr>
      <w:r w:rsidRPr="003E20CD">
        <w:rPr>
          <w:rFonts w:ascii="Arial" w:eastAsia="Times New Roman" w:hAnsi="Arial" w:cs="Arial"/>
          <w:sz w:val="24"/>
          <w:szCs w:val="24"/>
          <w:lang w:eastAsia="en-GB"/>
        </w:rPr>
        <w:t>7.</w:t>
      </w:r>
      <w:r w:rsidR="00AA3EDA" w:rsidRPr="003E20CD">
        <w:rPr>
          <w:rFonts w:ascii="Arial" w:eastAsia="Times New Roman" w:hAnsi="Arial" w:cs="Arial"/>
          <w:sz w:val="24"/>
          <w:szCs w:val="24"/>
          <w:lang w:eastAsia="en-GB"/>
        </w:rPr>
        <w:t xml:space="preserve">Laudon, K.C. and Laudon, J.P. (2022) </w:t>
      </w:r>
      <w:r w:rsidR="00AA3EDA" w:rsidRPr="003E20CD">
        <w:rPr>
          <w:rFonts w:ascii="Arial" w:eastAsia="Times New Roman" w:hAnsi="Arial" w:cs="Arial"/>
          <w:i/>
          <w:iCs/>
          <w:sz w:val="24"/>
          <w:szCs w:val="24"/>
          <w:lang w:eastAsia="en-GB"/>
        </w:rPr>
        <w:t>Management Information Systems: Managing the Digital Firm</w:t>
      </w:r>
      <w:r w:rsidR="00AA3EDA" w:rsidRPr="003E20CD">
        <w:rPr>
          <w:rFonts w:ascii="Arial" w:eastAsia="Times New Roman" w:hAnsi="Arial" w:cs="Arial"/>
          <w:sz w:val="24"/>
          <w:szCs w:val="24"/>
          <w:lang w:eastAsia="en-GB"/>
        </w:rPr>
        <w:t xml:space="preserve">. 17th </w:t>
      </w:r>
      <w:proofErr w:type="spellStart"/>
      <w:r w:rsidR="00AA3EDA" w:rsidRPr="003E20CD">
        <w:rPr>
          <w:rFonts w:ascii="Arial" w:eastAsia="Times New Roman" w:hAnsi="Arial" w:cs="Arial"/>
          <w:sz w:val="24"/>
          <w:szCs w:val="24"/>
          <w:lang w:eastAsia="en-GB"/>
        </w:rPr>
        <w:t>edn</w:t>
      </w:r>
      <w:proofErr w:type="spellEnd"/>
      <w:r w:rsidR="00AA3EDA" w:rsidRPr="003E20CD">
        <w:rPr>
          <w:rFonts w:ascii="Arial" w:eastAsia="Times New Roman" w:hAnsi="Arial" w:cs="Arial"/>
          <w:sz w:val="24"/>
          <w:szCs w:val="24"/>
          <w:lang w:eastAsia="en-GB"/>
        </w:rPr>
        <w:t>. Harlow: Pearson.</w:t>
      </w:r>
    </w:p>
    <w:p w14:paraId="25BCCCDC" w14:textId="772919C3" w:rsidR="00AA3EDA" w:rsidRPr="003E20CD" w:rsidRDefault="00956FF8" w:rsidP="00AA3EDA">
      <w:pPr>
        <w:spacing w:before="100" w:beforeAutospacing="1" w:after="100" w:afterAutospacing="1" w:line="240" w:lineRule="auto"/>
        <w:rPr>
          <w:rFonts w:ascii="Arial" w:eastAsia="Times New Roman" w:hAnsi="Arial" w:cs="Arial"/>
          <w:sz w:val="24"/>
          <w:szCs w:val="24"/>
          <w:lang w:eastAsia="en-GB"/>
        </w:rPr>
      </w:pPr>
      <w:r w:rsidRPr="003E20CD">
        <w:rPr>
          <w:rFonts w:ascii="Arial" w:eastAsia="Times New Roman" w:hAnsi="Arial" w:cs="Arial"/>
          <w:sz w:val="24"/>
          <w:szCs w:val="24"/>
          <w:lang w:eastAsia="en-GB"/>
        </w:rPr>
        <w:t>8.</w:t>
      </w:r>
      <w:r w:rsidR="00AA3EDA" w:rsidRPr="003E20CD">
        <w:rPr>
          <w:rFonts w:ascii="Arial" w:eastAsia="Times New Roman" w:hAnsi="Arial" w:cs="Arial"/>
          <w:sz w:val="24"/>
          <w:szCs w:val="24"/>
          <w:lang w:eastAsia="en-GB"/>
        </w:rPr>
        <w:t xml:space="preserve">Pascoe, C., Quinn, S. and Scarfone, K. (2024) </w:t>
      </w:r>
      <w:r w:rsidR="00AA3EDA" w:rsidRPr="003E20CD">
        <w:rPr>
          <w:rFonts w:ascii="Arial" w:eastAsia="Times New Roman" w:hAnsi="Arial" w:cs="Arial"/>
          <w:i/>
          <w:iCs/>
          <w:sz w:val="24"/>
          <w:szCs w:val="24"/>
          <w:lang w:eastAsia="en-GB"/>
        </w:rPr>
        <w:t>The NIST Cybersecurity Framework (CSF) 2.0</w:t>
      </w:r>
      <w:r w:rsidR="00AA3EDA" w:rsidRPr="003E20CD">
        <w:rPr>
          <w:rFonts w:ascii="Arial" w:eastAsia="Times New Roman" w:hAnsi="Arial" w:cs="Arial"/>
          <w:sz w:val="24"/>
          <w:szCs w:val="24"/>
          <w:lang w:eastAsia="en-GB"/>
        </w:rPr>
        <w:t>. NIST CSWP 29. Gaithersburg, MD: National Institute of Standards and Technology. Available at:</w:t>
      </w:r>
      <w:r w:rsidRPr="003E20CD">
        <w:rPr>
          <w:rFonts w:ascii="Arial" w:hAnsi="Arial" w:cs="Arial"/>
          <w:sz w:val="24"/>
          <w:szCs w:val="24"/>
        </w:rPr>
        <w:t xml:space="preserve"> </w:t>
      </w:r>
      <w:hyperlink r:id="rId12" w:history="1">
        <w:r w:rsidRPr="003E20CD">
          <w:rPr>
            <w:rFonts w:ascii="Arial" w:hAnsi="Arial" w:cs="Arial"/>
            <w:color w:val="0000FF"/>
            <w:sz w:val="24"/>
            <w:szCs w:val="24"/>
            <w:u w:val="single"/>
          </w:rPr>
          <w:t>The NIST Cybersecurity Framework (CSF) 2.0</w:t>
        </w:r>
      </w:hyperlink>
      <w:r w:rsidR="00AA3EDA" w:rsidRPr="003E20CD">
        <w:rPr>
          <w:rFonts w:ascii="Arial" w:eastAsia="Times New Roman" w:hAnsi="Arial" w:cs="Arial"/>
          <w:sz w:val="24"/>
          <w:szCs w:val="24"/>
          <w:lang w:eastAsia="en-GB"/>
        </w:rPr>
        <w:t xml:space="preserve"> </w:t>
      </w:r>
      <w:hyperlink r:id="rId13" w:history="1">
        <w:r w:rsidR="00AA3EDA" w:rsidRPr="003E20CD">
          <w:rPr>
            <w:rFonts w:ascii="Arial" w:eastAsia="Times New Roman" w:hAnsi="Arial" w:cs="Arial"/>
            <w:color w:val="0000FF"/>
            <w:sz w:val="24"/>
            <w:szCs w:val="24"/>
            <w:u w:val="single"/>
            <w:lang w:eastAsia="en-GB"/>
          </w:rPr>
          <w:t>https://doi.org/10.6028/NIST.CSWP.29</w:t>
        </w:r>
      </w:hyperlink>
      <w:r w:rsidR="00AA3EDA" w:rsidRPr="003E20CD">
        <w:rPr>
          <w:rFonts w:ascii="Arial" w:eastAsia="Times New Roman" w:hAnsi="Arial" w:cs="Arial"/>
          <w:sz w:val="24"/>
          <w:szCs w:val="24"/>
          <w:lang w:eastAsia="en-GB"/>
        </w:rPr>
        <w:t>.</w:t>
      </w:r>
      <w:r w:rsidRPr="003E20CD">
        <w:rPr>
          <w:rFonts w:ascii="Arial" w:eastAsia="Times New Roman" w:hAnsi="Arial" w:cs="Arial"/>
          <w:sz w:val="24"/>
          <w:szCs w:val="24"/>
          <w:lang w:eastAsia="en-GB"/>
        </w:rPr>
        <w:t xml:space="preserve"> (Accessed on 18.8,2026)</w:t>
      </w:r>
    </w:p>
    <w:p w14:paraId="4A397C24" w14:textId="48BD8E89" w:rsidR="00AA3EDA" w:rsidRPr="003E20CD" w:rsidRDefault="00956FF8" w:rsidP="00AA3EDA">
      <w:pPr>
        <w:spacing w:before="100" w:beforeAutospacing="1" w:after="100" w:afterAutospacing="1" w:line="240" w:lineRule="auto"/>
        <w:rPr>
          <w:rFonts w:ascii="Arial" w:eastAsia="Times New Roman" w:hAnsi="Arial" w:cs="Arial"/>
          <w:sz w:val="24"/>
          <w:szCs w:val="24"/>
          <w:lang w:eastAsia="en-GB"/>
        </w:rPr>
      </w:pPr>
      <w:r w:rsidRPr="003E20CD">
        <w:rPr>
          <w:rFonts w:ascii="Arial" w:eastAsia="Times New Roman" w:hAnsi="Arial" w:cs="Arial"/>
          <w:sz w:val="24"/>
          <w:szCs w:val="24"/>
          <w:lang w:eastAsia="en-GB"/>
        </w:rPr>
        <w:t>9.</w:t>
      </w:r>
      <w:r w:rsidR="00AA3EDA" w:rsidRPr="003E20CD">
        <w:rPr>
          <w:rFonts w:ascii="Arial" w:eastAsia="Times New Roman" w:hAnsi="Arial" w:cs="Arial"/>
          <w:sz w:val="24"/>
          <w:szCs w:val="24"/>
          <w:lang w:eastAsia="en-GB"/>
        </w:rPr>
        <w:t xml:space="preserve">Stair, R. and Reynolds, G. (2020) </w:t>
      </w:r>
      <w:r w:rsidR="00AA3EDA" w:rsidRPr="003E20CD">
        <w:rPr>
          <w:rFonts w:ascii="Arial" w:eastAsia="Times New Roman" w:hAnsi="Arial" w:cs="Arial"/>
          <w:i/>
          <w:iCs/>
          <w:sz w:val="24"/>
          <w:szCs w:val="24"/>
          <w:lang w:eastAsia="en-GB"/>
        </w:rPr>
        <w:t>Principles of Information Systems</w:t>
      </w:r>
      <w:r w:rsidR="00AA3EDA" w:rsidRPr="003E20CD">
        <w:rPr>
          <w:rFonts w:ascii="Arial" w:eastAsia="Times New Roman" w:hAnsi="Arial" w:cs="Arial"/>
          <w:sz w:val="24"/>
          <w:szCs w:val="24"/>
          <w:lang w:eastAsia="en-GB"/>
        </w:rPr>
        <w:t xml:space="preserve">. 14th </w:t>
      </w:r>
      <w:proofErr w:type="spellStart"/>
      <w:r w:rsidR="00AA3EDA" w:rsidRPr="003E20CD">
        <w:rPr>
          <w:rFonts w:ascii="Arial" w:eastAsia="Times New Roman" w:hAnsi="Arial" w:cs="Arial"/>
          <w:sz w:val="24"/>
          <w:szCs w:val="24"/>
          <w:lang w:eastAsia="en-GB"/>
        </w:rPr>
        <w:t>edn</w:t>
      </w:r>
      <w:proofErr w:type="spellEnd"/>
      <w:r w:rsidR="00AA3EDA" w:rsidRPr="003E20CD">
        <w:rPr>
          <w:rFonts w:ascii="Arial" w:eastAsia="Times New Roman" w:hAnsi="Arial" w:cs="Arial"/>
          <w:sz w:val="24"/>
          <w:szCs w:val="24"/>
          <w:lang w:eastAsia="en-GB"/>
        </w:rPr>
        <w:t>. Boston, MA: Cengage.</w:t>
      </w:r>
    </w:p>
    <w:p w14:paraId="0458C8D5" w14:textId="77777777" w:rsidR="008364F9" w:rsidRPr="003E20CD" w:rsidRDefault="008364F9" w:rsidP="00EC1043">
      <w:pPr>
        <w:spacing w:after="0" w:line="240" w:lineRule="auto"/>
        <w:jc w:val="both"/>
        <w:rPr>
          <w:rFonts w:ascii="Arial" w:eastAsia="Times New Roman" w:hAnsi="Arial" w:cs="Arial"/>
          <w:color w:val="111111"/>
          <w:sz w:val="24"/>
          <w:szCs w:val="24"/>
          <w:lang w:eastAsia="en-GB"/>
        </w:rPr>
      </w:pPr>
    </w:p>
    <w:p w14:paraId="485F03C8" w14:textId="77777777" w:rsidR="008364F9" w:rsidRPr="003E20CD" w:rsidRDefault="008364F9" w:rsidP="00EC1043">
      <w:pPr>
        <w:spacing w:after="0" w:line="240" w:lineRule="auto"/>
        <w:jc w:val="both"/>
        <w:rPr>
          <w:rFonts w:ascii="Arial" w:eastAsia="Times New Roman" w:hAnsi="Arial" w:cs="Arial"/>
          <w:color w:val="111111"/>
          <w:sz w:val="24"/>
          <w:szCs w:val="24"/>
          <w:lang w:eastAsia="en-GB"/>
        </w:rPr>
      </w:pPr>
    </w:p>
    <w:p w14:paraId="015ED6CE" w14:textId="77777777" w:rsidR="00EC1043" w:rsidRPr="003E20CD" w:rsidRDefault="00EC1043">
      <w:pPr>
        <w:rPr>
          <w:rFonts w:ascii="Arial" w:hAnsi="Arial" w:cs="Arial"/>
          <w:sz w:val="24"/>
          <w:szCs w:val="24"/>
        </w:rPr>
      </w:pPr>
    </w:p>
    <w:p w14:paraId="30104123" w14:textId="77777777" w:rsidR="00EC1043" w:rsidRPr="003E20CD" w:rsidRDefault="00EC1043">
      <w:pPr>
        <w:rPr>
          <w:rFonts w:ascii="Arial" w:hAnsi="Arial" w:cs="Arial"/>
          <w:sz w:val="24"/>
          <w:szCs w:val="24"/>
        </w:rPr>
      </w:pPr>
    </w:p>
    <w:p w14:paraId="5B3A3360" w14:textId="77777777" w:rsidR="00EC1043" w:rsidRPr="003E20CD" w:rsidRDefault="00EC1043">
      <w:pPr>
        <w:rPr>
          <w:rFonts w:ascii="Arial" w:hAnsi="Arial" w:cs="Arial"/>
          <w:sz w:val="24"/>
          <w:szCs w:val="24"/>
        </w:rPr>
      </w:pPr>
    </w:p>
    <w:p w14:paraId="24AA1104" w14:textId="77777777" w:rsidR="00EC1043" w:rsidRPr="003E20CD" w:rsidRDefault="00EC1043">
      <w:pPr>
        <w:rPr>
          <w:rFonts w:ascii="Arial" w:hAnsi="Arial" w:cs="Arial"/>
          <w:sz w:val="24"/>
          <w:szCs w:val="24"/>
        </w:rPr>
      </w:pPr>
    </w:p>
    <w:p w14:paraId="728C0CA9" w14:textId="77777777" w:rsidR="00EC1043" w:rsidRPr="003E20CD" w:rsidRDefault="00EC1043">
      <w:pPr>
        <w:rPr>
          <w:rFonts w:ascii="Arial" w:hAnsi="Arial" w:cs="Arial"/>
          <w:sz w:val="24"/>
          <w:szCs w:val="24"/>
        </w:rPr>
      </w:pPr>
    </w:p>
    <w:p w14:paraId="6F72E680" w14:textId="77777777" w:rsidR="00EC1043" w:rsidRPr="003E20CD" w:rsidRDefault="00EC1043">
      <w:pPr>
        <w:rPr>
          <w:rFonts w:ascii="Arial" w:hAnsi="Arial" w:cs="Arial"/>
          <w:sz w:val="24"/>
          <w:szCs w:val="24"/>
        </w:rPr>
      </w:pPr>
    </w:p>
    <w:p w14:paraId="2B46D2ED" w14:textId="77777777" w:rsidR="00EC1043" w:rsidRPr="003E20CD" w:rsidRDefault="00EC1043">
      <w:pPr>
        <w:rPr>
          <w:rFonts w:ascii="Arial" w:hAnsi="Arial" w:cs="Arial"/>
          <w:sz w:val="24"/>
          <w:szCs w:val="24"/>
        </w:rPr>
      </w:pPr>
    </w:p>
    <w:p w14:paraId="1AAE59F1" w14:textId="77777777" w:rsidR="00EC1043" w:rsidRPr="003E20CD" w:rsidRDefault="00EC1043">
      <w:pPr>
        <w:rPr>
          <w:rFonts w:ascii="Arial" w:hAnsi="Arial" w:cs="Arial"/>
          <w:sz w:val="24"/>
          <w:szCs w:val="24"/>
        </w:rPr>
      </w:pPr>
    </w:p>
    <w:sectPr w:rsidR="00EC1043" w:rsidRPr="003E20C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9A8B0" w14:textId="77777777" w:rsidR="00E23B3B" w:rsidRDefault="00E23B3B" w:rsidP="00495B11">
      <w:pPr>
        <w:spacing w:after="0" w:line="240" w:lineRule="auto"/>
      </w:pPr>
      <w:r>
        <w:separator/>
      </w:r>
    </w:p>
  </w:endnote>
  <w:endnote w:type="continuationSeparator" w:id="0">
    <w:p w14:paraId="4D965CF5" w14:textId="77777777" w:rsidR="00E23B3B" w:rsidRDefault="00E23B3B" w:rsidP="00495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1881209"/>
      <w:docPartObj>
        <w:docPartGallery w:val="Page Numbers (Bottom of Page)"/>
        <w:docPartUnique/>
      </w:docPartObj>
    </w:sdtPr>
    <w:sdtEndPr>
      <w:rPr>
        <w:noProof/>
      </w:rPr>
    </w:sdtEndPr>
    <w:sdtContent>
      <w:p w14:paraId="766C6442" w14:textId="639E7FC2" w:rsidR="00495B11" w:rsidRDefault="00495B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E08A0B" w14:textId="77777777" w:rsidR="00495B11" w:rsidRDefault="00495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3ACAE" w14:textId="77777777" w:rsidR="00E23B3B" w:rsidRDefault="00E23B3B" w:rsidP="00495B11">
      <w:pPr>
        <w:spacing w:after="0" w:line="240" w:lineRule="auto"/>
      </w:pPr>
      <w:r>
        <w:separator/>
      </w:r>
    </w:p>
  </w:footnote>
  <w:footnote w:type="continuationSeparator" w:id="0">
    <w:p w14:paraId="39F2AD38" w14:textId="77777777" w:rsidR="00E23B3B" w:rsidRDefault="00E23B3B" w:rsidP="00495B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8528F"/>
    <w:multiLevelType w:val="multilevel"/>
    <w:tmpl w:val="ABEE6A1E"/>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1" w15:restartNumberingAfterBreak="0">
    <w:nsid w:val="270C39C7"/>
    <w:multiLevelType w:val="hybridMultilevel"/>
    <w:tmpl w:val="CC068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C96CC6"/>
    <w:multiLevelType w:val="hybridMultilevel"/>
    <w:tmpl w:val="E62497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1744670">
    <w:abstractNumId w:val="0"/>
  </w:num>
  <w:num w:numId="2" w16cid:durableId="486551330">
    <w:abstractNumId w:val="1"/>
  </w:num>
  <w:num w:numId="3" w16cid:durableId="4999260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043"/>
    <w:rsid w:val="0006468A"/>
    <w:rsid w:val="001C0A95"/>
    <w:rsid w:val="001F58F9"/>
    <w:rsid w:val="003C70C0"/>
    <w:rsid w:val="003E20CD"/>
    <w:rsid w:val="004439CE"/>
    <w:rsid w:val="004714A3"/>
    <w:rsid w:val="00495B11"/>
    <w:rsid w:val="005A68A6"/>
    <w:rsid w:val="005A71FB"/>
    <w:rsid w:val="005C1562"/>
    <w:rsid w:val="00677E26"/>
    <w:rsid w:val="008071F4"/>
    <w:rsid w:val="008364F9"/>
    <w:rsid w:val="00891375"/>
    <w:rsid w:val="00956FF8"/>
    <w:rsid w:val="00AA3EDA"/>
    <w:rsid w:val="00C73C99"/>
    <w:rsid w:val="00D41120"/>
    <w:rsid w:val="00DD6706"/>
    <w:rsid w:val="00E23B3B"/>
    <w:rsid w:val="00EC1043"/>
    <w:rsid w:val="00EC6723"/>
    <w:rsid w:val="00F55BA5"/>
    <w:rsid w:val="00F7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0D29D"/>
  <w15:chartTrackingRefBased/>
  <w15:docId w15:val="{18ACC20D-2B55-4C89-9E66-84CD62A69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043"/>
    <w:pPr>
      <w:spacing w:line="259" w:lineRule="auto"/>
    </w:pPr>
    <w:rPr>
      <w:kern w:val="0"/>
      <w:sz w:val="22"/>
      <w:szCs w:val="22"/>
      <w14:ligatures w14:val="none"/>
    </w:rPr>
  </w:style>
  <w:style w:type="paragraph" w:styleId="Heading1">
    <w:name w:val="heading 1"/>
    <w:basedOn w:val="Normal"/>
    <w:next w:val="Normal"/>
    <w:link w:val="Heading1Char"/>
    <w:uiPriority w:val="9"/>
    <w:qFormat/>
    <w:rsid w:val="00EC10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10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10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10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10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10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10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10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10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0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10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10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10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10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10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10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10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1043"/>
    <w:rPr>
      <w:rFonts w:eastAsiaTheme="majorEastAsia" w:cstheme="majorBidi"/>
      <w:color w:val="272727" w:themeColor="text1" w:themeTint="D8"/>
    </w:rPr>
  </w:style>
  <w:style w:type="paragraph" w:styleId="Title">
    <w:name w:val="Title"/>
    <w:basedOn w:val="Normal"/>
    <w:next w:val="Normal"/>
    <w:link w:val="TitleChar"/>
    <w:uiPriority w:val="10"/>
    <w:qFormat/>
    <w:rsid w:val="00EC1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10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10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10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1043"/>
    <w:pPr>
      <w:spacing w:before="160"/>
      <w:jc w:val="center"/>
    </w:pPr>
    <w:rPr>
      <w:i/>
      <w:iCs/>
      <w:color w:val="404040" w:themeColor="text1" w:themeTint="BF"/>
    </w:rPr>
  </w:style>
  <w:style w:type="character" w:customStyle="1" w:styleId="QuoteChar">
    <w:name w:val="Quote Char"/>
    <w:basedOn w:val="DefaultParagraphFont"/>
    <w:link w:val="Quote"/>
    <w:uiPriority w:val="29"/>
    <w:rsid w:val="00EC1043"/>
    <w:rPr>
      <w:i/>
      <w:iCs/>
      <w:color w:val="404040" w:themeColor="text1" w:themeTint="BF"/>
    </w:rPr>
  </w:style>
  <w:style w:type="paragraph" w:styleId="ListParagraph">
    <w:name w:val="List Paragraph"/>
    <w:basedOn w:val="Normal"/>
    <w:uiPriority w:val="34"/>
    <w:qFormat/>
    <w:rsid w:val="00EC1043"/>
    <w:pPr>
      <w:ind w:left="720"/>
      <w:contextualSpacing/>
    </w:pPr>
  </w:style>
  <w:style w:type="character" w:styleId="IntenseEmphasis">
    <w:name w:val="Intense Emphasis"/>
    <w:basedOn w:val="DefaultParagraphFont"/>
    <w:uiPriority w:val="21"/>
    <w:qFormat/>
    <w:rsid w:val="00EC1043"/>
    <w:rPr>
      <w:i/>
      <w:iCs/>
      <w:color w:val="0F4761" w:themeColor="accent1" w:themeShade="BF"/>
    </w:rPr>
  </w:style>
  <w:style w:type="paragraph" w:styleId="IntenseQuote">
    <w:name w:val="Intense Quote"/>
    <w:basedOn w:val="Normal"/>
    <w:next w:val="Normal"/>
    <w:link w:val="IntenseQuoteChar"/>
    <w:uiPriority w:val="30"/>
    <w:qFormat/>
    <w:rsid w:val="00EC10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1043"/>
    <w:rPr>
      <w:i/>
      <w:iCs/>
      <w:color w:val="0F4761" w:themeColor="accent1" w:themeShade="BF"/>
    </w:rPr>
  </w:style>
  <w:style w:type="character" w:styleId="IntenseReference">
    <w:name w:val="Intense Reference"/>
    <w:basedOn w:val="DefaultParagraphFont"/>
    <w:uiPriority w:val="32"/>
    <w:qFormat/>
    <w:rsid w:val="00EC1043"/>
    <w:rPr>
      <w:b/>
      <w:bCs/>
      <w:smallCaps/>
      <w:color w:val="0F4761" w:themeColor="accent1" w:themeShade="BF"/>
      <w:spacing w:val="5"/>
    </w:rPr>
  </w:style>
  <w:style w:type="character" w:styleId="Hyperlink">
    <w:name w:val="Hyperlink"/>
    <w:basedOn w:val="DefaultParagraphFont"/>
    <w:uiPriority w:val="99"/>
    <w:unhideWhenUsed/>
    <w:rsid w:val="005C1562"/>
    <w:rPr>
      <w:color w:val="467886" w:themeColor="hyperlink"/>
      <w:u w:val="single"/>
    </w:rPr>
  </w:style>
  <w:style w:type="character" w:styleId="UnresolvedMention">
    <w:name w:val="Unresolved Mention"/>
    <w:basedOn w:val="DefaultParagraphFont"/>
    <w:uiPriority w:val="99"/>
    <w:semiHidden/>
    <w:unhideWhenUsed/>
    <w:rsid w:val="005C1562"/>
    <w:rPr>
      <w:color w:val="605E5C"/>
      <w:shd w:val="clear" w:color="auto" w:fill="E1DFDD"/>
    </w:rPr>
  </w:style>
  <w:style w:type="paragraph" w:styleId="Header">
    <w:name w:val="header"/>
    <w:basedOn w:val="Normal"/>
    <w:link w:val="HeaderChar"/>
    <w:uiPriority w:val="99"/>
    <w:unhideWhenUsed/>
    <w:rsid w:val="00495B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B11"/>
    <w:rPr>
      <w:kern w:val="0"/>
      <w:sz w:val="22"/>
      <w:szCs w:val="22"/>
      <w14:ligatures w14:val="none"/>
    </w:rPr>
  </w:style>
  <w:style w:type="paragraph" w:styleId="Footer">
    <w:name w:val="footer"/>
    <w:basedOn w:val="Normal"/>
    <w:link w:val="FooterChar"/>
    <w:uiPriority w:val="99"/>
    <w:unhideWhenUsed/>
    <w:rsid w:val="00495B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B11"/>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journals/teis20" TargetMode="External"/><Relationship Id="rId13" Type="http://schemas.openxmlformats.org/officeDocument/2006/relationships/hyperlink" Target="https://doi.org/10.6028/NIST.CSWP.29" TargetMode="External"/><Relationship Id="rId3" Type="http://schemas.openxmlformats.org/officeDocument/2006/relationships/settings" Target="settings.xml"/><Relationship Id="rId7" Type="http://schemas.openxmlformats.org/officeDocument/2006/relationships/hyperlink" Target="https://www.tandfonline.com/" TargetMode="External"/><Relationship Id="rId12" Type="http://schemas.openxmlformats.org/officeDocument/2006/relationships/hyperlink" Target="https://nvlpubs.nist.gov/nistpubs/CSWP/NIST.CSWP.29.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for-organisations/uk-gdpr-guidance-and-resources/accountability-and-governance/guide-to-accountability-and-governance/data-protection-by-design-and-by-defaul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co.org.uk/for-organisations/uk-gdpr-guidance-and-resources/data-protection-principles/a-guide-to-the-data-protection-principles/data-minimisation/" TargetMode="External"/><Relationship Id="rId4" Type="http://schemas.openxmlformats.org/officeDocument/2006/relationships/webSettings" Target="webSettings.xml"/><Relationship Id="rId9" Type="http://schemas.openxmlformats.org/officeDocument/2006/relationships/hyperlink" Target="https://doi.org/10.1016/j.jom.2006.02.00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2910</Words>
  <Characters>16593</Characters>
  <Application>Microsoft Office Word</Application>
  <DocSecurity>0</DocSecurity>
  <Lines>138</Lines>
  <Paragraphs>38</Paragraphs>
  <ScaleCrop>false</ScaleCrop>
  <Company/>
  <LinksUpToDate>false</LinksUpToDate>
  <CharactersWithSpaces>19465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Dordo Koprivica (2427812)</dc:creator>
  <cp:keywords/>
  <dc:description/>
  <cp:lastModifiedBy>Dordo Koprivica (2427812)</cp:lastModifiedBy>
  <cp:revision>2</cp:revision>
  <dcterms:created xsi:type="dcterms:W3CDTF">2026-08-21T08:37:00Z</dcterms:created>
  <dcterms:modified xsi:type="dcterms:W3CDTF">2026-08-21T08:37:00Z</dcterms:modified>
</cp:coreProperties>
</file>