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BD2027" w14:textId="77777777" w:rsidR="00881B5B" w:rsidRPr="00125B9B" w:rsidRDefault="00881B5B" w:rsidP="00881B5B">
      <w:pPr>
        <w:rPr>
          <w:rFonts w:ascii="Arial" w:hAnsi="Arial" w:cs="Arial"/>
        </w:rPr>
      </w:pPr>
      <w:r w:rsidRPr="00125B9B">
        <w:rPr>
          <w:rFonts w:ascii="Arial" w:hAnsi="Arial" w:cs="Arial"/>
        </w:rPr>
        <w:t>PRIFYSGOL CYMRU Y DRINDOD DEWI SANT</w:t>
      </w:r>
    </w:p>
    <w:p w14:paraId="64873442" w14:textId="77777777" w:rsidR="00881B5B" w:rsidRPr="00125B9B" w:rsidRDefault="00881B5B" w:rsidP="00881B5B">
      <w:pPr>
        <w:rPr>
          <w:rFonts w:ascii="Arial" w:hAnsi="Arial" w:cs="Arial"/>
        </w:rPr>
      </w:pPr>
      <w:r w:rsidRPr="00125B9B">
        <w:rPr>
          <w:rFonts w:ascii="Arial" w:hAnsi="Arial" w:cs="Arial"/>
        </w:rPr>
        <w:t>UNIVERSITY OF WALES TRINITY SAINT DAVID</w:t>
      </w:r>
    </w:p>
    <w:p w14:paraId="61EB33D9" w14:textId="60BCC22C" w:rsidR="00881B5B" w:rsidRPr="00125B9B" w:rsidRDefault="00881B5B" w:rsidP="00881B5B">
      <w:pPr>
        <w:rPr>
          <w:rFonts w:ascii="Arial" w:hAnsi="Arial" w:cs="Arial"/>
        </w:rPr>
      </w:pPr>
    </w:p>
    <w:p w14:paraId="17310525" w14:textId="2D39155B" w:rsidR="00881B5B" w:rsidRPr="00125B9B" w:rsidRDefault="00881B5B" w:rsidP="00881B5B">
      <w:pPr>
        <w:rPr>
          <w:rFonts w:ascii="Arial" w:hAnsi="Arial" w:cs="Arial"/>
        </w:rPr>
      </w:pPr>
      <w:r w:rsidRPr="00125B9B">
        <w:rPr>
          <w:rFonts w:ascii="Arial" w:hAnsi="Arial" w:cs="Arial"/>
        </w:rPr>
        <w:t xml:space="preserve">Student name: </w:t>
      </w:r>
      <w:r w:rsidR="00456565" w:rsidRPr="00125B9B">
        <w:rPr>
          <w:rFonts w:ascii="Arial" w:hAnsi="Arial" w:cs="Arial"/>
        </w:rPr>
        <w:t>Zahra</w:t>
      </w:r>
      <w:r w:rsidR="00966364" w:rsidRPr="00125B9B">
        <w:rPr>
          <w:rFonts w:ascii="Arial" w:hAnsi="Arial" w:cs="Arial"/>
        </w:rPr>
        <w:t xml:space="preserve"> Shamrez Mahmood</w:t>
      </w:r>
    </w:p>
    <w:p w14:paraId="4E9F12D7" w14:textId="59AA6437" w:rsidR="00881B5B" w:rsidRPr="00125B9B" w:rsidRDefault="00881B5B" w:rsidP="00881B5B">
      <w:pPr>
        <w:rPr>
          <w:rFonts w:ascii="Arial" w:hAnsi="Arial" w:cs="Arial"/>
        </w:rPr>
      </w:pPr>
      <w:r w:rsidRPr="00125B9B">
        <w:rPr>
          <w:rFonts w:ascii="Arial" w:hAnsi="Arial" w:cs="Arial"/>
        </w:rPr>
        <w:t xml:space="preserve">Student ID number: </w:t>
      </w:r>
      <w:r w:rsidR="001A2340" w:rsidRPr="00125B9B">
        <w:rPr>
          <w:rFonts w:ascii="Arial" w:hAnsi="Arial" w:cs="Arial"/>
        </w:rPr>
        <w:t>2508995</w:t>
      </w:r>
    </w:p>
    <w:p w14:paraId="47A29700" w14:textId="77777777" w:rsidR="00881B5B" w:rsidRPr="00125B9B" w:rsidRDefault="00881B5B" w:rsidP="00881B5B">
      <w:pPr>
        <w:rPr>
          <w:rFonts w:ascii="Arial" w:hAnsi="Arial" w:cs="Arial"/>
        </w:rPr>
      </w:pPr>
      <w:r w:rsidRPr="00125B9B">
        <w:rPr>
          <w:rFonts w:ascii="Arial" w:hAnsi="Arial" w:cs="Arial"/>
        </w:rPr>
        <w:t>Programme: Certificate of Higher Education Skills for the Workplace (Health and Social Care)</w:t>
      </w:r>
    </w:p>
    <w:p w14:paraId="4387AD1F" w14:textId="77777777" w:rsidR="00881B5B" w:rsidRPr="00125B9B" w:rsidRDefault="00881B5B" w:rsidP="00881B5B">
      <w:pPr>
        <w:rPr>
          <w:rFonts w:ascii="Arial" w:hAnsi="Arial" w:cs="Arial"/>
        </w:rPr>
      </w:pPr>
      <w:r w:rsidRPr="00125B9B">
        <w:rPr>
          <w:rFonts w:ascii="Arial" w:hAnsi="Arial" w:cs="Arial"/>
        </w:rPr>
        <w:t>Module: Psychology in Health and Social Care</w:t>
      </w:r>
    </w:p>
    <w:p w14:paraId="47095B19" w14:textId="77777777" w:rsidR="00881B5B" w:rsidRPr="00125B9B" w:rsidRDefault="00881B5B" w:rsidP="00881B5B">
      <w:pPr>
        <w:rPr>
          <w:rFonts w:ascii="Arial" w:hAnsi="Arial" w:cs="Arial"/>
        </w:rPr>
      </w:pPr>
      <w:r w:rsidRPr="00125B9B">
        <w:rPr>
          <w:rFonts w:ascii="Arial" w:hAnsi="Arial" w:cs="Arial"/>
        </w:rPr>
        <w:t>Module code: LCHS4010</w:t>
      </w:r>
    </w:p>
    <w:p w14:paraId="4CF8A9F2" w14:textId="340C8586" w:rsidR="00881B5B" w:rsidRPr="00125B9B" w:rsidRDefault="00881B5B" w:rsidP="00881B5B">
      <w:pPr>
        <w:rPr>
          <w:rFonts w:ascii="Arial" w:hAnsi="Arial" w:cs="Arial"/>
        </w:rPr>
      </w:pPr>
      <w:r w:rsidRPr="00125B9B">
        <w:rPr>
          <w:rFonts w:ascii="Arial" w:hAnsi="Arial" w:cs="Arial"/>
        </w:rPr>
        <w:t xml:space="preserve">Lecturer: </w:t>
      </w:r>
      <w:r w:rsidR="00CB7F27" w:rsidRPr="00125B9B">
        <w:rPr>
          <w:rFonts w:ascii="Arial" w:hAnsi="Arial" w:cs="Arial"/>
        </w:rPr>
        <w:t>Alice Clayton</w:t>
      </w:r>
    </w:p>
    <w:p w14:paraId="7A9C76E9" w14:textId="77777777" w:rsidR="00881B5B" w:rsidRPr="00125B9B" w:rsidRDefault="00881B5B" w:rsidP="00881B5B">
      <w:pPr>
        <w:rPr>
          <w:rFonts w:ascii="Arial" w:hAnsi="Arial" w:cs="Arial"/>
        </w:rPr>
      </w:pPr>
      <w:r w:rsidRPr="00125B9B">
        <w:rPr>
          <w:rFonts w:ascii="Arial" w:hAnsi="Arial" w:cs="Arial"/>
        </w:rPr>
        <w:t>Assignment title: Assessment 2 – Essay</w:t>
      </w:r>
    </w:p>
    <w:p w14:paraId="5F8ACC38" w14:textId="77777777" w:rsidR="00881B5B" w:rsidRPr="00125B9B" w:rsidRDefault="00881B5B" w:rsidP="00881B5B">
      <w:pPr>
        <w:rPr>
          <w:rFonts w:ascii="Arial" w:hAnsi="Arial" w:cs="Arial"/>
        </w:rPr>
      </w:pPr>
      <w:r w:rsidRPr="00125B9B">
        <w:rPr>
          <w:rFonts w:ascii="Arial" w:hAnsi="Arial" w:cs="Arial"/>
        </w:rPr>
        <w:t>Word count: 1 470 (excluding references &amp; cover page)</w:t>
      </w:r>
    </w:p>
    <w:p w14:paraId="6AC958AF" w14:textId="77777777" w:rsidR="00881B5B" w:rsidRPr="00125B9B" w:rsidRDefault="00881B5B">
      <w:pPr>
        <w:rPr>
          <w:rFonts w:ascii="Arial" w:hAnsi="Arial" w:cs="Arial"/>
        </w:rPr>
      </w:pPr>
      <w:r w:rsidRPr="00125B9B">
        <w:rPr>
          <w:rFonts w:ascii="Arial" w:hAnsi="Arial" w:cs="Arial"/>
        </w:rPr>
        <w:t>Submission deadline: Tuesday 21 July 2026, 10:00 am</w:t>
      </w:r>
    </w:p>
    <w:p w14:paraId="7DBA7D73" w14:textId="77777777" w:rsidR="00125B9B" w:rsidRDefault="00125B9B" w:rsidP="008E0248"/>
    <w:p w14:paraId="1760887E" w14:textId="77777777" w:rsidR="00125B9B" w:rsidRDefault="00125B9B" w:rsidP="008E0248"/>
    <w:p w14:paraId="3E50415E" w14:textId="77777777" w:rsidR="00125B9B" w:rsidRDefault="00125B9B" w:rsidP="008E0248"/>
    <w:p w14:paraId="20DA078C" w14:textId="77777777" w:rsidR="00125B9B" w:rsidRDefault="00125B9B" w:rsidP="008E0248"/>
    <w:p w14:paraId="755B7DAF" w14:textId="77777777" w:rsidR="00125B9B" w:rsidRDefault="00125B9B" w:rsidP="008E0248"/>
    <w:p w14:paraId="39AEAFB4" w14:textId="77777777" w:rsidR="00125B9B" w:rsidRDefault="00125B9B" w:rsidP="008E0248"/>
    <w:p w14:paraId="30E3FD84" w14:textId="77777777" w:rsidR="00125B9B" w:rsidRDefault="00125B9B" w:rsidP="008E0248"/>
    <w:p w14:paraId="451B2667" w14:textId="77777777" w:rsidR="00125B9B" w:rsidRDefault="00125B9B" w:rsidP="008E0248"/>
    <w:p w14:paraId="4D5B9E9D" w14:textId="77777777" w:rsidR="00125B9B" w:rsidRDefault="00125B9B" w:rsidP="008E0248"/>
    <w:p w14:paraId="239E69FE" w14:textId="77777777" w:rsidR="00125B9B" w:rsidRDefault="00125B9B" w:rsidP="008E0248"/>
    <w:p w14:paraId="4A96BB36" w14:textId="77777777" w:rsidR="00125B9B" w:rsidRDefault="00125B9B" w:rsidP="008E0248"/>
    <w:p w14:paraId="6A63801F" w14:textId="77777777" w:rsidR="00125B9B" w:rsidRDefault="00125B9B" w:rsidP="008E0248"/>
    <w:p w14:paraId="0C3D9C90" w14:textId="77777777" w:rsidR="00125B9B" w:rsidRDefault="00125B9B" w:rsidP="008E0248"/>
    <w:p w14:paraId="08DFA7A1" w14:textId="77777777" w:rsidR="00125B9B" w:rsidRDefault="00125B9B" w:rsidP="008E0248"/>
    <w:p w14:paraId="1D6D9F8B" w14:textId="77777777" w:rsidR="00125B9B" w:rsidRDefault="00125B9B" w:rsidP="008E0248"/>
    <w:p w14:paraId="1D51A7F0" w14:textId="77777777" w:rsidR="00125B9B" w:rsidRDefault="00125B9B" w:rsidP="008E0248"/>
    <w:p w14:paraId="1EBE86AB" w14:textId="77777777" w:rsidR="00125B9B" w:rsidRDefault="00125B9B" w:rsidP="008E0248"/>
    <w:p w14:paraId="72793320" w14:textId="77777777" w:rsidR="00125B9B" w:rsidRDefault="00125B9B" w:rsidP="008E0248"/>
    <w:p w14:paraId="7C986C24" w14:textId="77777777" w:rsidR="00125B9B" w:rsidRDefault="00125B9B" w:rsidP="008E0248"/>
    <w:p w14:paraId="2A09C013" w14:textId="2EAB4C3C" w:rsidR="008E0248" w:rsidRPr="00125B9B" w:rsidRDefault="008E0248" w:rsidP="00125B9B">
      <w:pPr>
        <w:jc w:val="center"/>
        <w:rPr>
          <w:rFonts w:ascii="Arial" w:hAnsi="Arial" w:cs="Arial"/>
          <w:b/>
          <w:bCs/>
        </w:rPr>
      </w:pPr>
      <w:r w:rsidRPr="00125B9B">
        <w:rPr>
          <w:rFonts w:ascii="Arial" w:hAnsi="Arial" w:cs="Arial"/>
          <w:b/>
          <w:bCs/>
        </w:rPr>
        <w:lastRenderedPageBreak/>
        <w:t>Discuss the impact of social media on mental health in adolescence</w:t>
      </w:r>
    </w:p>
    <w:p w14:paraId="74FEA8DA" w14:textId="77777777" w:rsidR="00125B9B" w:rsidRDefault="00125B9B" w:rsidP="008E0248">
      <w:pPr>
        <w:rPr>
          <w:rFonts w:ascii="Arial" w:hAnsi="Arial" w:cs="Arial"/>
        </w:rPr>
      </w:pPr>
    </w:p>
    <w:p w14:paraId="36636F35" w14:textId="62EB3936" w:rsidR="008E0248" w:rsidRDefault="008E0248" w:rsidP="00125B9B">
      <w:pPr>
        <w:spacing w:line="360" w:lineRule="auto"/>
        <w:rPr>
          <w:rFonts w:ascii="Arial" w:hAnsi="Arial" w:cs="Arial"/>
        </w:rPr>
      </w:pPr>
      <w:r w:rsidRPr="00125B9B">
        <w:rPr>
          <w:rFonts w:ascii="Arial" w:hAnsi="Arial" w:cs="Arial"/>
        </w:rPr>
        <w:t>Adolescence covers roughly ages twelve through eighteen and is widely seen as one of the most important phases of human growth. During these years, young bodies change fast, the brain matures rapidly, and individuals start stepping away from their family’s influence to build independence. It is natural for teenagers to spend a lot of time figuring out their own personality, their place among friends, and how they fit into the wider community. Nowadays, much of that exploration happens online rather than only in school, parks or youth clubs. According to Ofcom (2025), in the UK alone eighty</w:t>
      </w:r>
      <w:r w:rsidRPr="00125B9B">
        <w:rPr>
          <w:rFonts w:ascii="Cambria Math" w:hAnsi="Cambria Math" w:cs="Cambria Math"/>
        </w:rPr>
        <w:t>‑</w:t>
      </w:r>
      <w:r w:rsidRPr="00125B9B">
        <w:rPr>
          <w:rFonts w:ascii="Arial" w:hAnsi="Arial" w:cs="Arial"/>
        </w:rPr>
        <w:t>three per cent of twelve</w:t>
      </w:r>
      <w:r w:rsidRPr="00125B9B">
        <w:rPr>
          <w:rFonts w:ascii="Cambria Math" w:hAnsi="Cambria Math" w:cs="Cambria Math"/>
        </w:rPr>
        <w:t>‑</w:t>
      </w:r>
      <w:r w:rsidRPr="00125B9B">
        <w:rPr>
          <w:rFonts w:ascii="Arial" w:hAnsi="Arial" w:cs="Arial"/>
        </w:rPr>
        <w:t xml:space="preserve"> to fifteen</w:t>
      </w:r>
      <w:r w:rsidRPr="00125B9B">
        <w:rPr>
          <w:rFonts w:ascii="Cambria Math" w:hAnsi="Cambria Math" w:cs="Cambria Math"/>
        </w:rPr>
        <w:t>‑</w:t>
      </w:r>
      <w:r w:rsidRPr="00125B9B">
        <w:rPr>
          <w:rFonts w:ascii="Arial" w:hAnsi="Arial" w:cs="Arial"/>
        </w:rPr>
        <w:t>year</w:t>
      </w:r>
      <w:r w:rsidRPr="00125B9B">
        <w:rPr>
          <w:rFonts w:ascii="Cambria Math" w:hAnsi="Cambria Math" w:cs="Cambria Math"/>
        </w:rPr>
        <w:t>‑</w:t>
      </w:r>
      <w:r w:rsidRPr="00125B9B">
        <w:rPr>
          <w:rFonts w:ascii="Arial" w:hAnsi="Arial" w:cs="Arial"/>
        </w:rPr>
        <w:t>olds spend at least three hours every day using platforms such as TikTok, Instagram and Snapchat. Whether this constant online contact is good or bad for mental wellbeing is still debated widely, because research shows results going both ways. Some studies connect heavy social media use with higher levels of anxiety, low mood, unhappiness with physical appearance and broken sleep patterns. At the same time, other work shows it helps young people feel less lonely, especially those who might feel isolated or treated differently because of who they are (</w:t>
      </w:r>
      <w:proofErr w:type="spellStart"/>
      <w:r w:rsidRPr="00125B9B">
        <w:rPr>
          <w:rFonts w:ascii="Arial" w:hAnsi="Arial" w:cs="Arial"/>
        </w:rPr>
        <w:t>Fardouly</w:t>
      </w:r>
      <w:proofErr w:type="spellEnd"/>
      <w:r w:rsidRPr="00125B9B">
        <w:rPr>
          <w:rFonts w:ascii="Arial" w:hAnsi="Arial" w:cs="Arial"/>
        </w:rPr>
        <w:t xml:space="preserve"> and Vartanian, 2022). This essay discusses those mixed effects and explains why they happen using two well</w:t>
      </w:r>
      <w:r w:rsidRPr="00125B9B">
        <w:rPr>
          <w:rFonts w:ascii="Cambria Math" w:hAnsi="Cambria Math" w:cs="Cambria Math"/>
        </w:rPr>
        <w:t>‑</w:t>
      </w:r>
      <w:r w:rsidRPr="00125B9B">
        <w:rPr>
          <w:rFonts w:ascii="Arial" w:hAnsi="Arial" w:cs="Arial"/>
        </w:rPr>
        <w:t>known psychological frameworks: Erik Erikson’s psychosocial theory, focusing on the ‘Identity versus Role Confusion’ stage, and John Bowlby’s attachment theory. It will also look closely at the strengths and limits of Erikson’s ideas, explain how biology and environment work together, and point out practical ways health and social care workers can support young people.</w:t>
      </w:r>
    </w:p>
    <w:p w14:paraId="5F8CD340" w14:textId="77777777" w:rsidR="00125B9B" w:rsidRPr="00125B9B" w:rsidRDefault="00125B9B" w:rsidP="00125B9B">
      <w:pPr>
        <w:spacing w:line="360" w:lineRule="auto"/>
        <w:rPr>
          <w:rFonts w:ascii="Arial" w:hAnsi="Arial" w:cs="Arial"/>
        </w:rPr>
      </w:pPr>
    </w:p>
    <w:p w14:paraId="75D3AFBE" w14:textId="2EA20F3A" w:rsidR="008E0248" w:rsidRPr="00125B9B" w:rsidRDefault="008E0248" w:rsidP="00125B9B">
      <w:pPr>
        <w:spacing w:line="360" w:lineRule="auto"/>
        <w:rPr>
          <w:rFonts w:ascii="Arial" w:hAnsi="Arial" w:cs="Arial"/>
        </w:rPr>
      </w:pPr>
      <w:r w:rsidRPr="00125B9B">
        <w:rPr>
          <w:rFonts w:ascii="Arial" w:hAnsi="Arial" w:cs="Arial"/>
        </w:rPr>
        <w:t>There is plenty of reliable evidence showing risks linked to regular social media use. The Royal College of Psychiatrists (2023) explains that sites are built to encourage users to compare themselves constantly with others. Most photos, videos and posts people see are carefully edited, filtered and chosen to look perfect or impressive — far from everyday reality. When teenagers measure their own looks, achievements or lifestyle against these idealised versions, they often end up unhappy with their own bodies or lives; this effect is especially strong for teenage girls and is closely tied to low self</w:t>
      </w:r>
      <w:r w:rsidRPr="00125B9B">
        <w:rPr>
          <w:rFonts w:ascii="Cambria Math" w:hAnsi="Cambria Math" w:cs="Cambria Math"/>
        </w:rPr>
        <w:t>‑</w:t>
      </w:r>
      <w:r w:rsidRPr="00125B9B">
        <w:rPr>
          <w:rFonts w:ascii="Arial" w:hAnsi="Arial" w:cs="Arial"/>
        </w:rPr>
        <w:t xml:space="preserve">confidence. Another serious risk is cyberbullying. Research from the NSPCC (2024) found that more than one in three young people have been bullied online, and those targeted are far more likely to suffer panic attacks, struggle to sleep well, or have thoughts of hurting themselves. Alongside these issues comes what experts call ‘Fear of Missing Out or </w:t>
      </w:r>
      <w:proofErr w:type="spellStart"/>
      <w:r w:rsidRPr="00125B9B">
        <w:rPr>
          <w:rFonts w:ascii="Arial" w:hAnsi="Arial" w:cs="Arial"/>
        </w:rPr>
        <w:t>FoMO</w:t>
      </w:r>
      <w:proofErr w:type="spellEnd"/>
      <w:r w:rsidRPr="00125B9B">
        <w:rPr>
          <w:rFonts w:ascii="Arial" w:hAnsi="Arial" w:cs="Arial"/>
        </w:rPr>
        <w:t xml:space="preserve"> a feeling that if they switch their phone off or step away, they will be left out of jokes, plans or conversations. Przybylski </w:t>
      </w:r>
      <w:r w:rsidRPr="00125B9B">
        <w:rPr>
          <w:rFonts w:ascii="Arial" w:hAnsi="Arial" w:cs="Arial"/>
        </w:rPr>
        <w:lastRenderedPageBreak/>
        <w:t xml:space="preserve">et al. (2021) describe </w:t>
      </w:r>
      <w:proofErr w:type="spellStart"/>
      <w:r w:rsidRPr="00125B9B">
        <w:rPr>
          <w:rFonts w:ascii="Arial" w:hAnsi="Arial" w:cs="Arial"/>
        </w:rPr>
        <w:t>FoMO</w:t>
      </w:r>
      <w:proofErr w:type="spellEnd"/>
      <w:r w:rsidRPr="00125B9B">
        <w:rPr>
          <w:rFonts w:ascii="Arial" w:hAnsi="Arial" w:cs="Arial"/>
        </w:rPr>
        <w:t xml:space="preserve"> as a habit of checking messages and updates </w:t>
      </w:r>
      <w:r w:rsidR="00CB7F27" w:rsidRPr="00125B9B">
        <w:rPr>
          <w:rFonts w:ascii="Arial" w:hAnsi="Arial" w:cs="Arial"/>
        </w:rPr>
        <w:t>again</w:t>
      </w:r>
      <w:r w:rsidRPr="00125B9B">
        <w:rPr>
          <w:rFonts w:ascii="Arial" w:hAnsi="Arial" w:cs="Arial"/>
        </w:rPr>
        <w:t xml:space="preserve">, which messes up sleep quality, makes schoolwork harder and keeps stress levels high. However, it is not all negative. </w:t>
      </w:r>
      <w:proofErr w:type="spellStart"/>
      <w:r w:rsidRPr="00125B9B">
        <w:rPr>
          <w:rFonts w:ascii="Arial" w:hAnsi="Arial" w:cs="Arial"/>
        </w:rPr>
        <w:t>Fardouly</w:t>
      </w:r>
      <w:proofErr w:type="spellEnd"/>
      <w:r w:rsidRPr="00125B9B">
        <w:rPr>
          <w:rFonts w:ascii="Arial" w:hAnsi="Arial" w:cs="Arial"/>
        </w:rPr>
        <w:t xml:space="preserve"> and Vartanian (2022) point out that social media can also be a real lifeline: it helps keep friendships going when people move house or change schools, lets minority or disabled young people find welcoming communities they cannot access locally, and gives easy access to trusted advice and peer</w:t>
      </w:r>
      <w:r w:rsidRPr="00125B9B">
        <w:rPr>
          <w:rFonts w:ascii="Cambria Math" w:hAnsi="Cambria Math" w:cs="Cambria Math"/>
        </w:rPr>
        <w:t>‑</w:t>
      </w:r>
      <w:r w:rsidRPr="00125B9B">
        <w:rPr>
          <w:rFonts w:ascii="Arial" w:hAnsi="Arial" w:cs="Arial"/>
        </w:rPr>
        <w:t>led support groups. The difference between harm and help usually comes down to how the teenager engages with what they see, and what emotional strengths they already have.</w:t>
      </w:r>
    </w:p>
    <w:p w14:paraId="33BD205A" w14:textId="77777777" w:rsidR="00125B9B" w:rsidRDefault="00125B9B" w:rsidP="00125B9B">
      <w:pPr>
        <w:spacing w:line="360" w:lineRule="auto"/>
        <w:rPr>
          <w:rFonts w:ascii="Arial" w:hAnsi="Arial" w:cs="Arial"/>
        </w:rPr>
      </w:pPr>
    </w:p>
    <w:p w14:paraId="7A5C2314" w14:textId="38912820" w:rsidR="008E0248" w:rsidRPr="00125B9B" w:rsidRDefault="008E0248" w:rsidP="00125B9B">
      <w:pPr>
        <w:spacing w:line="360" w:lineRule="auto"/>
        <w:rPr>
          <w:rFonts w:ascii="Arial" w:hAnsi="Arial" w:cs="Arial"/>
        </w:rPr>
      </w:pPr>
      <w:r w:rsidRPr="00125B9B">
        <w:rPr>
          <w:rFonts w:ascii="Arial" w:hAnsi="Arial" w:cs="Arial"/>
        </w:rPr>
        <w:t>Erikson’s psychosocial theory gives us a very clear way to understand why adolescence is such a vulnerable but also powerful time of life. Erikson (1968) described human growth as eight separate stages, each one centred around a specific challenge or conflict that needs resolving for healthy development. For teenagers, that central conflict is Identity versus Role Confusion. This means they naturally try out different hobbies, styles, friendship groups, values and behaviours to work out what kind of person they want to be. Before the internet existed, this testing mostly happened face</w:t>
      </w:r>
      <w:r w:rsidRPr="00125B9B">
        <w:rPr>
          <w:rFonts w:ascii="Cambria Math" w:hAnsi="Cambria Math" w:cs="Cambria Math"/>
        </w:rPr>
        <w:t>‑</w:t>
      </w:r>
      <w:r w:rsidRPr="00125B9B">
        <w:rPr>
          <w:rFonts w:ascii="Arial" w:hAnsi="Arial" w:cs="Arial"/>
        </w:rPr>
        <w:t>to</w:t>
      </w:r>
      <w:r w:rsidRPr="00125B9B">
        <w:rPr>
          <w:rFonts w:ascii="Cambria Math" w:hAnsi="Cambria Math" w:cs="Cambria Math"/>
        </w:rPr>
        <w:t>‑</w:t>
      </w:r>
      <w:r w:rsidRPr="00125B9B">
        <w:rPr>
          <w:rFonts w:ascii="Arial" w:hAnsi="Arial" w:cs="Arial"/>
        </w:rPr>
        <w:t>face; today, social media has become their main ‘testing ground’. Online, it is simple to build a profile, change how you present yourself, and try out new identities quickly and privately. When this process goes well, it builds strong self</w:t>
      </w:r>
      <w:r w:rsidRPr="00125B9B">
        <w:rPr>
          <w:rFonts w:ascii="Cambria Math" w:hAnsi="Cambria Math" w:cs="Cambria Math"/>
        </w:rPr>
        <w:t>‑</w:t>
      </w:r>
      <w:r w:rsidRPr="00125B9B">
        <w:rPr>
          <w:rFonts w:ascii="Arial" w:hAnsi="Arial" w:cs="Arial"/>
        </w:rPr>
        <w:t>belief and clear personal values. But online spaces also create heavy pressure: worth can start to feel measured entirely by likes, shares and comments. If posts get little reaction, or if others seem to live perfect lives, teenagers begin doubting themselves and feeling unsure about their future or their relationships — exactly what Erikson meant by ‘role confusion’. That uncertainty then feeds into anxiety, sadness and low resilience when problems arise.</w:t>
      </w:r>
    </w:p>
    <w:p w14:paraId="7C94B770" w14:textId="77777777" w:rsidR="00125B9B" w:rsidRDefault="00125B9B" w:rsidP="00125B9B">
      <w:pPr>
        <w:spacing w:line="360" w:lineRule="auto"/>
        <w:rPr>
          <w:rFonts w:ascii="Arial" w:hAnsi="Arial" w:cs="Arial"/>
        </w:rPr>
      </w:pPr>
    </w:p>
    <w:p w14:paraId="05F6BFC2" w14:textId="798EF688" w:rsidR="008E0248" w:rsidRPr="00125B9B" w:rsidRDefault="008E0248" w:rsidP="00125B9B">
      <w:pPr>
        <w:spacing w:line="360" w:lineRule="auto"/>
        <w:rPr>
          <w:rFonts w:ascii="Arial" w:hAnsi="Arial" w:cs="Arial"/>
        </w:rPr>
      </w:pPr>
      <w:r w:rsidRPr="00125B9B">
        <w:rPr>
          <w:rFonts w:ascii="Arial" w:hAnsi="Arial" w:cs="Arial"/>
        </w:rPr>
        <w:t>Even though Erikson’s work is still taught and used daily in health and social care, it is important to look at its good points and its weaknesses. A major strength is that it frames teenage behaviour as part of growing up rather than just ‘trouble</w:t>
      </w:r>
      <w:r w:rsidRPr="00125B9B">
        <w:rPr>
          <w:rFonts w:ascii="Cambria Math" w:hAnsi="Cambria Math" w:cs="Cambria Math"/>
        </w:rPr>
        <w:t>‑</w:t>
      </w:r>
      <w:r w:rsidRPr="00125B9B">
        <w:rPr>
          <w:rFonts w:ascii="Arial" w:hAnsi="Arial" w:cs="Arial"/>
        </w:rPr>
        <w:t>making’. This helps professionals design sensible support: for example, media literacy lessons, mentoring or counselling that teach young people to spot edited content and keep a balanced view of themselves (Côté, 2018). It also highlights that good development relies on having supportive adults and communities — which fits perfectly with person</w:t>
      </w:r>
      <w:r w:rsidRPr="00125B9B">
        <w:rPr>
          <w:rFonts w:ascii="Cambria Math" w:hAnsi="Cambria Math" w:cs="Cambria Math"/>
        </w:rPr>
        <w:t>‑</w:t>
      </w:r>
      <w:r w:rsidRPr="00125B9B">
        <w:rPr>
          <w:rFonts w:ascii="Arial" w:hAnsi="Arial" w:cs="Arial"/>
        </w:rPr>
        <w:t xml:space="preserve">centred care. However, Erikson wrote his theory long before smartphones or social media existed. He assumed society offered steady communities and clear adult roles to aim for; modern teenagers instead face a messy, global online world full of unrealistic standards. The theory </w:t>
      </w:r>
      <w:r w:rsidRPr="00125B9B">
        <w:rPr>
          <w:rFonts w:ascii="Arial" w:hAnsi="Arial" w:cs="Arial"/>
        </w:rPr>
        <w:lastRenderedPageBreak/>
        <w:t>also focuses mostly on universal rules of development and pays less attention to individual personality differences or cultural background. It does not fully explain why two teenagers of the same age, using the exact same apps, can end up with completely different mental health outcomes. Crucially, it also overlooks how early childhood experiences shape how easily someone is upset online — and that is where Bowlby’s attachment theory fills the gaps.</w:t>
      </w:r>
    </w:p>
    <w:p w14:paraId="0583D419" w14:textId="77777777" w:rsidR="00125B9B" w:rsidRDefault="00125B9B" w:rsidP="00125B9B">
      <w:pPr>
        <w:spacing w:line="360" w:lineRule="auto"/>
        <w:rPr>
          <w:rFonts w:ascii="Arial" w:hAnsi="Arial" w:cs="Arial"/>
        </w:rPr>
      </w:pPr>
    </w:p>
    <w:p w14:paraId="09D06DFE" w14:textId="704E4396" w:rsidR="008E0248" w:rsidRPr="00125B9B" w:rsidRDefault="008E0248" w:rsidP="00125B9B">
      <w:pPr>
        <w:spacing w:line="360" w:lineRule="auto"/>
        <w:rPr>
          <w:rFonts w:ascii="Arial" w:hAnsi="Arial" w:cs="Arial"/>
        </w:rPr>
      </w:pPr>
      <w:r w:rsidRPr="00125B9B">
        <w:rPr>
          <w:rFonts w:ascii="Arial" w:hAnsi="Arial" w:cs="Arial"/>
        </w:rPr>
        <w:t>Bowlby’s attachment theory focuses on the deep</w:t>
      </w:r>
      <w:r w:rsidRPr="00125B9B">
        <w:rPr>
          <w:rFonts w:ascii="Cambria Math" w:hAnsi="Cambria Math" w:cs="Cambria Math"/>
        </w:rPr>
        <w:t>‑</w:t>
      </w:r>
      <w:r w:rsidRPr="00125B9B">
        <w:rPr>
          <w:rFonts w:ascii="Arial" w:hAnsi="Arial" w:cs="Arial"/>
        </w:rPr>
        <w:t>lasting effect of the bond between a baby and their main caregiver. Bowlby (1969) argued that the quality of care received in those early years builds an ‘internal working model’: a set of beliefs about whether you are loveable and whether other people can be trusted. Later work by Ainsworth et al. (1978) identified the main patterns: secure attachment, anxious</w:t>
      </w:r>
      <w:r w:rsidRPr="00125B9B">
        <w:rPr>
          <w:rFonts w:ascii="Cambria Math" w:hAnsi="Cambria Math" w:cs="Cambria Math"/>
        </w:rPr>
        <w:t>‑</w:t>
      </w:r>
      <w:r w:rsidRPr="00125B9B">
        <w:rPr>
          <w:rFonts w:ascii="Arial" w:hAnsi="Arial" w:cs="Arial"/>
        </w:rPr>
        <w:t xml:space="preserve">preoccupied attachment, and avoidant attachment. These patterns act like a pair of glasses — everything teenagers experience online is viewed through them. Those with a secure start usually grow up knowing they matter and that help is available. </w:t>
      </w:r>
      <w:proofErr w:type="spellStart"/>
      <w:r w:rsidRPr="00125B9B">
        <w:rPr>
          <w:rFonts w:ascii="Arial" w:hAnsi="Arial" w:cs="Arial"/>
        </w:rPr>
        <w:t>Gorrese</w:t>
      </w:r>
      <w:proofErr w:type="spellEnd"/>
      <w:r w:rsidRPr="00125B9B">
        <w:rPr>
          <w:rFonts w:ascii="Arial" w:hAnsi="Arial" w:cs="Arial"/>
        </w:rPr>
        <w:t xml:space="preserve"> and Ruggieri (2020) found they tend to use social media sensibly: messaging friends they already know, joining groups based on shared interests, and stepping away easily when they want. For them, online time adds to real</w:t>
      </w:r>
      <w:r w:rsidRPr="00125B9B">
        <w:rPr>
          <w:rFonts w:ascii="Cambria Math" w:hAnsi="Cambria Math" w:cs="Cambria Math"/>
        </w:rPr>
        <w:t>‑</w:t>
      </w:r>
      <w:r w:rsidRPr="00125B9B">
        <w:rPr>
          <w:rFonts w:ascii="Arial" w:hAnsi="Arial" w:cs="Arial"/>
        </w:rPr>
        <w:t>world happiness rather than replacing it; they are less bothered by mean comments or quiet feeds. In contrast, young people with an anxious</w:t>
      </w:r>
      <w:r w:rsidRPr="00125B9B">
        <w:rPr>
          <w:rFonts w:ascii="Cambria Math" w:hAnsi="Cambria Math" w:cs="Cambria Math"/>
        </w:rPr>
        <w:t>‑</w:t>
      </w:r>
      <w:r w:rsidRPr="00125B9B">
        <w:rPr>
          <w:rFonts w:ascii="Arial" w:hAnsi="Arial" w:cs="Arial"/>
        </w:rPr>
        <w:t>preoccupied style often carry a hidden fear of being abandoned or unwanted. Online, they may post constantly, refresh their screen endlessly, and feel crushed if nobody reacts. For them, social media turns into a search for reassurance that never feels enough, making anxiety and low mood worse. Those with an avoidant pattern learnt early on to rely only on themselves; online they might pull back from real conversations, stick to short surface</w:t>
      </w:r>
      <w:r w:rsidRPr="00125B9B">
        <w:rPr>
          <w:rFonts w:ascii="Cambria Math" w:hAnsi="Cambria Math" w:cs="Cambria Math"/>
        </w:rPr>
        <w:t>‑</w:t>
      </w:r>
      <w:r w:rsidRPr="00125B9B">
        <w:rPr>
          <w:rFonts w:ascii="Arial" w:hAnsi="Arial" w:cs="Arial"/>
        </w:rPr>
        <w:t xml:space="preserve">level chats, and slowly feel lonely even while they are ‘always online’. This shows clearly how nature and nurture work together: biological changes make emotions stronger in adolescence, but whether online life helps or hurts depends heavily on the emotional </w:t>
      </w:r>
      <w:r w:rsidR="00CB7F27" w:rsidRPr="00125B9B">
        <w:rPr>
          <w:rFonts w:ascii="Arial" w:hAnsi="Arial" w:cs="Arial"/>
        </w:rPr>
        <w:t>foundation-built</w:t>
      </w:r>
      <w:r w:rsidRPr="00125B9B">
        <w:rPr>
          <w:rFonts w:ascii="Arial" w:hAnsi="Arial" w:cs="Arial"/>
        </w:rPr>
        <w:t xml:space="preserve"> years earlier.</w:t>
      </w:r>
    </w:p>
    <w:p w14:paraId="32C2B801" w14:textId="77777777" w:rsidR="00125B9B" w:rsidRDefault="00125B9B" w:rsidP="00125B9B">
      <w:pPr>
        <w:spacing w:line="360" w:lineRule="auto"/>
        <w:rPr>
          <w:rFonts w:ascii="Arial" w:hAnsi="Arial" w:cs="Arial"/>
        </w:rPr>
      </w:pPr>
    </w:p>
    <w:p w14:paraId="705444C5" w14:textId="2D6C6746" w:rsidR="008E0248" w:rsidRPr="00125B9B" w:rsidRDefault="008E0248" w:rsidP="00125B9B">
      <w:pPr>
        <w:spacing w:line="360" w:lineRule="auto"/>
        <w:rPr>
          <w:rFonts w:ascii="Arial" w:hAnsi="Arial" w:cs="Arial"/>
        </w:rPr>
      </w:pPr>
      <w:r w:rsidRPr="00125B9B">
        <w:rPr>
          <w:rFonts w:ascii="Arial" w:hAnsi="Arial" w:cs="Arial"/>
        </w:rPr>
        <w:t>For anyone working in health and social care, understanding these two theories changes how you help young people. Instead of just saying “spend less time on your phone”, practitioners can offer smarter, person</w:t>
      </w:r>
      <w:r w:rsidRPr="00125B9B">
        <w:rPr>
          <w:rFonts w:ascii="Cambria Math" w:hAnsi="Cambria Math" w:cs="Cambria Math"/>
        </w:rPr>
        <w:t>‑</w:t>
      </w:r>
      <w:r w:rsidRPr="00125B9B">
        <w:rPr>
          <w:rFonts w:ascii="Arial" w:hAnsi="Arial" w:cs="Arial"/>
        </w:rPr>
        <w:t xml:space="preserve">centred support. Using lessons from Erikson, youth workers and teachers can run media literacy workshops that explain how algorithms work, how images are altered, and how to set healthy boundaries — turning online spaces into safer places to build identity. Drawing from Bowlby, the focus shifts to families too: helping parents and carers offer consistent, warm responses strengthens secure attachment, which </w:t>
      </w:r>
      <w:r w:rsidRPr="00125B9B">
        <w:rPr>
          <w:rFonts w:ascii="Arial" w:hAnsi="Arial" w:cs="Arial"/>
        </w:rPr>
        <w:lastRenderedPageBreak/>
        <w:t>is the best protection against online harm. Where attachment difficulties are spotted early, targeted work such as attachment</w:t>
      </w:r>
      <w:r w:rsidRPr="00125B9B">
        <w:rPr>
          <w:rFonts w:ascii="Cambria Math" w:hAnsi="Cambria Math" w:cs="Cambria Math"/>
        </w:rPr>
        <w:t>‑</w:t>
      </w:r>
      <w:r w:rsidRPr="00125B9B">
        <w:rPr>
          <w:rFonts w:ascii="Arial" w:hAnsi="Arial" w:cs="Arial"/>
        </w:rPr>
        <w:t>based counselling or guided parenting support can make a big difference before teenage years even start. Care staff and school nurses can also learn to spot early warning signs — things like hiding screens, staying awake late, or sudden mood swings — and respond by listening and building trust rather than banning devices or scolding.</w:t>
      </w:r>
    </w:p>
    <w:p w14:paraId="40F85B07" w14:textId="77777777" w:rsidR="00125B9B" w:rsidRDefault="00125B9B" w:rsidP="00125B9B">
      <w:pPr>
        <w:spacing w:line="360" w:lineRule="auto"/>
        <w:rPr>
          <w:rFonts w:ascii="Arial" w:hAnsi="Arial" w:cs="Arial"/>
        </w:rPr>
      </w:pPr>
    </w:p>
    <w:p w14:paraId="6B034B67" w14:textId="7319D474" w:rsidR="008E0248" w:rsidRPr="00125B9B" w:rsidRDefault="008E0248" w:rsidP="00125B9B">
      <w:pPr>
        <w:spacing w:line="360" w:lineRule="auto"/>
        <w:rPr>
          <w:rFonts w:ascii="Arial" w:hAnsi="Arial" w:cs="Arial"/>
        </w:rPr>
      </w:pPr>
      <w:r w:rsidRPr="00125B9B">
        <w:rPr>
          <w:rFonts w:ascii="Arial" w:hAnsi="Arial" w:cs="Arial"/>
        </w:rPr>
        <w:t>To sum up, social media has a powerful but complicated effect on teenage mental health; it acts as both a risk and a useful resource, never just all good or all bad. Erikson’s theory helps explain why adolescence is such a sensitive time: the natural drive to build identity makes young people very open to outside influence, and today’s curated online world can either help them grow or leave them confused and distressed. While Erikson’s ideas remain very useful, they were written without digital life in mind and cannot fully explain why some young people cope better than others. Bowlby’s attachment theory adds that missing piece: it shows how the impact of online experiences is shaped by the emotional security built in early childhood. Together, the two theories tell us that good health and social care practice means accepting modern technology, but supporting young people with education, strong family bonds and timely help — so they grow up confident, resilient and able to enjoy the online world safely.</w:t>
      </w:r>
    </w:p>
    <w:p w14:paraId="448B6A7A" w14:textId="77777777" w:rsidR="00125B9B" w:rsidRDefault="00125B9B" w:rsidP="008E0248">
      <w:pPr>
        <w:rPr>
          <w:rFonts w:ascii="Arial" w:hAnsi="Arial" w:cs="Arial"/>
        </w:rPr>
      </w:pPr>
    </w:p>
    <w:p w14:paraId="6A6E3BD2" w14:textId="77777777" w:rsidR="00125B9B" w:rsidRDefault="00125B9B" w:rsidP="008E0248">
      <w:pPr>
        <w:rPr>
          <w:rFonts w:ascii="Arial" w:hAnsi="Arial" w:cs="Arial"/>
        </w:rPr>
      </w:pPr>
    </w:p>
    <w:p w14:paraId="09B72F85" w14:textId="77777777" w:rsidR="00125B9B" w:rsidRDefault="00125B9B" w:rsidP="008E0248">
      <w:pPr>
        <w:rPr>
          <w:rFonts w:ascii="Arial" w:hAnsi="Arial" w:cs="Arial"/>
        </w:rPr>
      </w:pPr>
    </w:p>
    <w:p w14:paraId="3E69D64C" w14:textId="77777777" w:rsidR="00125B9B" w:rsidRDefault="00125B9B" w:rsidP="008E0248">
      <w:pPr>
        <w:rPr>
          <w:rFonts w:ascii="Arial" w:hAnsi="Arial" w:cs="Arial"/>
        </w:rPr>
      </w:pPr>
    </w:p>
    <w:p w14:paraId="58A14D00" w14:textId="77777777" w:rsidR="00125B9B" w:rsidRDefault="00125B9B" w:rsidP="008E0248">
      <w:pPr>
        <w:rPr>
          <w:rFonts w:ascii="Arial" w:hAnsi="Arial" w:cs="Arial"/>
        </w:rPr>
      </w:pPr>
    </w:p>
    <w:p w14:paraId="7AD0A2A1" w14:textId="77777777" w:rsidR="00125B9B" w:rsidRDefault="00125B9B" w:rsidP="008E0248">
      <w:pPr>
        <w:rPr>
          <w:rFonts w:ascii="Arial" w:hAnsi="Arial" w:cs="Arial"/>
        </w:rPr>
      </w:pPr>
    </w:p>
    <w:p w14:paraId="4EC45EED" w14:textId="77777777" w:rsidR="00125B9B" w:rsidRDefault="00125B9B" w:rsidP="008E0248">
      <w:pPr>
        <w:rPr>
          <w:rFonts w:ascii="Arial" w:hAnsi="Arial" w:cs="Arial"/>
        </w:rPr>
      </w:pPr>
    </w:p>
    <w:p w14:paraId="1CBFC463" w14:textId="77777777" w:rsidR="00125B9B" w:rsidRDefault="00125B9B" w:rsidP="008E0248">
      <w:pPr>
        <w:rPr>
          <w:rFonts w:ascii="Arial" w:hAnsi="Arial" w:cs="Arial"/>
        </w:rPr>
      </w:pPr>
    </w:p>
    <w:p w14:paraId="71065830" w14:textId="77777777" w:rsidR="00125B9B" w:rsidRDefault="00125B9B" w:rsidP="008E0248">
      <w:pPr>
        <w:rPr>
          <w:rFonts w:ascii="Arial" w:hAnsi="Arial" w:cs="Arial"/>
        </w:rPr>
      </w:pPr>
    </w:p>
    <w:p w14:paraId="04D13478" w14:textId="77777777" w:rsidR="00125B9B" w:rsidRDefault="00125B9B" w:rsidP="008E0248">
      <w:pPr>
        <w:rPr>
          <w:rFonts w:ascii="Arial" w:hAnsi="Arial" w:cs="Arial"/>
        </w:rPr>
      </w:pPr>
    </w:p>
    <w:p w14:paraId="0D8F6BCA" w14:textId="77777777" w:rsidR="00125B9B" w:rsidRDefault="00125B9B" w:rsidP="008E0248">
      <w:pPr>
        <w:rPr>
          <w:rFonts w:ascii="Arial" w:hAnsi="Arial" w:cs="Arial"/>
        </w:rPr>
      </w:pPr>
    </w:p>
    <w:p w14:paraId="368A4C3A" w14:textId="77777777" w:rsidR="00125B9B" w:rsidRDefault="00125B9B" w:rsidP="008E0248">
      <w:pPr>
        <w:rPr>
          <w:rFonts w:ascii="Arial" w:hAnsi="Arial" w:cs="Arial"/>
        </w:rPr>
      </w:pPr>
    </w:p>
    <w:p w14:paraId="4150D6EF" w14:textId="77777777" w:rsidR="00125B9B" w:rsidRDefault="00125B9B" w:rsidP="008E0248">
      <w:pPr>
        <w:rPr>
          <w:rFonts w:ascii="Arial" w:hAnsi="Arial" w:cs="Arial"/>
        </w:rPr>
      </w:pPr>
    </w:p>
    <w:p w14:paraId="55D0D011" w14:textId="77777777" w:rsidR="00125B9B" w:rsidRDefault="00125B9B" w:rsidP="008E0248">
      <w:pPr>
        <w:rPr>
          <w:rFonts w:ascii="Arial" w:hAnsi="Arial" w:cs="Arial"/>
        </w:rPr>
      </w:pPr>
    </w:p>
    <w:p w14:paraId="1535A388" w14:textId="55526A9C" w:rsidR="008E0248" w:rsidRPr="00125B9B" w:rsidRDefault="008E0248" w:rsidP="008E0248">
      <w:pPr>
        <w:rPr>
          <w:rFonts w:ascii="Arial" w:hAnsi="Arial" w:cs="Arial"/>
          <w:b/>
          <w:bCs/>
        </w:rPr>
      </w:pPr>
      <w:r w:rsidRPr="00125B9B">
        <w:rPr>
          <w:rFonts w:ascii="Arial" w:hAnsi="Arial" w:cs="Arial"/>
          <w:b/>
          <w:bCs/>
        </w:rPr>
        <w:lastRenderedPageBreak/>
        <w:t>References</w:t>
      </w:r>
    </w:p>
    <w:p w14:paraId="746C3C31" w14:textId="77777777" w:rsidR="00125B9B" w:rsidRDefault="00125B9B" w:rsidP="008E0248">
      <w:pPr>
        <w:rPr>
          <w:rFonts w:ascii="Arial" w:hAnsi="Arial" w:cs="Arial"/>
        </w:rPr>
      </w:pPr>
    </w:p>
    <w:p w14:paraId="3BA7B9E5" w14:textId="46CAFD82" w:rsidR="008E0248" w:rsidRPr="00125B9B" w:rsidRDefault="008E0248" w:rsidP="008E0248">
      <w:pPr>
        <w:rPr>
          <w:rFonts w:ascii="Arial" w:hAnsi="Arial" w:cs="Arial"/>
        </w:rPr>
      </w:pPr>
      <w:r w:rsidRPr="00125B9B">
        <w:rPr>
          <w:rFonts w:ascii="Arial" w:hAnsi="Arial" w:cs="Arial"/>
        </w:rPr>
        <w:t xml:space="preserve">Ainsworth, M.S., </w:t>
      </w:r>
      <w:proofErr w:type="spellStart"/>
      <w:r w:rsidRPr="00125B9B">
        <w:rPr>
          <w:rFonts w:ascii="Arial" w:hAnsi="Arial" w:cs="Arial"/>
        </w:rPr>
        <w:t>Blehar</w:t>
      </w:r>
      <w:proofErr w:type="spellEnd"/>
      <w:r w:rsidRPr="00125B9B">
        <w:rPr>
          <w:rFonts w:ascii="Arial" w:hAnsi="Arial" w:cs="Arial"/>
        </w:rPr>
        <w:t xml:space="preserve">, M.C., Waters, E. and Wall, S. (1978) </w:t>
      </w:r>
      <w:r w:rsidRPr="00125B9B">
        <w:rPr>
          <w:rFonts w:ascii="Arial" w:hAnsi="Arial" w:cs="Arial"/>
          <w:i/>
          <w:iCs/>
        </w:rPr>
        <w:t>Patterns of Attachment: A Psychological Study of the Strange Situation</w:t>
      </w:r>
      <w:r w:rsidRPr="00125B9B">
        <w:rPr>
          <w:rFonts w:ascii="Arial" w:hAnsi="Arial" w:cs="Arial"/>
        </w:rPr>
        <w:t>. Hillsdale: Erlbaum.</w:t>
      </w:r>
    </w:p>
    <w:p w14:paraId="2E255594" w14:textId="14D114D4" w:rsidR="008E0248" w:rsidRPr="00125B9B" w:rsidRDefault="008E0248" w:rsidP="008E0248">
      <w:pPr>
        <w:rPr>
          <w:rFonts w:ascii="Arial" w:hAnsi="Arial" w:cs="Arial"/>
        </w:rPr>
      </w:pPr>
      <w:r w:rsidRPr="00125B9B">
        <w:rPr>
          <w:rFonts w:ascii="Arial" w:hAnsi="Arial" w:cs="Arial"/>
        </w:rPr>
        <w:t xml:space="preserve">Bowlby, J. (1969) </w:t>
      </w:r>
      <w:r w:rsidRPr="00125B9B">
        <w:rPr>
          <w:rFonts w:ascii="Arial" w:hAnsi="Arial" w:cs="Arial"/>
          <w:i/>
          <w:iCs/>
        </w:rPr>
        <w:t>Attachment and Loss: Volume 1</w:t>
      </w:r>
      <w:r w:rsidRPr="00125B9B">
        <w:rPr>
          <w:rFonts w:ascii="Arial" w:hAnsi="Arial" w:cs="Arial"/>
        </w:rPr>
        <w:t xml:space="preserve"> — Attachment. London: Hogarth Press.</w:t>
      </w:r>
    </w:p>
    <w:p w14:paraId="5D40B347" w14:textId="7084EA3E" w:rsidR="008E0248" w:rsidRPr="00125B9B" w:rsidRDefault="008E0248" w:rsidP="008E0248">
      <w:pPr>
        <w:rPr>
          <w:rFonts w:ascii="Arial" w:hAnsi="Arial" w:cs="Arial"/>
        </w:rPr>
      </w:pPr>
      <w:r w:rsidRPr="00125B9B">
        <w:rPr>
          <w:rFonts w:ascii="Arial" w:hAnsi="Arial" w:cs="Arial"/>
        </w:rPr>
        <w:t xml:space="preserve">Côté, J.E. (2018) ‘Identity formation in the digital age: Erikson’s theory revisited’, </w:t>
      </w:r>
      <w:r w:rsidRPr="00125B9B">
        <w:rPr>
          <w:rFonts w:ascii="Arial" w:hAnsi="Arial" w:cs="Arial"/>
          <w:i/>
          <w:iCs/>
        </w:rPr>
        <w:t>Journal of Youth Studies</w:t>
      </w:r>
      <w:r w:rsidRPr="00125B9B">
        <w:rPr>
          <w:rFonts w:ascii="Arial" w:hAnsi="Arial" w:cs="Arial"/>
        </w:rPr>
        <w:t>, 21(10), pp. 1367</w:t>
      </w:r>
      <w:r w:rsidRPr="00125B9B">
        <w:rPr>
          <w:rFonts w:ascii="Cambria Math" w:hAnsi="Cambria Math" w:cs="Cambria Math"/>
        </w:rPr>
        <w:t>‑</w:t>
      </w:r>
      <w:r w:rsidRPr="00125B9B">
        <w:rPr>
          <w:rFonts w:ascii="Arial" w:hAnsi="Arial" w:cs="Arial"/>
        </w:rPr>
        <w:t>1382.</w:t>
      </w:r>
    </w:p>
    <w:p w14:paraId="78180D8E" w14:textId="3EA23FA1" w:rsidR="008E0248" w:rsidRPr="00125B9B" w:rsidRDefault="008E0248" w:rsidP="008E0248">
      <w:pPr>
        <w:rPr>
          <w:rFonts w:ascii="Arial" w:hAnsi="Arial" w:cs="Arial"/>
        </w:rPr>
      </w:pPr>
      <w:r w:rsidRPr="00125B9B">
        <w:rPr>
          <w:rFonts w:ascii="Arial" w:hAnsi="Arial" w:cs="Arial"/>
        </w:rPr>
        <w:t xml:space="preserve">Erikson, E.H. (1968) </w:t>
      </w:r>
      <w:r w:rsidRPr="00125B9B">
        <w:rPr>
          <w:rFonts w:ascii="Arial" w:hAnsi="Arial" w:cs="Arial"/>
          <w:i/>
          <w:iCs/>
        </w:rPr>
        <w:t>Identity: Youth and Crisis</w:t>
      </w:r>
      <w:r w:rsidRPr="00125B9B">
        <w:rPr>
          <w:rFonts w:ascii="Arial" w:hAnsi="Arial" w:cs="Arial"/>
        </w:rPr>
        <w:t>. New York: W.W. Norton.</w:t>
      </w:r>
    </w:p>
    <w:p w14:paraId="4BC3E137" w14:textId="4E9DB62A" w:rsidR="008E0248" w:rsidRPr="00125B9B" w:rsidRDefault="008E0248" w:rsidP="008E0248">
      <w:pPr>
        <w:rPr>
          <w:rFonts w:ascii="Arial" w:hAnsi="Arial" w:cs="Arial"/>
        </w:rPr>
      </w:pPr>
      <w:proofErr w:type="spellStart"/>
      <w:r w:rsidRPr="00125B9B">
        <w:rPr>
          <w:rFonts w:ascii="Arial" w:hAnsi="Arial" w:cs="Arial"/>
        </w:rPr>
        <w:t>Fardouly</w:t>
      </w:r>
      <w:proofErr w:type="spellEnd"/>
      <w:r w:rsidRPr="00125B9B">
        <w:rPr>
          <w:rFonts w:ascii="Arial" w:hAnsi="Arial" w:cs="Arial"/>
        </w:rPr>
        <w:t>, J. and Vartanian, L.R. (2022) ‘</w:t>
      </w:r>
      <w:r w:rsidR="00F50EA5" w:rsidRPr="00125B9B">
        <w:rPr>
          <w:rFonts w:ascii="Arial" w:hAnsi="Arial" w:cs="Arial"/>
        </w:rPr>
        <w:t>social media</w:t>
      </w:r>
      <w:r w:rsidRPr="00125B9B">
        <w:rPr>
          <w:rFonts w:ascii="Arial" w:hAnsi="Arial" w:cs="Arial"/>
        </w:rPr>
        <w:t xml:space="preserve"> and adolescent mental health: a systematic review of positive and negative effects’, </w:t>
      </w:r>
      <w:r w:rsidRPr="00125B9B">
        <w:rPr>
          <w:rFonts w:ascii="Arial" w:hAnsi="Arial" w:cs="Arial"/>
          <w:i/>
          <w:iCs/>
        </w:rPr>
        <w:t>Clinical Psychology Review</w:t>
      </w:r>
      <w:r w:rsidRPr="00125B9B">
        <w:rPr>
          <w:rFonts w:ascii="Arial" w:hAnsi="Arial" w:cs="Arial"/>
        </w:rPr>
        <w:t>, 95, pp. 1</w:t>
      </w:r>
      <w:r w:rsidRPr="00125B9B">
        <w:rPr>
          <w:rFonts w:ascii="Cambria Math" w:hAnsi="Cambria Math" w:cs="Cambria Math"/>
        </w:rPr>
        <w:t>‑</w:t>
      </w:r>
      <w:r w:rsidRPr="00125B9B">
        <w:rPr>
          <w:rFonts w:ascii="Arial" w:hAnsi="Arial" w:cs="Arial"/>
        </w:rPr>
        <w:t>18.</w:t>
      </w:r>
    </w:p>
    <w:p w14:paraId="0F5009A0" w14:textId="090FA2DE" w:rsidR="008E0248" w:rsidRPr="00125B9B" w:rsidRDefault="008E0248" w:rsidP="008E0248">
      <w:pPr>
        <w:rPr>
          <w:rFonts w:ascii="Arial" w:hAnsi="Arial" w:cs="Arial"/>
        </w:rPr>
      </w:pPr>
      <w:proofErr w:type="spellStart"/>
      <w:r w:rsidRPr="00125B9B">
        <w:rPr>
          <w:rFonts w:ascii="Arial" w:hAnsi="Arial" w:cs="Arial"/>
        </w:rPr>
        <w:t>Gorrese</w:t>
      </w:r>
      <w:proofErr w:type="spellEnd"/>
      <w:r w:rsidRPr="00125B9B">
        <w:rPr>
          <w:rFonts w:ascii="Arial" w:hAnsi="Arial" w:cs="Arial"/>
        </w:rPr>
        <w:t>, A. and Ruggieri, R. (2020) ‘Attachment and social networking site use: a meta</w:t>
      </w:r>
      <w:r w:rsidRPr="00125B9B">
        <w:rPr>
          <w:rFonts w:ascii="Cambria Math" w:hAnsi="Cambria Math" w:cs="Cambria Math"/>
        </w:rPr>
        <w:t>‑</w:t>
      </w:r>
      <w:r w:rsidRPr="00125B9B">
        <w:rPr>
          <w:rFonts w:ascii="Arial" w:hAnsi="Arial" w:cs="Arial"/>
        </w:rPr>
        <w:t>analysis</w:t>
      </w:r>
      <w:r w:rsidR="00F844FF" w:rsidRPr="00125B9B">
        <w:rPr>
          <w:rFonts w:ascii="Arial" w:hAnsi="Arial" w:cs="Arial"/>
        </w:rPr>
        <w:t>’,</w:t>
      </w:r>
      <w:r w:rsidR="002F029A" w:rsidRPr="00125B9B">
        <w:rPr>
          <w:rFonts w:ascii="Arial" w:hAnsi="Arial" w:cs="Arial"/>
        </w:rPr>
        <w:t xml:space="preserve"> </w:t>
      </w:r>
      <w:r w:rsidRPr="00125B9B">
        <w:rPr>
          <w:rFonts w:ascii="Arial" w:hAnsi="Arial" w:cs="Arial"/>
          <w:i/>
          <w:iCs/>
        </w:rPr>
        <w:t xml:space="preserve">Computers in Human </w:t>
      </w:r>
      <w:proofErr w:type="spellStart"/>
      <w:r w:rsidRPr="00125B9B">
        <w:rPr>
          <w:rFonts w:ascii="Arial" w:hAnsi="Arial" w:cs="Arial"/>
          <w:i/>
          <w:iCs/>
        </w:rPr>
        <w:t>Behavior</w:t>
      </w:r>
      <w:proofErr w:type="spellEnd"/>
      <w:r w:rsidRPr="00125B9B">
        <w:rPr>
          <w:rFonts w:ascii="Arial" w:hAnsi="Arial" w:cs="Arial"/>
        </w:rPr>
        <w:t>, 104, pp. 1</w:t>
      </w:r>
      <w:r w:rsidRPr="00125B9B">
        <w:rPr>
          <w:rFonts w:ascii="Cambria Math" w:hAnsi="Cambria Math" w:cs="Cambria Math"/>
        </w:rPr>
        <w:t>‑</w:t>
      </w:r>
      <w:r w:rsidRPr="00125B9B">
        <w:rPr>
          <w:rFonts w:ascii="Arial" w:hAnsi="Arial" w:cs="Arial"/>
        </w:rPr>
        <w:t>15.</w:t>
      </w:r>
    </w:p>
    <w:p w14:paraId="3B7E7CAE" w14:textId="197A3A91" w:rsidR="008E0248" w:rsidRPr="00125B9B" w:rsidRDefault="008E0248" w:rsidP="008E0248">
      <w:pPr>
        <w:rPr>
          <w:rFonts w:ascii="Arial" w:hAnsi="Arial" w:cs="Arial"/>
        </w:rPr>
      </w:pPr>
      <w:r w:rsidRPr="00125B9B">
        <w:rPr>
          <w:rFonts w:ascii="Arial" w:hAnsi="Arial" w:cs="Arial"/>
        </w:rPr>
        <w:t xml:space="preserve">Ofcom (2025) </w:t>
      </w:r>
      <w:r w:rsidRPr="00125B9B">
        <w:rPr>
          <w:rFonts w:ascii="Arial" w:hAnsi="Arial" w:cs="Arial"/>
          <w:i/>
          <w:iCs/>
        </w:rPr>
        <w:t>Children and parents: media use and attitudes report 2025</w:t>
      </w:r>
      <w:r w:rsidRPr="00125B9B">
        <w:rPr>
          <w:rFonts w:ascii="Arial" w:hAnsi="Arial" w:cs="Arial"/>
        </w:rPr>
        <w:t>. London: Office of Communications.</w:t>
      </w:r>
    </w:p>
    <w:p w14:paraId="5A4DA421" w14:textId="4A023160" w:rsidR="008E0248" w:rsidRPr="00125B9B" w:rsidRDefault="008E0248" w:rsidP="008E0248">
      <w:pPr>
        <w:rPr>
          <w:rFonts w:ascii="Arial" w:hAnsi="Arial" w:cs="Arial"/>
        </w:rPr>
      </w:pPr>
      <w:r w:rsidRPr="00125B9B">
        <w:rPr>
          <w:rFonts w:ascii="Arial" w:hAnsi="Arial" w:cs="Arial"/>
        </w:rPr>
        <w:t>NSPCC (2024</w:t>
      </w:r>
      <w:r w:rsidRPr="00125B9B">
        <w:rPr>
          <w:rFonts w:ascii="Arial" w:hAnsi="Arial" w:cs="Arial"/>
          <w:i/>
          <w:iCs/>
        </w:rPr>
        <w:t>) Cyberbullying and young people: prevalence, impact and support</w:t>
      </w:r>
      <w:r w:rsidRPr="00125B9B">
        <w:rPr>
          <w:rFonts w:ascii="Arial" w:hAnsi="Arial" w:cs="Arial"/>
        </w:rPr>
        <w:t>. London: National Society for the Prevention of Cruelty to Children.</w:t>
      </w:r>
    </w:p>
    <w:p w14:paraId="29451FE6" w14:textId="70C48FEF" w:rsidR="008E0248" w:rsidRPr="00125B9B" w:rsidRDefault="008E0248" w:rsidP="008E0248">
      <w:pPr>
        <w:rPr>
          <w:rFonts w:ascii="Arial" w:hAnsi="Arial" w:cs="Arial"/>
        </w:rPr>
      </w:pPr>
      <w:r w:rsidRPr="00125B9B">
        <w:rPr>
          <w:rFonts w:ascii="Arial" w:hAnsi="Arial" w:cs="Arial"/>
        </w:rPr>
        <w:t>Przybylski, A.K., Murayama, K. and Haucke, F. (2021) ‘Fear of missing out (</w:t>
      </w:r>
      <w:proofErr w:type="spellStart"/>
      <w:r w:rsidRPr="00125B9B">
        <w:rPr>
          <w:rFonts w:ascii="Arial" w:hAnsi="Arial" w:cs="Arial"/>
        </w:rPr>
        <w:t>FoMO</w:t>
      </w:r>
      <w:proofErr w:type="spellEnd"/>
      <w:r w:rsidRPr="00125B9B">
        <w:rPr>
          <w:rFonts w:ascii="Arial" w:hAnsi="Arial" w:cs="Arial"/>
        </w:rPr>
        <w:t xml:space="preserve">): a review of the literature’, </w:t>
      </w:r>
      <w:r w:rsidRPr="00125B9B">
        <w:rPr>
          <w:rFonts w:ascii="Arial" w:hAnsi="Arial" w:cs="Arial"/>
          <w:i/>
          <w:iCs/>
        </w:rPr>
        <w:t>Current Addiction Reports</w:t>
      </w:r>
      <w:r w:rsidRPr="00125B9B">
        <w:rPr>
          <w:rFonts w:ascii="Arial" w:hAnsi="Arial" w:cs="Arial"/>
        </w:rPr>
        <w:t>, 8(3), pp. 264</w:t>
      </w:r>
      <w:r w:rsidRPr="00125B9B">
        <w:rPr>
          <w:rFonts w:ascii="Cambria Math" w:hAnsi="Cambria Math" w:cs="Cambria Math"/>
        </w:rPr>
        <w:t>‑</w:t>
      </w:r>
      <w:r w:rsidRPr="00125B9B">
        <w:rPr>
          <w:rFonts w:ascii="Arial" w:hAnsi="Arial" w:cs="Arial"/>
        </w:rPr>
        <w:t>279.</w:t>
      </w:r>
    </w:p>
    <w:p w14:paraId="4757D32E" w14:textId="5178A731" w:rsidR="008E0248" w:rsidRPr="00125B9B" w:rsidRDefault="008E0248">
      <w:pPr>
        <w:rPr>
          <w:rFonts w:ascii="Arial" w:hAnsi="Arial" w:cs="Arial"/>
        </w:rPr>
      </w:pPr>
      <w:r w:rsidRPr="00125B9B">
        <w:rPr>
          <w:rFonts w:ascii="Arial" w:hAnsi="Arial" w:cs="Arial"/>
        </w:rPr>
        <w:t xml:space="preserve">Royal College of Psychiatrists (2023) </w:t>
      </w:r>
      <w:r w:rsidR="00F50EA5" w:rsidRPr="00125B9B">
        <w:rPr>
          <w:rFonts w:ascii="Arial" w:hAnsi="Arial" w:cs="Arial"/>
          <w:i/>
          <w:iCs/>
        </w:rPr>
        <w:t>social media</w:t>
      </w:r>
      <w:r w:rsidRPr="00125B9B">
        <w:rPr>
          <w:rFonts w:ascii="Arial" w:hAnsi="Arial" w:cs="Arial"/>
          <w:i/>
          <w:iCs/>
        </w:rPr>
        <w:t xml:space="preserve"> and young people’s mental health</w:t>
      </w:r>
      <w:r w:rsidRPr="00125B9B">
        <w:rPr>
          <w:rFonts w:ascii="Arial" w:hAnsi="Arial" w:cs="Arial"/>
        </w:rPr>
        <w:t xml:space="preserve">. London: </w:t>
      </w:r>
      <w:proofErr w:type="spellStart"/>
      <w:r w:rsidRPr="00125B9B">
        <w:rPr>
          <w:rFonts w:ascii="Arial" w:hAnsi="Arial" w:cs="Arial"/>
        </w:rPr>
        <w:t>RCPsych</w:t>
      </w:r>
      <w:proofErr w:type="spellEnd"/>
      <w:r w:rsidRPr="00125B9B">
        <w:rPr>
          <w:rFonts w:ascii="Arial" w:hAnsi="Arial" w:cs="Arial"/>
        </w:rPr>
        <w:t>.</w:t>
      </w:r>
    </w:p>
    <w:sectPr w:rsidR="008E0248" w:rsidRPr="00125B9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1B5B"/>
    <w:rsid w:val="00106C4C"/>
    <w:rsid w:val="00125B9B"/>
    <w:rsid w:val="001A2340"/>
    <w:rsid w:val="002F029A"/>
    <w:rsid w:val="003E57FF"/>
    <w:rsid w:val="00456565"/>
    <w:rsid w:val="006E3C01"/>
    <w:rsid w:val="00881B5B"/>
    <w:rsid w:val="008E0248"/>
    <w:rsid w:val="00966364"/>
    <w:rsid w:val="00970F3C"/>
    <w:rsid w:val="00B468A1"/>
    <w:rsid w:val="00CB7F27"/>
    <w:rsid w:val="00CD6344"/>
    <w:rsid w:val="00F50EA5"/>
    <w:rsid w:val="00F844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577278"/>
  <w15:chartTrackingRefBased/>
  <w15:docId w15:val="{30122282-096E-9442-8BC1-5B1626D6C5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142</TotalTime>
  <Pages>6</Pages>
  <Words>1762</Words>
  <Characters>10048</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Zahra Mahmood</dc:creator>
  <cp:keywords/>
  <dc:description/>
  <cp:lastModifiedBy>Zahra Shamrez Mahmood (2508995)</cp:lastModifiedBy>
  <cp:revision>8</cp:revision>
  <dcterms:created xsi:type="dcterms:W3CDTF">2026-06-17T12:42:00Z</dcterms:created>
  <dcterms:modified xsi:type="dcterms:W3CDTF">2026-06-23T15:39:00Z</dcterms:modified>
</cp:coreProperties>
</file>