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32"/>
          <w:szCs w:val="32"/>
        </w:rPr>
      </w:pPr>
      <w:r w:rsidDel="00000000" w:rsidR="00000000" w:rsidRPr="00000000">
        <w:rPr>
          <w:rtl w:val="0"/>
        </w:rPr>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shd w:fill="b4c6e7" w:val="clear"/>
          </w:tcPr>
          <w:p w:rsidR="00000000" w:rsidDel="00000000" w:rsidP="00000000" w:rsidRDefault="00000000" w:rsidRPr="00000000" w14:paraId="00000002">
            <w:pPr>
              <w:spacing w:line="360" w:lineRule="auto"/>
              <w:rPr>
                <w:rFonts w:ascii="Arial" w:cs="Arial" w:eastAsia="Arial" w:hAnsi="Arial"/>
              </w:rPr>
            </w:pPr>
            <w:r w:rsidDel="00000000" w:rsidR="00000000" w:rsidRPr="00000000">
              <w:rPr>
                <w:rFonts w:ascii="Arial" w:cs="Arial" w:eastAsia="Arial" w:hAnsi="Arial"/>
                <w:rtl w:val="0"/>
              </w:rPr>
              <w:t xml:space="preserve">Student name: Md Alimuzzaman Malik</w:t>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Fonts w:ascii="Arial" w:cs="Arial" w:eastAsia="Arial" w:hAnsi="Arial"/>
                <w:rtl w:val="0"/>
              </w:rPr>
              <w:t xml:space="preserve">Student Number: 2027785</w:t>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tc>
        <w:tc>
          <w:tcPr>
            <w:shd w:fill="b4c6e7" w:val="clear"/>
          </w:tcPr>
          <w:p w:rsidR="00000000" w:rsidDel="00000000" w:rsidP="00000000" w:rsidRDefault="00000000" w:rsidRPr="00000000" w14:paraId="00000005">
            <w:pPr>
              <w:spacing w:line="360" w:lineRule="auto"/>
              <w:rPr>
                <w:rFonts w:ascii="Arial" w:cs="Arial" w:eastAsia="Arial" w:hAnsi="Arial"/>
              </w:rPr>
            </w:pPr>
            <w:r w:rsidDel="00000000" w:rsidR="00000000" w:rsidRPr="00000000">
              <w:rPr>
                <w:rFonts w:ascii="Arial" w:cs="Arial" w:eastAsia="Arial" w:hAnsi="Arial"/>
                <w:rtl w:val="0"/>
              </w:rPr>
              <w:t xml:space="preserve">Module: Food &amp; Beverage Operation.</w:t>
            </w:r>
          </w:p>
          <w:p w:rsidR="00000000" w:rsidDel="00000000" w:rsidP="00000000" w:rsidRDefault="00000000" w:rsidRPr="00000000" w14:paraId="00000006">
            <w:pPr>
              <w:spacing w:line="360" w:lineRule="auto"/>
              <w:rPr>
                <w:rFonts w:ascii="Arial" w:cs="Arial" w:eastAsia="Arial" w:hAnsi="Arial"/>
              </w:rPr>
            </w:pPr>
            <w:r w:rsidDel="00000000" w:rsidR="00000000" w:rsidRPr="00000000">
              <w:rPr>
                <w:rFonts w:ascii="Arial" w:cs="Arial" w:eastAsia="Arial" w:hAnsi="Arial"/>
                <w:rtl w:val="0"/>
              </w:rPr>
              <w:t xml:space="preserve">Lecturer:  Laurence Blake</w:t>
            </w:r>
          </w:p>
          <w:p w:rsidR="00000000" w:rsidDel="00000000" w:rsidP="00000000" w:rsidRDefault="00000000" w:rsidRPr="00000000" w14:paraId="00000007">
            <w:pPr>
              <w:spacing w:line="360" w:lineRule="auto"/>
              <w:rPr>
                <w:rFonts w:ascii="Arial" w:cs="Arial" w:eastAsia="Arial" w:hAnsi="Arial"/>
              </w:rPr>
            </w:pPr>
            <w:r w:rsidDel="00000000" w:rsidR="00000000" w:rsidRPr="00000000">
              <w:rPr>
                <w:rFonts w:ascii="Arial" w:cs="Arial" w:eastAsia="Arial" w:hAnsi="Arial"/>
                <w:rtl w:val="0"/>
              </w:rPr>
              <w:t xml:space="preserve">                </w:t>
            </w:r>
          </w:p>
        </w:tc>
      </w:tr>
    </w:tbl>
    <w:p w:rsidR="00000000" w:rsidDel="00000000" w:rsidP="00000000" w:rsidRDefault="00000000" w:rsidRPr="00000000" w14:paraId="00000008">
      <w:pPr>
        <w:rPr>
          <w:rFonts w:ascii="Arial" w:cs="Arial" w:eastAsia="Arial" w:hAnsi="Arial"/>
        </w:rPr>
      </w:pPr>
      <w:r w:rsidDel="00000000" w:rsidR="00000000" w:rsidRPr="00000000">
        <w:rPr>
          <w:rtl w:val="0"/>
        </w:rPr>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shd w:fill="f4b083" w:val="clear"/>
          </w:tcPr>
          <w:p w:rsidR="00000000" w:rsidDel="00000000" w:rsidP="00000000" w:rsidRDefault="00000000" w:rsidRPr="00000000" w14:paraId="00000009">
            <w:pPr>
              <w:spacing w:line="360" w:lineRule="auto"/>
              <w:rPr>
                <w:rFonts w:ascii="Arial" w:cs="Arial" w:eastAsia="Arial" w:hAnsi="Arial"/>
              </w:rPr>
            </w:pPr>
            <w:r w:rsidDel="00000000" w:rsidR="00000000" w:rsidRPr="00000000">
              <w:rPr>
                <w:rFonts w:ascii="Arial" w:cs="Arial" w:eastAsia="Arial" w:hAnsi="Arial"/>
                <w:rtl w:val="0"/>
              </w:rPr>
              <w:t xml:space="preserve">Topic of Choice: </w:t>
            </w:r>
          </w:p>
          <w:p w:rsidR="00000000" w:rsidDel="00000000" w:rsidP="00000000" w:rsidRDefault="00000000" w:rsidRPr="00000000" w14:paraId="0000000A">
            <w:pPr>
              <w:spacing w:line="360" w:lineRule="auto"/>
              <w:rPr>
                <w:rFonts w:ascii="Arial" w:cs="Arial" w:eastAsia="Arial" w:hAnsi="Arial"/>
                <w:b w:val="1"/>
              </w:rPr>
            </w:pPr>
            <w:r w:rsidDel="00000000" w:rsidR="00000000" w:rsidRPr="00000000">
              <w:rPr>
                <w:rFonts w:ascii="Arial" w:cs="Arial" w:eastAsia="Arial" w:hAnsi="Arial"/>
                <w:b w:val="1"/>
                <w:rtl w:val="0"/>
              </w:rPr>
              <w:t xml:space="preserve">Allergies and Intolerances and the importance within the industry </w:t>
            </w:r>
          </w:p>
          <w:p w:rsidR="00000000" w:rsidDel="00000000" w:rsidP="00000000" w:rsidRDefault="00000000" w:rsidRPr="00000000" w14:paraId="0000000B">
            <w:pPr>
              <w:tabs>
                <w:tab w:val="left" w:pos="3180"/>
              </w:tabs>
              <w:spacing w:line="360" w:lineRule="auto"/>
              <w:rPr>
                <w:rFonts w:ascii="Arial" w:cs="Arial" w:eastAsia="Arial" w:hAnsi="Arial"/>
              </w:rPr>
            </w:pPr>
            <w:r w:rsidDel="00000000" w:rsidR="00000000" w:rsidRPr="00000000">
              <w:rPr>
                <w:rFonts w:ascii="Arial" w:cs="Arial" w:eastAsia="Arial" w:hAnsi="Arial"/>
                <w:rtl w:val="0"/>
              </w:rPr>
              <w:tab/>
            </w:r>
          </w:p>
        </w:tc>
        <w:tc>
          <w:tcPr>
            <w:shd w:fill="f4b083" w:val="clear"/>
          </w:tcPr>
          <w:p w:rsidR="00000000" w:rsidDel="00000000" w:rsidP="00000000" w:rsidRDefault="00000000" w:rsidRPr="00000000" w14:paraId="0000000C">
            <w:pPr>
              <w:spacing w:line="360" w:lineRule="auto"/>
              <w:rPr>
                <w:rFonts w:ascii="Arial" w:cs="Arial" w:eastAsia="Arial" w:hAnsi="Arial"/>
              </w:rPr>
            </w:pPr>
            <w:r w:rsidDel="00000000" w:rsidR="00000000" w:rsidRPr="00000000">
              <w:rPr>
                <w:rFonts w:ascii="Arial" w:cs="Arial" w:eastAsia="Arial" w:hAnsi="Arial"/>
                <w:rtl w:val="0"/>
              </w:rPr>
              <w:t xml:space="preserve">Date Completed:</w:t>
            </w:r>
          </w:p>
        </w:tc>
      </w:tr>
      <w:tr>
        <w:trPr>
          <w:cantSplit w:val="0"/>
          <w:tblHeader w:val="0"/>
        </w:trPr>
        <w:tc>
          <w:tcPr>
            <w:gridSpan w:val="2"/>
          </w:tcPr>
          <w:p w:rsidR="00000000" w:rsidDel="00000000" w:rsidP="00000000" w:rsidRDefault="00000000" w:rsidRPr="00000000" w14:paraId="0000000D">
            <w:pPr>
              <w:tabs>
                <w:tab w:val="left" w:pos="2385"/>
                <w:tab w:val="left" w:pos="5610"/>
              </w:tabs>
              <w:spacing w:line="360" w:lineRule="auto"/>
              <w:rPr>
                <w:rFonts w:ascii="Arial" w:cs="Arial" w:eastAsia="Arial" w:hAnsi="Arial"/>
                <w:sz w:val="24"/>
                <w:szCs w:val="24"/>
              </w:rPr>
            </w:pPr>
            <w:r w:rsidDel="00000000" w:rsidR="00000000" w:rsidRPr="00000000">
              <w:rPr>
                <w:rFonts w:ascii="Arial" w:cs="Arial" w:eastAsia="Arial" w:hAnsi="Arial"/>
                <w:rtl w:val="0"/>
              </w:rPr>
              <w:t xml:space="preserve">Food and beverage is an important department of the hospitality industry. Traditional food and beverage businesses increase the appeal of this industry in multiple of times. In that case, We always give maximum priority of our customer's health.  We always inform the customers if any kinds of allergens are used as elements. Food allergy refers to the inability of the digestive system to function properly when it comes into touch with specific foods. Allergens are chemicals that cause allergic reactions (Burks et al., </w:t>
            </w:r>
            <w:r w:rsidDel="00000000" w:rsidR="00000000" w:rsidRPr="00000000">
              <w:rPr>
                <w:rFonts w:ascii="Arial" w:cs="Arial" w:eastAsia="Arial" w:hAnsi="Arial"/>
                <w:sz w:val="24"/>
                <w:szCs w:val="24"/>
                <w:rtl w:val="0"/>
              </w:rPr>
              <w:t xml:space="preserve">2012). </w:t>
            </w:r>
            <w:r w:rsidDel="00000000" w:rsidR="00000000" w:rsidRPr="00000000">
              <w:rPr>
                <w:rFonts w:ascii="Arial" w:cs="Arial" w:eastAsia="Arial" w:hAnsi="Arial"/>
                <w:rtl w:val="0"/>
              </w:rPr>
              <w:t xml:space="preserve">Allergies are a clinical syndrome that will impact over than half of Europeans by </w:t>
            </w:r>
            <w:r w:rsidDel="00000000" w:rsidR="00000000" w:rsidRPr="00000000">
              <w:rPr>
                <w:rFonts w:ascii="Arial" w:cs="Arial" w:eastAsia="Arial" w:hAnsi="Arial"/>
                <w:sz w:val="24"/>
                <w:szCs w:val="24"/>
                <w:rtl w:val="0"/>
              </w:rPr>
              <w:t xml:space="preserve">2025. </w:t>
            </w:r>
            <w:r w:rsidDel="00000000" w:rsidR="00000000" w:rsidRPr="00000000">
              <w:rPr>
                <w:rFonts w:ascii="Arial" w:cs="Arial" w:eastAsia="Arial" w:hAnsi="Arial"/>
                <w:rtl w:val="0"/>
              </w:rPr>
              <w:t xml:space="preserve">Over than one billion individuals throughout the world suffer from allergic disorders. The united kingdom has one of the highest incidences of allergy in the world. Approximately </w:t>
            </w:r>
            <w:r w:rsidDel="00000000" w:rsidR="00000000" w:rsidRPr="00000000">
              <w:rPr>
                <w:rFonts w:ascii="Arial" w:cs="Arial" w:eastAsia="Arial" w:hAnsi="Arial"/>
                <w:sz w:val="24"/>
                <w:szCs w:val="24"/>
                <w:rtl w:val="0"/>
              </w:rPr>
              <w:t xml:space="preserve">3% </w:t>
            </w:r>
            <w:r w:rsidDel="00000000" w:rsidR="00000000" w:rsidRPr="00000000">
              <w:rPr>
                <w:rFonts w:ascii="Arial" w:cs="Arial" w:eastAsia="Arial" w:hAnsi="Arial"/>
                <w:rtl w:val="0"/>
              </w:rPr>
              <w:t xml:space="preserve">of the population in the UK has an IgE-mediated food allergy, putting them at risk of a potentially fatal allergic response (Longo et al., </w:t>
            </w:r>
            <w:r w:rsidDel="00000000" w:rsidR="00000000" w:rsidRPr="00000000">
              <w:rPr>
                <w:rFonts w:ascii="Arial" w:cs="Arial" w:eastAsia="Arial" w:hAnsi="Arial"/>
                <w:sz w:val="24"/>
                <w:szCs w:val="24"/>
                <w:rtl w:val="0"/>
              </w:rPr>
              <w:t xml:space="preserve">2013).</w:t>
            </w:r>
            <w:r w:rsidDel="00000000" w:rsidR="00000000" w:rsidRPr="00000000">
              <w:rPr>
                <w:rFonts w:ascii="Arial" w:cs="Arial" w:eastAsia="Arial" w:hAnsi="Arial"/>
                <w:rtl w:val="0"/>
              </w:rPr>
              <w:t xml:space="preserve">UK hospital admission for food allergies has increased by </w:t>
            </w:r>
            <w:r w:rsidDel="00000000" w:rsidR="00000000" w:rsidRPr="00000000">
              <w:rPr>
                <w:rFonts w:ascii="Arial" w:cs="Arial" w:eastAsia="Arial" w:hAnsi="Arial"/>
                <w:sz w:val="24"/>
                <w:szCs w:val="24"/>
                <w:rtl w:val="0"/>
              </w:rPr>
              <w:t xml:space="preserve">500% </w:t>
            </w:r>
            <w:r w:rsidDel="00000000" w:rsidR="00000000" w:rsidRPr="00000000">
              <w:rPr>
                <w:rFonts w:ascii="Arial" w:cs="Arial" w:eastAsia="Arial" w:hAnsi="Arial"/>
                <w:rtl w:val="0"/>
              </w:rPr>
              <w:t xml:space="preserve">since </w:t>
            </w:r>
            <w:r w:rsidDel="00000000" w:rsidR="00000000" w:rsidRPr="00000000">
              <w:rPr>
                <w:rFonts w:ascii="Arial" w:cs="Arial" w:eastAsia="Arial" w:hAnsi="Arial"/>
                <w:sz w:val="24"/>
                <w:szCs w:val="24"/>
                <w:rtl w:val="0"/>
              </w:rPr>
              <w:t xml:space="preserve">1990. </w:t>
            </w:r>
          </w:p>
          <w:p w:rsidR="00000000" w:rsidDel="00000000" w:rsidP="00000000" w:rsidRDefault="00000000" w:rsidRPr="00000000" w14:paraId="0000000E">
            <w:pPr>
              <w:spacing w:line="360" w:lineRule="auto"/>
              <w:rPr>
                <w:rFonts w:ascii="Arial" w:cs="Arial" w:eastAsia="Arial" w:hAnsi="Arial"/>
              </w:rPr>
            </w:pPr>
            <w:r w:rsidDel="00000000" w:rsidR="00000000" w:rsidRPr="00000000">
              <w:rPr>
                <w:rFonts w:ascii="Arial" w:cs="Arial" w:eastAsia="Arial" w:hAnsi="Arial"/>
                <w:rtl w:val="0"/>
              </w:rPr>
              <w:t xml:space="preserve">Sometimes a little quantity of allergens foods can be a life-threatening issue for some people (De Silva et al., 2014). Symptoms of allergies differ from person to person. We can see that Allergies of some people can be exposed by only sneezing and itchy while the allergies of others can be exposed by wheezing, chest tightness, shortness of breath, swollen lips/tongue/eyes, and face or even symptom like tummy pain.</w:t>
            </w:r>
          </w:p>
          <w:p w:rsidR="00000000" w:rsidDel="00000000" w:rsidP="00000000" w:rsidRDefault="00000000" w:rsidRPr="00000000" w14:paraId="0000000F">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As a newly hired food and beverage department employee, I had to learn a lot about this topic. However, this was not so a simple task at first. It was quite difficult for me to obtain correct information about food allergies. I needed to gather information from people who had personal experiences with food allergies. Their individual comments were extremely beneficial to me in my professional life. Now, Before serving an item, I use to ask about these issues to the customer. For example- Shellfish is one of the most appealing foods. This item's demand is always rising. It is, however, a source of allergies. In that situation, personally I inquire about the customer's allergy concerns before providing this dish. Besides I along with the other employers of our hotel know what we really have to do. I emphasize about Listing the ingredient, maintaining food production regulations, employers of this department should be provided education and training, proper inspection from Top management should be ensured, an emergency action plan should be prepared. Those subjects need to be evaluated properly by the top-level management to ensure the health issues of customers. I also suggest my customers to be selective about their choices of dishes. If they have any allergy to a particular dish, they should avoid the item for their health. In that case, they can order supplementary items which have the relatively same taste and nutrition. At least it can be a reason for less probability of allergy.  </w:t>
            </w:r>
          </w:p>
          <w:p w:rsidR="00000000" w:rsidDel="00000000" w:rsidP="00000000" w:rsidRDefault="00000000" w:rsidRPr="00000000" w14:paraId="00000011">
            <w:pPr>
              <w:tabs>
                <w:tab w:val="left" w:pos="720"/>
                <w:tab w:val="left" w:pos="1440"/>
                <w:tab w:val="center" w:pos="4567"/>
              </w:tabs>
              <w:spacing w:line="360" w:lineRule="auto"/>
              <w:rPr>
                <w:rFonts w:ascii="Arial" w:cs="Arial" w:eastAsia="Arial" w:hAnsi="Arial"/>
                <w:color w:val="000000"/>
              </w:rPr>
            </w:pPr>
            <w:r w:rsidDel="00000000" w:rsidR="00000000" w:rsidRPr="00000000">
              <w:rPr>
                <w:rFonts w:ascii="Arial" w:cs="Arial" w:eastAsia="Arial" w:hAnsi="Arial"/>
                <w:color w:val="000000"/>
                <w:sz w:val="24"/>
                <w:szCs w:val="24"/>
                <w:rtl w:val="0"/>
              </w:rPr>
              <w:tab/>
              <w:tab/>
              <w:tab/>
            </w: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One of the major concerns in the food industry over the last few decades has been the significant increase in the number of people with food allergies (Loh et al., </w:t>
            </w:r>
            <w:r w:rsidDel="00000000" w:rsidR="00000000" w:rsidRPr="00000000">
              <w:rPr>
                <w:rFonts w:ascii="Arial" w:cs="Arial" w:eastAsia="Arial" w:hAnsi="Arial"/>
                <w:color w:val="000000"/>
                <w:sz w:val="24"/>
                <w:szCs w:val="24"/>
                <w:rtl w:val="0"/>
              </w:rPr>
              <w:t xml:space="preserve">2018). </w:t>
            </w:r>
            <w:r w:rsidDel="00000000" w:rsidR="00000000" w:rsidRPr="00000000">
              <w:rPr>
                <w:rFonts w:ascii="Arial" w:cs="Arial" w:eastAsia="Arial" w:hAnsi="Arial"/>
                <w:color w:val="000000"/>
                <w:rtl w:val="0"/>
              </w:rPr>
              <w:t xml:space="preserve">There is no specific treatment for this problem. As a result, the only option is to be concerned about all sides. Allergy sufferers must avoid certain foods (Muraro et al., </w:t>
            </w:r>
            <w:r w:rsidDel="00000000" w:rsidR="00000000" w:rsidRPr="00000000">
              <w:rPr>
                <w:rFonts w:ascii="Arial" w:cs="Arial" w:eastAsia="Arial" w:hAnsi="Arial"/>
                <w:color w:val="000000"/>
                <w:sz w:val="24"/>
                <w:szCs w:val="24"/>
                <w:rtl w:val="0"/>
              </w:rPr>
              <w:t xml:space="preserve">2014). </w:t>
            </w:r>
            <w:r w:rsidDel="00000000" w:rsidR="00000000" w:rsidRPr="00000000">
              <w:rPr>
                <w:rFonts w:ascii="Arial" w:cs="Arial" w:eastAsia="Arial" w:hAnsi="Arial"/>
                <w:color w:val="000000"/>
                <w:rtl w:val="0"/>
              </w:rPr>
              <w:t xml:space="preserve">Furthermore, for the sake of improvement, the management of this industry must be conscientious and strict. The policies and standards must be followed throughout the whole food and beverage department. A proper inspection and reporting system can help to mitigate the risk of this problem. Because the primary goal of this industry is to serve the client, we should not make any compromises that could harm the customer.</w:t>
            </w:r>
          </w:p>
          <w:p w:rsidR="00000000" w:rsidDel="00000000" w:rsidP="00000000" w:rsidRDefault="00000000" w:rsidRPr="00000000" w14:paraId="00000013">
            <w:pPr>
              <w:spacing w:line="36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color w:val="000000"/>
              </w:rPr>
            </w:pPr>
            <w:r w:rsidDel="00000000" w:rsidR="00000000" w:rsidRPr="00000000">
              <w:rPr>
                <w:rFonts w:ascii="Arial" w:cs="Arial" w:eastAsia="Arial" w:hAnsi="Arial"/>
                <w:b w:val="1"/>
                <w:sz w:val="28"/>
                <w:szCs w:val="28"/>
                <w:rtl w:val="0"/>
              </w:rPr>
              <w:t xml:space="preserve">Reference list: </w:t>
            </w:r>
            <w:r w:rsidDel="00000000" w:rsidR="00000000" w:rsidRPr="00000000">
              <w:rPr>
                <w:rtl w:val="0"/>
              </w:rPr>
            </w:r>
          </w:p>
          <w:p w:rsidR="00000000" w:rsidDel="00000000" w:rsidP="00000000" w:rsidRDefault="00000000" w:rsidRPr="00000000" w14:paraId="00000015">
            <w:pPr>
              <w:spacing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Burks, A.W., Tang, M., Sicherer, S., Muraro, A., Eigenmann, P.A., Ebisawa, M., Fiocchi, A., Chiang, W., Beyer, K., Wood, R. and Hourihane, J., (2012). ICON: food allergy. </w:t>
            </w:r>
            <w:r w:rsidDel="00000000" w:rsidR="00000000" w:rsidRPr="00000000">
              <w:rPr>
                <w:rFonts w:ascii="Arial" w:cs="Arial" w:eastAsia="Arial" w:hAnsi="Arial"/>
                <w:i w:val="1"/>
                <w:color w:val="222222"/>
                <w:highlight w:val="white"/>
                <w:rtl w:val="0"/>
              </w:rPr>
              <w:t xml:space="preserve">Journal of Allergy and Clinical Immunology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129</w:t>
            </w:r>
            <w:r w:rsidDel="00000000" w:rsidR="00000000" w:rsidRPr="00000000">
              <w:rPr>
                <w:rFonts w:ascii="Arial" w:cs="Arial" w:eastAsia="Arial" w:hAnsi="Arial"/>
                <w:color w:val="222222"/>
                <w:highlight w:val="white"/>
                <w:rtl w:val="0"/>
              </w:rPr>
              <w:t xml:space="preserve">(4), pp.906-920.</w:t>
            </w:r>
          </w:p>
          <w:p w:rsidR="00000000" w:rsidDel="00000000" w:rsidP="00000000" w:rsidRDefault="00000000" w:rsidRPr="00000000" w14:paraId="00000016">
            <w:pPr>
              <w:tabs>
                <w:tab w:val="left" w:pos="3165"/>
              </w:tabs>
              <w:spacing w:line="360" w:lineRule="auto"/>
              <w:ind w:firstLine="7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ab/>
            </w:r>
          </w:p>
          <w:p w:rsidR="00000000" w:rsidDel="00000000" w:rsidP="00000000" w:rsidRDefault="00000000" w:rsidRPr="00000000" w14:paraId="00000017">
            <w:pPr>
              <w:spacing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Żukiewicz-Sobczak, W.A., Wróblewska, P., Adamczuk, P. and Kopczyński, P., (2013). Causes, symptoms and prevention of food allergy. </w:t>
            </w:r>
            <w:r w:rsidDel="00000000" w:rsidR="00000000" w:rsidRPr="00000000">
              <w:rPr>
                <w:rFonts w:ascii="Arial" w:cs="Arial" w:eastAsia="Arial" w:hAnsi="Arial"/>
                <w:i w:val="1"/>
                <w:color w:val="222222"/>
                <w:highlight w:val="white"/>
                <w:rtl w:val="0"/>
              </w:rPr>
              <w:t xml:space="preserve">Advances in Dermatology and Allergology/Postȩpy Dermatologii I Alergologii</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30</w:t>
            </w:r>
            <w:r w:rsidDel="00000000" w:rsidR="00000000" w:rsidRPr="00000000">
              <w:rPr>
                <w:rFonts w:ascii="Arial" w:cs="Arial" w:eastAsia="Arial" w:hAnsi="Arial"/>
                <w:color w:val="222222"/>
                <w:highlight w:val="white"/>
                <w:rtl w:val="0"/>
              </w:rPr>
              <w:t xml:space="preserve">(2), p.113.</w:t>
            </w:r>
          </w:p>
          <w:p w:rsidR="00000000" w:rsidDel="00000000" w:rsidP="00000000" w:rsidRDefault="00000000" w:rsidRPr="00000000" w14:paraId="00000018">
            <w:pPr>
              <w:spacing w:line="36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19">
            <w:pPr>
              <w:spacing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De Silva, D., Geromi, M., Panesar, S.S., Muraro, A., Werfel, T., Hoffmann</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rFonts w:ascii="Arial" w:cs="Arial" w:eastAsia="Arial" w:hAnsi="Arial"/>
                <w:color w:val="222222"/>
                <w:highlight w:val="white"/>
                <w:rtl w:val="0"/>
              </w:rPr>
              <w:t xml:space="preserve">Sommergruber, K., Roberts, G., Cardona, V., Dubois, A.E.J., Halken, S. and Host, A., (2014). Acute and long</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rFonts w:ascii="Arial" w:cs="Arial" w:eastAsia="Arial" w:hAnsi="Arial"/>
                <w:color w:val="222222"/>
                <w:highlight w:val="white"/>
                <w:rtl w:val="0"/>
              </w:rPr>
              <w:t xml:space="preserve">term management of food allergy: systematic review. </w:t>
            </w:r>
            <w:r w:rsidDel="00000000" w:rsidR="00000000" w:rsidRPr="00000000">
              <w:rPr>
                <w:rFonts w:ascii="Arial" w:cs="Arial" w:eastAsia="Arial" w:hAnsi="Arial"/>
                <w:i w:val="1"/>
                <w:color w:val="222222"/>
                <w:highlight w:val="white"/>
                <w:rtl w:val="0"/>
              </w:rPr>
              <w:t xml:space="preserve">Allergy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69</w:t>
            </w:r>
            <w:r w:rsidDel="00000000" w:rsidR="00000000" w:rsidRPr="00000000">
              <w:rPr>
                <w:rFonts w:ascii="Arial" w:cs="Arial" w:eastAsia="Arial" w:hAnsi="Arial"/>
                <w:color w:val="222222"/>
                <w:highlight w:val="white"/>
                <w:rtl w:val="0"/>
              </w:rPr>
              <w:t xml:space="preserve">(2), pp.159-167.</w:t>
            </w:r>
          </w:p>
          <w:p w:rsidR="00000000" w:rsidDel="00000000" w:rsidP="00000000" w:rsidRDefault="00000000" w:rsidRPr="00000000" w14:paraId="0000001A">
            <w:pPr>
              <w:spacing w:line="36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color w:val="222222"/>
                <w:sz w:val="20"/>
                <w:szCs w:val="20"/>
                <w:highlight w:val="white"/>
              </w:rPr>
            </w:pPr>
            <w:r w:rsidDel="00000000" w:rsidR="00000000" w:rsidRPr="00000000">
              <w:rPr>
                <w:rFonts w:ascii="Arial" w:cs="Arial" w:eastAsia="Arial" w:hAnsi="Arial"/>
                <w:color w:val="222222"/>
                <w:highlight w:val="white"/>
                <w:rtl w:val="0"/>
              </w:rPr>
              <w:t xml:space="preserve">Longo, G., Berti, I., Burks, A.W., Krauss, B. and Barbi, E., (2013). IgE-mediated food allergy in children. </w:t>
            </w:r>
            <w:r w:rsidDel="00000000" w:rsidR="00000000" w:rsidRPr="00000000">
              <w:rPr>
                <w:rFonts w:ascii="Arial" w:cs="Arial" w:eastAsia="Arial" w:hAnsi="Arial"/>
                <w:i w:val="1"/>
                <w:color w:val="222222"/>
                <w:highlight w:val="white"/>
                <w:rtl w:val="0"/>
              </w:rPr>
              <w:t xml:space="preserve">The Lancet</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382</w:t>
            </w:r>
            <w:r w:rsidDel="00000000" w:rsidR="00000000" w:rsidRPr="00000000">
              <w:rPr>
                <w:rFonts w:ascii="Arial" w:cs="Arial" w:eastAsia="Arial" w:hAnsi="Arial"/>
                <w:color w:val="222222"/>
                <w:highlight w:val="white"/>
                <w:rtl w:val="0"/>
              </w:rPr>
              <w:t xml:space="preserve">(9905), pp.1656-1664</w:t>
            </w:r>
            <w:r w:rsidDel="00000000" w:rsidR="00000000" w:rsidRPr="00000000">
              <w:rPr>
                <w:rFonts w:ascii="Arial" w:cs="Arial" w:eastAsia="Arial" w:hAnsi="Arial"/>
                <w:color w:val="222222"/>
                <w:sz w:val="20"/>
                <w:szCs w:val="20"/>
                <w:highlight w:val="white"/>
                <w:rtl w:val="0"/>
              </w:rPr>
              <w:t xml:space="preserve">.</w:t>
            </w:r>
          </w:p>
          <w:p w:rsidR="00000000" w:rsidDel="00000000" w:rsidP="00000000" w:rsidRDefault="00000000" w:rsidRPr="00000000" w14:paraId="0000001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D">
            <w:pPr>
              <w:spacing w:line="360" w:lineRule="auto"/>
              <w:rPr>
                <w:rFonts w:ascii="Arial" w:cs="Arial" w:eastAsia="Arial" w:hAnsi="Arial"/>
              </w:rPr>
            </w:pPr>
            <w:r w:rsidDel="00000000" w:rsidR="00000000" w:rsidRPr="00000000">
              <w:rPr>
                <w:rFonts w:ascii="Arial" w:cs="Arial" w:eastAsia="Arial" w:hAnsi="Arial"/>
                <w:color w:val="222222"/>
                <w:highlight w:val="white"/>
                <w:rtl w:val="0"/>
              </w:rPr>
              <w:t xml:space="preserve">Loh, Wenyin, and Mimi LK Tang., (2018). "The epidemiology of food allergy in the global context." </w:t>
            </w:r>
            <w:r w:rsidDel="00000000" w:rsidR="00000000" w:rsidRPr="00000000">
              <w:rPr>
                <w:rFonts w:ascii="Arial" w:cs="Arial" w:eastAsia="Arial" w:hAnsi="Arial"/>
                <w:i w:val="1"/>
                <w:color w:val="222222"/>
                <w:highlight w:val="white"/>
                <w:rtl w:val="0"/>
              </w:rPr>
              <w:t xml:space="preserve">International journal of environmental research and public health</w:t>
            </w:r>
            <w:r w:rsidDel="00000000" w:rsidR="00000000" w:rsidRPr="00000000">
              <w:rPr>
                <w:rFonts w:ascii="Arial" w:cs="Arial" w:eastAsia="Arial" w:hAnsi="Arial"/>
                <w:color w:val="222222"/>
                <w:highlight w:val="white"/>
                <w:rtl w:val="0"/>
              </w:rPr>
              <w:t xml:space="preserve"> 15, no. 9 2018: 2043.</w:t>
            </w:r>
            <w:r w:rsidDel="00000000" w:rsidR="00000000" w:rsidRPr="00000000">
              <w:rPr>
                <w:rtl w:val="0"/>
              </w:rPr>
            </w:r>
          </w:p>
          <w:p w:rsidR="00000000" w:rsidDel="00000000" w:rsidP="00000000" w:rsidRDefault="00000000" w:rsidRPr="00000000" w14:paraId="0000001E">
            <w:pPr>
              <w:spacing w:line="360" w:lineRule="auto"/>
              <w:rPr>
                <w:rFonts w:ascii="Arial" w:cs="Arial" w:eastAsia="Arial" w:hAnsi="Arial"/>
              </w:rPr>
            </w:pPr>
            <w:r w:rsidDel="00000000" w:rsidR="00000000" w:rsidRPr="00000000">
              <w:rPr>
                <w:rFonts w:ascii="Arial" w:cs="Arial" w:eastAsia="Arial" w:hAnsi="Arial"/>
                <w:color w:val="222222"/>
                <w:highlight w:val="white"/>
                <w:rtl w:val="0"/>
              </w:rPr>
              <w:t xml:space="preserve">Muraro, A., Werfel, T., Hoffmann</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rFonts w:ascii="Arial" w:cs="Arial" w:eastAsia="Arial" w:hAnsi="Arial"/>
                <w:color w:val="222222"/>
                <w:highlight w:val="white"/>
                <w:rtl w:val="0"/>
              </w:rPr>
              <w:t xml:space="preserve">Sommergruber, K., Roberts, G., Beyer, K., Bindslev</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rFonts w:ascii="Arial" w:cs="Arial" w:eastAsia="Arial" w:hAnsi="Arial"/>
                <w:color w:val="222222"/>
                <w:highlight w:val="white"/>
                <w:rtl w:val="0"/>
              </w:rPr>
              <w:t xml:space="preserve">Jensen, C., Cardona, V., Dubois, A., Dutoit, G., Eigenmann, P. and Fernandez Rivas, M., (2014). EAACI food allergy and anaphylaxis guidelines: diagnosis and management of food allergy. </w:t>
            </w:r>
            <w:r w:rsidDel="00000000" w:rsidR="00000000" w:rsidRPr="00000000">
              <w:rPr>
                <w:rFonts w:ascii="Arial" w:cs="Arial" w:eastAsia="Arial" w:hAnsi="Arial"/>
                <w:i w:val="1"/>
                <w:color w:val="222222"/>
                <w:highlight w:val="white"/>
                <w:rtl w:val="0"/>
              </w:rPr>
              <w:t xml:space="preserve">Allergy</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69</w:t>
            </w:r>
            <w:r w:rsidDel="00000000" w:rsidR="00000000" w:rsidRPr="00000000">
              <w:rPr>
                <w:rFonts w:ascii="Arial" w:cs="Arial" w:eastAsia="Arial" w:hAnsi="Arial"/>
                <w:color w:val="222222"/>
                <w:highlight w:val="white"/>
                <w:rtl w:val="0"/>
              </w:rPr>
              <w:t xml:space="preserve">(8), pp.1008-1025.</w:t>
            </w:r>
            <w:r w:rsidDel="00000000" w:rsidR="00000000" w:rsidRPr="00000000">
              <w:rPr>
                <w:rtl w:val="0"/>
              </w:rPr>
            </w:r>
          </w:p>
        </w:tc>
      </w:tr>
    </w:tbl>
    <w:p w:rsidR="00000000" w:rsidDel="00000000" w:rsidP="00000000" w:rsidRDefault="00000000" w:rsidRPr="00000000" w14:paraId="00000020">
      <w:pPr>
        <w:rPr>
          <w:rFonts w:ascii="Arial" w:cs="Arial" w:eastAsia="Arial" w:hAnsi="Arial"/>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before="12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autoRedefine w:val="1"/>
    <w:uiPriority w:val="9"/>
    <w:qFormat w:val="1"/>
    <w:rsid w:val="00F77523"/>
    <w:pPr>
      <w:keepNext w:val="1"/>
      <w:keepLines w:val="1"/>
      <w:spacing w:after="0" w:before="240"/>
      <w:outlineLvl w:val="0"/>
    </w:pPr>
    <w:rPr>
      <w:rFonts w:cstheme="majorBidi" w:eastAsiaTheme="majorEastAsia"/>
      <w:color w:val="2f5496" w:themeColor="accent1" w:themeShade="0000BF"/>
      <w:sz w:val="32"/>
      <w:szCs w:val="32"/>
    </w:rPr>
  </w:style>
  <w:style w:type="paragraph" w:styleId="Heading2">
    <w:name w:val="heading 2"/>
    <w:basedOn w:val="Normal"/>
    <w:next w:val="Normal"/>
    <w:link w:val="Heading2Char"/>
    <w:autoRedefine w:val="1"/>
    <w:uiPriority w:val="9"/>
    <w:semiHidden w:val="1"/>
    <w:unhideWhenUsed w:val="1"/>
    <w:qFormat w:val="1"/>
    <w:rsid w:val="00F77523"/>
    <w:pPr>
      <w:keepNext w:val="1"/>
      <w:keepLines w:val="1"/>
      <w:spacing w:after="0" w:before="40"/>
      <w:outlineLvl w:val="1"/>
    </w:pPr>
    <w:rPr>
      <w:rFonts w:cstheme="majorBidi" w:eastAsiaTheme="majorEastAsia"/>
      <w:color w:val="2f5496" w:themeColor="accent1" w:themeShade="0000BF"/>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77523"/>
    <w:rPr>
      <w:rFonts w:cstheme="majorBidi" w:eastAsiaTheme="majorEastAsia"/>
      <w:color w:val="2f5496" w:themeColor="accent1" w:themeShade="0000BF"/>
      <w:sz w:val="32"/>
      <w:szCs w:val="32"/>
    </w:rPr>
  </w:style>
  <w:style w:type="character" w:styleId="Heading2Char" w:customStyle="1">
    <w:name w:val="Heading 2 Char"/>
    <w:basedOn w:val="DefaultParagraphFont"/>
    <w:link w:val="Heading2"/>
    <w:uiPriority w:val="9"/>
    <w:semiHidden w:val="1"/>
    <w:rsid w:val="00F77523"/>
    <w:rPr>
      <w:rFonts w:cstheme="majorBidi" w:eastAsiaTheme="majorEastAsia"/>
      <w:color w:val="2f5496" w:themeColor="accent1" w:themeShade="0000BF"/>
      <w:sz w:val="28"/>
      <w:szCs w:val="26"/>
    </w:rPr>
  </w:style>
  <w:style w:type="table" w:styleId="TableGrid">
    <w:name w:val="Table Grid"/>
    <w:basedOn w:val="TableNormal"/>
    <w:uiPriority w:val="39"/>
    <w:rsid w:val="005A0019"/>
    <w:pPr>
      <w:spacing w:after="0" w:before="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4A5D8C"/>
    <w:pPr>
      <w:spacing w:after="0" w:before="0" w:line="240" w:lineRule="auto"/>
    </w:pPr>
  </w:style>
  <w:style w:type="paragraph" w:styleId="Header">
    <w:name w:val="header"/>
    <w:basedOn w:val="Normal"/>
    <w:link w:val="HeaderChar"/>
    <w:uiPriority w:val="99"/>
    <w:unhideWhenUsed w:val="1"/>
    <w:rsid w:val="006653B0"/>
    <w:pPr>
      <w:tabs>
        <w:tab w:val="center" w:pos="4513"/>
        <w:tab w:val="right" w:pos="9026"/>
      </w:tabs>
      <w:spacing w:after="0" w:before="0" w:line="240" w:lineRule="auto"/>
    </w:pPr>
  </w:style>
  <w:style w:type="character" w:styleId="HeaderChar" w:customStyle="1">
    <w:name w:val="Header Char"/>
    <w:basedOn w:val="DefaultParagraphFont"/>
    <w:link w:val="Header"/>
    <w:uiPriority w:val="99"/>
    <w:rsid w:val="006653B0"/>
  </w:style>
  <w:style w:type="paragraph" w:styleId="Footer">
    <w:name w:val="footer"/>
    <w:basedOn w:val="Normal"/>
    <w:link w:val="FooterChar"/>
    <w:uiPriority w:val="99"/>
    <w:unhideWhenUsed w:val="1"/>
    <w:rsid w:val="006653B0"/>
    <w:pPr>
      <w:tabs>
        <w:tab w:val="center" w:pos="4513"/>
        <w:tab w:val="right" w:pos="9026"/>
      </w:tabs>
      <w:spacing w:after="0" w:before="0" w:line="240" w:lineRule="auto"/>
    </w:pPr>
  </w:style>
  <w:style w:type="character" w:styleId="FooterChar" w:customStyle="1">
    <w:name w:val="Footer Char"/>
    <w:basedOn w:val="DefaultParagraphFont"/>
    <w:link w:val="Footer"/>
    <w:uiPriority w:val="99"/>
    <w:rsid w:val="006653B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before="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before="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Oyf9X+2tOfU14TeMQBww2ujQhQ==">AMUW2mXSTiJqzVCdWQp/p6fmoEhfuLS8oj9Imm+6p5n8lhj+Qf7vE6dPXclAhaesvwcH/Zh4kA60VhIb3JNmnHaAlf42Js3J0YMrV3c6rpr+CznctBTjQXQ=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2022-01-30T04:44:00Z</dcterms:created>
</cp:coreProperties>
</file>