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7BED1B1F" w:rsidRDefault="2C7F5459" w:rsidP="2C7F5459">
      <w:pPr>
        <w:rPr>
          <w:rFonts w:eastAsiaTheme="minorEastAsia"/>
          <w:sz w:val="24"/>
          <w:szCs w:val="24"/>
        </w:rPr>
      </w:pPr>
      <w:r w:rsidRPr="2C7F5459">
        <w:rPr>
          <w:rFonts w:eastAsiaTheme="minorEastAsia"/>
          <w:sz w:val="24"/>
          <w:szCs w:val="24"/>
        </w:rPr>
        <w:t xml:space="preserve">The purpose of this essay is to gain an understanding of the Attachment Development Theory; consider the importance of the caregiver in a young child’s emotional development and look at the barriers and challenges they may encounter throughout their life-time. </w:t>
      </w:r>
    </w:p>
    <w:p w:rsidR="7BED1B1F" w:rsidRDefault="2D13F4B3" w:rsidP="2D13F4B3">
      <w:pPr>
        <w:rPr>
          <w:rFonts w:eastAsiaTheme="minorEastAsia"/>
          <w:sz w:val="24"/>
          <w:szCs w:val="24"/>
        </w:rPr>
      </w:pPr>
      <w:r w:rsidRPr="2D13F4B3">
        <w:rPr>
          <w:rFonts w:eastAsiaTheme="minorEastAsia"/>
          <w:sz w:val="24"/>
          <w:szCs w:val="24"/>
        </w:rPr>
        <w:t xml:space="preserve">Attachment can be described as a profound and everlasting bond which associates one individual to another </w:t>
      </w:r>
      <w:r w:rsidRPr="2D13F4B3">
        <w:rPr>
          <w:rFonts w:ascii="Calibri" w:eastAsia="Calibri" w:hAnsi="Calibri" w:cs="Calibri"/>
          <w:sz w:val="24"/>
          <w:szCs w:val="24"/>
        </w:rPr>
        <w:t>(Bukatko and Daehler 2004)</w:t>
      </w:r>
      <w:r w:rsidRPr="2D13F4B3">
        <w:rPr>
          <w:rFonts w:eastAsiaTheme="minorEastAsia"/>
          <w:sz w:val="24"/>
          <w:szCs w:val="24"/>
        </w:rPr>
        <w:t>, normally between an infant and its mother.It</w:t>
      </w:r>
      <w:r w:rsidRPr="2D13F4B3">
        <w:rPr>
          <w:rFonts w:ascii="Calibri" w:eastAsia="Calibri" w:hAnsi="Calibri" w:cs="Calibri"/>
          <w:sz w:val="24"/>
          <w:szCs w:val="24"/>
        </w:rPr>
        <w:t>plays a significant part in psychological development and is also recognised as having close links to cognitive, social and emotional development.</w:t>
      </w:r>
      <w:r w:rsidRPr="2D13F4B3">
        <w:rPr>
          <w:rFonts w:eastAsiaTheme="minorEastAsia"/>
          <w:sz w:val="24"/>
          <w:szCs w:val="24"/>
        </w:rPr>
        <w:t xml:space="preserve"> According to Taylor and Wright (2019), a</w:t>
      </w:r>
      <w:r w:rsidRPr="2D13F4B3">
        <w:rPr>
          <w:rFonts w:ascii="Calibri" w:eastAsia="Calibri" w:hAnsi="Calibri" w:cs="Calibri"/>
          <w:sz w:val="24"/>
          <w:szCs w:val="24"/>
        </w:rPr>
        <w:t xml:space="preserve"> bond is all about the caregiver and the feelings of love and affection they feel towards their baby. This bond can surface during pregnancy, at the first scan or hold of the baby after giving birth, at first sight if adopting, or in some instances it may take longer.  </w:t>
      </w:r>
      <w:r w:rsidRPr="2D13F4B3">
        <w:rPr>
          <w:rFonts w:eastAsiaTheme="minorEastAsia"/>
          <w:sz w:val="24"/>
          <w:szCs w:val="24"/>
        </w:rPr>
        <w:t>Development is a process initiated from the time of conception and changes constantly throughout a person's life-time, both from a physical and psychological perspective. Theory is a logically organised supposition or system of ideas, which offers a structure in which to identify and categorise annotations that can be tested and supported or challenged (Keenan, Evans and Crowley, 2016).</w:t>
      </w:r>
    </w:p>
    <w:p w:rsidR="49DD0385" w:rsidRDefault="2D13F4B3" w:rsidP="2D13F4B3">
      <w:pPr>
        <w:rPr>
          <w:rFonts w:ascii="Calibri" w:eastAsia="Calibri" w:hAnsi="Calibri" w:cs="Calibri"/>
          <w:sz w:val="24"/>
          <w:szCs w:val="24"/>
        </w:rPr>
      </w:pPr>
      <w:r w:rsidRPr="2D13F4B3">
        <w:rPr>
          <w:rFonts w:eastAsiaTheme="minorEastAsia"/>
          <w:sz w:val="24"/>
          <w:szCs w:val="24"/>
        </w:rPr>
        <w:t>The Attachment Development Theory was first introduced in 1969 by Bowlby a 20</w:t>
      </w:r>
      <w:r w:rsidRPr="2D13F4B3">
        <w:rPr>
          <w:rFonts w:eastAsiaTheme="minorEastAsia"/>
          <w:sz w:val="24"/>
          <w:szCs w:val="24"/>
          <w:vertAlign w:val="superscript"/>
        </w:rPr>
        <w:t>th</w:t>
      </w:r>
      <w:r w:rsidRPr="2D13F4B3">
        <w:rPr>
          <w:rFonts w:eastAsiaTheme="minorEastAsia"/>
          <w:sz w:val="24"/>
          <w:szCs w:val="24"/>
        </w:rPr>
        <w:t xml:space="preserve"> century psychologist and psychiatrist as described by (Johnston and Nahmad-Williams, 2009)</w:t>
      </w:r>
      <w:r w:rsidRPr="2D13F4B3">
        <w:rPr>
          <w:rFonts w:eastAsiaTheme="minorEastAsia"/>
          <w:color w:val="4471C4"/>
          <w:sz w:val="24"/>
          <w:szCs w:val="24"/>
        </w:rPr>
        <w:t>.</w:t>
      </w:r>
      <w:r w:rsidRPr="2D13F4B3">
        <w:rPr>
          <w:rFonts w:eastAsiaTheme="minorEastAsia"/>
          <w:sz w:val="24"/>
          <w:szCs w:val="24"/>
        </w:rPr>
        <w:t xml:space="preserve"> From his initial involvement and research into child development, Bowlby concluded that it was vital for babies to have a safe, secure and reliable bond with their primary caregiver if they were to develop fully into adulthood. Without this bond babies were at risk of behavioural and emotional issues in later life. </w:t>
      </w:r>
      <w:r w:rsidRPr="2D13F4B3">
        <w:rPr>
          <w:rFonts w:ascii="Calibri" w:eastAsia="Calibri" w:hAnsi="Calibri" w:cs="Calibri"/>
          <w:sz w:val="24"/>
          <w:szCs w:val="24"/>
        </w:rPr>
        <w:t>In an ideal world, an attachment relationship would be the prototype from which love and support flourish. It is where an infant feels optimistic, safe and protected by its biological birth mother whilst acquiring a knowledge and understanding of the planet (Keenan and Evans 2009).  In modern times where the mother also works, the primary caregiver can be the father. An infant may also form multiple attachments, be it with a grandparent or at childcare and it is now compulsory for all child care services to allocate a primary carer for each child within their organisational structure.</w:t>
      </w:r>
    </w:p>
    <w:p w:rsidR="140F6AE0" w:rsidRDefault="2D13F4B3" w:rsidP="2D13F4B3">
      <w:pPr>
        <w:rPr>
          <w:rFonts w:ascii="Calibri" w:eastAsia="Calibri" w:hAnsi="Calibri" w:cs="Calibri"/>
          <w:sz w:val="24"/>
          <w:szCs w:val="24"/>
        </w:rPr>
      </w:pPr>
      <w:r w:rsidRPr="2D13F4B3">
        <w:rPr>
          <w:rFonts w:ascii="Calibri" w:eastAsia="Calibri" w:hAnsi="Calibri" w:cs="Calibri"/>
          <w:sz w:val="24"/>
          <w:szCs w:val="24"/>
        </w:rPr>
        <w:t>Many factors contribute to making people who they are including genetic inheritances, upbringing and background; gender from both a biological and social perspective; cultural aspects such as nationality, social class and geographically; and chance fortunes or misfortunes, such as a lottery win or physical accident. Bowlby likens attachment to a control system (Schaffer, 2010). He compares the closeness of the infant to the parent to the balanced state of a thermostat. Once the state is established attachment behaviours becomes dormant and the infant can move forward to accomplish new ambitions. For example, an infant may not get upset or hang on to their caregiver unless threatened, but if the situation should arise, attachment reflexes are reactivated. The way an infant reacts to this type of scenario is modified with age and cognitive and behavioural development. It also varies depending on the infant's health, current state of mind and familiarity of surroundings, with the key objective being survival.</w:t>
      </w:r>
    </w:p>
    <w:p w:rsidR="49DD0385" w:rsidRDefault="2C7F5459" w:rsidP="2C7F5459">
      <w:pPr>
        <w:rPr>
          <w:rFonts w:ascii="Calibri" w:eastAsia="Calibri" w:hAnsi="Calibri" w:cs="Calibri"/>
          <w:sz w:val="24"/>
          <w:szCs w:val="24"/>
        </w:rPr>
      </w:pPr>
      <w:r w:rsidRPr="2C7F5459">
        <w:rPr>
          <w:rFonts w:ascii="Calibri" w:eastAsia="Calibri" w:hAnsi="Calibri" w:cs="Calibri"/>
          <w:sz w:val="24"/>
          <w:szCs w:val="24"/>
        </w:rPr>
        <w:t xml:space="preserve">Ainsworth was one of the first theorists to draw attention to the value of good parenting. He recognised the caregiver of a strongly attached infant as being sensitive and consistent in the way they responded to the infant’s needs, whereas an infant who experienced </w:t>
      </w:r>
      <w:r w:rsidRPr="2C7F5459">
        <w:rPr>
          <w:rFonts w:ascii="Calibri" w:eastAsia="Calibri" w:hAnsi="Calibri" w:cs="Calibri"/>
          <w:sz w:val="24"/>
          <w:szCs w:val="24"/>
        </w:rPr>
        <w:lastRenderedPageBreak/>
        <w:t xml:space="preserve">insensitivity from neglect or an over intrusive caregiver may develop an insecure attachment and fail to develop the confidence and security they needed to progress and mature in later life. He believed attachment relationships did not happen instantly but appeared gradually during the first few years of a baby’s life. The Attachment Development Theory explains how the parent-child relationship becomes visible and the impact it has on future development. </w:t>
      </w:r>
    </w:p>
    <w:p w:rsidR="49DD0385" w:rsidRDefault="2D13F4B3" w:rsidP="2D13F4B3">
      <w:pPr>
        <w:rPr>
          <w:rFonts w:ascii="Calibri" w:eastAsia="Calibri" w:hAnsi="Calibri" w:cs="Calibri"/>
          <w:sz w:val="24"/>
          <w:szCs w:val="24"/>
        </w:rPr>
      </w:pPr>
      <w:r w:rsidRPr="2D13F4B3">
        <w:rPr>
          <w:rFonts w:ascii="Calibri" w:eastAsia="Calibri" w:hAnsi="Calibri" w:cs="Calibri"/>
          <w:sz w:val="24"/>
          <w:szCs w:val="24"/>
        </w:rPr>
        <w:t>A testing paradigm, also known as the strange situation, is one method used to measure the quality of attachment in an infant as quantified by (Johnston and Nahmad-Williams, 2009). Theyacknowledge the work of Ainsworth and her co-workers who devised this assessment and classification structure to illustrate the diverse forms of security. Four types of attachment were uncovered during this process which took place in an unfamiliar room setting. First off, the caregiver and infant were alone; then with a stranger; then the caregiver left the infant with the stranger; then the infant was left completely alone before finally reuniting with its caregiver. They recognised that the stress the situation generated, was enough to trigger off attachment behaviours which could be recorded to calculate the worth of the caregiver, the benefits of early attachment and how they differed depending on the type of bond already formed.  Most fell into the securely attached category; that is, they were only minimally disrupted during separation, but showed positive reactions on the caregivers return, which showed encouraging early life experiences. Subsequently these infants would be expected to develop strong relationships with adults and peers and a positive self-worth, enabling them to prosper intellectually during play and in school and adulthood. Most who were not in this group, fell into the insecurely attached category. Either through avoidance where the infant did not seem to make eye contact with the caregiver when they were present or on their return and did not appear to be particularly bothered when left alone with the stranger. Or, resistant where the infant was deeply upset when separated from the caregiver and hard to pacify on their return, swaying from wanting comfort to resisting it. Both were identified as at risk in future relationships and various other areas of life. The few remaining came under the disorganised category. These infants appeared confused and anxious, with little self-esteem and showed inconsistent behaviours when reunited with their caregiver. This group was the most at risk of developing insecurities and mental disorders in the future.</w:t>
      </w:r>
    </w:p>
    <w:p w:rsidR="3955F45F" w:rsidRDefault="2D13F4B3" w:rsidP="2D13F4B3">
      <w:pPr>
        <w:rPr>
          <w:rFonts w:ascii="Calibri" w:eastAsia="Calibri" w:hAnsi="Calibri" w:cs="Calibri"/>
          <w:sz w:val="24"/>
          <w:szCs w:val="24"/>
        </w:rPr>
      </w:pPr>
      <w:r w:rsidRPr="2D13F4B3">
        <w:rPr>
          <w:rFonts w:ascii="Calibri" w:eastAsia="Calibri" w:hAnsi="Calibri" w:cs="Calibri"/>
          <w:sz w:val="24"/>
          <w:szCs w:val="24"/>
        </w:rPr>
        <w:t xml:space="preserve">This system has received strong criticism due to the limited age range of those tested (12 to 18 months) along with the contrived environment and limited behaviours as recorded by (Shaffer, 2004). It also failed to consider infants who attended pre-school nurseries and those from unconventional backgrounds, far removed from the western culture. </w:t>
      </w:r>
    </w:p>
    <w:p w:rsidR="3955F45F" w:rsidRDefault="2D13F4B3" w:rsidP="2D13F4B3">
      <w:pPr>
        <w:rPr>
          <w:rFonts w:ascii="Calibri" w:eastAsia="Calibri" w:hAnsi="Calibri" w:cs="Calibri"/>
          <w:sz w:val="24"/>
          <w:szCs w:val="24"/>
        </w:rPr>
      </w:pPr>
      <w:r w:rsidRPr="2D13F4B3">
        <w:rPr>
          <w:rFonts w:ascii="Calibri" w:eastAsia="Calibri" w:hAnsi="Calibri" w:cs="Calibri"/>
          <w:sz w:val="24"/>
          <w:szCs w:val="24"/>
        </w:rPr>
        <w:t xml:space="preserve">Other theorists looked at development from an ethological perspective as documented by </w:t>
      </w:r>
      <w:r w:rsidRPr="2D13F4B3">
        <w:rPr>
          <w:rFonts w:eastAsiaTheme="minorEastAsia"/>
          <w:sz w:val="24"/>
          <w:szCs w:val="24"/>
        </w:rPr>
        <w:t>(Keenan, Evans and Crowley, 2016)</w:t>
      </w:r>
      <w:r w:rsidRPr="2D13F4B3">
        <w:rPr>
          <w:rFonts w:ascii="Calibri" w:eastAsia="Calibri" w:hAnsi="Calibri" w:cs="Calibri"/>
          <w:sz w:val="24"/>
          <w:szCs w:val="24"/>
        </w:rPr>
        <w:t xml:space="preserve">. First applied to the study of children in the 1960's, ethology is the study of animals within their natural environment and how they adapted their behaviours in order to survive.  It originated from Charles Darwin's work on evolution, but modern theories are down to Lorenz and Tinbergen, two European zoologists (Keenan and Evans,2009). One of the most common behavioural patterns they recognised was imprinting, which looks at the early behaviours of some species of birds. This happens very </w:t>
      </w:r>
      <w:r w:rsidRPr="2D13F4B3">
        <w:rPr>
          <w:rFonts w:ascii="Calibri" w:eastAsia="Calibri" w:hAnsi="Calibri" w:cs="Calibri"/>
          <w:sz w:val="24"/>
          <w:szCs w:val="24"/>
        </w:rPr>
        <w:lastRenderedPageBreak/>
        <w:t>quickly to guarantee the young birds stay close to their mother so they can be fed and safeguarded from harm. While it doesn't appear to happen with humans, certain aspects can be applied to child development theories. Imprinting occurs during a limited time span, described as a critical period, when a living thing is biologically willing to master specific behaviours. Lorenz found that if the mother was not accessible during this critical period, goslings would imprint on another moving object that bore a resemblance, confirming that their natural inclination was not an automatic reaction.  He saw behaviour as programmed and very much dependent on the environment. This was beautifully illustrated in the 1996 film production called 'Fly Away Home', which was based on a true story. When a construction company destroyed a natural woodlandin Canada, a nest of goose eggs was left abandoned without their mother to protect them. A young girl found the eggs and took them back to her father's barn to care for. When they hatched, they imprinted on Amy as their 'mother goose' and begin to follow her around. The local wildlife warden wanted to clip their wings to stop them from flying, so the only way to protect them was to teach them how to fly for them to follow their natural migration pattern. Her father an inventor taught his daughter how to fly and using two ultra-light aircrafts, they lead the birds south for the winter.</w:t>
      </w:r>
    </w:p>
    <w:p w:rsidR="2D13F4B3" w:rsidRDefault="2D13F4B3" w:rsidP="2D13F4B3">
      <w:pPr>
        <w:rPr>
          <w:rFonts w:ascii="Calibri" w:eastAsia="Calibri" w:hAnsi="Calibri" w:cs="Calibri"/>
          <w:sz w:val="24"/>
          <w:szCs w:val="24"/>
        </w:rPr>
      </w:pPr>
      <w:r w:rsidRPr="2D13F4B3">
        <w:rPr>
          <w:rFonts w:ascii="Calibri" w:eastAsia="Calibri" w:hAnsi="Calibri" w:cs="Calibri"/>
          <w:sz w:val="24"/>
          <w:szCs w:val="24"/>
        </w:rPr>
        <w:t>Secure attachment also helps with self-regulation Walker (2016), which is the ability to control and manage one’s own behaviour without the intervention of an external body. It allows children to manage their thoughts, emotions and feelings whilst controlling their impulses, which is an important life skill essential in both school and life.</w:t>
      </w:r>
    </w:p>
    <w:p w:rsidR="7D015048" w:rsidRDefault="2D13F4B3" w:rsidP="2D13F4B3">
      <w:pPr>
        <w:rPr>
          <w:rFonts w:ascii="Calibri" w:eastAsia="Calibri" w:hAnsi="Calibri" w:cs="Calibri"/>
          <w:sz w:val="24"/>
          <w:szCs w:val="24"/>
        </w:rPr>
      </w:pPr>
      <w:r w:rsidRPr="2D13F4B3">
        <w:rPr>
          <w:rFonts w:ascii="Calibri" w:eastAsia="Calibri" w:hAnsi="Calibri" w:cs="Calibri"/>
          <w:sz w:val="24"/>
          <w:szCs w:val="24"/>
        </w:rPr>
        <w:t xml:space="preserve">Regrettably not all children are privileged enough to have a positive start in life as referred to by (Schaffer 2010), with some facing barriers and challenges that can affect their childhood and chances of reaching their full potential in adulthood. Some occur even before they are born, which may be primarily down to alcohol and or drug abuse by one or both parents and anorexia to name but a few. Premature babies may need to be incubated apart from their mothers while others are born with disabilities through no fault of their own. Young parents or those living in poverty may also experience difficulties. </w:t>
      </w:r>
    </w:p>
    <w:p w:rsidR="7D015048" w:rsidRDefault="2D13F4B3" w:rsidP="2D13F4B3">
      <w:pPr>
        <w:rPr>
          <w:rFonts w:ascii="Calibri" w:eastAsia="Calibri" w:hAnsi="Calibri" w:cs="Calibri"/>
          <w:sz w:val="24"/>
          <w:szCs w:val="24"/>
        </w:rPr>
      </w:pPr>
      <w:r w:rsidRPr="2D13F4B3">
        <w:rPr>
          <w:rFonts w:ascii="Calibri" w:eastAsia="Calibri" w:hAnsi="Calibri" w:cs="Calibri"/>
          <w:sz w:val="24"/>
          <w:szCs w:val="24"/>
        </w:rPr>
        <w:t xml:space="preserve">Bowlby believed that if an infant had not received its first lifelong experience of an emotionally significant relationship between the age of six and twelve months, future relationships would be considered unattainable.  However, subsequent investigations carried out to validate the strength of his theory have been unable to support this evidence. One such investigation carried out by Chisholm (1998, demonstrated by Shaffer, 2010) reflected on Romanian orphans who started their lives in an orphanage, until being adopted between the age of 8 months and five and a half years. He established that even the children adopted in the latter stages, were still able to form attachments and emotional bonds with their adoptive parents. Having said this, concerns were raised about their essential attributes such as the security which a normal attached child would feel and how difficult it was for them to be comforted when they were upset. Chisholm’s report affirms that the critical period is not just limited to the first few years and attachments can be formed at a much later date, but with some unsettling details still being documented. </w:t>
      </w:r>
    </w:p>
    <w:p w:rsidR="7D015048" w:rsidRDefault="2D13F4B3" w:rsidP="2D13F4B3">
      <w:pPr>
        <w:rPr>
          <w:rFonts w:ascii="Calibri" w:eastAsia="Calibri" w:hAnsi="Calibri" w:cs="Calibri"/>
          <w:sz w:val="24"/>
          <w:szCs w:val="24"/>
        </w:rPr>
      </w:pPr>
      <w:r w:rsidRPr="2D13F4B3">
        <w:rPr>
          <w:rFonts w:ascii="Calibri" w:eastAsia="Calibri" w:hAnsi="Calibri" w:cs="Calibri"/>
          <w:sz w:val="24"/>
          <w:szCs w:val="24"/>
        </w:rPr>
        <w:t>Cultural differences may also play an important part as noted by (Thornton, 2008). With Germany producing the largest number of insecure-resistant attachments and Japan the most insecure-resistant. It is not clear if these connotations are simply down to their diverse cultures which may impact on the reliability of the strange situation, or that their traditional parenting approaches generate contrasting forms of attachment. German mothers are encouraged to support their infants to become independent from twelve months old, which may cause increased anxiety or make them more self-supportive, both of which could come over as avoidant. Whereas Japanese babies are rarely away from their mothers and could become frightened in unaccustomed situations. This may be because they are always with the mother while she is carrying out her daily responsibilities, and her attentiveness to the child maybe discontinuous, resulting in an insecure-resistant attachment. Either way, these inconsistencies reinforce the fact that all scenarios have their constraints.</w:t>
      </w:r>
    </w:p>
    <w:p w:rsidR="7D015048" w:rsidRDefault="2D13F4B3" w:rsidP="2D13F4B3">
      <w:pPr>
        <w:rPr>
          <w:rFonts w:ascii="Calibri" w:eastAsia="Calibri" w:hAnsi="Calibri" w:cs="Calibri"/>
          <w:sz w:val="24"/>
          <w:szCs w:val="24"/>
        </w:rPr>
      </w:pPr>
      <w:r w:rsidRPr="2D13F4B3">
        <w:rPr>
          <w:rFonts w:ascii="Calibri" w:eastAsia="Calibri" w:hAnsi="Calibri" w:cs="Calibri"/>
          <w:sz w:val="24"/>
          <w:szCs w:val="24"/>
        </w:rPr>
        <w:t>As already stated, the fundamental role of attachment is for the caregiver to safeguard dependant infants. If the infant is subjected to neglect, physical or emotional abuse or some other form of mistreatment, it can have major effects on their attachment development. Barnett, Ganiban and Cicchetti (1999,recorded by Shaffer, 2010) found that children who had a history of mistreatment were insecure, troubled and emotionally confused, making it difficult if not impossible for them to hold down relationships. These symptoms usually continued into adulthood where they might lack the ability to trust others and as a result may find it extremely difficult to form and retain any kind of friendships or relationships both on a personal and professional level. Also, of concern is the fact that abused children are more likely to become abusers themselves, passing down their adverse behaviours to future generations. Maltreated children may also be susceptible to psychopathic tendencies, such as depression, recklessness, violence and criminal misdemeanours.</w:t>
      </w:r>
    </w:p>
    <w:p w:rsidR="2D13F4B3" w:rsidRDefault="2D13F4B3" w:rsidP="2D13F4B3">
      <w:pPr>
        <w:rPr>
          <w:rFonts w:ascii="Calibri" w:eastAsia="Calibri" w:hAnsi="Calibri" w:cs="Calibri"/>
          <w:sz w:val="24"/>
          <w:szCs w:val="24"/>
        </w:rPr>
      </w:pPr>
      <w:r w:rsidRPr="2D13F4B3">
        <w:rPr>
          <w:rFonts w:ascii="Calibri" w:eastAsia="Calibri" w:hAnsi="Calibri" w:cs="Calibri"/>
          <w:sz w:val="24"/>
          <w:szCs w:val="24"/>
        </w:rPr>
        <w:t>Even today there is no definitive answer.</w:t>
      </w:r>
    </w:p>
    <w:p w:rsidR="2D13F4B3" w:rsidRDefault="2D13F4B3" w:rsidP="2D13F4B3">
      <w:pPr>
        <w:rPr>
          <w:rFonts w:ascii="Calibri" w:eastAsia="Calibri" w:hAnsi="Calibri" w:cs="Calibri"/>
          <w:sz w:val="24"/>
          <w:szCs w:val="24"/>
          <w:u w:val="single"/>
        </w:rPr>
      </w:pPr>
      <w:r w:rsidRPr="2D13F4B3">
        <w:rPr>
          <w:rFonts w:ascii="Calibri" w:eastAsia="Calibri" w:hAnsi="Calibri" w:cs="Calibri"/>
          <w:sz w:val="24"/>
          <w:szCs w:val="24"/>
          <w:u w:val="single"/>
        </w:rPr>
        <w:t>References:</w:t>
      </w:r>
    </w:p>
    <w:p w:rsidR="2D13F4B3" w:rsidRDefault="2D13F4B3" w:rsidP="2D13F4B3">
      <w:r w:rsidRPr="2D13F4B3">
        <w:rPr>
          <w:rFonts w:ascii="Calibri" w:eastAsia="Calibri" w:hAnsi="Calibri" w:cs="Calibri"/>
          <w:sz w:val="24"/>
          <w:szCs w:val="24"/>
          <w:lang/>
        </w:rPr>
        <w:t xml:space="preserve">Bukato , D. and Daehler M. W. (2004) </w:t>
      </w:r>
      <w:r w:rsidRPr="2D13F4B3">
        <w:rPr>
          <w:rFonts w:ascii="Calibri" w:eastAsia="Calibri" w:hAnsi="Calibri" w:cs="Calibri"/>
          <w:i/>
          <w:iCs/>
          <w:sz w:val="24"/>
          <w:szCs w:val="24"/>
          <w:lang/>
        </w:rPr>
        <w:t xml:space="preserve">Child Development A Thematic Approach. </w:t>
      </w:r>
      <w:r w:rsidRPr="2D13F4B3">
        <w:rPr>
          <w:rFonts w:ascii="Calibri" w:eastAsia="Calibri" w:hAnsi="Calibri" w:cs="Calibri"/>
          <w:sz w:val="24"/>
          <w:szCs w:val="24"/>
          <w:lang/>
        </w:rPr>
        <w:t>5th Ed. Boston: Houghton Mifflin Company.</w:t>
      </w:r>
    </w:p>
    <w:p w:rsidR="2D13F4B3" w:rsidRDefault="2D13F4B3" w:rsidP="2D13F4B3">
      <w:r w:rsidRPr="2D13F4B3">
        <w:rPr>
          <w:rFonts w:ascii="Calibri" w:eastAsia="Calibri" w:hAnsi="Calibri" w:cs="Calibri"/>
          <w:sz w:val="24"/>
          <w:szCs w:val="24"/>
          <w:lang/>
        </w:rPr>
        <w:t xml:space="preserve">Johnston, J. and Nahmad-Williams, L. (2009) </w:t>
      </w:r>
      <w:r w:rsidRPr="2D13F4B3">
        <w:rPr>
          <w:rFonts w:ascii="Calibri" w:eastAsia="Calibri" w:hAnsi="Calibri" w:cs="Calibri"/>
          <w:i/>
          <w:iCs/>
          <w:sz w:val="24"/>
          <w:szCs w:val="24"/>
          <w:lang/>
        </w:rPr>
        <w:t xml:space="preserve">Early Childhood Studies. </w:t>
      </w:r>
      <w:r w:rsidRPr="2D13F4B3">
        <w:rPr>
          <w:rFonts w:ascii="Calibri" w:eastAsia="Calibri" w:hAnsi="Calibri" w:cs="Calibri"/>
          <w:sz w:val="24"/>
          <w:szCs w:val="24"/>
          <w:lang/>
        </w:rPr>
        <w:t>Essex: Pearson Education Limited.</w:t>
      </w:r>
    </w:p>
    <w:p w:rsidR="2D13F4B3" w:rsidRDefault="2D13F4B3" w:rsidP="2D13F4B3">
      <w:r w:rsidRPr="2D13F4B3">
        <w:rPr>
          <w:rFonts w:ascii="Calibri" w:eastAsia="Calibri" w:hAnsi="Calibri" w:cs="Calibri"/>
          <w:sz w:val="24"/>
          <w:szCs w:val="24"/>
        </w:rPr>
        <w:t xml:space="preserve">Keenan, T. and Evans, S. (2009) </w:t>
      </w:r>
      <w:r w:rsidRPr="2D13F4B3">
        <w:rPr>
          <w:rFonts w:ascii="Calibri" w:eastAsia="Calibri" w:hAnsi="Calibri" w:cs="Calibri"/>
          <w:i/>
          <w:iCs/>
          <w:sz w:val="24"/>
          <w:szCs w:val="24"/>
        </w:rPr>
        <w:t xml:space="preserve">An Introduction to Child Development. </w:t>
      </w:r>
      <w:r w:rsidRPr="2D13F4B3">
        <w:rPr>
          <w:rFonts w:ascii="Calibri" w:eastAsia="Calibri" w:hAnsi="Calibri" w:cs="Calibri"/>
          <w:sz w:val="24"/>
          <w:szCs w:val="24"/>
        </w:rPr>
        <w:t>2nd Ed. London: SAGE Publications Ltd.</w:t>
      </w:r>
    </w:p>
    <w:p w:rsidR="2D13F4B3" w:rsidRDefault="2D13F4B3" w:rsidP="2D13F4B3">
      <w:r w:rsidRPr="2D13F4B3">
        <w:rPr>
          <w:rFonts w:ascii="Calibri" w:eastAsia="Calibri" w:hAnsi="Calibri" w:cs="Calibri"/>
          <w:sz w:val="24"/>
          <w:szCs w:val="24"/>
        </w:rPr>
        <w:t xml:space="preserve">Keenan, T. Evans, S. and Crowley, K. (2016) </w:t>
      </w:r>
      <w:r w:rsidRPr="2D13F4B3">
        <w:rPr>
          <w:rFonts w:ascii="Calibri" w:eastAsia="Calibri" w:hAnsi="Calibri" w:cs="Calibri"/>
          <w:i/>
          <w:iCs/>
          <w:sz w:val="24"/>
          <w:szCs w:val="24"/>
        </w:rPr>
        <w:t xml:space="preserve">An Introduction to Child Development. </w:t>
      </w:r>
      <w:r w:rsidRPr="2D13F4B3">
        <w:rPr>
          <w:rFonts w:ascii="Calibri" w:eastAsia="Calibri" w:hAnsi="Calibri" w:cs="Calibri"/>
          <w:sz w:val="24"/>
          <w:szCs w:val="24"/>
        </w:rPr>
        <w:t>3rd Ed. London: SAGE Publications Ltd.</w:t>
      </w:r>
    </w:p>
    <w:p w:rsidR="2D13F4B3" w:rsidRDefault="00F54FCE" w:rsidP="2D13F4B3">
      <w:hyperlink r:id="rId5">
        <w:r w:rsidR="2D13F4B3" w:rsidRPr="2D13F4B3">
          <w:rPr>
            <w:rStyle w:val="Hyperlink"/>
            <w:rFonts w:ascii="Calibri" w:eastAsia="Calibri" w:hAnsi="Calibri" w:cs="Calibri"/>
            <w:sz w:val="24"/>
            <w:szCs w:val="24"/>
            <w:lang/>
          </w:rPr>
          <w:t>Rodat</w:t>
        </w:r>
      </w:hyperlink>
      <w:r w:rsidR="2D13F4B3" w:rsidRPr="2D13F4B3">
        <w:rPr>
          <w:rFonts w:ascii="Calibri" w:eastAsia="Calibri" w:hAnsi="Calibri" w:cs="Calibri"/>
          <w:sz w:val="24"/>
          <w:szCs w:val="24"/>
          <w:lang/>
        </w:rPr>
        <w:t xml:space="preserve">, R. </w:t>
      </w:r>
      <w:hyperlink r:id="rId6">
        <w:r w:rsidR="2D13F4B3" w:rsidRPr="2D13F4B3">
          <w:rPr>
            <w:rStyle w:val="Hyperlink"/>
            <w:rFonts w:ascii="Calibri" w:eastAsia="Calibri" w:hAnsi="Calibri" w:cs="Calibri"/>
            <w:sz w:val="24"/>
            <w:szCs w:val="24"/>
            <w:lang/>
          </w:rPr>
          <w:t>McKewin</w:t>
        </w:r>
      </w:hyperlink>
      <w:r w:rsidR="2D13F4B3" w:rsidRPr="2D13F4B3">
        <w:rPr>
          <w:rFonts w:ascii="Calibri" w:eastAsia="Calibri" w:hAnsi="Calibri" w:cs="Calibri"/>
          <w:sz w:val="24"/>
          <w:szCs w:val="24"/>
          <w:lang/>
        </w:rPr>
        <w:t xml:space="preserve">, V. and </w:t>
      </w:r>
      <w:hyperlink r:id="rId7">
        <w:r w:rsidR="2D13F4B3" w:rsidRPr="2D13F4B3">
          <w:rPr>
            <w:rStyle w:val="Hyperlink"/>
            <w:rFonts w:ascii="Calibri" w:eastAsia="Calibri" w:hAnsi="Calibri" w:cs="Calibri"/>
            <w:sz w:val="24"/>
            <w:szCs w:val="24"/>
            <w:lang/>
          </w:rPr>
          <w:t>Lishman</w:t>
        </w:r>
      </w:hyperlink>
      <w:r w:rsidR="2D13F4B3" w:rsidRPr="2D13F4B3">
        <w:rPr>
          <w:rFonts w:ascii="Calibri" w:eastAsia="Calibri" w:hAnsi="Calibri" w:cs="Calibri"/>
          <w:sz w:val="24"/>
          <w:szCs w:val="24"/>
          <w:lang/>
        </w:rPr>
        <w:t xml:space="preserve">, B. (1996) </w:t>
      </w:r>
      <w:r w:rsidR="2D13F4B3" w:rsidRPr="2D13F4B3">
        <w:rPr>
          <w:rFonts w:ascii="Calibri" w:eastAsia="Calibri" w:hAnsi="Calibri" w:cs="Calibri"/>
          <w:i/>
          <w:iCs/>
          <w:sz w:val="24"/>
          <w:szCs w:val="24"/>
          <w:lang/>
        </w:rPr>
        <w:t>Fly Away Home</w:t>
      </w:r>
      <w:r w:rsidR="2D13F4B3" w:rsidRPr="2D13F4B3">
        <w:rPr>
          <w:rFonts w:ascii="Calibri" w:eastAsia="Calibri" w:hAnsi="Calibri" w:cs="Calibri"/>
          <w:sz w:val="24"/>
          <w:szCs w:val="24"/>
          <w:lang/>
        </w:rPr>
        <w:t xml:space="preserve">, directed by Ballard, C. Available at: </w:t>
      </w:r>
      <w:hyperlink r:id="rId8">
        <w:r w:rsidR="2D13F4B3" w:rsidRPr="2D13F4B3">
          <w:rPr>
            <w:rStyle w:val="Hyperlink"/>
            <w:rFonts w:ascii="Calibri" w:eastAsia="Calibri" w:hAnsi="Calibri" w:cs="Calibri"/>
            <w:sz w:val="24"/>
            <w:szCs w:val="24"/>
            <w:lang/>
          </w:rPr>
          <w:t>https://www.imdb.com/title/tt0116329/reviews</w:t>
        </w:r>
      </w:hyperlink>
      <w:r w:rsidR="2D13F4B3" w:rsidRPr="2D13F4B3">
        <w:rPr>
          <w:rFonts w:ascii="Calibri" w:eastAsia="Calibri" w:hAnsi="Calibri" w:cs="Calibri"/>
          <w:sz w:val="24"/>
          <w:szCs w:val="24"/>
          <w:lang/>
        </w:rPr>
        <w:t xml:space="preserve"> (Accessed: 1st May 2019).</w:t>
      </w:r>
    </w:p>
    <w:p w:rsidR="2D13F4B3" w:rsidRDefault="2D13F4B3" w:rsidP="2D13F4B3">
      <w:r w:rsidRPr="2D13F4B3">
        <w:rPr>
          <w:rFonts w:ascii="Calibri" w:eastAsia="Calibri" w:hAnsi="Calibri" w:cs="Calibri"/>
          <w:sz w:val="24"/>
          <w:szCs w:val="24"/>
        </w:rPr>
        <w:t xml:space="preserve">Schaffer, H. R. (2010) </w:t>
      </w:r>
      <w:r w:rsidRPr="2D13F4B3">
        <w:rPr>
          <w:rFonts w:ascii="Calibri" w:eastAsia="Calibri" w:hAnsi="Calibri" w:cs="Calibri"/>
          <w:i/>
          <w:iCs/>
          <w:sz w:val="24"/>
          <w:szCs w:val="24"/>
        </w:rPr>
        <w:t xml:space="preserve">Introducing Child Psychology. </w:t>
      </w:r>
      <w:r w:rsidRPr="2D13F4B3">
        <w:rPr>
          <w:rFonts w:ascii="Calibri" w:eastAsia="Calibri" w:hAnsi="Calibri" w:cs="Calibri"/>
          <w:sz w:val="24"/>
          <w:szCs w:val="24"/>
        </w:rPr>
        <w:t>Oxford: Blackwell Publishing.</w:t>
      </w:r>
    </w:p>
    <w:p w:rsidR="2D13F4B3" w:rsidRDefault="2D13F4B3" w:rsidP="2D13F4B3">
      <w:r w:rsidRPr="2D13F4B3">
        <w:rPr>
          <w:rFonts w:ascii="Calibri" w:eastAsia="Calibri" w:hAnsi="Calibri" w:cs="Calibri"/>
          <w:sz w:val="24"/>
          <w:szCs w:val="24"/>
          <w:lang/>
        </w:rPr>
        <w:t xml:space="preserve">Taylor, B. and Wright, H. (2019) </w:t>
      </w:r>
      <w:r w:rsidRPr="2D13F4B3">
        <w:rPr>
          <w:rFonts w:ascii="Calibri" w:eastAsia="Calibri" w:hAnsi="Calibri" w:cs="Calibri"/>
          <w:i/>
          <w:iCs/>
          <w:sz w:val="24"/>
          <w:szCs w:val="24"/>
          <w:lang/>
        </w:rPr>
        <w:t>What is the difference between attachment and bonding?</w:t>
      </w:r>
      <w:r w:rsidRPr="2D13F4B3">
        <w:rPr>
          <w:rFonts w:ascii="Calibri" w:eastAsia="Calibri" w:hAnsi="Calibri" w:cs="Calibri"/>
          <w:sz w:val="24"/>
          <w:szCs w:val="24"/>
        </w:rPr>
        <w:t xml:space="preserve">Available at: </w:t>
      </w:r>
      <w:hyperlink r:id="rId9">
        <w:r w:rsidRPr="2D13F4B3">
          <w:rPr>
            <w:rStyle w:val="Hyperlink"/>
            <w:rFonts w:ascii="Calibri" w:eastAsia="Calibri" w:hAnsi="Calibri" w:cs="Calibri"/>
            <w:sz w:val="24"/>
            <w:szCs w:val="24"/>
          </w:rPr>
          <w:t>https://www.babycentre.co.uk/x25012671/what-is-the-difference-between-attachment-and-bonding</w:t>
        </w:r>
      </w:hyperlink>
      <w:r w:rsidRPr="2D13F4B3">
        <w:rPr>
          <w:rFonts w:ascii="Calibri" w:eastAsia="Calibri" w:hAnsi="Calibri" w:cs="Calibri"/>
          <w:sz w:val="24"/>
          <w:szCs w:val="24"/>
        </w:rPr>
        <w:t xml:space="preserve"> (Accessed: 19 May 2019).</w:t>
      </w:r>
    </w:p>
    <w:p w:rsidR="2D13F4B3" w:rsidRDefault="2D13F4B3" w:rsidP="2D13F4B3">
      <w:r w:rsidRPr="2D13F4B3">
        <w:rPr>
          <w:rFonts w:ascii="Calibri" w:eastAsia="Calibri" w:hAnsi="Calibri" w:cs="Calibri"/>
          <w:sz w:val="24"/>
          <w:szCs w:val="24"/>
        </w:rPr>
        <w:t xml:space="preserve">Thornton, S. (2008) </w:t>
      </w:r>
      <w:r w:rsidRPr="2D13F4B3">
        <w:rPr>
          <w:rFonts w:ascii="Calibri" w:eastAsia="Calibri" w:hAnsi="Calibri" w:cs="Calibri"/>
          <w:i/>
          <w:iCs/>
          <w:sz w:val="24"/>
          <w:szCs w:val="24"/>
        </w:rPr>
        <w:t>Understanding Human Development</w:t>
      </w:r>
      <w:r w:rsidRPr="2D13F4B3">
        <w:rPr>
          <w:rFonts w:ascii="Calibri" w:eastAsia="Calibri" w:hAnsi="Calibri" w:cs="Calibri"/>
          <w:sz w:val="24"/>
          <w:szCs w:val="24"/>
        </w:rPr>
        <w:t>. New York: Palgrave Macmillan.</w:t>
      </w:r>
    </w:p>
    <w:p w:rsidR="2D13F4B3" w:rsidRDefault="2D13F4B3" w:rsidP="2D13F4B3">
      <w:r w:rsidRPr="2D13F4B3">
        <w:rPr>
          <w:rFonts w:ascii="Calibri" w:eastAsia="Calibri" w:hAnsi="Calibri" w:cs="Calibri"/>
          <w:sz w:val="24"/>
          <w:szCs w:val="24"/>
        </w:rPr>
        <w:t xml:space="preserve">Walker, K. (2016) </w:t>
      </w:r>
      <w:r w:rsidRPr="2D13F4B3">
        <w:rPr>
          <w:rFonts w:ascii="Calibri" w:eastAsia="Calibri" w:hAnsi="Calibri" w:cs="Calibri"/>
          <w:i/>
          <w:iCs/>
          <w:sz w:val="24"/>
          <w:szCs w:val="24"/>
        </w:rPr>
        <w:t>Helping infants and toddlers learn self-regulation.</w:t>
      </w:r>
      <w:r w:rsidRPr="2D13F4B3">
        <w:rPr>
          <w:rFonts w:ascii="Calibri" w:eastAsia="Calibri" w:hAnsi="Calibri" w:cs="Calibri"/>
          <w:sz w:val="24"/>
          <w:szCs w:val="24"/>
        </w:rPr>
        <w:t xml:space="preserve"> Available at: </w:t>
      </w:r>
      <w:hyperlink r:id="rId10">
        <w:r w:rsidRPr="2D13F4B3">
          <w:rPr>
            <w:rStyle w:val="Hyperlink"/>
            <w:rFonts w:ascii="Calibri" w:eastAsia="Calibri" w:hAnsi="Calibri" w:cs="Calibri"/>
            <w:sz w:val="24"/>
            <w:szCs w:val="24"/>
          </w:rPr>
          <w:t>http://www.childcarequarterly.com/winter16_story3.html</w:t>
        </w:r>
      </w:hyperlink>
      <w:r w:rsidRPr="2D13F4B3">
        <w:rPr>
          <w:rFonts w:ascii="Calibri" w:eastAsia="Calibri" w:hAnsi="Calibri" w:cs="Calibri"/>
          <w:sz w:val="24"/>
          <w:szCs w:val="24"/>
        </w:rPr>
        <w:t xml:space="preserve"> (Accessed: 10th May 2019).</w:t>
      </w:r>
    </w:p>
    <w:p w:rsidR="2D13F4B3" w:rsidRDefault="2D13F4B3" w:rsidP="2D13F4B3">
      <w:pPr>
        <w:rPr>
          <w:rFonts w:ascii="Calibri" w:eastAsia="Calibri" w:hAnsi="Calibri" w:cs="Calibri"/>
          <w:sz w:val="24"/>
          <w:szCs w:val="24"/>
        </w:rPr>
      </w:pPr>
    </w:p>
    <w:sectPr w:rsidR="2D13F4B3" w:rsidSect="00F54FCE">
      <w:pgSz w:w="11906" w:h="16838"/>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715016"/>
    <w:multiLevelType w:val="hybridMultilevel"/>
    <w:tmpl w:val="69647E98"/>
    <w:lvl w:ilvl="0" w:tplc="211E057E">
      <w:start w:val="1"/>
      <w:numFmt w:val="bullet"/>
      <w:lvlText w:val=""/>
      <w:lvlJc w:val="left"/>
      <w:pPr>
        <w:ind w:left="720" w:hanging="360"/>
      </w:pPr>
      <w:rPr>
        <w:rFonts w:ascii="Symbol" w:hAnsi="Symbol" w:hint="default"/>
      </w:rPr>
    </w:lvl>
    <w:lvl w:ilvl="1" w:tplc="ED7674B2">
      <w:start w:val="1"/>
      <w:numFmt w:val="bullet"/>
      <w:lvlText w:val="o"/>
      <w:lvlJc w:val="left"/>
      <w:pPr>
        <w:ind w:left="1440" w:hanging="360"/>
      </w:pPr>
      <w:rPr>
        <w:rFonts w:ascii="Courier New" w:hAnsi="Courier New" w:hint="default"/>
      </w:rPr>
    </w:lvl>
    <w:lvl w:ilvl="2" w:tplc="5F944710">
      <w:start w:val="1"/>
      <w:numFmt w:val="bullet"/>
      <w:lvlText w:val=""/>
      <w:lvlJc w:val="left"/>
      <w:pPr>
        <w:ind w:left="2160" w:hanging="360"/>
      </w:pPr>
      <w:rPr>
        <w:rFonts w:ascii="Wingdings" w:hAnsi="Wingdings" w:hint="default"/>
      </w:rPr>
    </w:lvl>
    <w:lvl w:ilvl="3" w:tplc="BA140F3A">
      <w:start w:val="1"/>
      <w:numFmt w:val="bullet"/>
      <w:lvlText w:val=""/>
      <w:lvlJc w:val="left"/>
      <w:pPr>
        <w:ind w:left="2880" w:hanging="360"/>
      </w:pPr>
      <w:rPr>
        <w:rFonts w:ascii="Symbol" w:hAnsi="Symbol" w:hint="default"/>
      </w:rPr>
    </w:lvl>
    <w:lvl w:ilvl="4" w:tplc="6F5C7D32">
      <w:start w:val="1"/>
      <w:numFmt w:val="bullet"/>
      <w:lvlText w:val="o"/>
      <w:lvlJc w:val="left"/>
      <w:pPr>
        <w:ind w:left="3600" w:hanging="360"/>
      </w:pPr>
      <w:rPr>
        <w:rFonts w:ascii="Courier New" w:hAnsi="Courier New" w:hint="default"/>
      </w:rPr>
    </w:lvl>
    <w:lvl w:ilvl="5" w:tplc="6A40B86A">
      <w:start w:val="1"/>
      <w:numFmt w:val="bullet"/>
      <w:lvlText w:val=""/>
      <w:lvlJc w:val="left"/>
      <w:pPr>
        <w:ind w:left="4320" w:hanging="360"/>
      </w:pPr>
      <w:rPr>
        <w:rFonts w:ascii="Wingdings" w:hAnsi="Wingdings" w:hint="default"/>
      </w:rPr>
    </w:lvl>
    <w:lvl w:ilvl="6" w:tplc="53B0FC3E">
      <w:start w:val="1"/>
      <w:numFmt w:val="bullet"/>
      <w:lvlText w:val=""/>
      <w:lvlJc w:val="left"/>
      <w:pPr>
        <w:ind w:left="5040" w:hanging="360"/>
      </w:pPr>
      <w:rPr>
        <w:rFonts w:ascii="Symbol" w:hAnsi="Symbol" w:hint="default"/>
      </w:rPr>
    </w:lvl>
    <w:lvl w:ilvl="7" w:tplc="9BF485DA">
      <w:start w:val="1"/>
      <w:numFmt w:val="bullet"/>
      <w:lvlText w:val="o"/>
      <w:lvlJc w:val="left"/>
      <w:pPr>
        <w:ind w:left="5760" w:hanging="360"/>
      </w:pPr>
      <w:rPr>
        <w:rFonts w:ascii="Courier New" w:hAnsi="Courier New" w:hint="default"/>
      </w:rPr>
    </w:lvl>
    <w:lvl w:ilvl="8" w:tplc="A3EACCAC">
      <w:start w:val="1"/>
      <w:numFmt w:val="bullet"/>
      <w:lvlText w:val=""/>
      <w:lvlJc w:val="left"/>
      <w:pPr>
        <w:ind w:left="6480" w:hanging="360"/>
      </w:pPr>
      <w:rPr>
        <w:rFonts w:ascii="Wingdings" w:hAnsi="Wingdings" w:hint="default"/>
      </w:rPr>
    </w:lvl>
  </w:abstractNum>
  <w:abstractNum w:abstractNumId="1">
    <w:nsid w:val="24075ECC"/>
    <w:multiLevelType w:val="hybridMultilevel"/>
    <w:tmpl w:val="F0664108"/>
    <w:lvl w:ilvl="0" w:tplc="6194F892">
      <w:start w:val="1"/>
      <w:numFmt w:val="bullet"/>
      <w:lvlText w:val=""/>
      <w:lvlJc w:val="left"/>
      <w:pPr>
        <w:ind w:left="720" w:hanging="360"/>
      </w:pPr>
      <w:rPr>
        <w:rFonts w:ascii="Symbol" w:hAnsi="Symbol" w:hint="default"/>
      </w:rPr>
    </w:lvl>
    <w:lvl w:ilvl="1" w:tplc="B54A9024">
      <w:start w:val="1"/>
      <w:numFmt w:val="bullet"/>
      <w:lvlText w:val="o"/>
      <w:lvlJc w:val="left"/>
      <w:pPr>
        <w:ind w:left="1440" w:hanging="360"/>
      </w:pPr>
      <w:rPr>
        <w:rFonts w:ascii="Courier New" w:hAnsi="Courier New" w:hint="default"/>
      </w:rPr>
    </w:lvl>
    <w:lvl w:ilvl="2" w:tplc="2DE4F5C6">
      <w:start w:val="1"/>
      <w:numFmt w:val="bullet"/>
      <w:lvlText w:val=""/>
      <w:lvlJc w:val="left"/>
      <w:pPr>
        <w:ind w:left="2160" w:hanging="360"/>
      </w:pPr>
      <w:rPr>
        <w:rFonts w:ascii="Wingdings" w:hAnsi="Wingdings" w:hint="default"/>
      </w:rPr>
    </w:lvl>
    <w:lvl w:ilvl="3" w:tplc="4BF2E93C">
      <w:start w:val="1"/>
      <w:numFmt w:val="bullet"/>
      <w:lvlText w:val=""/>
      <w:lvlJc w:val="left"/>
      <w:pPr>
        <w:ind w:left="2880" w:hanging="360"/>
      </w:pPr>
      <w:rPr>
        <w:rFonts w:ascii="Symbol" w:hAnsi="Symbol" w:hint="default"/>
      </w:rPr>
    </w:lvl>
    <w:lvl w:ilvl="4" w:tplc="39C22AE8">
      <w:start w:val="1"/>
      <w:numFmt w:val="bullet"/>
      <w:lvlText w:val="o"/>
      <w:lvlJc w:val="left"/>
      <w:pPr>
        <w:ind w:left="3600" w:hanging="360"/>
      </w:pPr>
      <w:rPr>
        <w:rFonts w:ascii="Courier New" w:hAnsi="Courier New" w:hint="default"/>
      </w:rPr>
    </w:lvl>
    <w:lvl w:ilvl="5" w:tplc="559A905C">
      <w:start w:val="1"/>
      <w:numFmt w:val="bullet"/>
      <w:lvlText w:val=""/>
      <w:lvlJc w:val="left"/>
      <w:pPr>
        <w:ind w:left="4320" w:hanging="360"/>
      </w:pPr>
      <w:rPr>
        <w:rFonts w:ascii="Wingdings" w:hAnsi="Wingdings" w:hint="default"/>
      </w:rPr>
    </w:lvl>
    <w:lvl w:ilvl="6" w:tplc="9814E23A">
      <w:start w:val="1"/>
      <w:numFmt w:val="bullet"/>
      <w:lvlText w:val=""/>
      <w:lvlJc w:val="left"/>
      <w:pPr>
        <w:ind w:left="5040" w:hanging="360"/>
      </w:pPr>
      <w:rPr>
        <w:rFonts w:ascii="Symbol" w:hAnsi="Symbol" w:hint="default"/>
      </w:rPr>
    </w:lvl>
    <w:lvl w:ilvl="7" w:tplc="775A156A">
      <w:start w:val="1"/>
      <w:numFmt w:val="bullet"/>
      <w:lvlText w:val="o"/>
      <w:lvlJc w:val="left"/>
      <w:pPr>
        <w:ind w:left="5760" w:hanging="360"/>
      </w:pPr>
      <w:rPr>
        <w:rFonts w:ascii="Courier New" w:hAnsi="Courier New" w:hint="default"/>
      </w:rPr>
    </w:lvl>
    <w:lvl w:ilvl="8" w:tplc="CA2EDA3A">
      <w:start w:val="1"/>
      <w:numFmt w:val="bullet"/>
      <w:lvlText w:val=""/>
      <w:lvlJc w:val="left"/>
      <w:pPr>
        <w:ind w:left="6480" w:hanging="360"/>
      </w:pPr>
      <w:rPr>
        <w:rFonts w:ascii="Wingdings" w:hAnsi="Wingdings" w:hint="default"/>
      </w:rPr>
    </w:lvl>
  </w:abstractNum>
  <w:abstractNum w:abstractNumId="2">
    <w:nsid w:val="2FBE49D1"/>
    <w:multiLevelType w:val="hybridMultilevel"/>
    <w:tmpl w:val="5BDA1002"/>
    <w:lvl w:ilvl="0" w:tplc="60341A4C">
      <w:start w:val="1"/>
      <w:numFmt w:val="bullet"/>
      <w:lvlText w:val=""/>
      <w:lvlJc w:val="left"/>
      <w:pPr>
        <w:ind w:left="720" w:hanging="360"/>
      </w:pPr>
      <w:rPr>
        <w:rFonts w:ascii="Symbol" w:hAnsi="Symbol" w:hint="default"/>
      </w:rPr>
    </w:lvl>
    <w:lvl w:ilvl="1" w:tplc="22522120">
      <w:start w:val="1"/>
      <w:numFmt w:val="bullet"/>
      <w:lvlText w:val="o"/>
      <w:lvlJc w:val="left"/>
      <w:pPr>
        <w:ind w:left="1440" w:hanging="360"/>
      </w:pPr>
      <w:rPr>
        <w:rFonts w:ascii="Courier New" w:hAnsi="Courier New" w:hint="default"/>
      </w:rPr>
    </w:lvl>
    <w:lvl w:ilvl="2" w:tplc="2D22DCA8">
      <w:start w:val="1"/>
      <w:numFmt w:val="bullet"/>
      <w:lvlText w:val=""/>
      <w:lvlJc w:val="left"/>
      <w:pPr>
        <w:ind w:left="2160" w:hanging="360"/>
      </w:pPr>
      <w:rPr>
        <w:rFonts w:ascii="Wingdings" w:hAnsi="Wingdings" w:hint="default"/>
      </w:rPr>
    </w:lvl>
    <w:lvl w:ilvl="3" w:tplc="B8E6087E">
      <w:start w:val="1"/>
      <w:numFmt w:val="bullet"/>
      <w:lvlText w:val=""/>
      <w:lvlJc w:val="left"/>
      <w:pPr>
        <w:ind w:left="2880" w:hanging="360"/>
      </w:pPr>
      <w:rPr>
        <w:rFonts w:ascii="Symbol" w:hAnsi="Symbol" w:hint="default"/>
      </w:rPr>
    </w:lvl>
    <w:lvl w:ilvl="4" w:tplc="14A2062C">
      <w:start w:val="1"/>
      <w:numFmt w:val="bullet"/>
      <w:lvlText w:val="o"/>
      <w:lvlJc w:val="left"/>
      <w:pPr>
        <w:ind w:left="3600" w:hanging="360"/>
      </w:pPr>
      <w:rPr>
        <w:rFonts w:ascii="Courier New" w:hAnsi="Courier New" w:hint="default"/>
      </w:rPr>
    </w:lvl>
    <w:lvl w:ilvl="5" w:tplc="32A4325C">
      <w:start w:val="1"/>
      <w:numFmt w:val="bullet"/>
      <w:lvlText w:val=""/>
      <w:lvlJc w:val="left"/>
      <w:pPr>
        <w:ind w:left="4320" w:hanging="360"/>
      </w:pPr>
      <w:rPr>
        <w:rFonts w:ascii="Wingdings" w:hAnsi="Wingdings" w:hint="default"/>
      </w:rPr>
    </w:lvl>
    <w:lvl w:ilvl="6" w:tplc="7298AC3E">
      <w:start w:val="1"/>
      <w:numFmt w:val="bullet"/>
      <w:lvlText w:val=""/>
      <w:lvlJc w:val="left"/>
      <w:pPr>
        <w:ind w:left="5040" w:hanging="360"/>
      </w:pPr>
      <w:rPr>
        <w:rFonts w:ascii="Symbol" w:hAnsi="Symbol" w:hint="default"/>
      </w:rPr>
    </w:lvl>
    <w:lvl w:ilvl="7" w:tplc="75B28CB2">
      <w:start w:val="1"/>
      <w:numFmt w:val="bullet"/>
      <w:lvlText w:val="o"/>
      <w:lvlJc w:val="left"/>
      <w:pPr>
        <w:ind w:left="5760" w:hanging="360"/>
      </w:pPr>
      <w:rPr>
        <w:rFonts w:ascii="Courier New" w:hAnsi="Courier New" w:hint="default"/>
      </w:rPr>
    </w:lvl>
    <w:lvl w:ilvl="8" w:tplc="2D7091FE">
      <w:start w:val="1"/>
      <w:numFmt w:val="bullet"/>
      <w:lvlText w:val=""/>
      <w:lvlJc w:val="left"/>
      <w:pPr>
        <w:ind w:left="6480" w:hanging="360"/>
      </w:pPr>
      <w:rPr>
        <w:rFonts w:ascii="Wingdings" w:hAnsi="Wingdings" w:hint="default"/>
      </w:rPr>
    </w:lvl>
  </w:abstractNum>
  <w:abstractNum w:abstractNumId="3">
    <w:nsid w:val="3EF21D8B"/>
    <w:multiLevelType w:val="hybridMultilevel"/>
    <w:tmpl w:val="147675C2"/>
    <w:lvl w:ilvl="0" w:tplc="3740F56E">
      <w:start w:val="1"/>
      <w:numFmt w:val="bullet"/>
      <w:lvlText w:val=""/>
      <w:lvlJc w:val="left"/>
      <w:pPr>
        <w:ind w:left="720" w:hanging="360"/>
      </w:pPr>
      <w:rPr>
        <w:rFonts w:ascii="Symbol" w:hAnsi="Symbol" w:hint="default"/>
      </w:rPr>
    </w:lvl>
    <w:lvl w:ilvl="1" w:tplc="48C41D5E">
      <w:start w:val="1"/>
      <w:numFmt w:val="bullet"/>
      <w:lvlText w:val="o"/>
      <w:lvlJc w:val="left"/>
      <w:pPr>
        <w:ind w:left="1440" w:hanging="360"/>
      </w:pPr>
      <w:rPr>
        <w:rFonts w:ascii="Courier New" w:hAnsi="Courier New" w:hint="default"/>
      </w:rPr>
    </w:lvl>
    <w:lvl w:ilvl="2" w:tplc="FFD64FD4">
      <w:start w:val="1"/>
      <w:numFmt w:val="bullet"/>
      <w:lvlText w:val=""/>
      <w:lvlJc w:val="left"/>
      <w:pPr>
        <w:ind w:left="2160" w:hanging="360"/>
      </w:pPr>
      <w:rPr>
        <w:rFonts w:ascii="Wingdings" w:hAnsi="Wingdings" w:hint="default"/>
      </w:rPr>
    </w:lvl>
    <w:lvl w:ilvl="3" w:tplc="FFDC5BC8">
      <w:start w:val="1"/>
      <w:numFmt w:val="bullet"/>
      <w:lvlText w:val=""/>
      <w:lvlJc w:val="left"/>
      <w:pPr>
        <w:ind w:left="2880" w:hanging="360"/>
      </w:pPr>
      <w:rPr>
        <w:rFonts w:ascii="Symbol" w:hAnsi="Symbol" w:hint="default"/>
      </w:rPr>
    </w:lvl>
    <w:lvl w:ilvl="4" w:tplc="962A2D1A">
      <w:start w:val="1"/>
      <w:numFmt w:val="bullet"/>
      <w:lvlText w:val="o"/>
      <w:lvlJc w:val="left"/>
      <w:pPr>
        <w:ind w:left="3600" w:hanging="360"/>
      </w:pPr>
      <w:rPr>
        <w:rFonts w:ascii="Courier New" w:hAnsi="Courier New" w:hint="default"/>
      </w:rPr>
    </w:lvl>
    <w:lvl w:ilvl="5" w:tplc="ABD8F044">
      <w:start w:val="1"/>
      <w:numFmt w:val="bullet"/>
      <w:lvlText w:val=""/>
      <w:lvlJc w:val="left"/>
      <w:pPr>
        <w:ind w:left="4320" w:hanging="360"/>
      </w:pPr>
      <w:rPr>
        <w:rFonts w:ascii="Wingdings" w:hAnsi="Wingdings" w:hint="default"/>
      </w:rPr>
    </w:lvl>
    <w:lvl w:ilvl="6" w:tplc="28C21938">
      <w:start w:val="1"/>
      <w:numFmt w:val="bullet"/>
      <w:lvlText w:val=""/>
      <w:lvlJc w:val="left"/>
      <w:pPr>
        <w:ind w:left="5040" w:hanging="360"/>
      </w:pPr>
      <w:rPr>
        <w:rFonts w:ascii="Symbol" w:hAnsi="Symbol" w:hint="default"/>
      </w:rPr>
    </w:lvl>
    <w:lvl w:ilvl="7" w:tplc="F722652E">
      <w:start w:val="1"/>
      <w:numFmt w:val="bullet"/>
      <w:lvlText w:val="o"/>
      <w:lvlJc w:val="left"/>
      <w:pPr>
        <w:ind w:left="5760" w:hanging="360"/>
      </w:pPr>
      <w:rPr>
        <w:rFonts w:ascii="Courier New" w:hAnsi="Courier New" w:hint="default"/>
      </w:rPr>
    </w:lvl>
    <w:lvl w:ilvl="8" w:tplc="1408C620">
      <w:start w:val="1"/>
      <w:numFmt w:val="bullet"/>
      <w:lvlText w:val=""/>
      <w:lvlJc w:val="left"/>
      <w:pPr>
        <w:ind w:left="6480" w:hanging="360"/>
      </w:pPr>
      <w:rPr>
        <w:rFonts w:ascii="Wingdings" w:hAnsi="Wingdings" w:hint="default"/>
      </w:rPr>
    </w:lvl>
  </w:abstractNum>
  <w:abstractNum w:abstractNumId="4">
    <w:nsid w:val="51A44323"/>
    <w:multiLevelType w:val="hybridMultilevel"/>
    <w:tmpl w:val="8CE236DA"/>
    <w:lvl w:ilvl="0" w:tplc="D3B8D2C0">
      <w:start w:val="1"/>
      <w:numFmt w:val="decimal"/>
      <w:lvlText w:val="%1."/>
      <w:lvlJc w:val="left"/>
      <w:pPr>
        <w:ind w:left="720" w:hanging="360"/>
      </w:pPr>
    </w:lvl>
    <w:lvl w:ilvl="1" w:tplc="C52CD8BE">
      <w:start w:val="1"/>
      <w:numFmt w:val="lowerLetter"/>
      <w:lvlText w:val="%2."/>
      <w:lvlJc w:val="left"/>
      <w:pPr>
        <w:ind w:left="1440" w:hanging="360"/>
      </w:pPr>
    </w:lvl>
    <w:lvl w:ilvl="2" w:tplc="96C6B86A">
      <w:start w:val="1"/>
      <w:numFmt w:val="lowerRoman"/>
      <w:lvlText w:val="%3."/>
      <w:lvlJc w:val="right"/>
      <w:pPr>
        <w:ind w:left="2160" w:hanging="180"/>
      </w:pPr>
    </w:lvl>
    <w:lvl w:ilvl="3" w:tplc="546077C4">
      <w:start w:val="1"/>
      <w:numFmt w:val="decimal"/>
      <w:lvlText w:val="%4."/>
      <w:lvlJc w:val="left"/>
      <w:pPr>
        <w:ind w:left="2880" w:hanging="360"/>
      </w:pPr>
    </w:lvl>
    <w:lvl w:ilvl="4" w:tplc="2F121D5A">
      <w:start w:val="1"/>
      <w:numFmt w:val="lowerLetter"/>
      <w:lvlText w:val="%5."/>
      <w:lvlJc w:val="left"/>
      <w:pPr>
        <w:ind w:left="3600" w:hanging="360"/>
      </w:pPr>
    </w:lvl>
    <w:lvl w:ilvl="5" w:tplc="8152A052">
      <w:start w:val="1"/>
      <w:numFmt w:val="lowerRoman"/>
      <w:lvlText w:val="%6."/>
      <w:lvlJc w:val="right"/>
      <w:pPr>
        <w:ind w:left="4320" w:hanging="180"/>
      </w:pPr>
    </w:lvl>
    <w:lvl w:ilvl="6" w:tplc="19C2AE92">
      <w:start w:val="1"/>
      <w:numFmt w:val="decimal"/>
      <w:lvlText w:val="%7."/>
      <w:lvlJc w:val="left"/>
      <w:pPr>
        <w:ind w:left="5040" w:hanging="360"/>
      </w:pPr>
    </w:lvl>
    <w:lvl w:ilvl="7" w:tplc="8F7E42A0">
      <w:start w:val="1"/>
      <w:numFmt w:val="lowerLetter"/>
      <w:lvlText w:val="%8."/>
      <w:lvlJc w:val="left"/>
      <w:pPr>
        <w:ind w:left="5760" w:hanging="360"/>
      </w:pPr>
    </w:lvl>
    <w:lvl w:ilvl="8" w:tplc="7F08C5BC">
      <w:start w:val="1"/>
      <w:numFmt w:val="lowerRoman"/>
      <w:lvlText w:val="%9."/>
      <w:lvlJc w:val="right"/>
      <w:pPr>
        <w:ind w:left="6480" w:hanging="180"/>
      </w:p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19990047"/>
    <w:rsid w:val="00AD2F00"/>
    <w:rsid w:val="00F54FCE"/>
    <w:rsid w:val="0B41FE87"/>
    <w:rsid w:val="0EA8EA02"/>
    <w:rsid w:val="140F6AE0"/>
    <w:rsid w:val="19990047"/>
    <w:rsid w:val="2C7F5459"/>
    <w:rsid w:val="2D13F4B3"/>
    <w:rsid w:val="2F45F810"/>
    <w:rsid w:val="30DF7465"/>
    <w:rsid w:val="38CB35AC"/>
    <w:rsid w:val="3955F45F"/>
    <w:rsid w:val="49DD0385"/>
    <w:rsid w:val="6EA4BC87"/>
    <w:rsid w:val="74B8B0F6"/>
    <w:rsid w:val="76E3222D"/>
    <w:rsid w:val="7BED1B1F"/>
    <w:rsid w:val="7D01504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4FCE"/>
  </w:style>
  <w:style w:type="paragraph" w:styleId="Heading2">
    <w:name w:val="heading 2"/>
    <w:basedOn w:val="Normal"/>
    <w:next w:val="Normal"/>
    <w:link w:val="Heading2Char"/>
    <w:uiPriority w:val="9"/>
    <w:unhideWhenUsed/>
    <w:qFormat/>
    <w:rsid w:val="00F54FC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54FCE"/>
    <w:pPr>
      <w:ind w:left="720"/>
      <w:contextualSpacing/>
    </w:pPr>
  </w:style>
  <w:style w:type="character" w:styleId="Hyperlink">
    <w:name w:val="Hyperlink"/>
    <w:basedOn w:val="DefaultParagraphFont"/>
    <w:uiPriority w:val="99"/>
    <w:unhideWhenUsed/>
    <w:rsid w:val="00F54FCE"/>
    <w:rPr>
      <w:color w:val="0563C1" w:themeColor="hyperlink"/>
      <w:u w:val="single"/>
    </w:rPr>
  </w:style>
  <w:style w:type="character" w:customStyle="1" w:styleId="Heading2Char">
    <w:name w:val="Heading 2 Char"/>
    <w:basedOn w:val="DefaultParagraphFont"/>
    <w:link w:val="Heading2"/>
    <w:uiPriority w:val="9"/>
    <w:rsid w:val="00F54FCE"/>
    <w:rPr>
      <w:rFonts w:asciiTheme="majorHAnsi" w:eastAsiaTheme="majorEastAsia" w:hAnsiTheme="majorHAnsi" w:cstheme="majorBidi"/>
      <w:color w:val="2F5496" w:themeColor="accent1" w:themeShade="BF"/>
      <w:sz w:val="26"/>
      <w:szCs w:val="2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mdb.com/title/tt0116329/reviews" TargetMode="External"/><Relationship Id="rId3" Type="http://schemas.openxmlformats.org/officeDocument/2006/relationships/settings" Target="settings.xml"/><Relationship Id="rId7" Type="http://schemas.openxmlformats.org/officeDocument/2006/relationships/hyperlink" Target="http://www.bing.com/search?q=Bill+Lishman&amp;filters=ufn%3a%22Bill+Lishman%22+sid%3a%2277a35bec-0273-6c0f-fb2a-8a49bc7688cb%22+catguid%3a%22bec6a791-4cd6-6b4b-f478-0e620d2c3455_d2499163%22+segment%3a%22generic.carousel%22&amp;FORM=SNAPS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bing.com/search?q=Vince+McKewin+Screenwriter&amp;filters=ufn%3a%22Vince+McKewin+Screenwriter%22+sid%3a%22fa244810-fd9a-0c9f-03e1-f8ca8f3b97da%22+catguid%3a%22bec6a791-4cd6-6b4b-f478-0e620d2c3455_d2499163%22+segment%3a%22generic.carousel%22&amp;FORM=SNAPST" TargetMode="External"/><Relationship Id="rId11" Type="http://schemas.openxmlformats.org/officeDocument/2006/relationships/fontTable" Target="fontTable.xml"/><Relationship Id="rId5" Type="http://schemas.openxmlformats.org/officeDocument/2006/relationships/hyperlink" Target="http://www.bing.com/search?q=Robert+Rodat&amp;filters=ufn%3a%22Robert+Rodat%22+sid%3a%22f475c7a6-5e89-9541-f996-2959ed493c7c%22+catguid%3a%22bec6a791-4cd6-6b4b-f478-0e620d2c3455_d2499163%22+segment%3a%22generic.carousel%22&amp;FORM=SNAPST" TargetMode="External"/><Relationship Id="rId10" Type="http://schemas.openxmlformats.org/officeDocument/2006/relationships/hyperlink" Target="http://www.childcarequarterly.com/winter16_story3.html" TargetMode="External"/><Relationship Id="rId4" Type="http://schemas.openxmlformats.org/officeDocument/2006/relationships/webSettings" Target="webSettings.xml"/><Relationship Id="rId9" Type="http://schemas.openxmlformats.org/officeDocument/2006/relationships/hyperlink" Target="https://www.babycentre.co.uk/x25012671/what-is-the-difference-between-attachment-and-bond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2265</Words>
  <Characters>12916</Characters>
  <Application>Microsoft Office Word</Application>
  <DocSecurity>0</DocSecurity>
  <Lines>107</Lines>
  <Paragraphs>30</Paragraphs>
  <ScaleCrop>false</ScaleCrop>
  <Company>Deftones</Company>
  <LinksUpToDate>false</LinksUpToDate>
  <CharactersWithSpaces>15151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Lesley Martin (1804350)</dc:creator>
  <cp:lastModifiedBy>PC Homecall</cp:lastModifiedBy>
  <cp:revision>2</cp:revision>
  <dcterms:created xsi:type="dcterms:W3CDTF">2019-05-20T10:42:00Z</dcterms:created>
  <dcterms:modified xsi:type="dcterms:W3CDTF">2019-05-20T10:42:00Z</dcterms:modified>
</cp:coreProperties>
</file>