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1A4F7A" w14:textId="0ECEE368" w:rsidR="007E3F6C" w:rsidRDefault="00AD14F6" w:rsidP="00DC57EA">
      <w:pPr>
        <w:pStyle w:val="Heading1"/>
        <w:ind w:left="13" w:right="4"/>
      </w:pPr>
      <w:r>
        <w:t>Introduction</w:t>
      </w:r>
    </w:p>
    <w:p w14:paraId="4267CE31" w14:textId="31F6C222" w:rsidR="007E3F6C" w:rsidRDefault="007E3F6C" w:rsidP="00DC57EA">
      <w:pPr>
        <w:spacing w:after="158" w:line="259" w:lineRule="auto"/>
        <w:ind w:left="58" w:firstLine="0"/>
      </w:pPr>
    </w:p>
    <w:p w14:paraId="235E0399" w14:textId="4D3EE4F1" w:rsidR="007E3F6C" w:rsidRDefault="00AD14F6" w:rsidP="00DC57EA">
      <w:pPr>
        <w:ind w:left="24" w:right="14"/>
      </w:pPr>
      <w:r>
        <w:t xml:space="preserve">The assignment will be discussing the development of social policy and legislation, focusing on Race discrimination and the </w:t>
      </w:r>
      <w:r w:rsidR="00AD35EE">
        <w:rPr>
          <w:noProof/>
        </w:rPr>
        <w:t>e</w:t>
      </w:r>
      <w:r w:rsidRPr="00AD35EE">
        <w:rPr>
          <w:noProof/>
        </w:rPr>
        <w:t>ffects</w:t>
      </w:r>
      <w:r>
        <w:t xml:space="preserve"> that the changes in legislation and social policy have had on the issue over the years.</w:t>
      </w:r>
    </w:p>
    <w:p w14:paraId="68BCB73B" w14:textId="3CA091F6" w:rsidR="007E3F6C" w:rsidRDefault="007E3F6C" w:rsidP="00DC57EA">
      <w:pPr>
        <w:spacing w:after="158" w:line="259" w:lineRule="auto"/>
        <w:ind w:left="58" w:firstLine="0"/>
      </w:pPr>
    </w:p>
    <w:p w14:paraId="2ACE4A8C" w14:textId="6FF15C42" w:rsidR="007E3F6C" w:rsidRDefault="00AD14F6" w:rsidP="00DC57EA">
      <w:pPr>
        <w:spacing w:after="157" w:line="259" w:lineRule="auto"/>
        <w:ind w:left="13"/>
      </w:pPr>
      <w:r>
        <w:rPr>
          <w:b/>
          <w:u w:val="single" w:color="000000"/>
        </w:rPr>
        <w:t xml:space="preserve">What is </w:t>
      </w:r>
      <w:r w:rsidR="00AD35EE">
        <w:rPr>
          <w:b/>
          <w:u w:val="single" w:color="000000"/>
        </w:rPr>
        <w:t xml:space="preserve">the </w:t>
      </w:r>
      <w:r w:rsidRPr="00AD35EE">
        <w:rPr>
          <w:b/>
          <w:noProof/>
          <w:u w:val="single" w:color="000000"/>
        </w:rPr>
        <w:t>social</w:t>
      </w:r>
      <w:r>
        <w:rPr>
          <w:b/>
          <w:u w:val="single" w:color="000000"/>
        </w:rPr>
        <w:t xml:space="preserve"> policy?</w:t>
      </w:r>
    </w:p>
    <w:p w14:paraId="470E96DB" w14:textId="3116DACF" w:rsidR="007E3F6C" w:rsidRDefault="007E3F6C" w:rsidP="00DC57EA">
      <w:pPr>
        <w:spacing w:after="159" w:line="259" w:lineRule="auto"/>
        <w:ind w:left="58" w:firstLine="0"/>
      </w:pPr>
    </w:p>
    <w:p w14:paraId="15BE19AA" w14:textId="54D4F2C4" w:rsidR="007E3F6C" w:rsidRDefault="00AD14F6" w:rsidP="00DC57EA">
      <w:pPr>
        <w:ind w:left="24"/>
      </w:pPr>
      <w:r>
        <w:t>The term social policy is used to refer to the policies which governments use for social protection and welfare. Social policy is concerned with the way societies all across the world meet human needs for work, education, security, health and wellbeing it aims to improve every person’s individual wellbeing and is especially concerned with the welfare of those who experience some form of disadvantage such as race.</w:t>
      </w:r>
    </w:p>
    <w:p w14:paraId="38EB5AE3" w14:textId="0872328E" w:rsidR="007E3F6C" w:rsidRDefault="007E3F6C" w:rsidP="00DC57EA">
      <w:pPr>
        <w:spacing w:after="158" w:line="259" w:lineRule="auto"/>
        <w:ind w:left="58" w:firstLine="0"/>
      </w:pPr>
    </w:p>
    <w:p w14:paraId="380A7EEC" w14:textId="200A33E6" w:rsidR="007E3F6C" w:rsidRDefault="00AD14F6" w:rsidP="00DC57EA">
      <w:pPr>
        <w:spacing w:after="157" w:line="259" w:lineRule="auto"/>
        <w:ind w:left="13" w:right="4"/>
      </w:pPr>
      <w:r>
        <w:rPr>
          <w:b/>
          <w:u w:val="single" w:color="000000"/>
        </w:rPr>
        <w:t>What is Legislation?</w:t>
      </w:r>
    </w:p>
    <w:p w14:paraId="05B3F004" w14:textId="239ADDC1" w:rsidR="007E3F6C" w:rsidRDefault="00AD35EE" w:rsidP="00DC57EA">
      <w:pPr>
        <w:ind w:left="24" w:right="14"/>
      </w:pPr>
      <w:r>
        <w:rPr>
          <w:noProof/>
        </w:rPr>
        <w:t>The l</w:t>
      </w:r>
      <w:r w:rsidR="00AD14F6" w:rsidRPr="00AD35EE">
        <w:rPr>
          <w:noProof/>
        </w:rPr>
        <w:t>egislation</w:t>
      </w:r>
      <w:r w:rsidR="00AD14F6">
        <w:t xml:space="preserve"> is one of the most important instruments of government in organising society and protecting the public. It determines amongst others the rights and responsibilities of individuals and authorities to whom the legislation applies. On the other hand, a law has little or no value if there is neither discipline nor enforcement.</w:t>
      </w:r>
    </w:p>
    <w:p w14:paraId="630B797B" w14:textId="3C8E5CCA" w:rsidR="007E3F6C" w:rsidRDefault="007E3F6C" w:rsidP="00DC57EA">
      <w:pPr>
        <w:spacing w:after="158" w:line="259" w:lineRule="auto"/>
        <w:ind w:left="58" w:firstLine="0"/>
      </w:pPr>
    </w:p>
    <w:p w14:paraId="4A404E15" w14:textId="7B286BE6" w:rsidR="007E3F6C" w:rsidRDefault="00AD14F6" w:rsidP="00DC57EA">
      <w:pPr>
        <w:pStyle w:val="Heading1"/>
        <w:ind w:left="13" w:right="5"/>
      </w:pPr>
      <w:r>
        <w:t xml:space="preserve">The </w:t>
      </w:r>
      <w:r w:rsidRPr="00AD35EE">
        <w:rPr>
          <w:noProof/>
        </w:rPr>
        <w:t>Policy</w:t>
      </w:r>
      <w:r w:rsidR="00AD35EE">
        <w:rPr>
          <w:noProof/>
        </w:rPr>
        <w:t>-</w:t>
      </w:r>
      <w:r w:rsidRPr="00AD35EE">
        <w:rPr>
          <w:noProof/>
        </w:rPr>
        <w:t>Making</w:t>
      </w:r>
      <w:r>
        <w:t xml:space="preserve"> Process</w:t>
      </w:r>
    </w:p>
    <w:p w14:paraId="200052C6" w14:textId="62B985A8" w:rsidR="0056767C" w:rsidRPr="0056767C" w:rsidRDefault="00AD14F6" w:rsidP="00DC57EA">
      <w:pPr>
        <w:ind w:left="24" w:right="14"/>
      </w:pPr>
      <w:r>
        <w:t>Policies are usually created by individuals who are affected by certain issues and decide to try and create a solution to their own problems</w:t>
      </w:r>
      <w:r w:rsidR="0056767C">
        <w:t>.</w:t>
      </w:r>
      <w:r>
        <w:t xml:space="preserve"> </w:t>
      </w:r>
      <w:r w:rsidR="0056767C" w:rsidRPr="0056767C">
        <w:t xml:space="preserve">Public policy refers to the actions taken by </w:t>
      </w:r>
      <w:r w:rsidR="00AD35EE">
        <w:t xml:space="preserve">the </w:t>
      </w:r>
      <w:r w:rsidR="0056767C" w:rsidRPr="00AD35EE">
        <w:rPr>
          <w:noProof/>
        </w:rPr>
        <w:t>government</w:t>
      </w:r>
      <w:r w:rsidR="0056767C" w:rsidRPr="0056767C">
        <w:t xml:space="preserve"> — its decisions that are intended to solve problems and improve the quality of life for its citizens. At the federal level, public policies are enacted to regulate industry and business, to protect citizens at home and abroad, to aid state and city governments and people such as the poor through funding programs, and to encourage social goals.</w:t>
      </w:r>
      <w:r w:rsidR="0056767C">
        <w:t xml:space="preserve"> </w:t>
      </w:r>
      <w:r w:rsidR="0056767C" w:rsidRPr="0056767C">
        <w:t>A policy established and carried out by the government goes through several stages from inception to conclusion. These are agenda building, formulation, adoption, implementation, evaluation, and termination.</w:t>
      </w:r>
    </w:p>
    <w:p w14:paraId="477432EC" w14:textId="27EC93D3" w:rsidR="007E3F6C" w:rsidRDefault="007E3F6C" w:rsidP="00DC57EA">
      <w:pPr>
        <w:ind w:left="24" w:right="14"/>
      </w:pPr>
    </w:p>
    <w:p w14:paraId="4FD25C07" w14:textId="39EFC44B" w:rsidR="007E3F6C" w:rsidRDefault="007E3F6C" w:rsidP="00DC57EA">
      <w:pPr>
        <w:spacing w:after="158" w:line="259" w:lineRule="auto"/>
        <w:ind w:left="58" w:firstLine="0"/>
      </w:pPr>
    </w:p>
    <w:p w14:paraId="54215FA5" w14:textId="3E4A4564" w:rsidR="007E3F6C" w:rsidRDefault="007E3F6C" w:rsidP="00DC57EA">
      <w:pPr>
        <w:spacing w:after="156" w:line="259" w:lineRule="auto"/>
        <w:ind w:left="58" w:firstLine="0"/>
      </w:pPr>
    </w:p>
    <w:p w14:paraId="1F5F1463" w14:textId="4254E67E" w:rsidR="007E3F6C" w:rsidRDefault="00AD14F6" w:rsidP="00DC57EA">
      <w:pPr>
        <w:pStyle w:val="Heading1"/>
        <w:ind w:left="13" w:right="4"/>
      </w:pPr>
      <w:r>
        <w:t>The Welfare State and how it began</w:t>
      </w:r>
    </w:p>
    <w:p w14:paraId="1D9DCC78" w14:textId="4E1B4F75" w:rsidR="007E3F6C" w:rsidRDefault="00AD14F6" w:rsidP="00DC57EA">
      <w:pPr>
        <w:spacing w:after="0"/>
        <w:ind w:left="24" w:right="14"/>
      </w:pPr>
      <w:r>
        <w:t>‘Histories of the welfare state usually begin around 1945. The 1940 - 50 period does mark a crucial change in the history of welfare in Britain but to begin the story here distorts the</w:t>
      </w:r>
    </w:p>
    <w:p w14:paraId="49B9DB67" w14:textId="08C413A0" w:rsidR="007E3F6C" w:rsidRDefault="00AD14F6" w:rsidP="00DC57EA">
      <w:pPr>
        <w:spacing w:after="2"/>
        <w:ind w:left="24" w:right="14"/>
      </w:pPr>
      <w:r>
        <w:lastRenderedPageBreak/>
        <w:t>record. It promotes the idea of welfare developments in this country as part of a</w:t>
      </w:r>
      <w:r w:rsidR="00EB6B8F">
        <w:t xml:space="preserve"> collective train</w:t>
      </w:r>
      <w:r>
        <w:t xml:space="preserve"> journey which began with Lloyd George and ended with Mr Attlee, Labour's 1945</w:t>
      </w:r>
    </w:p>
    <w:p w14:paraId="7A22E704" w14:textId="6531859D" w:rsidR="007E3F6C" w:rsidRDefault="00AD14F6" w:rsidP="00DC57EA">
      <w:pPr>
        <w:ind w:left="24" w:right="14"/>
      </w:pPr>
      <w:r>
        <w:t>Prime Minister, safely steering the train into a collective welfare state terminal.’ (Frank Field, 2011)</w:t>
      </w:r>
    </w:p>
    <w:p w14:paraId="2805742C" w14:textId="37DFC37C" w:rsidR="007E3F6C" w:rsidRDefault="00AD14F6" w:rsidP="00DC57EA">
      <w:pPr>
        <w:spacing w:after="1"/>
        <w:ind w:left="24" w:right="14"/>
      </w:pPr>
      <w:r>
        <w:t>After WW2 many countries were left damaged from the war along with the locals on an individual scale. It was essential for the state to create a solution, British Lawyer William</w:t>
      </w:r>
    </w:p>
    <w:p w14:paraId="74468F3A" w14:textId="1E5B31A8" w:rsidR="007E3F6C" w:rsidRDefault="00AD14F6" w:rsidP="00DC57EA">
      <w:pPr>
        <w:spacing w:after="0"/>
        <w:ind w:left="24" w:right="14"/>
      </w:pPr>
      <w:r w:rsidRPr="00AD35EE">
        <w:rPr>
          <w:noProof/>
        </w:rPr>
        <w:t>Beverage</w:t>
      </w:r>
      <w:r>
        <w:t xml:space="preserve"> was first in the running to come up with the solution to what he called the 5 evils; disease, want, squalor, ignorance and idleness. Beverage had a theory that to begin to rebuild</w:t>
      </w:r>
    </w:p>
    <w:p w14:paraId="51F19CB4" w14:textId="2B8CCA0E" w:rsidR="007E3F6C" w:rsidRDefault="00AD14F6" w:rsidP="00DC57EA">
      <w:pPr>
        <w:spacing w:after="1" w:line="259" w:lineRule="auto"/>
        <w:ind w:left="158"/>
      </w:pPr>
      <w:r>
        <w:t>Britain, the state needed to focus on a solution to each individual problem and the Beverage report was an outline on how to do so. The report was extremely successful after it was</w:t>
      </w:r>
    </w:p>
    <w:p w14:paraId="3D159050" w14:textId="533054A0" w:rsidR="007E3F6C" w:rsidRDefault="00AD14F6" w:rsidP="00DC57EA">
      <w:pPr>
        <w:ind w:left="24" w:right="14"/>
      </w:pPr>
      <w:r>
        <w:t>published and sold over 600,000 copies, it</w:t>
      </w:r>
      <w:r w:rsidR="00414B31">
        <w:t>’</w:t>
      </w:r>
      <w:r>
        <w:t>s an outline for a variety of the policy and legislation that have been put into practice since 1945</w:t>
      </w:r>
    </w:p>
    <w:p w14:paraId="7F4E2E9E" w14:textId="002B5A4B" w:rsidR="007E3F6C" w:rsidRDefault="007E3F6C" w:rsidP="00DC57EA">
      <w:pPr>
        <w:spacing w:after="158" w:line="259" w:lineRule="auto"/>
        <w:ind w:left="58" w:firstLine="0"/>
      </w:pPr>
    </w:p>
    <w:p w14:paraId="755F5044" w14:textId="1A338C65" w:rsidR="007E3F6C" w:rsidRDefault="00AD14F6" w:rsidP="00DC57EA">
      <w:pPr>
        <w:spacing w:after="0"/>
        <w:ind w:left="24" w:right="14"/>
      </w:pPr>
      <w:r>
        <w:t>Between 1945 and 1950, the Labour Government passed a series of measures which became known as the Welfare State.</w:t>
      </w:r>
      <w:r>
        <w:rPr>
          <w:color w:val="333333"/>
        </w:rPr>
        <w:t xml:space="preserve"> </w:t>
      </w:r>
      <w:r>
        <w:t>The Labour Government introduced a number of reforms and</w:t>
      </w:r>
    </w:p>
    <w:p w14:paraId="64973E0E" w14:textId="469DCB6B" w:rsidR="007E3F6C" w:rsidRDefault="00AD14F6" w:rsidP="00DC57EA">
      <w:pPr>
        <w:spacing w:after="0"/>
        <w:ind w:left="24" w:right="14"/>
      </w:pPr>
      <w:r>
        <w:t>changes in order to attempt to tackle the Five Giants - disease, want, squalor, ignorance and idleness. ‘The</w:t>
      </w:r>
      <w:hyperlink r:id="rId5">
        <w:r>
          <w:t xml:space="preserve"> </w:t>
        </w:r>
      </w:hyperlink>
      <w:r w:rsidRPr="00414B31">
        <w:t>Race Relations Act</w:t>
      </w:r>
      <w:hyperlink r:id="rId6">
        <w:r w:rsidRPr="00414B31">
          <w:t xml:space="preserve"> </w:t>
        </w:r>
      </w:hyperlink>
      <w:r>
        <w:t>was passed 50 years ago, outlawing the racist</w:t>
      </w:r>
    </w:p>
    <w:p w14:paraId="19349AF2" w14:textId="2E91B014" w:rsidR="007E3F6C" w:rsidRDefault="00AD14F6" w:rsidP="00DC57EA">
      <w:pPr>
        <w:spacing w:after="1" w:line="259" w:lineRule="auto"/>
        <w:ind w:left="158"/>
      </w:pPr>
      <w:r>
        <w:t>discrimination that was the daily experience of migrants from the empire. No longer would</w:t>
      </w:r>
    </w:p>
    <w:p w14:paraId="1228F30F" w14:textId="261CC403" w:rsidR="007E3F6C" w:rsidRDefault="00AD14F6" w:rsidP="00DC57EA">
      <w:pPr>
        <w:spacing w:after="1" w:line="259" w:lineRule="auto"/>
        <w:ind w:left="51"/>
      </w:pPr>
      <w:r>
        <w:t>signs of “</w:t>
      </w:r>
      <w:hyperlink r:id="rId7">
        <w:r w:rsidRPr="00414B31">
          <w:t>no blacks, no Irish, no dogs</w:t>
        </w:r>
      </w:hyperlink>
      <w:hyperlink r:id="rId8">
        <w:r>
          <w:t>”</w:t>
        </w:r>
      </w:hyperlink>
      <w:r>
        <w:t xml:space="preserve"> be allowed and it was made illegal to refuse service or</w:t>
      </w:r>
    </w:p>
    <w:p w14:paraId="48014251" w14:textId="38986B46" w:rsidR="007E3F6C" w:rsidRDefault="00AD14F6" w:rsidP="00DC57EA">
      <w:pPr>
        <w:spacing w:after="0"/>
        <w:ind w:left="24" w:right="14"/>
      </w:pPr>
      <w:r>
        <w:t>job opportunities on the basis of skin colour. The act was an important step in reducing the prejudice that ethnic minorities faced, which are unimaginable for many of us now.’</w:t>
      </w:r>
    </w:p>
    <w:p w14:paraId="7359FC48" w14:textId="4A584182" w:rsidR="007E3F6C" w:rsidRDefault="00AD14F6" w:rsidP="00DC57EA">
      <w:pPr>
        <w:ind w:left="24" w:right="13"/>
      </w:pPr>
      <w:r>
        <w:t>(Kehinde Andrews, 2015)</w:t>
      </w:r>
    </w:p>
    <w:p w14:paraId="5E3054B5" w14:textId="36D5F357" w:rsidR="007E3F6C" w:rsidRDefault="007E3F6C" w:rsidP="00DC57EA">
      <w:pPr>
        <w:spacing w:after="158" w:line="259" w:lineRule="auto"/>
        <w:ind w:left="58" w:firstLine="0"/>
      </w:pPr>
    </w:p>
    <w:p w14:paraId="7F2E9C03" w14:textId="48E525A6" w:rsidR="007E3F6C" w:rsidRDefault="00AD14F6" w:rsidP="00DC57EA">
      <w:pPr>
        <w:pStyle w:val="Heading1"/>
        <w:ind w:left="13" w:right="5"/>
      </w:pPr>
      <w:r>
        <w:t>Types of Race discrimination in specific ethnic groups</w:t>
      </w:r>
    </w:p>
    <w:p w14:paraId="3A240D63" w14:textId="77777777" w:rsidR="007E3F6C" w:rsidRDefault="00AD14F6" w:rsidP="00DC57EA">
      <w:pPr>
        <w:spacing w:after="1" w:line="259" w:lineRule="auto"/>
        <w:ind w:left="158"/>
      </w:pPr>
      <w:r>
        <w:t>Racial discrimination refers to</w:t>
      </w:r>
      <w:r w:rsidR="004266EF">
        <w:t xml:space="preserve"> the</w:t>
      </w:r>
      <w:r>
        <w:t xml:space="preserve"> discrimination against individuals on the basis of their race.</w:t>
      </w:r>
    </w:p>
    <w:p w14:paraId="142250D4" w14:textId="19E2315E" w:rsidR="007E3F6C" w:rsidRDefault="00AD14F6" w:rsidP="00DC57EA">
      <w:pPr>
        <w:spacing w:after="0"/>
        <w:ind w:left="405" w:right="335"/>
      </w:pPr>
      <w:r>
        <w:t>Race Relations Act 1976. Status: Repealed. The Race Relations Act 1965 was the first legislation in the United Kingdom to address racial discrimination. The</w:t>
      </w:r>
    </w:p>
    <w:p w14:paraId="0383A1E5" w14:textId="5BCCEB00" w:rsidR="007E3F6C" w:rsidRDefault="00AD35EE" w:rsidP="00DC57EA">
      <w:pPr>
        <w:spacing w:after="80" w:line="326" w:lineRule="auto"/>
        <w:ind w:left="24" w:right="18"/>
      </w:pPr>
      <w:r>
        <w:rPr>
          <w:noProof/>
        </w:rPr>
        <w:t>The a</w:t>
      </w:r>
      <w:r w:rsidR="00AD14F6" w:rsidRPr="00AD35EE">
        <w:rPr>
          <w:noProof/>
        </w:rPr>
        <w:t>ct</w:t>
      </w:r>
      <w:r w:rsidR="00AD14F6">
        <w:t xml:space="preserve"> outlawed discrimination on the "grounds of race, colour, or ethnic or national origins" in public places in Great Britain although not in Northern Ireland. </w:t>
      </w:r>
      <w:r w:rsidR="00AD14F6" w:rsidRPr="004266EF">
        <w:t>The Race Relations Act</w:t>
      </w:r>
    </w:p>
    <w:p w14:paraId="6BE68F9A" w14:textId="4CB212D9" w:rsidR="007E3F6C" w:rsidRDefault="00AD14F6" w:rsidP="00DC57EA">
      <w:pPr>
        <w:spacing w:after="0"/>
        <w:ind w:left="24" w:right="14"/>
      </w:pPr>
      <w:r>
        <w:t>In 1968 the race relations act was passed, this meant that any act of age discrimination was now illegal in all aspects such as housing, employment and advertising. The Labour</w:t>
      </w:r>
    </w:p>
    <w:p w14:paraId="071FF6BE" w14:textId="6689FC26" w:rsidR="007E3F6C" w:rsidRDefault="00AD14F6" w:rsidP="00DC57EA">
      <w:pPr>
        <w:spacing w:after="1"/>
        <w:ind w:left="24" w:right="16"/>
      </w:pPr>
      <w:r>
        <w:t>government introduced many changes to attempt to solve Beverages Five giants- disease,</w:t>
      </w:r>
    </w:p>
    <w:p w14:paraId="70498ACC" w14:textId="569B3E88" w:rsidR="007E3F6C" w:rsidRDefault="00AD14F6" w:rsidP="00DC57EA">
      <w:pPr>
        <w:ind w:left="24" w:right="14"/>
      </w:pPr>
      <w:r>
        <w:t xml:space="preserve">squalor, want, ignorance and idleness. Beverage Claimed that if the state could somehow find a solution to these five problems that the public, the state and all social groups would benefit </w:t>
      </w:r>
      <w:r w:rsidR="006035E3">
        <w:t>significantly</w:t>
      </w:r>
      <w:r>
        <w:t>.</w:t>
      </w:r>
    </w:p>
    <w:p w14:paraId="505EA1A7" w14:textId="77777777" w:rsidR="004266EF" w:rsidRDefault="004266EF" w:rsidP="00DC57EA">
      <w:pPr>
        <w:spacing w:after="159" w:line="259" w:lineRule="auto"/>
        <w:ind w:left="58" w:firstLine="0"/>
        <w:rPr>
          <w:b/>
          <w:u w:val="single"/>
        </w:rPr>
      </w:pPr>
    </w:p>
    <w:p w14:paraId="596C7316" w14:textId="77777777" w:rsidR="007B11B6" w:rsidRDefault="007B11B6" w:rsidP="00DC57EA">
      <w:pPr>
        <w:spacing w:after="159" w:line="259" w:lineRule="auto"/>
        <w:ind w:left="58" w:firstLine="0"/>
        <w:rPr>
          <w:b/>
          <w:u w:val="single"/>
        </w:rPr>
      </w:pPr>
      <w:r w:rsidRPr="007B11B6">
        <w:rPr>
          <w:b/>
          <w:u w:val="single"/>
        </w:rPr>
        <w:t>How has immigration changed Britain since WW2?</w:t>
      </w:r>
    </w:p>
    <w:p w14:paraId="3087F0A7" w14:textId="0F1FE2E3" w:rsidR="00864930" w:rsidRPr="00864930" w:rsidRDefault="00864930" w:rsidP="00DC57EA">
      <w:pPr>
        <w:spacing w:after="159" w:line="259" w:lineRule="auto"/>
        <w:ind w:left="58" w:firstLine="0"/>
        <w:rPr>
          <w:b/>
          <w:u w:val="single"/>
        </w:rPr>
      </w:pPr>
      <w:r w:rsidRPr="00864930">
        <w:rPr>
          <w:b/>
          <w:u w:val="single"/>
        </w:rPr>
        <w:t>30</w:t>
      </w:r>
      <w:r w:rsidRPr="00864930">
        <w:rPr>
          <w:b/>
          <w:u w:val="single"/>
          <w:vertAlign w:val="superscript"/>
        </w:rPr>
        <w:t>th</w:t>
      </w:r>
      <w:r w:rsidRPr="00864930">
        <w:rPr>
          <w:b/>
          <w:u w:val="single"/>
        </w:rPr>
        <w:t xml:space="preserve"> of </w:t>
      </w:r>
      <w:r w:rsidR="00AD35EE">
        <w:rPr>
          <w:b/>
          <w:noProof/>
          <w:u w:val="single"/>
        </w:rPr>
        <w:t>A</w:t>
      </w:r>
      <w:r w:rsidRPr="00AD35EE">
        <w:rPr>
          <w:b/>
          <w:noProof/>
          <w:u w:val="single"/>
        </w:rPr>
        <w:t>ugust</w:t>
      </w:r>
      <w:r w:rsidRPr="00864930">
        <w:rPr>
          <w:b/>
          <w:u w:val="single"/>
        </w:rPr>
        <w:t xml:space="preserve"> 1948</w:t>
      </w:r>
    </w:p>
    <w:p w14:paraId="6A281274" w14:textId="49FE2C94" w:rsidR="00864930" w:rsidRDefault="00864930" w:rsidP="00DC57EA">
      <w:pPr>
        <w:spacing w:after="159" w:line="259" w:lineRule="auto"/>
      </w:pPr>
      <w:r w:rsidRPr="00864930">
        <w:lastRenderedPageBreak/>
        <w:t>As</w:t>
      </w:r>
      <w:r>
        <w:t xml:space="preserve"> the </w:t>
      </w:r>
      <w:r w:rsidRPr="00864930">
        <w:t>Commonwealth immigration increase</w:t>
      </w:r>
      <w:r>
        <w:t xml:space="preserve">d </w:t>
      </w:r>
      <w:r w:rsidRPr="00864930">
        <w:t xml:space="preserve">following the arrival of the Windrush, so does racial tension. Race riots </w:t>
      </w:r>
      <w:r>
        <w:t>erupted</w:t>
      </w:r>
      <w:r w:rsidRPr="00864930">
        <w:t xml:space="preserve"> across the country, encouraged by </w:t>
      </w:r>
      <w:r w:rsidRPr="00AD35EE">
        <w:rPr>
          <w:noProof/>
        </w:rPr>
        <w:t>right</w:t>
      </w:r>
      <w:r w:rsidR="00AD35EE">
        <w:rPr>
          <w:noProof/>
        </w:rPr>
        <w:t>-</w:t>
      </w:r>
      <w:r w:rsidRPr="00AD35EE">
        <w:rPr>
          <w:noProof/>
        </w:rPr>
        <w:t>wing</w:t>
      </w:r>
      <w:r w:rsidRPr="00864930">
        <w:t xml:space="preserve"> pro-white groups, building on ill</w:t>
      </w:r>
      <w:r>
        <w:t xml:space="preserve"> </w:t>
      </w:r>
      <w:r w:rsidRPr="00864930">
        <w:t xml:space="preserve">feeling at </w:t>
      </w:r>
      <w:r w:rsidR="00AD35EE">
        <w:t xml:space="preserve">the </w:t>
      </w:r>
      <w:r w:rsidRPr="00AD35EE">
        <w:rPr>
          <w:noProof/>
        </w:rPr>
        <w:t>competition</w:t>
      </w:r>
      <w:r w:rsidRPr="00864930">
        <w:t xml:space="preserve"> for housing and jobs. Riots start</w:t>
      </w:r>
      <w:r>
        <w:t>ed</w:t>
      </w:r>
      <w:r w:rsidRPr="00864930">
        <w:t xml:space="preserve"> in Liverpool in August </w:t>
      </w:r>
      <w:r w:rsidRPr="00AD35EE">
        <w:rPr>
          <w:noProof/>
        </w:rPr>
        <w:t>1948</w:t>
      </w:r>
      <w:r w:rsidRPr="00864930">
        <w:t xml:space="preserve"> and spread in</w:t>
      </w:r>
      <w:r>
        <w:t>to</w:t>
      </w:r>
      <w:r w:rsidRPr="00864930">
        <w:t xml:space="preserve"> the 1950s to Birmingham, Nottingham and west London. They culminate in the infamous Notting Hill riots in August 1958. The separate assaults of five black men by white youths in Shepherd's Bush and Notting Hill sparks unrest and at around midnight on 30</w:t>
      </w:r>
      <w:r w:rsidRPr="00864930">
        <w:rPr>
          <w:vertAlign w:val="superscript"/>
        </w:rPr>
        <w:t>th</w:t>
      </w:r>
      <w:r>
        <w:t xml:space="preserve"> of</w:t>
      </w:r>
      <w:r w:rsidRPr="00864930">
        <w:t xml:space="preserve"> August rioting breaks out and lasts a week</w:t>
      </w:r>
      <w:r>
        <w:t>.</w:t>
      </w:r>
    </w:p>
    <w:p w14:paraId="1E58D98A" w14:textId="77777777" w:rsidR="004266EF" w:rsidRDefault="004266EF" w:rsidP="00DC57EA">
      <w:pPr>
        <w:spacing w:after="159" w:line="259" w:lineRule="auto"/>
        <w:rPr>
          <w:b/>
          <w:u w:val="single"/>
        </w:rPr>
      </w:pPr>
    </w:p>
    <w:p w14:paraId="519E3E1A" w14:textId="77777777" w:rsidR="00864930" w:rsidRPr="00864930" w:rsidRDefault="00864930" w:rsidP="00DC57EA">
      <w:pPr>
        <w:spacing w:after="159" w:line="259" w:lineRule="auto"/>
        <w:rPr>
          <w:b/>
          <w:u w:val="single"/>
        </w:rPr>
      </w:pPr>
      <w:r w:rsidRPr="00864930">
        <w:rPr>
          <w:b/>
          <w:u w:val="single"/>
        </w:rPr>
        <w:t>The race relations act 1965</w:t>
      </w:r>
    </w:p>
    <w:p w14:paraId="3EC14369" w14:textId="77777777" w:rsidR="00864930" w:rsidRPr="00864930" w:rsidRDefault="00864930" w:rsidP="00DC57EA">
      <w:pPr>
        <w:spacing w:after="159" w:line="259" w:lineRule="auto"/>
      </w:pPr>
      <w:r w:rsidRPr="00864930">
        <w:t>The Race Relations Act 1965 was the first piece of legislation in the UK to address the prohibition of racial discrimination and followed previously unsuccessful bills.  The Act banned racial discrimination in public places and made the promotion of hatred on the grounds of ‘colour, race, or ethnic or national origins’ an offence.</w:t>
      </w:r>
    </w:p>
    <w:p w14:paraId="1743F66D" w14:textId="68524C4C" w:rsidR="00864930" w:rsidRPr="00864930" w:rsidRDefault="00864930" w:rsidP="00DC57EA">
      <w:pPr>
        <w:spacing w:after="159" w:line="259" w:lineRule="auto"/>
      </w:pPr>
      <w:r w:rsidRPr="00864930">
        <w:t xml:space="preserve">The Bill received Royal Assent on </w:t>
      </w:r>
      <w:r w:rsidR="00414B31" w:rsidRPr="00864930">
        <w:t>8 November 1965 and</w:t>
      </w:r>
      <w:r w:rsidRPr="00864930">
        <w:t xml:space="preserve"> came into action a month later on 8 December 1965. It was introduced by the Government in response to the increasing number of people who had moved to the UK from other Commonwealth countries; at the time of the Act being </w:t>
      </w:r>
      <w:r w:rsidRPr="00AD35EE">
        <w:rPr>
          <w:noProof/>
        </w:rPr>
        <w:t>passed</w:t>
      </w:r>
      <w:r w:rsidR="00AD35EE">
        <w:rPr>
          <w:noProof/>
        </w:rPr>
        <w:t>,</w:t>
      </w:r>
      <w:r w:rsidRPr="00864930">
        <w:t xml:space="preserve"> there were nearly one million immigrants living in the UK. It was criticised for failing to address vital areas where discrimination was most prevalent, namely employment and wider aspects of acquiring accommodation. This led to the passing of the 1968 Race Relations Act, which made unlawful acts of discrimination within employment, housing and advertising.</w:t>
      </w:r>
    </w:p>
    <w:p w14:paraId="255180ED" w14:textId="1CD30149" w:rsidR="00864930" w:rsidRPr="00864930" w:rsidRDefault="00864930" w:rsidP="00DC57EA">
      <w:pPr>
        <w:spacing w:after="159" w:line="259" w:lineRule="auto"/>
      </w:pPr>
      <w:r w:rsidRPr="00864930">
        <w:t xml:space="preserve">20 years later in </w:t>
      </w:r>
      <w:r w:rsidRPr="00AD35EE">
        <w:rPr>
          <w:noProof/>
        </w:rPr>
        <w:t>1995</w:t>
      </w:r>
      <w:r w:rsidR="00AD35EE">
        <w:rPr>
          <w:noProof/>
        </w:rPr>
        <w:t>,</w:t>
      </w:r>
      <w:r w:rsidRPr="00864930">
        <w:t xml:space="preserve"> another part was added to those laws named section 18c it made it illegal to offend, humiliate, insult and intimidate a person based on what race they are. In recent years that part has caused some controversy like in 2011 when a newspaper columnist was found to have broken section 18c in two articles he’d written about indigenous people a couple of </w:t>
      </w:r>
      <w:r w:rsidRPr="00AD35EE">
        <w:rPr>
          <w:noProof/>
        </w:rPr>
        <w:t>year</w:t>
      </w:r>
      <w:r w:rsidR="00AD35EE">
        <w:rPr>
          <w:noProof/>
        </w:rPr>
        <w:t>s</w:t>
      </w:r>
      <w:r w:rsidRPr="00864930">
        <w:t xml:space="preserve"> earlier. Some people thought the ruling was unfair and campaigned to change section </w:t>
      </w:r>
      <w:r w:rsidR="00414B31" w:rsidRPr="00864930">
        <w:t>18c,</w:t>
      </w:r>
      <w:r w:rsidRPr="00864930">
        <w:t xml:space="preserve"> but it never happened.</w:t>
      </w:r>
    </w:p>
    <w:p w14:paraId="42CBC8F5" w14:textId="5A5DA9B5" w:rsidR="00864930" w:rsidRDefault="00864930" w:rsidP="00DC57EA">
      <w:pPr>
        <w:spacing w:after="159" w:line="259" w:lineRule="auto"/>
      </w:pPr>
      <w:r w:rsidRPr="00864930">
        <w:t xml:space="preserve">Former prime minister of Australia Malcolm </w:t>
      </w:r>
      <w:r w:rsidR="00414B31" w:rsidRPr="00864930">
        <w:t>turn bull</w:t>
      </w:r>
      <w:r w:rsidRPr="00864930">
        <w:t xml:space="preserve"> said that his government would have another go at changing section 18c saying that it had lost its credibility and wants to change the words from </w:t>
      </w:r>
      <w:r w:rsidRPr="00AD35EE">
        <w:rPr>
          <w:noProof/>
        </w:rPr>
        <w:t>offend</w:t>
      </w:r>
      <w:r w:rsidRPr="00864930">
        <w:t>, humiliate, insult and intimidate and replace them with harass. The idea being to make a clearer line between someone feeling threatened or just having their feelings hurt by comments about their race the government said that it would help protect people</w:t>
      </w:r>
      <w:r w:rsidR="00414B31">
        <w:t>’</w:t>
      </w:r>
      <w:r w:rsidRPr="00864930">
        <w:t xml:space="preserve">s freedom of speech even if it was the sort of speech that some people wouldn’t like so only the more serious cases would get taken in to court. But some politicians are incredibly worried about if that change does happen </w:t>
      </w:r>
      <w:r w:rsidR="00AD35EE">
        <w:rPr>
          <w:noProof/>
        </w:rPr>
        <w:t>to say</w:t>
      </w:r>
      <w:r w:rsidRPr="00864930">
        <w:t xml:space="preserve"> that it could make people think that it is ok to say racial things.</w:t>
      </w:r>
    </w:p>
    <w:p w14:paraId="1EE93613" w14:textId="77777777" w:rsidR="004266EF" w:rsidRDefault="004266EF" w:rsidP="00DC57EA">
      <w:pPr>
        <w:spacing w:after="159" w:line="259" w:lineRule="auto"/>
        <w:rPr>
          <w:b/>
          <w:u w:val="single"/>
        </w:rPr>
      </w:pPr>
    </w:p>
    <w:p w14:paraId="73CC2CEC" w14:textId="77777777" w:rsidR="00864930" w:rsidRPr="00864930" w:rsidRDefault="00864930" w:rsidP="00DC57EA">
      <w:pPr>
        <w:spacing w:after="159" w:line="259" w:lineRule="auto"/>
        <w:rPr>
          <w:b/>
          <w:u w:val="single"/>
        </w:rPr>
      </w:pPr>
      <w:r>
        <w:rPr>
          <w:b/>
          <w:u w:val="single"/>
        </w:rPr>
        <w:t xml:space="preserve">1970 </w:t>
      </w:r>
      <w:r w:rsidR="00414B31">
        <w:rPr>
          <w:b/>
          <w:u w:val="single"/>
        </w:rPr>
        <w:t>Britain</w:t>
      </w:r>
      <w:r>
        <w:rPr>
          <w:b/>
          <w:u w:val="single"/>
        </w:rPr>
        <w:t xml:space="preserve"> is changing</w:t>
      </w:r>
    </w:p>
    <w:p w14:paraId="7AE45883" w14:textId="77777777" w:rsidR="00864930" w:rsidRPr="00864930" w:rsidRDefault="00864930" w:rsidP="00DC57EA">
      <w:pPr>
        <w:spacing w:after="159" w:line="259" w:lineRule="auto"/>
      </w:pPr>
      <w:r w:rsidRPr="00864930">
        <w:t xml:space="preserve">Through the 50s and </w:t>
      </w:r>
      <w:r>
        <w:t xml:space="preserve">the </w:t>
      </w:r>
      <w:r w:rsidRPr="00864930">
        <w:t xml:space="preserve">60s, immigration </w:t>
      </w:r>
      <w:r>
        <w:t xml:space="preserve">started </w:t>
      </w:r>
      <w:commentRangeStart w:id="0"/>
      <w:r w:rsidRPr="00864930">
        <w:t>increas</w:t>
      </w:r>
      <w:r>
        <w:t>ing</w:t>
      </w:r>
      <w:commentRangeEnd w:id="0"/>
      <w:r w:rsidR="00414B31">
        <w:rPr>
          <w:rStyle w:val="CommentReference"/>
        </w:rPr>
        <w:commentReference w:id="0"/>
      </w:r>
      <w:r w:rsidRPr="00864930">
        <w:t xml:space="preserve">. The UK foreign-born population </w:t>
      </w:r>
      <w:r>
        <w:t xml:space="preserve">started to </w:t>
      </w:r>
      <w:r w:rsidRPr="00864930">
        <w:t>grow by over one million people to 6.4% of the total population.</w:t>
      </w:r>
    </w:p>
    <w:p w14:paraId="25248052" w14:textId="77777777" w:rsidR="00864930" w:rsidRDefault="00864930" w:rsidP="00DC57EA">
      <w:pPr>
        <w:spacing w:after="159" w:line="259" w:lineRule="auto"/>
      </w:pPr>
      <w:r w:rsidRPr="00864930">
        <w:lastRenderedPageBreak/>
        <w:t xml:space="preserve">With job shortages back home, job vacancies in Britain and, until 1968, a policy of welcoming Commonwealth immigrants into Britain, numbers increase. These immigrants are not just living and working in </w:t>
      </w:r>
      <w:r w:rsidR="00414B31" w:rsidRPr="00864930">
        <w:t>Britain but</w:t>
      </w:r>
      <w:r w:rsidR="00414B31">
        <w:t xml:space="preserve"> also</w:t>
      </w:r>
      <w:r w:rsidRPr="00864930">
        <w:t xml:space="preserve"> adding to its culture. By 1971 the immigrant population numbers over three million, including 171,000 who identify themselves as Jamaican origin, 313,000 from India and 676,000 from Ireland. People of Indian origin become the largest immigrant group in the 2011 census.</w:t>
      </w:r>
    </w:p>
    <w:p w14:paraId="045B7E78" w14:textId="77777777" w:rsidR="004266EF" w:rsidRDefault="004266EF" w:rsidP="00DC57EA">
      <w:pPr>
        <w:spacing w:after="159" w:line="259" w:lineRule="auto"/>
        <w:rPr>
          <w:b/>
          <w:u w:val="single"/>
        </w:rPr>
      </w:pPr>
    </w:p>
    <w:p w14:paraId="450F694E" w14:textId="77777777" w:rsidR="00864930" w:rsidRDefault="00ED1699" w:rsidP="00DC57EA">
      <w:pPr>
        <w:spacing w:after="159" w:line="259" w:lineRule="auto"/>
        <w:rPr>
          <w:b/>
          <w:u w:val="single"/>
        </w:rPr>
      </w:pPr>
      <w:r>
        <w:rPr>
          <w:b/>
          <w:u w:val="single"/>
        </w:rPr>
        <w:t>1</w:t>
      </w:r>
      <w:r w:rsidRPr="00ED1699">
        <w:rPr>
          <w:b/>
          <w:u w:val="single"/>
          <w:vertAlign w:val="superscript"/>
        </w:rPr>
        <w:t>st</w:t>
      </w:r>
      <w:r>
        <w:rPr>
          <w:b/>
          <w:u w:val="single"/>
        </w:rPr>
        <w:t xml:space="preserve"> of January 1972</w:t>
      </w:r>
    </w:p>
    <w:p w14:paraId="7B47B983" w14:textId="77777777" w:rsidR="00ED1699" w:rsidRPr="004266EF" w:rsidRDefault="00ED1699" w:rsidP="00DC57EA">
      <w:pPr>
        <w:spacing w:after="159" w:line="259" w:lineRule="auto"/>
        <w:rPr>
          <w:b/>
        </w:rPr>
      </w:pPr>
      <w:r w:rsidRPr="004266EF">
        <w:rPr>
          <w:b/>
        </w:rPr>
        <w:t>Commonwealth immigration was restricted,</w:t>
      </w:r>
    </w:p>
    <w:p w14:paraId="09A4D12D" w14:textId="77777777" w:rsidR="00ED1699" w:rsidRPr="00ED1699" w:rsidRDefault="00ED1699" w:rsidP="00DC57EA">
      <w:pPr>
        <w:spacing w:after="159" w:line="259" w:lineRule="auto"/>
      </w:pPr>
      <w:r w:rsidRPr="00AD35EE">
        <w:rPr>
          <w:noProof/>
        </w:rPr>
        <w:t>Legislation</w:t>
      </w:r>
      <w:r w:rsidRPr="00ED1699">
        <w:t xml:space="preserve"> is introduced to limit the number</w:t>
      </w:r>
      <w:r>
        <w:t xml:space="preserve"> </w:t>
      </w:r>
      <w:r w:rsidRPr="00ED1699">
        <w:t xml:space="preserve">of people moving </w:t>
      </w:r>
      <w:r>
        <w:t>in</w:t>
      </w:r>
      <w:r w:rsidRPr="00ED1699">
        <w:t>to Britain from the Commonwealth, even if they have British passports.</w:t>
      </w:r>
      <w:r w:rsidR="004266EF">
        <w:t xml:space="preserve"> </w:t>
      </w:r>
      <w:r w:rsidRPr="00ED1699">
        <w:t xml:space="preserve">In a 1968 speech, Conservative politician Enoch Powell predicted </w:t>
      </w:r>
      <w:r>
        <w:t xml:space="preserve">there would be </w:t>
      </w:r>
      <w:r w:rsidRPr="00ED1699">
        <w:t xml:space="preserve">"rivers of blood" brought on by </w:t>
      </w:r>
      <w:r>
        <w:t xml:space="preserve">the </w:t>
      </w:r>
      <w:r w:rsidRPr="00ED1699">
        <w:t xml:space="preserve">anti-discrimination laws. Although sacked from the shadow cabinet, he gained support from around the UK. Four years later, new immigration restrictions mean that British passport holders born overseas </w:t>
      </w:r>
      <w:r>
        <w:t xml:space="preserve">would </w:t>
      </w:r>
      <w:r w:rsidRPr="00ED1699">
        <w:t>only</w:t>
      </w:r>
      <w:r>
        <w:t xml:space="preserve"> be allowed to</w:t>
      </w:r>
      <w:r w:rsidRPr="00ED1699">
        <w:t xml:space="preserve"> settle in Britain if they have a work permit and a parent or grandparent born in the UK. This effectively made immigration more difficult for non-white Britons born overseas</w:t>
      </w:r>
      <w:r>
        <w:t>.</w:t>
      </w:r>
    </w:p>
    <w:p w14:paraId="12F9651F" w14:textId="77777777" w:rsidR="004266EF" w:rsidRDefault="004266EF" w:rsidP="00DC57EA">
      <w:pPr>
        <w:spacing w:after="159" w:line="259" w:lineRule="auto"/>
        <w:rPr>
          <w:b/>
          <w:u w:val="single"/>
        </w:rPr>
      </w:pPr>
    </w:p>
    <w:p w14:paraId="04A90B77" w14:textId="77777777" w:rsidR="00ED1699" w:rsidRDefault="00ED1699" w:rsidP="00DC57EA">
      <w:pPr>
        <w:spacing w:after="159" w:line="259" w:lineRule="auto"/>
        <w:rPr>
          <w:b/>
          <w:u w:val="single"/>
        </w:rPr>
      </w:pPr>
      <w:r>
        <w:rPr>
          <w:b/>
          <w:u w:val="single"/>
        </w:rPr>
        <w:t>22</w:t>
      </w:r>
      <w:r w:rsidRPr="00ED1699">
        <w:rPr>
          <w:b/>
          <w:u w:val="single"/>
          <w:vertAlign w:val="superscript"/>
        </w:rPr>
        <w:t>nd</w:t>
      </w:r>
      <w:r>
        <w:rPr>
          <w:b/>
          <w:u w:val="single"/>
        </w:rPr>
        <w:t xml:space="preserve"> November 1976</w:t>
      </w:r>
    </w:p>
    <w:p w14:paraId="6429865B" w14:textId="77777777" w:rsidR="00ED1699" w:rsidRDefault="00ED1699" w:rsidP="00DC57EA">
      <w:pPr>
        <w:spacing w:after="159" w:line="259" w:lineRule="auto"/>
        <w:rPr>
          <w:b/>
          <w:u w:val="single"/>
        </w:rPr>
      </w:pPr>
      <w:r>
        <w:rPr>
          <w:b/>
          <w:u w:val="single"/>
        </w:rPr>
        <w:t>A commission for racial equality</w:t>
      </w:r>
    </w:p>
    <w:p w14:paraId="28143EC1" w14:textId="77777777" w:rsidR="00ED1699" w:rsidRPr="00ED1699" w:rsidRDefault="00ED1699" w:rsidP="00DC57EA">
      <w:pPr>
        <w:spacing w:after="159" w:line="259" w:lineRule="auto"/>
      </w:pPr>
      <w:r w:rsidRPr="00ED1699">
        <w:t>The government establishes the Commission for Racial Equality, the statutory body charged with tackling racial discrimination.</w:t>
      </w:r>
    </w:p>
    <w:p w14:paraId="2BB848F5" w14:textId="618236A6" w:rsidR="00ED1699" w:rsidRDefault="00ED1699" w:rsidP="00DC57EA">
      <w:pPr>
        <w:spacing w:after="159" w:line="259" w:lineRule="auto"/>
      </w:pPr>
      <w:r w:rsidRPr="00ED1699">
        <w:t xml:space="preserve">The </w:t>
      </w:r>
      <w:r w:rsidR="00414B31" w:rsidRPr="00ED1699">
        <w:t>anti</w:t>
      </w:r>
      <w:r w:rsidR="00414B31">
        <w:t>-</w:t>
      </w:r>
      <w:r w:rsidR="00414B31" w:rsidRPr="00ED1699">
        <w:t>discrimination</w:t>
      </w:r>
      <w:r w:rsidRPr="00ED1699">
        <w:t xml:space="preserve"> laws of 1965 and 1968 are considered ineffective. A new 1976 law replaces them and establishes the CRE. Against a background of high unemployment and racial tension, the commission's duties are to work towards the elimination of racial discrimination, to promote equal opportunities and good relations between racial groups. It suggests extending the existing law to protect groups defined not only by race, colour, nationality or </w:t>
      </w:r>
      <w:r w:rsidRPr="00AD35EE">
        <w:rPr>
          <w:noProof/>
        </w:rPr>
        <w:t>ethnicity</w:t>
      </w:r>
      <w:r w:rsidRPr="00ED1699">
        <w:t xml:space="preserve"> but also by religious belief</w:t>
      </w:r>
      <w:r w:rsidR="007A28DF">
        <w:t>s.</w:t>
      </w:r>
    </w:p>
    <w:p w14:paraId="57D3A67C" w14:textId="77777777" w:rsidR="004266EF" w:rsidRDefault="004266EF" w:rsidP="00DC57EA">
      <w:pPr>
        <w:spacing w:after="159" w:line="259" w:lineRule="auto"/>
        <w:rPr>
          <w:b/>
          <w:u w:val="single"/>
        </w:rPr>
      </w:pPr>
    </w:p>
    <w:p w14:paraId="6DA6C7D3" w14:textId="77777777" w:rsidR="007A28DF" w:rsidRDefault="007A28DF" w:rsidP="00DC57EA">
      <w:pPr>
        <w:spacing w:after="159" w:line="259" w:lineRule="auto"/>
        <w:rPr>
          <w:b/>
          <w:u w:val="single"/>
        </w:rPr>
      </w:pPr>
      <w:r>
        <w:rPr>
          <w:b/>
          <w:u w:val="single"/>
        </w:rPr>
        <w:t>11</w:t>
      </w:r>
      <w:r w:rsidRPr="007A28DF">
        <w:rPr>
          <w:b/>
          <w:u w:val="single"/>
          <w:vertAlign w:val="superscript"/>
        </w:rPr>
        <w:t>th</w:t>
      </w:r>
      <w:r>
        <w:rPr>
          <w:b/>
          <w:u w:val="single"/>
        </w:rPr>
        <w:t xml:space="preserve"> of April 1981</w:t>
      </w:r>
    </w:p>
    <w:p w14:paraId="324CCF42" w14:textId="77777777" w:rsidR="007A28DF" w:rsidRDefault="007A28DF" w:rsidP="00DC57EA">
      <w:pPr>
        <w:spacing w:after="159" w:line="259" w:lineRule="auto"/>
        <w:rPr>
          <w:b/>
          <w:u w:val="single"/>
        </w:rPr>
      </w:pPr>
      <w:r>
        <w:rPr>
          <w:b/>
          <w:u w:val="single"/>
        </w:rPr>
        <w:t>The Brixton riots</w:t>
      </w:r>
    </w:p>
    <w:p w14:paraId="47B7D624" w14:textId="1310507E" w:rsidR="007A28DF" w:rsidRDefault="007A28DF" w:rsidP="00DC57EA">
      <w:pPr>
        <w:spacing w:after="159" w:line="259" w:lineRule="auto"/>
      </w:pPr>
      <w:r w:rsidRPr="007A28DF">
        <w:t>Riots erupt</w:t>
      </w:r>
      <w:r>
        <w:t>ed</w:t>
      </w:r>
      <w:r w:rsidRPr="007A28DF">
        <w:t xml:space="preserve"> in Brixton. There is massive civil unrest, accusations of police ‘</w:t>
      </w:r>
      <w:r w:rsidRPr="00AD35EE">
        <w:rPr>
          <w:noProof/>
        </w:rPr>
        <w:t>heavy</w:t>
      </w:r>
      <w:r w:rsidR="00AD35EE">
        <w:rPr>
          <w:noProof/>
        </w:rPr>
        <w:t>-</w:t>
      </w:r>
      <w:r w:rsidRPr="00AD35EE">
        <w:rPr>
          <w:noProof/>
        </w:rPr>
        <w:t>handedness</w:t>
      </w:r>
      <w:r w:rsidRPr="007A28DF">
        <w:t xml:space="preserve">’ and over 300 people </w:t>
      </w:r>
      <w:r>
        <w:t>were</w:t>
      </w:r>
      <w:r w:rsidRPr="007A28DF">
        <w:t xml:space="preserve"> injured.</w:t>
      </w:r>
      <w:r>
        <w:t xml:space="preserve"> </w:t>
      </w:r>
      <w:r w:rsidRPr="007A28DF">
        <w:t xml:space="preserve">In a huge anti-crime operation, the Metropolitan Police uses powers of stop and search. Over 1,000 people </w:t>
      </w:r>
      <w:r>
        <w:t>were</w:t>
      </w:r>
      <w:r w:rsidRPr="007A28DF">
        <w:t xml:space="preserve"> stopped in Brixton in s</w:t>
      </w:r>
      <w:r>
        <w:t>even</w:t>
      </w:r>
      <w:r w:rsidRPr="007A28DF">
        <w:t xml:space="preserve"> days. Black men feel discriminated against</w:t>
      </w:r>
      <w:r>
        <w:t xml:space="preserve"> </w:t>
      </w:r>
      <w:r w:rsidRPr="007A28DF">
        <w:t>tensions build</w:t>
      </w:r>
      <w:r>
        <w:t>ing</w:t>
      </w:r>
      <w:r w:rsidRPr="007A28DF">
        <w:t>. Rioting erupts after an arrest sparks violence. The mix of racial tensions and poor police relations are not unique to Brixton. There had been riots in Bristol the previous year, then following Brixton in Chapeltown (Leeds), Toxteth (Liverpool), Moss Side (Manchester) and Handsworth (Birmingham).</w:t>
      </w:r>
    </w:p>
    <w:p w14:paraId="729F01A3" w14:textId="77777777" w:rsidR="007A28DF" w:rsidRDefault="007A28DF" w:rsidP="00DC57EA">
      <w:pPr>
        <w:spacing w:after="159" w:line="259" w:lineRule="auto"/>
        <w:rPr>
          <w:b/>
          <w:u w:val="single"/>
        </w:rPr>
      </w:pPr>
      <w:r>
        <w:rPr>
          <w:b/>
          <w:u w:val="single"/>
        </w:rPr>
        <w:lastRenderedPageBreak/>
        <w:t>11</w:t>
      </w:r>
      <w:r w:rsidRPr="007A28DF">
        <w:rPr>
          <w:b/>
          <w:u w:val="single"/>
          <w:vertAlign w:val="superscript"/>
        </w:rPr>
        <w:t>th</w:t>
      </w:r>
      <w:r>
        <w:rPr>
          <w:b/>
          <w:u w:val="single"/>
        </w:rPr>
        <w:t xml:space="preserve"> of June 1987</w:t>
      </w:r>
    </w:p>
    <w:p w14:paraId="590EACE5" w14:textId="77777777" w:rsidR="004266EF" w:rsidRDefault="004266EF" w:rsidP="00DC57EA">
      <w:pPr>
        <w:spacing w:after="159" w:line="259" w:lineRule="auto"/>
        <w:rPr>
          <w:b/>
          <w:u w:val="single"/>
        </w:rPr>
      </w:pPr>
    </w:p>
    <w:p w14:paraId="230BAF93" w14:textId="77777777" w:rsidR="007A28DF" w:rsidRPr="007A28DF" w:rsidRDefault="007A28DF" w:rsidP="00DC57EA">
      <w:pPr>
        <w:spacing w:after="159" w:line="259" w:lineRule="auto"/>
        <w:rPr>
          <w:b/>
          <w:u w:val="single"/>
        </w:rPr>
      </w:pPr>
      <w:r w:rsidRPr="007A28DF">
        <w:rPr>
          <w:b/>
          <w:u w:val="single"/>
        </w:rPr>
        <w:t>A landmark election</w:t>
      </w:r>
    </w:p>
    <w:p w14:paraId="125B60D7" w14:textId="46AF82F6" w:rsidR="007A28DF" w:rsidRPr="007A28DF" w:rsidRDefault="007A28DF" w:rsidP="00DC57EA">
      <w:pPr>
        <w:spacing w:after="159" w:line="259" w:lineRule="auto"/>
      </w:pPr>
      <w:r w:rsidRPr="007A28DF">
        <w:t>Four non-white MPs are elected in the general election.</w:t>
      </w:r>
      <w:r>
        <w:t xml:space="preserve"> </w:t>
      </w:r>
      <w:r w:rsidRPr="007A28DF">
        <w:t xml:space="preserve">Immigrants Keith </w:t>
      </w:r>
      <w:proofErr w:type="spellStart"/>
      <w:r w:rsidRPr="007A28DF">
        <w:t>Vaz</w:t>
      </w:r>
      <w:proofErr w:type="spellEnd"/>
      <w:r w:rsidRPr="007A28DF">
        <w:t xml:space="preserve"> and Bernie Grant, and children of immigrants Diane Abbott and Paul </w:t>
      </w:r>
      <w:r w:rsidRPr="00AD35EE">
        <w:rPr>
          <w:noProof/>
        </w:rPr>
        <w:t>Boateng</w:t>
      </w:r>
      <w:r w:rsidRPr="007A28DF">
        <w:t xml:space="preserve"> </w:t>
      </w:r>
      <w:r>
        <w:t>were</w:t>
      </w:r>
      <w:r w:rsidRPr="007A28DF">
        <w:t xml:space="preserve"> elected as Members of Parliament for the Labour party. Britain's first non-white immigrant MP was </w:t>
      </w:r>
      <w:proofErr w:type="spellStart"/>
      <w:r w:rsidRPr="007A28DF">
        <w:t>Dadabhai</w:t>
      </w:r>
      <w:proofErr w:type="spellEnd"/>
      <w:r w:rsidRPr="007A28DF">
        <w:t xml:space="preserve"> </w:t>
      </w:r>
      <w:proofErr w:type="spellStart"/>
      <w:r w:rsidRPr="007A28DF">
        <w:t>Naoroj</w:t>
      </w:r>
      <w:proofErr w:type="spellEnd"/>
      <w:r w:rsidRPr="007A28DF">
        <w:t xml:space="preserve"> from Mumbai, who was a Liberal MP from 1892 to 1895. Diane Abbott is the first ever black woman MP and these four are the first non-white MPs to be elected since 1945.</w:t>
      </w:r>
    </w:p>
    <w:p w14:paraId="569EC1B1" w14:textId="70ADDC16" w:rsidR="007A28DF" w:rsidRPr="007A28DF" w:rsidRDefault="007A28DF" w:rsidP="00DC57EA">
      <w:pPr>
        <w:spacing w:after="159" w:line="259" w:lineRule="auto"/>
        <w:rPr>
          <w:b/>
          <w:u w:val="single"/>
        </w:rPr>
      </w:pPr>
      <w:r>
        <w:rPr>
          <w:b/>
          <w:u w:val="single"/>
        </w:rPr>
        <w:t>‘</w:t>
      </w:r>
      <w:r w:rsidRPr="007A28DF">
        <w:rPr>
          <w:b/>
          <w:u w:val="single"/>
        </w:rPr>
        <w:t xml:space="preserve">As the </w:t>
      </w:r>
      <w:r w:rsidRPr="00AD35EE">
        <w:rPr>
          <w:b/>
          <w:noProof/>
          <w:u w:val="single"/>
        </w:rPr>
        <w:t>descend</w:t>
      </w:r>
      <w:r w:rsidR="00AD35EE">
        <w:rPr>
          <w:b/>
          <w:noProof/>
          <w:u w:val="single"/>
        </w:rPr>
        <w:t>a</w:t>
      </w:r>
      <w:r w:rsidRPr="00AD35EE">
        <w:rPr>
          <w:b/>
          <w:noProof/>
          <w:u w:val="single"/>
        </w:rPr>
        <w:t>nt</w:t>
      </w:r>
      <w:r w:rsidRPr="007A28DF">
        <w:rPr>
          <w:b/>
          <w:u w:val="single"/>
        </w:rPr>
        <w:t xml:space="preserve"> of </w:t>
      </w:r>
      <w:r w:rsidR="00414B31" w:rsidRPr="007A28DF">
        <w:rPr>
          <w:b/>
          <w:u w:val="single"/>
        </w:rPr>
        <w:t>slaves,</w:t>
      </w:r>
      <w:r w:rsidRPr="007A28DF">
        <w:rPr>
          <w:b/>
          <w:u w:val="single"/>
        </w:rPr>
        <w:t xml:space="preserve"> I must believe in the recognition of every human's essential humanity.</w:t>
      </w:r>
      <w:r>
        <w:rPr>
          <w:b/>
          <w:u w:val="single"/>
        </w:rPr>
        <w:t>’</w:t>
      </w:r>
    </w:p>
    <w:p w14:paraId="237975E0" w14:textId="77777777" w:rsidR="007A28DF" w:rsidRPr="007A28DF" w:rsidRDefault="007A28DF" w:rsidP="00DC57EA">
      <w:pPr>
        <w:spacing w:after="159" w:line="259" w:lineRule="auto"/>
        <w:rPr>
          <w:b/>
          <w:u w:val="single"/>
        </w:rPr>
      </w:pPr>
      <w:r>
        <w:rPr>
          <w:b/>
          <w:bCs/>
          <w:u w:val="single"/>
        </w:rPr>
        <w:t>(</w:t>
      </w:r>
      <w:r w:rsidRPr="007A28DF">
        <w:rPr>
          <w:b/>
          <w:bCs/>
          <w:u w:val="single"/>
        </w:rPr>
        <w:t>Diane Abbott</w:t>
      </w:r>
      <w:r w:rsidR="00414B31">
        <w:rPr>
          <w:b/>
          <w:bCs/>
          <w:u w:val="single"/>
        </w:rPr>
        <w:t>, ND</w:t>
      </w:r>
      <w:r>
        <w:rPr>
          <w:b/>
          <w:bCs/>
          <w:u w:val="single"/>
        </w:rPr>
        <w:t>)</w:t>
      </w:r>
    </w:p>
    <w:p w14:paraId="05ABCC4C" w14:textId="77777777" w:rsidR="007A28DF" w:rsidRPr="00ED1699" w:rsidRDefault="007A28DF" w:rsidP="00DC57EA">
      <w:pPr>
        <w:spacing w:after="159" w:line="259" w:lineRule="auto"/>
        <w:rPr>
          <w:b/>
          <w:u w:val="single"/>
        </w:rPr>
      </w:pPr>
    </w:p>
    <w:p w14:paraId="2AC942BF" w14:textId="77777777" w:rsidR="00ED1699" w:rsidRDefault="007A28DF" w:rsidP="00DC57EA">
      <w:pPr>
        <w:spacing w:after="159" w:line="259" w:lineRule="auto"/>
        <w:rPr>
          <w:b/>
          <w:u w:val="single"/>
        </w:rPr>
      </w:pPr>
      <w:r>
        <w:rPr>
          <w:b/>
          <w:u w:val="single"/>
        </w:rPr>
        <w:t>1</w:t>
      </w:r>
      <w:r w:rsidRPr="007A28DF">
        <w:rPr>
          <w:b/>
          <w:u w:val="single"/>
          <w:vertAlign w:val="superscript"/>
        </w:rPr>
        <w:t>st</w:t>
      </w:r>
      <w:r>
        <w:rPr>
          <w:b/>
          <w:u w:val="single"/>
        </w:rPr>
        <w:t xml:space="preserve"> of January 2014</w:t>
      </w:r>
    </w:p>
    <w:p w14:paraId="061269A4" w14:textId="77777777" w:rsidR="007A28DF" w:rsidRDefault="007A28DF" w:rsidP="00DC57EA">
      <w:pPr>
        <w:spacing w:after="159" w:line="259" w:lineRule="auto"/>
        <w:rPr>
          <w:b/>
          <w:u w:val="single"/>
        </w:rPr>
      </w:pPr>
      <w:r>
        <w:rPr>
          <w:b/>
          <w:u w:val="single"/>
        </w:rPr>
        <w:t>Immigration restrictions lifted</w:t>
      </w:r>
    </w:p>
    <w:p w14:paraId="0B6B5A4D" w14:textId="77777777" w:rsidR="007A28DF" w:rsidRDefault="007A28DF" w:rsidP="00DC57EA">
      <w:pPr>
        <w:spacing w:after="159" w:line="259" w:lineRule="auto"/>
      </w:pPr>
      <w:r w:rsidRPr="007A28DF">
        <w:t>Romanians and Bulgarians are now allowed to work in the UK, seven years after their countries joined the EU, sparking fears for British jobs.</w:t>
      </w:r>
      <w:r>
        <w:t xml:space="preserve"> </w:t>
      </w:r>
      <w:r w:rsidRPr="007A28DF">
        <w:t>This prompt</w:t>
      </w:r>
      <w:r>
        <w:t>ed</w:t>
      </w:r>
      <w:r w:rsidRPr="007A28DF">
        <w:t xml:space="preserve"> a media </w:t>
      </w:r>
      <w:r>
        <w:t>craze</w:t>
      </w:r>
      <w:r w:rsidRPr="007A28DF">
        <w:t xml:space="preserve"> with claims that Britain </w:t>
      </w:r>
      <w:r>
        <w:t xml:space="preserve">will become </w:t>
      </w:r>
      <w:r w:rsidRPr="007A28DF">
        <w:t xml:space="preserve">flooded with immigrants from these countries. However, on the day, journalists found only </w:t>
      </w:r>
      <w:r w:rsidR="00414B31" w:rsidRPr="007A28DF">
        <w:t>one-man</w:t>
      </w:r>
      <w:r w:rsidRPr="007A28DF">
        <w:t xml:space="preserve"> entering Britain from Romania. Victor </w:t>
      </w:r>
      <w:proofErr w:type="spellStart"/>
      <w:r w:rsidRPr="007A28DF">
        <w:t>Spirescu</w:t>
      </w:r>
      <w:proofErr w:type="spellEnd"/>
      <w:r w:rsidRPr="007A28DF">
        <w:t xml:space="preserve"> became a media sensation. A spokeswoman for the Romanian foreign ministry said some of the media coverage in the UK had</w:t>
      </w:r>
      <w:r w:rsidR="004266EF">
        <w:t xml:space="preserve"> been</w:t>
      </w:r>
      <w:r w:rsidRPr="007A28DF">
        <w:t xml:space="preserve"> border</w:t>
      </w:r>
      <w:r w:rsidR="004266EF">
        <w:t>ing</w:t>
      </w:r>
      <w:r w:rsidRPr="007A28DF">
        <w:t xml:space="preserve"> on racism.</w:t>
      </w:r>
    </w:p>
    <w:p w14:paraId="3073E569" w14:textId="77777777" w:rsidR="004266EF" w:rsidRPr="007A28DF" w:rsidRDefault="004266EF" w:rsidP="00DC57EA">
      <w:pPr>
        <w:spacing w:after="159" w:line="259" w:lineRule="auto"/>
      </w:pPr>
    </w:p>
    <w:p w14:paraId="6934B1C7" w14:textId="77777777" w:rsidR="007A28DF" w:rsidRPr="00864930" w:rsidRDefault="007A28DF" w:rsidP="00DC57EA">
      <w:pPr>
        <w:spacing w:after="159" w:line="259" w:lineRule="auto"/>
      </w:pPr>
    </w:p>
    <w:p w14:paraId="259507D2" w14:textId="77777777" w:rsidR="00864930" w:rsidRPr="00864930" w:rsidRDefault="00864930" w:rsidP="00DC57EA">
      <w:pPr>
        <w:spacing w:after="159" w:line="259" w:lineRule="auto"/>
      </w:pPr>
    </w:p>
    <w:p w14:paraId="6159C5AC" w14:textId="77777777" w:rsidR="00864930" w:rsidRPr="00864930" w:rsidRDefault="00ED1699" w:rsidP="00DC57EA">
      <w:pPr>
        <w:spacing w:after="159" w:line="259" w:lineRule="auto"/>
        <w:ind w:left="0" w:firstLine="0"/>
      </w:pPr>
      <w:r>
        <w:rPr>
          <w:b/>
          <w:u w:val="single"/>
        </w:rPr>
        <w:t>The equality act 2010</w:t>
      </w:r>
    </w:p>
    <w:p w14:paraId="4C015524" w14:textId="77777777" w:rsidR="007E3F6C" w:rsidRDefault="007E3F6C" w:rsidP="00DC57EA">
      <w:pPr>
        <w:spacing w:after="2" w:line="394" w:lineRule="auto"/>
        <w:ind w:left="0" w:right="3245" w:firstLine="0"/>
      </w:pPr>
    </w:p>
    <w:p w14:paraId="6A2C1101" w14:textId="43EA9BAE" w:rsidR="007E3F6C" w:rsidRDefault="00AD14F6" w:rsidP="00DC57EA">
      <w:pPr>
        <w:ind w:left="24" w:right="13"/>
      </w:pPr>
      <w:r>
        <w:t>A new Equality Act came into force on 1 October 2010. The Equality Act brings together over 100 separate pieces of legislation into one single Act. Combined, they make up a new Act that provides a legal framework to protect the rights of individuals and advance equality of opportunity for all people.</w:t>
      </w:r>
    </w:p>
    <w:p w14:paraId="379545C8" w14:textId="1A633310" w:rsidR="007E3F6C" w:rsidRDefault="00AD14F6" w:rsidP="00DC57EA">
      <w:pPr>
        <w:ind w:left="24"/>
      </w:pPr>
      <w:r>
        <w:t>The Act simplifies, strengthens and harmonises the current legislation to provide Britain with a new discrimination law which protects individuals from unfair treatment and promotes a fair and more equal society.</w:t>
      </w:r>
    </w:p>
    <w:p w14:paraId="74A2CB24" w14:textId="6AAA9FE9" w:rsidR="007E3F6C" w:rsidRDefault="00AD14F6" w:rsidP="00DC57EA">
      <w:pPr>
        <w:ind w:left="24" w:right="19"/>
      </w:pPr>
      <w:r>
        <w:t>The nine main pieces of legislation that have merged are:</w:t>
      </w:r>
    </w:p>
    <w:p w14:paraId="24581AD7" w14:textId="2EC5A934" w:rsidR="007E3F6C" w:rsidRDefault="00AD14F6" w:rsidP="00DC57EA">
      <w:pPr>
        <w:numPr>
          <w:ilvl w:val="0"/>
          <w:numId w:val="1"/>
        </w:numPr>
        <w:ind w:left="720" w:hanging="361"/>
      </w:pPr>
      <w:r>
        <w:t>the Equal Pay Act 1970</w:t>
      </w:r>
    </w:p>
    <w:p w14:paraId="630A8032" w14:textId="6FF8F785" w:rsidR="007E3F6C" w:rsidRDefault="00AD14F6" w:rsidP="00DC57EA">
      <w:pPr>
        <w:numPr>
          <w:ilvl w:val="0"/>
          <w:numId w:val="1"/>
        </w:numPr>
        <w:ind w:left="720" w:hanging="361"/>
      </w:pPr>
      <w:r>
        <w:t>the Sex Discrimination Act 1975</w:t>
      </w:r>
    </w:p>
    <w:p w14:paraId="24E4F30E" w14:textId="3D3C9C08" w:rsidR="007E3F6C" w:rsidRDefault="00AD14F6" w:rsidP="00DC57EA">
      <w:pPr>
        <w:numPr>
          <w:ilvl w:val="0"/>
          <w:numId w:val="1"/>
        </w:numPr>
        <w:ind w:left="720" w:hanging="361"/>
      </w:pPr>
      <w:r>
        <w:lastRenderedPageBreak/>
        <w:t>the Race Relations Act 1976</w:t>
      </w:r>
    </w:p>
    <w:p w14:paraId="7E4D2158" w14:textId="593ABC57" w:rsidR="007E3F6C" w:rsidRDefault="00AD14F6" w:rsidP="00DC57EA">
      <w:pPr>
        <w:numPr>
          <w:ilvl w:val="0"/>
          <w:numId w:val="1"/>
        </w:numPr>
        <w:ind w:left="720" w:hanging="361"/>
      </w:pPr>
      <w:r>
        <w:t>the Disability Discrimination Act 1995</w:t>
      </w:r>
    </w:p>
    <w:p w14:paraId="70053530" w14:textId="192605EF" w:rsidR="007E3F6C" w:rsidRDefault="00AD14F6" w:rsidP="00DC57EA">
      <w:pPr>
        <w:numPr>
          <w:ilvl w:val="0"/>
          <w:numId w:val="1"/>
        </w:numPr>
        <w:spacing w:line="259" w:lineRule="auto"/>
        <w:ind w:left="720" w:hanging="361"/>
      </w:pPr>
      <w:r w:rsidRPr="00AD35EE">
        <w:rPr>
          <w:noProof/>
        </w:rPr>
        <w:t>Employment</w:t>
      </w:r>
      <w:r>
        <w:t xml:space="preserve"> Equality (Religion or Belief) Regulations 2003</w:t>
      </w:r>
    </w:p>
    <w:p w14:paraId="12D654F9" w14:textId="3C062F32" w:rsidR="007E3F6C" w:rsidRDefault="00AD14F6" w:rsidP="00DC57EA">
      <w:pPr>
        <w:numPr>
          <w:ilvl w:val="0"/>
          <w:numId w:val="1"/>
        </w:numPr>
        <w:spacing w:line="259" w:lineRule="auto"/>
        <w:ind w:left="720" w:hanging="361"/>
      </w:pPr>
      <w:r w:rsidRPr="00AD35EE">
        <w:rPr>
          <w:noProof/>
        </w:rPr>
        <w:t>Employment</w:t>
      </w:r>
      <w:r>
        <w:t xml:space="preserve"> Equality (Sexual Orientation) Regulations 2003</w:t>
      </w:r>
    </w:p>
    <w:p w14:paraId="4386828A" w14:textId="3800A331" w:rsidR="007E3F6C" w:rsidRDefault="00AD14F6" w:rsidP="00DC57EA">
      <w:pPr>
        <w:numPr>
          <w:ilvl w:val="0"/>
          <w:numId w:val="1"/>
        </w:numPr>
        <w:spacing w:after="161" w:line="259" w:lineRule="auto"/>
        <w:ind w:left="720" w:hanging="361"/>
      </w:pPr>
      <w:r w:rsidRPr="00AD35EE">
        <w:rPr>
          <w:noProof/>
        </w:rPr>
        <w:t>Employment</w:t>
      </w:r>
      <w:r>
        <w:t xml:space="preserve"> Equality (Age) Regulations 2006</w:t>
      </w:r>
    </w:p>
    <w:p w14:paraId="1A4AB6CF" w14:textId="37225D58" w:rsidR="007E3F6C" w:rsidRDefault="00AD14F6" w:rsidP="00DC57EA">
      <w:pPr>
        <w:numPr>
          <w:ilvl w:val="0"/>
          <w:numId w:val="1"/>
        </w:numPr>
        <w:ind w:left="720" w:hanging="361"/>
      </w:pPr>
      <w:r>
        <w:t>the Equality Act 2006, Part 2</w:t>
      </w:r>
    </w:p>
    <w:p w14:paraId="3F53F266" w14:textId="3C63CD57" w:rsidR="007E3F6C" w:rsidRDefault="00AD14F6" w:rsidP="00DC57EA">
      <w:pPr>
        <w:numPr>
          <w:ilvl w:val="0"/>
          <w:numId w:val="1"/>
        </w:numPr>
        <w:spacing w:after="159" w:line="259" w:lineRule="auto"/>
        <w:ind w:left="720" w:hanging="361"/>
      </w:pPr>
      <w:r>
        <w:t>the Equality Act (Sexual Orientation) Regulations 2007</w:t>
      </w:r>
    </w:p>
    <w:p w14:paraId="12870CAC" w14:textId="5BC94A4F" w:rsidR="007E3F6C" w:rsidRDefault="007E3F6C" w:rsidP="00DC57EA">
      <w:pPr>
        <w:spacing w:after="158" w:line="259" w:lineRule="auto"/>
        <w:ind w:left="58" w:firstLine="0"/>
      </w:pPr>
    </w:p>
    <w:p w14:paraId="61FDDF40" w14:textId="77777777" w:rsidR="00D24E8C" w:rsidRDefault="00D24E8C" w:rsidP="00DC57EA">
      <w:pPr>
        <w:spacing w:after="158" w:line="259" w:lineRule="auto"/>
        <w:ind w:left="58" w:firstLine="0"/>
      </w:pPr>
    </w:p>
    <w:p w14:paraId="636A8000" w14:textId="77777777" w:rsidR="00407E63" w:rsidRPr="00CA6C27" w:rsidRDefault="00407E63" w:rsidP="00DC57EA">
      <w:pPr>
        <w:spacing w:after="158" w:line="259" w:lineRule="auto"/>
        <w:ind w:left="58" w:firstLine="0"/>
      </w:pPr>
    </w:p>
    <w:p w14:paraId="07BD7378" w14:textId="77777777" w:rsidR="00CA6C27" w:rsidRPr="00CA6C27" w:rsidRDefault="00CA6C27" w:rsidP="00DC57EA">
      <w:pPr>
        <w:spacing w:after="158" w:line="259" w:lineRule="auto"/>
        <w:ind w:left="58" w:firstLine="0"/>
        <w:rPr>
          <w:b/>
        </w:rPr>
      </w:pPr>
    </w:p>
    <w:p w14:paraId="0A03728D" w14:textId="77777777" w:rsidR="007E3F6C" w:rsidRPr="00CA6C27" w:rsidRDefault="00AD14F6" w:rsidP="00DC57EA">
      <w:pPr>
        <w:pStyle w:val="Heading1"/>
        <w:spacing w:after="129"/>
        <w:ind w:left="13" w:right="5"/>
      </w:pPr>
      <w:r w:rsidRPr="00CA6C27">
        <w:t>The future wellbeing and generations of Wales act 2015</w:t>
      </w:r>
      <w:r w:rsidRPr="00CA6C27">
        <w:rPr>
          <w:u w:val="none"/>
        </w:rPr>
        <w:t xml:space="preserve"> </w:t>
      </w:r>
      <w:hyperlink r:id="rId12">
        <w:r w:rsidRPr="00CA6C27">
          <w:rPr>
            <w:u w:val="none"/>
          </w:rPr>
          <w:t xml:space="preserve"> </w:t>
        </w:r>
      </w:hyperlink>
    </w:p>
    <w:p w14:paraId="414E484A" w14:textId="04AC32D8" w:rsidR="007E3F6C" w:rsidRPr="000C7D9C" w:rsidRDefault="00AD14F6" w:rsidP="00DC57EA">
      <w:pPr>
        <w:spacing w:after="6" w:line="252"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D9C">
        <w:rPr>
          <w:rFonts w:eastAsia="Arial"/>
          <w:color w:val="000000" w:themeColor="text1"/>
          <w:sz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Well-being of Future Generations (Wales) Act 2015 is a key piece of legislation for Wales, which seeks to improve the social, economic, environmental and cultural well-being of Wales.</w:t>
      </w:r>
    </w:p>
    <w:p w14:paraId="73381A25" w14:textId="5D2748C1" w:rsidR="007E3F6C" w:rsidRPr="000C7D9C" w:rsidRDefault="00AD14F6" w:rsidP="00DC57EA">
      <w:pPr>
        <w:spacing w:after="6" w:line="252" w:lineRule="auto"/>
        <w:ind w:right="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D9C">
        <w:rPr>
          <w:rFonts w:eastAsia="Arial"/>
          <w:color w:val="000000" w:themeColor="text1"/>
          <w:sz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actions emerging from the Act will see a number of public bodies, such as Natural</w:t>
      </w:r>
    </w:p>
    <w:p w14:paraId="4A4FE06C" w14:textId="471F0E79" w:rsidR="007E3F6C" w:rsidRPr="000C7D9C" w:rsidRDefault="00AD14F6" w:rsidP="00DC57EA">
      <w:pPr>
        <w:spacing w:after="123" w:line="252"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C7D9C">
        <w:rPr>
          <w:rFonts w:eastAsia="Arial"/>
          <w:color w:val="000000" w:themeColor="text1"/>
          <w:sz w:val="2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Resources Wales, Local Health Boards, Public Health and Wales working together, and with the wider community, to think more about the long-term and look to prevent problems. This will help to create a Wales that we all want to live in, now and in the future.</w:t>
      </w:r>
    </w:p>
    <w:p w14:paraId="7561671F" w14:textId="0D7B0330" w:rsidR="007E3F6C" w:rsidRDefault="00AD14F6" w:rsidP="00DC57EA">
      <w:pPr>
        <w:spacing w:after="98" w:line="259" w:lineRule="auto"/>
        <w:ind w:left="49" w:firstLine="0"/>
      </w:pPr>
      <w:r>
        <w:rPr>
          <w:noProof/>
        </w:rPr>
        <w:drawing>
          <wp:inline distT="0" distB="0" distL="0" distR="0" wp14:anchorId="73EDFAE0" wp14:editId="0BBE671A">
            <wp:extent cx="3095625" cy="3124200"/>
            <wp:effectExtent l="0" t="0" r="0" b="0"/>
            <wp:docPr id="494" name="Picture 494"/>
            <wp:cNvGraphicFramePr/>
            <a:graphic xmlns:a="http://schemas.openxmlformats.org/drawingml/2006/main">
              <a:graphicData uri="http://schemas.openxmlformats.org/drawingml/2006/picture">
                <pic:pic xmlns:pic="http://schemas.openxmlformats.org/drawingml/2006/picture">
                  <pic:nvPicPr>
                    <pic:cNvPr id="494" name="Picture 494"/>
                    <pic:cNvPicPr/>
                  </pic:nvPicPr>
                  <pic:blipFill>
                    <a:blip r:embed="rId13"/>
                    <a:stretch>
                      <a:fillRect/>
                    </a:stretch>
                  </pic:blipFill>
                  <pic:spPr>
                    <a:xfrm>
                      <a:off x="0" y="0"/>
                      <a:ext cx="3095625" cy="3124200"/>
                    </a:xfrm>
                    <a:prstGeom prst="rect">
                      <a:avLst/>
                    </a:prstGeom>
                  </pic:spPr>
                </pic:pic>
              </a:graphicData>
            </a:graphic>
          </wp:inline>
        </w:drawing>
      </w:r>
    </w:p>
    <w:p w14:paraId="34BE12F0" w14:textId="43360A00" w:rsidR="007E3F6C" w:rsidRDefault="002A1241" w:rsidP="00DC57EA">
      <w:pPr>
        <w:spacing w:after="158" w:line="259" w:lineRule="auto"/>
        <w:ind w:left="3" w:firstLine="0"/>
      </w:pPr>
      <w:hyperlink r:id="rId14">
        <w:r w:rsidR="00AD14F6">
          <w:rPr>
            <w:rFonts w:ascii="Calibri" w:eastAsia="Calibri" w:hAnsi="Calibri" w:cs="Calibri"/>
            <w:sz w:val="22"/>
          </w:rPr>
          <w:t>(</w:t>
        </w:r>
      </w:hyperlink>
      <w:r w:rsidR="00AD14F6" w:rsidRPr="00414B31">
        <w:rPr>
          <w:rFonts w:eastAsia="Calibri"/>
        </w:rPr>
        <w:t>https://www.wcva.org.uk</w:t>
      </w:r>
      <w:hyperlink r:id="rId15">
        <w:r w:rsidR="00AD14F6" w:rsidRPr="00414B31">
          <w:rPr>
            <w:rFonts w:eastAsia="Calibri"/>
          </w:rPr>
          <w:t>)</w:t>
        </w:r>
      </w:hyperlink>
    </w:p>
    <w:p w14:paraId="7AE952A2" w14:textId="0B2A795F" w:rsidR="007E3F6C" w:rsidRDefault="00AD14F6" w:rsidP="00DC57EA">
      <w:pPr>
        <w:spacing w:line="259" w:lineRule="auto"/>
        <w:ind w:left="0" w:right="1" w:firstLine="0"/>
      </w:pPr>
      <w:r>
        <w:rPr>
          <w:rFonts w:ascii="Calibri" w:eastAsia="Calibri" w:hAnsi="Calibri" w:cs="Calibri"/>
          <w:b/>
          <w:sz w:val="22"/>
          <w:u w:val="single" w:color="000000"/>
        </w:rPr>
        <w:t>Wellbeing Goals &amp; Sustainable Development Principle</w:t>
      </w:r>
    </w:p>
    <w:p w14:paraId="6413FBB3" w14:textId="777EDD0B" w:rsidR="007E3F6C" w:rsidRDefault="00AD14F6" w:rsidP="00DC57EA">
      <w:pPr>
        <w:spacing w:after="177"/>
      </w:pPr>
      <w:r>
        <w:rPr>
          <w:rFonts w:ascii="Calibri" w:eastAsia="Calibri" w:hAnsi="Calibri" w:cs="Calibri"/>
          <w:sz w:val="22"/>
        </w:rPr>
        <w:t>There are seven well-being goals, which provide a shared vision for public bodies to work towards. These goals are illustrated in the form a jigsaw, emphasising their integration.</w:t>
      </w:r>
    </w:p>
    <w:p w14:paraId="6DABDCC3" w14:textId="58F2DD4A" w:rsidR="007E3F6C" w:rsidRDefault="00AD14F6" w:rsidP="00DC57EA">
      <w:pPr>
        <w:spacing w:after="177"/>
        <w:ind w:left="722" w:right="713"/>
      </w:pPr>
      <w:r>
        <w:rPr>
          <w:rFonts w:ascii="Calibri" w:eastAsia="Calibri" w:hAnsi="Calibri" w:cs="Calibri"/>
          <w:sz w:val="22"/>
        </w:rPr>
        <w:lastRenderedPageBreak/>
        <w:t>The seven well-being goals are:</w:t>
      </w:r>
    </w:p>
    <w:p w14:paraId="754123C4" w14:textId="7820481B" w:rsidR="007E3F6C" w:rsidRDefault="00AD14F6" w:rsidP="00DC57EA">
      <w:pPr>
        <w:numPr>
          <w:ilvl w:val="0"/>
          <w:numId w:val="2"/>
        </w:numPr>
        <w:spacing w:after="177"/>
        <w:ind w:left="1073" w:right="351" w:hanging="361"/>
      </w:pPr>
      <w:r>
        <w:rPr>
          <w:rFonts w:ascii="Calibri" w:eastAsia="Calibri" w:hAnsi="Calibri" w:cs="Calibri"/>
          <w:sz w:val="22"/>
        </w:rPr>
        <w:t>A prosperous Wales</w:t>
      </w:r>
    </w:p>
    <w:p w14:paraId="5F060B04" w14:textId="77777777" w:rsidR="007E3F6C" w:rsidRDefault="00AD14F6" w:rsidP="00DC57EA">
      <w:pPr>
        <w:numPr>
          <w:ilvl w:val="0"/>
          <w:numId w:val="2"/>
        </w:numPr>
        <w:spacing w:after="177"/>
        <w:ind w:left="1073" w:right="351" w:hanging="361"/>
      </w:pPr>
      <w:r>
        <w:rPr>
          <w:rFonts w:ascii="Calibri" w:eastAsia="Calibri" w:hAnsi="Calibri" w:cs="Calibri"/>
          <w:sz w:val="22"/>
        </w:rPr>
        <w:t>A resilient Wales</w:t>
      </w:r>
    </w:p>
    <w:p w14:paraId="05E17930" w14:textId="77777777" w:rsidR="007E3F6C" w:rsidRDefault="00AD14F6" w:rsidP="00DC57EA">
      <w:pPr>
        <w:numPr>
          <w:ilvl w:val="0"/>
          <w:numId w:val="2"/>
        </w:numPr>
        <w:spacing w:after="177"/>
        <w:ind w:left="1073" w:right="351" w:hanging="361"/>
      </w:pPr>
      <w:r>
        <w:rPr>
          <w:rFonts w:ascii="Calibri" w:eastAsia="Calibri" w:hAnsi="Calibri" w:cs="Calibri"/>
          <w:sz w:val="22"/>
        </w:rPr>
        <w:t>A healthier Wales</w:t>
      </w:r>
    </w:p>
    <w:p w14:paraId="35F2ED05" w14:textId="77777777" w:rsidR="007E3F6C" w:rsidRDefault="00AD14F6" w:rsidP="00DC57EA">
      <w:pPr>
        <w:numPr>
          <w:ilvl w:val="0"/>
          <w:numId w:val="2"/>
        </w:numPr>
        <w:spacing w:after="177"/>
        <w:ind w:left="1073" w:right="351" w:hanging="361"/>
      </w:pPr>
      <w:r>
        <w:rPr>
          <w:rFonts w:ascii="Calibri" w:eastAsia="Calibri" w:hAnsi="Calibri" w:cs="Calibri"/>
          <w:sz w:val="22"/>
        </w:rPr>
        <w:t>A more equal Wales</w:t>
      </w:r>
    </w:p>
    <w:p w14:paraId="437BB6B4" w14:textId="77777777" w:rsidR="007E3F6C" w:rsidRDefault="00AD14F6" w:rsidP="00DC57EA">
      <w:pPr>
        <w:numPr>
          <w:ilvl w:val="0"/>
          <w:numId w:val="2"/>
        </w:numPr>
        <w:spacing w:after="177"/>
        <w:ind w:left="1073" w:right="351" w:hanging="361"/>
      </w:pPr>
      <w:r>
        <w:rPr>
          <w:rFonts w:ascii="Calibri" w:eastAsia="Calibri" w:hAnsi="Calibri" w:cs="Calibri"/>
          <w:sz w:val="22"/>
        </w:rPr>
        <w:t>A Wales of cohesive communities</w:t>
      </w:r>
    </w:p>
    <w:p w14:paraId="7C1CE1B7" w14:textId="77777777" w:rsidR="007E3F6C" w:rsidRDefault="00AD14F6" w:rsidP="00DC57EA">
      <w:pPr>
        <w:numPr>
          <w:ilvl w:val="0"/>
          <w:numId w:val="2"/>
        </w:numPr>
        <w:spacing w:after="0" w:line="416" w:lineRule="auto"/>
        <w:ind w:left="1073" w:right="351" w:hanging="361"/>
      </w:pPr>
      <w:r>
        <w:rPr>
          <w:rFonts w:ascii="Calibri" w:eastAsia="Calibri" w:hAnsi="Calibri" w:cs="Calibri"/>
          <w:sz w:val="22"/>
        </w:rPr>
        <w:t xml:space="preserve">A Wales of vibrant culture and thriving Welsh language </w:t>
      </w:r>
      <w:r>
        <w:rPr>
          <w:rFonts w:ascii="Segoe UI Symbol" w:eastAsia="Segoe UI Symbol" w:hAnsi="Segoe UI Symbol" w:cs="Segoe UI Symbol"/>
          <w:sz w:val="20"/>
        </w:rPr>
        <w:t>•</w:t>
      </w:r>
      <w:r>
        <w:rPr>
          <w:rFonts w:ascii="Arial" w:eastAsia="Arial" w:hAnsi="Arial" w:cs="Arial"/>
          <w:sz w:val="20"/>
        </w:rPr>
        <w:t xml:space="preserve"> </w:t>
      </w:r>
      <w:r>
        <w:rPr>
          <w:rFonts w:ascii="Calibri" w:eastAsia="Calibri" w:hAnsi="Calibri" w:cs="Calibri"/>
          <w:sz w:val="22"/>
        </w:rPr>
        <w:t>A globally responsible Wales.</w:t>
      </w:r>
    </w:p>
    <w:p w14:paraId="7B0C30DF" w14:textId="77777777" w:rsidR="007E3F6C" w:rsidRDefault="00AD14F6" w:rsidP="00DC57EA">
      <w:pPr>
        <w:spacing w:after="177"/>
        <w:ind w:left="722"/>
      </w:pPr>
      <w:r>
        <w:rPr>
          <w:rFonts w:ascii="Calibri" w:eastAsia="Calibri" w:hAnsi="Calibri" w:cs="Calibri"/>
          <w:sz w:val="22"/>
        </w:rPr>
        <w:t>Alongside these Well-being Goals is the 'Sustainable Development Principle', highlighting how the goals and actions arising from the Act will be delivered.  The five aspects that make up the Sustainable Development Principle are:</w:t>
      </w:r>
    </w:p>
    <w:p w14:paraId="1DBBE3E8" w14:textId="77777777" w:rsidR="007E3F6C" w:rsidRDefault="00AD14F6" w:rsidP="00DC57EA">
      <w:pPr>
        <w:numPr>
          <w:ilvl w:val="0"/>
          <w:numId w:val="2"/>
        </w:numPr>
        <w:spacing w:after="177"/>
        <w:ind w:left="1073" w:right="351" w:hanging="361"/>
      </w:pPr>
      <w:r>
        <w:rPr>
          <w:rFonts w:ascii="Calibri" w:eastAsia="Calibri" w:hAnsi="Calibri" w:cs="Calibri"/>
          <w:sz w:val="22"/>
        </w:rPr>
        <w:t>Long-term thinking</w:t>
      </w:r>
    </w:p>
    <w:p w14:paraId="4C230FBA" w14:textId="77777777" w:rsidR="007E3F6C" w:rsidRDefault="00AD14F6" w:rsidP="00DC57EA">
      <w:pPr>
        <w:numPr>
          <w:ilvl w:val="0"/>
          <w:numId w:val="2"/>
        </w:numPr>
        <w:spacing w:after="177"/>
        <w:ind w:left="1073" w:right="351" w:hanging="361"/>
      </w:pPr>
      <w:r>
        <w:rPr>
          <w:rFonts w:ascii="Calibri" w:eastAsia="Calibri" w:hAnsi="Calibri" w:cs="Calibri"/>
          <w:sz w:val="22"/>
        </w:rPr>
        <w:t>Prevention</w:t>
      </w:r>
    </w:p>
    <w:p w14:paraId="781F213E" w14:textId="77777777" w:rsidR="007E3F6C" w:rsidRDefault="00AD14F6" w:rsidP="00DC57EA">
      <w:pPr>
        <w:numPr>
          <w:ilvl w:val="0"/>
          <w:numId w:val="2"/>
        </w:numPr>
        <w:spacing w:after="177"/>
        <w:ind w:left="1073" w:right="351" w:hanging="361"/>
      </w:pPr>
      <w:r>
        <w:rPr>
          <w:rFonts w:ascii="Calibri" w:eastAsia="Calibri" w:hAnsi="Calibri" w:cs="Calibri"/>
          <w:sz w:val="22"/>
        </w:rPr>
        <w:t>Integration</w:t>
      </w:r>
    </w:p>
    <w:p w14:paraId="5D4B3D16" w14:textId="77777777" w:rsidR="007E3F6C" w:rsidRDefault="00AD14F6" w:rsidP="00DC57EA">
      <w:pPr>
        <w:numPr>
          <w:ilvl w:val="0"/>
          <w:numId w:val="2"/>
        </w:numPr>
        <w:spacing w:after="177"/>
        <w:ind w:left="1073" w:right="351" w:hanging="361"/>
      </w:pPr>
      <w:r>
        <w:rPr>
          <w:rFonts w:ascii="Calibri" w:eastAsia="Calibri" w:hAnsi="Calibri" w:cs="Calibri"/>
          <w:sz w:val="22"/>
        </w:rPr>
        <w:t>Collaboration</w:t>
      </w:r>
    </w:p>
    <w:p w14:paraId="2A734EAF" w14:textId="77777777" w:rsidR="007E3F6C" w:rsidRPr="007B11B6" w:rsidRDefault="00AD14F6" w:rsidP="00DC57EA">
      <w:pPr>
        <w:numPr>
          <w:ilvl w:val="0"/>
          <w:numId w:val="2"/>
        </w:numPr>
        <w:spacing w:after="177"/>
        <w:ind w:left="1073" w:right="351" w:hanging="361"/>
      </w:pPr>
      <w:r>
        <w:rPr>
          <w:rFonts w:ascii="Calibri" w:eastAsia="Calibri" w:hAnsi="Calibri" w:cs="Calibri"/>
          <w:sz w:val="22"/>
        </w:rPr>
        <w:t>Involvement.</w:t>
      </w:r>
    </w:p>
    <w:p w14:paraId="249E5350" w14:textId="2326FCD5" w:rsidR="00047503" w:rsidRPr="00F72291" w:rsidRDefault="00047503" w:rsidP="00DC57EA">
      <w:pPr>
        <w:pStyle w:val="NormalWeb"/>
        <w:shd w:val="clear" w:color="auto" w:fill="FEFEFE"/>
        <w:jc w:val="center"/>
        <w:rPr>
          <w:szCs w:val="27"/>
        </w:rPr>
      </w:pPr>
      <w:r w:rsidRPr="00F72291">
        <w:rPr>
          <w:szCs w:val="27"/>
        </w:rPr>
        <w:t xml:space="preserve">Wales faces some significant challenges in providing a decent quality of life for all its citizens no matter what race, religion or sex and in ensuring that the same living standards will also be available to our future generations. These challenges include an ageing population, pockets of generational economic inactivity, health inequalities, poverty and a shrinking public fund. We also face the local consequences of global threats such as climate change, biodiversity loss and the impacts of a globalised economy, Social inequalities, poverty and an ageing population in Wales have led to the health service in Wales becoming increasingly burdened with reactive forms of treatment for conditions brought about by a lack of good general health. The principles of the Well-being of Future Generations Act call for more investment in preventative measures. For example, citizens who are well informed of the implications of a poor diet or physical inactivity in later life – will be more likely to make their own decisions for a healthier lifestyle in earlier years. Rather than simply treating poor health decision makers will also need to </w:t>
      </w:r>
      <w:bookmarkStart w:id="1" w:name="_GoBack"/>
      <w:bookmarkEnd w:id="1"/>
      <w:r w:rsidRPr="00AD35EE">
        <w:rPr>
          <w:noProof/>
          <w:szCs w:val="27"/>
        </w:rPr>
        <w:t>take</w:t>
      </w:r>
      <w:r w:rsidRPr="00F72291">
        <w:rPr>
          <w:szCs w:val="27"/>
        </w:rPr>
        <w:t xml:space="preserve"> a holistic look at promoting good health through things like decent housing and access to green space. Access to safe structured and unstructured play has also been highlighted as essential for peer interaction and the growth of children’s physical and mental health and wellbeing.</w:t>
      </w:r>
    </w:p>
    <w:p w14:paraId="13B758BF" w14:textId="140D6B1A" w:rsidR="00F72291" w:rsidRPr="00F72291" w:rsidRDefault="00F72291" w:rsidP="00DC57EA">
      <w:pPr>
        <w:pStyle w:val="NormalWeb"/>
        <w:shd w:val="clear" w:color="auto" w:fill="FEFEFE"/>
        <w:jc w:val="center"/>
        <w:rPr>
          <w:b/>
          <w:sz w:val="28"/>
          <w:szCs w:val="27"/>
          <w:u w:val="single"/>
        </w:rPr>
      </w:pPr>
      <w:r w:rsidRPr="00F72291">
        <w:rPr>
          <w:b/>
          <w:szCs w:val="27"/>
          <w:u w:val="single"/>
        </w:rPr>
        <w:t>Conclusion</w:t>
      </w:r>
    </w:p>
    <w:p w14:paraId="68EEDF54" w14:textId="097B270D" w:rsidR="00A152F7" w:rsidRPr="00F72291" w:rsidRDefault="00A152F7" w:rsidP="00DC57EA">
      <w:pPr>
        <w:pStyle w:val="NormalWeb"/>
        <w:shd w:val="clear" w:color="auto" w:fill="FEFEFE"/>
        <w:jc w:val="center"/>
        <w:rPr>
          <w:szCs w:val="27"/>
        </w:rPr>
      </w:pPr>
      <w:r w:rsidRPr="00F72291">
        <w:rPr>
          <w:szCs w:val="27"/>
        </w:rPr>
        <w:t>It is concluded that the Well-being of Future Generations Wales Act has the potential to be a world-leading provision but its success in safeguarding the interests of future generations will depend heavily on the political will and the personalities of those tasked with holding public bodies to account.</w:t>
      </w:r>
    </w:p>
    <w:p w14:paraId="2EFA8D5B" w14:textId="77777777" w:rsidR="00047503" w:rsidRDefault="00047503" w:rsidP="00DC57EA">
      <w:pPr>
        <w:spacing w:after="2" w:line="400" w:lineRule="auto"/>
        <w:ind w:left="720" w:right="4465" w:firstLine="0"/>
      </w:pPr>
    </w:p>
    <w:p w14:paraId="5D0DAEDA" w14:textId="77777777" w:rsidR="004266EF" w:rsidRPr="0056767C" w:rsidRDefault="004266EF" w:rsidP="00DC57EA">
      <w:pPr>
        <w:pStyle w:val="NormalWeb"/>
        <w:shd w:val="clear" w:color="auto" w:fill="FEFEFE"/>
        <w:jc w:val="center"/>
        <w:rPr>
          <w:b/>
          <w:color w:val="08294D"/>
          <w:szCs w:val="27"/>
        </w:rPr>
      </w:pPr>
    </w:p>
    <w:p w14:paraId="70F9D661" w14:textId="5495DF49" w:rsidR="00047503" w:rsidRDefault="00047503" w:rsidP="00DC57EA">
      <w:pPr>
        <w:spacing w:after="2" w:line="400" w:lineRule="auto"/>
        <w:ind w:left="720" w:right="4465" w:firstLine="0"/>
        <w:rPr>
          <w:rFonts w:ascii="Calibri" w:eastAsia="Calibri" w:hAnsi="Calibri" w:cs="Calibri"/>
          <w:sz w:val="22"/>
        </w:rPr>
      </w:pPr>
    </w:p>
    <w:p w14:paraId="3BA24ABD" w14:textId="77777777" w:rsidR="00047503" w:rsidRDefault="00047503" w:rsidP="00DC57EA">
      <w:pPr>
        <w:spacing w:after="2" w:line="400" w:lineRule="auto"/>
        <w:ind w:left="720" w:right="4465" w:firstLine="0"/>
        <w:rPr>
          <w:rFonts w:ascii="Calibri" w:eastAsia="Calibri" w:hAnsi="Calibri" w:cs="Calibri"/>
          <w:sz w:val="22"/>
        </w:rPr>
      </w:pPr>
    </w:p>
    <w:p w14:paraId="5C1A061B" w14:textId="77777777" w:rsidR="00047503" w:rsidRDefault="00047503" w:rsidP="00DC57EA">
      <w:pPr>
        <w:spacing w:after="2" w:line="400" w:lineRule="auto"/>
        <w:ind w:left="720" w:right="4465" w:firstLine="0"/>
        <w:rPr>
          <w:rFonts w:ascii="Calibri" w:eastAsia="Calibri" w:hAnsi="Calibri" w:cs="Calibri"/>
          <w:sz w:val="22"/>
        </w:rPr>
      </w:pPr>
    </w:p>
    <w:p w14:paraId="6D6924A7" w14:textId="77777777" w:rsidR="00047503" w:rsidRDefault="00047503" w:rsidP="00DC57EA">
      <w:pPr>
        <w:spacing w:after="2" w:line="400" w:lineRule="auto"/>
        <w:ind w:left="720" w:right="4465" w:firstLine="0"/>
        <w:rPr>
          <w:rFonts w:ascii="Calibri" w:eastAsia="Calibri" w:hAnsi="Calibri" w:cs="Calibri"/>
          <w:sz w:val="22"/>
        </w:rPr>
      </w:pPr>
    </w:p>
    <w:p w14:paraId="75B01B9E" w14:textId="77777777" w:rsidR="007E3F6C" w:rsidRDefault="007E3F6C" w:rsidP="00DC57EA">
      <w:pPr>
        <w:spacing w:after="172" w:line="259" w:lineRule="auto"/>
        <w:ind w:left="48" w:firstLine="0"/>
      </w:pPr>
    </w:p>
    <w:p w14:paraId="00206D78" w14:textId="72E07C0D" w:rsidR="007E3F6C" w:rsidRDefault="007E3F6C" w:rsidP="00DC57EA">
      <w:pPr>
        <w:spacing w:after="0" w:line="259" w:lineRule="auto"/>
        <w:ind w:left="0" w:firstLine="0"/>
      </w:pPr>
    </w:p>
    <w:p w14:paraId="77144BD0" w14:textId="77777777" w:rsidR="007E3F6C" w:rsidRPr="00414B31" w:rsidRDefault="00AD14F6" w:rsidP="00DC57EA">
      <w:pPr>
        <w:spacing w:after="159" w:line="259" w:lineRule="auto"/>
        <w:ind w:left="-5" w:right="1553"/>
        <w:rPr>
          <w:b/>
          <w:i/>
          <w:u w:val="single"/>
        </w:rPr>
      </w:pPr>
      <w:r w:rsidRPr="00414B31">
        <w:rPr>
          <w:rFonts w:ascii="Calibri" w:eastAsia="Calibri" w:hAnsi="Calibri" w:cs="Calibri"/>
          <w:b/>
          <w:i/>
          <w:sz w:val="22"/>
          <w:u w:val="single"/>
        </w:rPr>
        <w:t>Ref</w:t>
      </w:r>
      <w:r w:rsidR="00CA6C27" w:rsidRPr="00414B31">
        <w:rPr>
          <w:rFonts w:ascii="Calibri" w:eastAsia="Calibri" w:hAnsi="Calibri" w:cs="Calibri"/>
          <w:b/>
          <w:i/>
          <w:sz w:val="22"/>
          <w:u w:val="single"/>
        </w:rPr>
        <w:t>erences</w:t>
      </w:r>
    </w:p>
    <w:p w14:paraId="60AD65BF" w14:textId="77777777" w:rsidR="007E3F6C" w:rsidRPr="00414B31" w:rsidRDefault="00AD14F6" w:rsidP="00DC57EA">
      <w:pPr>
        <w:spacing w:after="159" w:line="259" w:lineRule="auto"/>
        <w:ind w:left="-5" w:right="1553"/>
        <w:rPr>
          <w:i/>
        </w:rPr>
      </w:pPr>
      <w:r w:rsidRPr="00414B31">
        <w:rPr>
          <w:rFonts w:ascii="Calibri" w:eastAsia="Calibri" w:hAnsi="Calibri" w:cs="Calibri"/>
          <w:i/>
          <w:sz w:val="22"/>
        </w:rPr>
        <w:t>Frank Field, 2011, http://www.bbc.co.uk/history/british/modern/field_01.shtml</w:t>
      </w:r>
    </w:p>
    <w:p w14:paraId="772529EC" w14:textId="77777777" w:rsidR="007E3F6C" w:rsidRPr="00414B31" w:rsidRDefault="00AD14F6" w:rsidP="00DC57EA">
      <w:pPr>
        <w:rPr>
          <w:i/>
          <w:color w:val="auto"/>
        </w:rPr>
      </w:pPr>
      <w:r w:rsidRPr="00414B31">
        <w:rPr>
          <w:rFonts w:eastAsia="Calibri"/>
          <w:i/>
          <w:color w:val="auto"/>
        </w:rPr>
        <w:t xml:space="preserve">Kehinde Andrews, 2015, </w:t>
      </w:r>
      <w:r w:rsidRPr="00414B31">
        <w:rPr>
          <w:rFonts w:eastAsia="Calibri"/>
          <w:i/>
          <w:color w:val="auto"/>
          <w:u w:color="0563C1"/>
        </w:rPr>
        <w:t>https://www.theguardian.com/commentisfree/2015/dec/08/50</w:t>
      </w:r>
      <w:hyperlink r:id="rId16"/>
      <w:hyperlink r:id="rId17">
        <w:r w:rsidRPr="00414B31">
          <w:rPr>
            <w:rFonts w:eastAsia="Calibri"/>
            <w:i/>
            <w:color w:val="auto"/>
            <w:u w:color="0563C1"/>
          </w:rPr>
          <w:t>anniversary</w:t>
        </w:r>
      </w:hyperlink>
      <w:hyperlink r:id="rId18">
        <w:r w:rsidRPr="00414B31">
          <w:rPr>
            <w:rFonts w:eastAsia="Calibri"/>
            <w:i/>
            <w:color w:val="auto"/>
            <w:u w:color="0563C1"/>
          </w:rPr>
          <w:t>-</w:t>
        </w:r>
      </w:hyperlink>
      <w:hyperlink r:id="rId19">
        <w:r w:rsidRPr="00414B31">
          <w:rPr>
            <w:rFonts w:eastAsia="Calibri"/>
            <w:i/>
            <w:color w:val="auto"/>
            <w:u w:color="0563C1"/>
          </w:rPr>
          <w:t>race</w:t>
        </w:r>
      </w:hyperlink>
      <w:hyperlink r:id="rId20">
        <w:r w:rsidRPr="00414B31">
          <w:rPr>
            <w:rFonts w:eastAsia="Calibri"/>
            <w:i/>
            <w:color w:val="auto"/>
            <w:u w:color="0563C1"/>
          </w:rPr>
          <w:t>-</w:t>
        </w:r>
      </w:hyperlink>
      <w:hyperlink r:id="rId21">
        <w:r w:rsidRPr="00414B31">
          <w:rPr>
            <w:rFonts w:eastAsia="Calibri"/>
            <w:i/>
            <w:color w:val="auto"/>
            <w:u w:color="0563C1"/>
          </w:rPr>
          <w:t>relations</w:t>
        </w:r>
      </w:hyperlink>
      <w:hyperlink r:id="rId22">
        <w:r w:rsidRPr="00414B31">
          <w:rPr>
            <w:rFonts w:eastAsia="Calibri"/>
            <w:i/>
            <w:color w:val="auto"/>
            <w:u w:color="0563C1"/>
          </w:rPr>
          <w:t>-</w:t>
        </w:r>
      </w:hyperlink>
      <w:hyperlink r:id="rId23">
        <w:r w:rsidRPr="00414B31">
          <w:rPr>
            <w:rFonts w:eastAsia="Calibri"/>
            <w:i/>
            <w:color w:val="auto"/>
            <w:u w:color="0563C1"/>
          </w:rPr>
          <w:t>act</w:t>
        </w:r>
      </w:hyperlink>
      <w:hyperlink r:id="rId24">
        <w:r w:rsidRPr="00414B31">
          <w:rPr>
            <w:rFonts w:eastAsia="Calibri"/>
            <w:i/>
            <w:color w:val="auto"/>
            <w:u w:color="0563C1"/>
          </w:rPr>
          <w:t>-</w:t>
        </w:r>
      </w:hyperlink>
      <w:hyperlink r:id="rId25">
        <w:r w:rsidRPr="00414B31">
          <w:rPr>
            <w:rFonts w:eastAsia="Calibri"/>
            <w:i/>
            <w:color w:val="auto"/>
            <w:u w:color="0563C1"/>
          </w:rPr>
          <w:t>uk</w:t>
        </w:r>
      </w:hyperlink>
      <w:hyperlink r:id="rId26">
        <w:r w:rsidRPr="00414B31">
          <w:rPr>
            <w:rFonts w:eastAsia="Calibri"/>
            <w:i/>
            <w:color w:val="auto"/>
            <w:u w:color="0563C1"/>
          </w:rPr>
          <w:t>-</w:t>
        </w:r>
      </w:hyperlink>
      <w:hyperlink r:id="rId27">
        <w:r w:rsidRPr="00414B31">
          <w:rPr>
            <w:rFonts w:eastAsia="Calibri"/>
            <w:i/>
            <w:color w:val="auto"/>
            <w:u w:color="0563C1"/>
          </w:rPr>
          <w:t>prejudice</w:t>
        </w:r>
      </w:hyperlink>
      <w:hyperlink r:id="rId28">
        <w:r w:rsidRPr="00414B31">
          <w:rPr>
            <w:rFonts w:eastAsia="Calibri"/>
            <w:i/>
            <w:color w:val="auto"/>
            <w:u w:color="0563C1"/>
          </w:rPr>
          <w:t>-</w:t>
        </w:r>
      </w:hyperlink>
      <w:hyperlink r:id="rId29">
        <w:r w:rsidRPr="00414B31">
          <w:rPr>
            <w:rFonts w:eastAsia="Calibri"/>
            <w:i/>
            <w:color w:val="auto"/>
            <w:u w:color="0563C1"/>
          </w:rPr>
          <w:t>racism</w:t>
        </w:r>
      </w:hyperlink>
      <w:hyperlink r:id="rId30">
        <w:r w:rsidRPr="00414B31">
          <w:rPr>
            <w:rFonts w:eastAsia="Calibri"/>
            <w:i/>
            <w:color w:val="auto"/>
          </w:rPr>
          <w:t xml:space="preserve"> </w:t>
        </w:r>
      </w:hyperlink>
    </w:p>
    <w:p w14:paraId="67C64542" w14:textId="77777777" w:rsidR="007E3F6C" w:rsidRPr="00414B31" w:rsidRDefault="00AD14F6" w:rsidP="00DC57EA">
      <w:pPr>
        <w:rPr>
          <w:i/>
        </w:rPr>
      </w:pPr>
      <w:r w:rsidRPr="00414B31">
        <w:rPr>
          <w:rFonts w:eastAsia="Calibri"/>
          <w:i/>
          <w:color w:val="auto"/>
        </w:rPr>
        <w:t xml:space="preserve">Equal Human Rights Website, 2017, </w:t>
      </w:r>
      <w:hyperlink r:id="rId31">
        <w:r w:rsidRPr="00414B31">
          <w:rPr>
            <w:rFonts w:eastAsia="Calibri"/>
            <w:i/>
            <w:color w:val="auto"/>
          </w:rPr>
          <w:t xml:space="preserve"> </w:t>
        </w:r>
      </w:hyperlink>
      <w:r w:rsidRPr="00414B31">
        <w:rPr>
          <w:rFonts w:eastAsia="Calibri"/>
          <w:i/>
          <w:color w:val="auto"/>
          <w:u w:color="0563C1"/>
        </w:rPr>
        <w:t>https://www.equalityhumanrights.com/en/equality</w:t>
      </w:r>
      <w:hyperlink r:id="rId32">
        <w:r w:rsidRPr="00414B31">
          <w:rPr>
            <w:rFonts w:eastAsia="Calibri"/>
            <w:i/>
            <w:color w:val="auto"/>
            <w:u w:color="0563C1"/>
          </w:rPr>
          <w:t>-</w:t>
        </w:r>
      </w:hyperlink>
      <w:hyperlink r:id="rId33">
        <w:r w:rsidRPr="00414B31">
          <w:rPr>
            <w:rFonts w:eastAsia="Calibri"/>
            <w:i/>
            <w:color w:val="auto"/>
            <w:u w:color="0563C1"/>
          </w:rPr>
          <w:t>act</w:t>
        </w:r>
      </w:hyperlink>
      <w:hyperlink r:id="rId34"/>
      <w:hyperlink r:id="rId35">
        <w:r w:rsidRPr="00414B31">
          <w:rPr>
            <w:rFonts w:eastAsia="Calibri"/>
            <w:i/>
            <w:color w:val="auto"/>
            <w:u w:color="0563C1"/>
          </w:rPr>
          <w:t>2010/what</w:t>
        </w:r>
      </w:hyperlink>
      <w:hyperlink r:id="rId36">
        <w:r w:rsidRPr="00414B31">
          <w:rPr>
            <w:rFonts w:eastAsia="Calibri"/>
            <w:i/>
            <w:color w:val="auto"/>
            <w:u w:color="0563C1"/>
          </w:rPr>
          <w:t>-</w:t>
        </w:r>
      </w:hyperlink>
      <w:hyperlink r:id="rId37">
        <w:r w:rsidRPr="00414B31">
          <w:rPr>
            <w:rFonts w:eastAsia="Calibri"/>
            <w:i/>
            <w:color w:val="auto"/>
            <w:u w:color="0563C1"/>
          </w:rPr>
          <w:t>equality</w:t>
        </w:r>
      </w:hyperlink>
      <w:hyperlink r:id="rId38">
        <w:r w:rsidRPr="00414B31">
          <w:rPr>
            <w:rFonts w:eastAsia="Calibri"/>
            <w:i/>
            <w:color w:val="auto"/>
            <w:u w:color="0563C1"/>
          </w:rPr>
          <w:t>-</w:t>
        </w:r>
      </w:hyperlink>
      <w:hyperlink r:id="rId39">
        <w:r w:rsidRPr="00414B31">
          <w:rPr>
            <w:rFonts w:eastAsia="Calibri"/>
            <w:i/>
            <w:color w:val="auto"/>
            <w:u w:color="0563C1"/>
          </w:rPr>
          <w:t>act</w:t>
        </w:r>
      </w:hyperlink>
      <w:hyperlink r:id="rId40">
        <w:r w:rsidRPr="00414B31">
          <w:rPr>
            <w:rFonts w:eastAsia="Calibri"/>
            <w:i/>
          </w:rPr>
          <w:t xml:space="preserve"> </w:t>
        </w:r>
      </w:hyperlink>
    </w:p>
    <w:p w14:paraId="3C5BDF00" w14:textId="77777777" w:rsidR="007E3F6C" w:rsidRPr="00414B31" w:rsidRDefault="00AD14F6" w:rsidP="00DC57EA">
      <w:pPr>
        <w:rPr>
          <w:i/>
          <w:color w:val="auto"/>
        </w:rPr>
      </w:pPr>
      <w:r w:rsidRPr="00414B31">
        <w:rPr>
          <w:rFonts w:eastAsia="Calibri"/>
          <w:i/>
        </w:rPr>
        <w:t>N.D,</w:t>
      </w:r>
      <w:hyperlink r:id="rId41">
        <w:r w:rsidRPr="00414B31">
          <w:rPr>
            <w:rFonts w:eastAsia="Calibri"/>
            <w:i/>
            <w:color w:val="auto"/>
          </w:rPr>
          <w:t xml:space="preserve"> </w:t>
        </w:r>
      </w:hyperlink>
      <w:hyperlink r:id="rId42">
        <w:r w:rsidRPr="00414B31">
          <w:rPr>
            <w:rFonts w:eastAsia="Calibri"/>
            <w:i/>
            <w:color w:val="auto"/>
            <w:u w:color="0563C1"/>
          </w:rPr>
          <w:t>https://www.wcva.org.uk/what</w:t>
        </w:r>
      </w:hyperlink>
      <w:hyperlink r:id="rId43">
        <w:r w:rsidRPr="00414B31">
          <w:rPr>
            <w:rFonts w:eastAsia="Calibri"/>
            <w:i/>
            <w:color w:val="auto"/>
            <w:u w:color="0563C1"/>
          </w:rPr>
          <w:t>-</w:t>
        </w:r>
      </w:hyperlink>
      <w:hyperlink r:id="rId44">
        <w:r w:rsidRPr="00414B31">
          <w:rPr>
            <w:rFonts w:eastAsia="Calibri"/>
            <w:i/>
            <w:color w:val="auto"/>
            <w:u w:color="0563C1"/>
          </w:rPr>
          <w:t>we</w:t>
        </w:r>
      </w:hyperlink>
      <w:hyperlink r:id="rId45">
        <w:r w:rsidRPr="00414B31">
          <w:rPr>
            <w:rFonts w:eastAsia="Calibri"/>
            <w:i/>
            <w:color w:val="auto"/>
            <w:u w:color="0563C1"/>
          </w:rPr>
          <w:t>-</w:t>
        </w:r>
      </w:hyperlink>
      <w:r w:rsidRPr="00414B31">
        <w:rPr>
          <w:rFonts w:eastAsia="Calibri"/>
          <w:i/>
          <w:color w:val="auto"/>
          <w:u w:color="0563C1"/>
        </w:rPr>
        <w:t>do/the</w:t>
      </w:r>
      <w:hyperlink r:id="rId46">
        <w:r w:rsidRPr="00414B31">
          <w:rPr>
            <w:rFonts w:eastAsia="Calibri"/>
            <w:i/>
            <w:color w:val="auto"/>
            <w:u w:color="0563C1"/>
          </w:rPr>
          <w:t>-</w:t>
        </w:r>
      </w:hyperlink>
      <w:hyperlink r:id="rId47">
        <w:r w:rsidRPr="00414B31">
          <w:rPr>
            <w:rFonts w:eastAsia="Calibri"/>
            <w:i/>
            <w:color w:val="auto"/>
            <w:u w:color="0563C1"/>
          </w:rPr>
          <w:t>future</w:t>
        </w:r>
      </w:hyperlink>
      <w:hyperlink r:id="rId48">
        <w:r w:rsidRPr="00414B31">
          <w:rPr>
            <w:rFonts w:eastAsia="Calibri"/>
            <w:i/>
            <w:color w:val="auto"/>
            <w:u w:color="0563C1"/>
          </w:rPr>
          <w:t>-</w:t>
        </w:r>
      </w:hyperlink>
      <w:hyperlink r:id="rId49">
        <w:r w:rsidRPr="00414B31">
          <w:rPr>
            <w:rFonts w:eastAsia="Calibri"/>
            <w:i/>
            <w:color w:val="auto"/>
            <w:u w:color="0563C1"/>
          </w:rPr>
          <w:t>generations</w:t>
        </w:r>
      </w:hyperlink>
      <w:hyperlink r:id="rId50">
        <w:r w:rsidRPr="00414B31">
          <w:rPr>
            <w:rFonts w:eastAsia="Calibri"/>
            <w:i/>
            <w:color w:val="auto"/>
            <w:u w:color="0563C1"/>
          </w:rPr>
          <w:t>-</w:t>
        </w:r>
      </w:hyperlink>
      <w:hyperlink r:id="rId51">
        <w:r w:rsidRPr="00414B31">
          <w:rPr>
            <w:rFonts w:eastAsia="Calibri"/>
            <w:i/>
            <w:color w:val="auto"/>
            <w:u w:color="0563C1"/>
          </w:rPr>
          <w:t>(wales)</w:t>
        </w:r>
      </w:hyperlink>
      <w:hyperlink r:id="rId52">
        <w:r w:rsidRPr="00414B31">
          <w:rPr>
            <w:rFonts w:eastAsia="Calibri"/>
            <w:i/>
            <w:color w:val="auto"/>
            <w:u w:color="0563C1"/>
          </w:rPr>
          <w:t>-</w:t>
        </w:r>
      </w:hyperlink>
      <w:hyperlink r:id="rId53">
        <w:r w:rsidRPr="00414B31">
          <w:rPr>
            <w:rFonts w:eastAsia="Calibri"/>
            <w:i/>
            <w:color w:val="auto"/>
            <w:u w:color="0563C1"/>
          </w:rPr>
          <w:t>act</w:t>
        </w:r>
      </w:hyperlink>
      <w:hyperlink r:id="rId54">
        <w:r w:rsidRPr="00414B31">
          <w:rPr>
            <w:rFonts w:eastAsia="Calibri"/>
            <w:i/>
            <w:color w:val="auto"/>
            <w:u w:color="0563C1"/>
          </w:rPr>
          <w:t>-</w:t>
        </w:r>
      </w:hyperlink>
      <w:hyperlink r:id="rId55">
        <w:r w:rsidRPr="00414B31">
          <w:rPr>
            <w:rFonts w:eastAsia="Calibri"/>
            <w:i/>
            <w:color w:val="auto"/>
            <w:u w:color="0563C1"/>
          </w:rPr>
          <w:t>all</w:t>
        </w:r>
      </w:hyperlink>
      <w:hyperlink r:id="rId56">
        <w:r w:rsidRPr="00414B31">
          <w:rPr>
            <w:rFonts w:eastAsia="Calibri"/>
            <w:i/>
            <w:color w:val="auto"/>
            <w:u w:color="0563C1"/>
          </w:rPr>
          <w:t>-</w:t>
        </w:r>
      </w:hyperlink>
      <w:hyperlink r:id="rId57">
        <w:r w:rsidRPr="00414B31">
          <w:rPr>
            <w:rFonts w:eastAsia="Calibri"/>
            <w:i/>
            <w:color w:val="auto"/>
            <w:u w:color="0563C1"/>
          </w:rPr>
          <w:t>you</w:t>
        </w:r>
      </w:hyperlink>
      <w:hyperlink r:id="rId58">
        <w:r w:rsidRPr="00414B31">
          <w:rPr>
            <w:rFonts w:eastAsia="Calibri"/>
            <w:i/>
            <w:color w:val="auto"/>
            <w:u w:color="0563C1"/>
          </w:rPr>
          <w:t>-</w:t>
        </w:r>
      </w:hyperlink>
      <w:hyperlink r:id="rId59">
        <w:r w:rsidRPr="00414B31">
          <w:rPr>
            <w:rFonts w:eastAsia="Calibri"/>
            <w:i/>
            <w:color w:val="auto"/>
            <w:u w:color="0563C1"/>
          </w:rPr>
          <w:t>need</w:t>
        </w:r>
      </w:hyperlink>
      <w:hyperlink r:id="rId60">
        <w:r w:rsidRPr="00414B31">
          <w:rPr>
            <w:rFonts w:eastAsia="Calibri"/>
            <w:i/>
            <w:color w:val="auto"/>
            <w:u w:color="0563C1"/>
          </w:rPr>
          <w:t>-</w:t>
        </w:r>
      </w:hyperlink>
      <w:hyperlink r:id="rId61">
        <w:r w:rsidRPr="00414B31">
          <w:rPr>
            <w:rFonts w:eastAsia="Calibri"/>
            <w:i/>
            <w:color w:val="auto"/>
            <w:u w:color="0563C1"/>
          </w:rPr>
          <w:t>to</w:t>
        </w:r>
      </w:hyperlink>
      <w:hyperlink r:id="rId62"/>
      <w:hyperlink r:id="rId63">
        <w:r w:rsidRPr="00414B31">
          <w:rPr>
            <w:rFonts w:eastAsia="Calibri"/>
            <w:i/>
            <w:color w:val="auto"/>
            <w:u w:color="0563C1"/>
          </w:rPr>
          <w:t>know</w:t>
        </w:r>
      </w:hyperlink>
      <w:hyperlink r:id="rId64">
        <w:r w:rsidRPr="00414B31">
          <w:rPr>
            <w:rFonts w:eastAsia="Calibri"/>
            <w:i/>
            <w:color w:val="auto"/>
          </w:rPr>
          <w:t xml:space="preserve"> </w:t>
        </w:r>
      </w:hyperlink>
    </w:p>
    <w:p w14:paraId="2B86DDAA" w14:textId="77777777" w:rsidR="007E3F6C" w:rsidRPr="00414B31" w:rsidRDefault="00AD14F6" w:rsidP="00DC57EA">
      <w:pPr>
        <w:rPr>
          <w:rFonts w:eastAsia="Calibri"/>
          <w:i/>
        </w:rPr>
      </w:pPr>
      <w:r w:rsidRPr="00414B31">
        <w:rPr>
          <w:rFonts w:eastAsia="Calibri"/>
          <w:i/>
        </w:rPr>
        <w:t>N.D,</w:t>
      </w:r>
      <w:hyperlink r:id="rId65">
        <w:r w:rsidRPr="00414B31">
          <w:rPr>
            <w:rFonts w:eastAsia="Calibri"/>
            <w:i/>
            <w:color w:val="auto"/>
          </w:rPr>
          <w:t xml:space="preserve"> </w:t>
        </w:r>
      </w:hyperlink>
      <w:r w:rsidRPr="00414B31">
        <w:rPr>
          <w:rFonts w:eastAsia="Calibri"/>
          <w:i/>
          <w:color w:val="auto"/>
          <w:u w:color="0563C1"/>
        </w:rPr>
        <w:t>https://www.publichealthnetwork.cymru/en/topics/policy/well</w:t>
      </w:r>
      <w:hyperlink r:id="rId66">
        <w:r w:rsidRPr="00414B31">
          <w:rPr>
            <w:rFonts w:eastAsia="Calibri"/>
            <w:i/>
            <w:color w:val="auto"/>
            <w:u w:color="0563C1"/>
          </w:rPr>
          <w:t>-</w:t>
        </w:r>
      </w:hyperlink>
      <w:hyperlink r:id="rId67">
        <w:r w:rsidRPr="00414B31">
          <w:rPr>
            <w:rFonts w:eastAsia="Calibri"/>
            <w:i/>
            <w:color w:val="auto"/>
            <w:u w:color="0563C1"/>
          </w:rPr>
          <w:t>being</w:t>
        </w:r>
      </w:hyperlink>
      <w:hyperlink r:id="rId68">
        <w:r w:rsidRPr="00414B31">
          <w:rPr>
            <w:rFonts w:eastAsia="Calibri"/>
            <w:i/>
            <w:color w:val="auto"/>
            <w:u w:color="0563C1"/>
          </w:rPr>
          <w:t>-</w:t>
        </w:r>
      </w:hyperlink>
      <w:hyperlink r:id="rId69">
        <w:r w:rsidRPr="00414B31">
          <w:rPr>
            <w:rFonts w:eastAsia="Calibri"/>
            <w:i/>
            <w:color w:val="auto"/>
            <w:u w:color="0563C1"/>
          </w:rPr>
          <w:t>of</w:t>
        </w:r>
      </w:hyperlink>
      <w:hyperlink r:id="rId70">
        <w:r w:rsidRPr="00414B31">
          <w:rPr>
            <w:rFonts w:eastAsia="Calibri"/>
            <w:i/>
            <w:color w:val="auto"/>
            <w:u w:color="0563C1"/>
          </w:rPr>
          <w:t>-</w:t>
        </w:r>
      </w:hyperlink>
      <w:hyperlink r:id="rId71">
        <w:r w:rsidRPr="00414B31">
          <w:rPr>
            <w:rFonts w:eastAsia="Calibri"/>
            <w:i/>
            <w:color w:val="auto"/>
            <w:u w:color="0563C1"/>
          </w:rPr>
          <w:t>future</w:t>
        </w:r>
      </w:hyperlink>
      <w:hyperlink r:id="rId72">
        <w:r w:rsidRPr="00414B31">
          <w:rPr>
            <w:rFonts w:eastAsia="Calibri"/>
            <w:i/>
            <w:color w:val="auto"/>
            <w:u w:color="0563C1"/>
          </w:rPr>
          <w:t>-</w:t>
        </w:r>
      </w:hyperlink>
      <w:hyperlink r:id="rId73">
        <w:r w:rsidRPr="00414B31">
          <w:rPr>
            <w:rFonts w:eastAsia="Calibri"/>
            <w:i/>
            <w:color w:val="auto"/>
            <w:u w:color="0563C1"/>
          </w:rPr>
          <w:t>generations</w:t>
        </w:r>
      </w:hyperlink>
      <w:hyperlink r:id="rId74"/>
      <w:hyperlink r:id="rId75">
        <w:r w:rsidRPr="00414B31">
          <w:rPr>
            <w:rFonts w:eastAsia="Calibri"/>
            <w:i/>
            <w:color w:val="auto"/>
            <w:u w:color="0563C1"/>
          </w:rPr>
          <w:t>wales</w:t>
        </w:r>
      </w:hyperlink>
      <w:hyperlink r:id="rId76">
        <w:r w:rsidRPr="00414B31">
          <w:rPr>
            <w:rFonts w:eastAsia="Calibri"/>
            <w:i/>
            <w:color w:val="auto"/>
            <w:u w:color="0563C1"/>
          </w:rPr>
          <w:t>-</w:t>
        </w:r>
      </w:hyperlink>
      <w:hyperlink r:id="rId77">
        <w:r w:rsidRPr="00414B31">
          <w:rPr>
            <w:rFonts w:eastAsia="Calibri"/>
            <w:i/>
            <w:color w:val="auto"/>
            <w:u w:color="0563C1"/>
          </w:rPr>
          <w:t>act</w:t>
        </w:r>
      </w:hyperlink>
      <w:hyperlink r:id="rId78">
        <w:r w:rsidRPr="00414B31">
          <w:rPr>
            <w:rFonts w:eastAsia="Calibri"/>
            <w:i/>
            <w:color w:val="auto"/>
            <w:u w:color="0563C1"/>
          </w:rPr>
          <w:t>-</w:t>
        </w:r>
      </w:hyperlink>
      <w:r w:rsidRPr="00414B31">
        <w:rPr>
          <w:rFonts w:eastAsia="Calibri"/>
          <w:i/>
          <w:color w:val="auto"/>
          <w:u w:color="0563C1"/>
        </w:rPr>
        <w:t>2015/</w:t>
      </w:r>
      <w:hyperlink r:id="rId79">
        <w:r w:rsidRPr="00414B31">
          <w:rPr>
            <w:rFonts w:eastAsia="Calibri"/>
            <w:i/>
          </w:rPr>
          <w:t xml:space="preserve"> </w:t>
        </w:r>
      </w:hyperlink>
    </w:p>
    <w:p w14:paraId="6FF2945A" w14:textId="77777777" w:rsidR="00CA6C27" w:rsidRPr="00414B31" w:rsidRDefault="00CA6C27" w:rsidP="00DC57EA">
      <w:pPr>
        <w:spacing w:after="159" w:line="259" w:lineRule="auto"/>
        <w:ind w:left="-5"/>
        <w:rPr>
          <w:rFonts w:ascii="Calibri" w:eastAsia="Calibri" w:hAnsi="Calibri" w:cs="Calibri"/>
          <w:i/>
          <w:sz w:val="22"/>
        </w:rPr>
      </w:pPr>
      <w:r w:rsidRPr="00414B31">
        <w:rPr>
          <w:rFonts w:ascii="Calibri" w:eastAsia="Calibri" w:hAnsi="Calibri" w:cs="Calibri"/>
          <w:i/>
          <w:sz w:val="22"/>
        </w:rPr>
        <w:t>N.D,</w:t>
      </w:r>
      <w:r w:rsidRPr="00414B31">
        <w:rPr>
          <w:i/>
        </w:rPr>
        <w:t xml:space="preserve"> </w:t>
      </w:r>
      <w:r w:rsidRPr="00414B31">
        <w:rPr>
          <w:rFonts w:ascii="Calibri" w:eastAsia="Calibri" w:hAnsi="Calibri" w:cs="Calibri"/>
          <w:i/>
          <w:sz w:val="22"/>
        </w:rPr>
        <w:t>https://www.parliament.uk/about/living-heritage/transformingsociety/private-lives/relationships/collections1/race-relations-act-1965/race-relations-act-1965/</w:t>
      </w:r>
    </w:p>
    <w:p w14:paraId="4832397B" w14:textId="77777777" w:rsidR="00CA6C27" w:rsidRPr="00414B31" w:rsidRDefault="004266EF" w:rsidP="00DC57EA">
      <w:pPr>
        <w:spacing w:after="159" w:line="259" w:lineRule="auto"/>
        <w:ind w:left="-5"/>
        <w:rPr>
          <w:i/>
          <w:color w:val="auto"/>
        </w:rPr>
      </w:pPr>
      <w:r w:rsidRPr="00414B31">
        <w:rPr>
          <w:i/>
        </w:rPr>
        <w:t>N.D</w:t>
      </w:r>
      <w:r w:rsidRPr="00414B31">
        <w:rPr>
          <w:i/>
          <w:color w:val="auto"/>
        </w:rPr>
        <w:t xml:space="preserve">, </w:t>
      </w:r>
      <w:hyperlink r:id="rId80" w:history="1">
        <w:r w:rsidRPr="00414B31">
          <w:rPr>
            <w:rStyle w:val="Hyperlink"/>
            <w:i/>
            <w:color w:val="auto"/>
            <w:u w:val="none"/>
          </w:rPr>
          <w:t>https://www.bbc.com</w:t>
        </w:r>
      </w:hyperlink>
    </w:p>
    <w:p w14:paraId="49D3F608" w14:textId="77777777" w:rsidR="004266EF" w:rsidRPr="00414B31" w:rsidRDefault="0056767C" w:rsidP="00DC57EA">
      <w:pPr>
        <w:spacing w:after="159" w:line="259" w:lineRule="auto"/>
        <w:ind w:left="-5"/>
        <w:rPr>
          <w:i/>
          <w:color w:val="auto"/>
        </w:rPr>
      </w:pPr>
      <w:r w:rsidRPr="00414B31">
        <w:rPr>
          <w:i/>
          <w:color w:val="auto"/>
        </w:rPr>
        <w:t xml:space="preserve">N.D, </w:t>
      </w:r>
      <w:hyperlink r:id="rId81" w:history="1">
        <w:r w:rsidRPr="00414B31">
          <w:rPr>
            <w:rStyle w:val="Hyperlink"/>
            <w:i/>
            <w:color w:val="auto"/>
            <w:u w:val="none"/>
          </w:rPr>
          <w:t>https://futuregenerations.wales/about-us/future-generations-act/</w:t>
        </w:r>
      </w:hyperlink>
    </w:p>
    <w:p w14:paraId="63925C48" w14:textId="77777777" w:rsidR="00AD14F6" w:rsidRPr="00414B31" w:rsidRDefault="00414B31" w:rsidP="00DC57EA">
      <w:pPr>
        <w:spacing w:after="159" w:line="259" w:lineRule="auto"/>
        <w:ind w:left="-5"/>
        <w:rPr>
          <w:i/>
          <w:color w:val="auto"/>
        </w:rPr>
      </w:pPr>
      <w:r w:rsidRPr="00414B31">
        <w:rPr>
          <w:i/>
          <w:color w:val="auto"/>
        </w:rPr>
        <w:t>N.D,</w:t>
      </w:r>
      <w:r w:rsidR="00AD14F6" w:rsidRPr="00414B31">
        <w:rPr>
          <w:i/>
          <w:color w:val="auto"/>
        </w:rPr>
        <w:t xml:space="preserve"> </w:t>
      </w:r>
      <w:hyperlink r:id="rId82" w:history="1">
        <w:r w:rsidR="00AD14F6" w:rsidRPr="00414B31">
          <w:rPr>
            <w:rStyle w:val="Hyperlink"/>
            <w:i/>
            <w:color w:val="auto"/>
            <w:u w:val="none"/>
          </w:rPr>
          <w:t>https://journals.sagepub.com</w:t>
        </w:r>
      </w:hyperlink>
    </w:p>
    <w:p w14:paraId="00EB2C06" w14:textId="77777777" w:rsidR="00AD14F6" w:rsidRPr="00414B31" w:rsidRDefault="00AD14F6" w:rsidP="00DC57EA">
      <w:pPr>
        <w:spacing w:after="159" w:line="259" w:lineRule="auto"/>
        <w:ind w:left="-5"/>
        <w:rPr>
          <w:i/>
          <w:color w:val="auto"/>
        </w:rPr>
      </w:pPr>
    </w:p>
    <w:p w14:paraId="59048AF1" w14:textId="77777777" w:rsidR="0056767C" w:rsidRPr="00414B31" w:rsidRDefault="0056767C" w:rsidP="00DC57EA">
      <w:pPr>
        <w:spacing w:after="159" w:line="259" w:lineRule="auto"/>
        <w:ind w:left="-5"/>
        <w:rPr>
          <w:i/>
        </w:rPr>
      </w:pPr>
    </w:p>
    <w:p w14:paraId="1E531233" w14:textId="77777777" w:rsidR="007E3F6C" w:rsidRPr="00414B31" w:rsidRDefault="007E3F6C" w:rsidP="00DC57EA">
      <w:pPr>
        <w:spacing w:after="0" w:line="259" w:lineRule="auto"/>
        <w:ind w:left="0" w:firstLine="0"/>
        <w:rPr>
          <w:i/>
        </w:rPr>
      </w:pPr>
    </w:p>
    <w:sectPr w:rsidR="007E3F6C" w:rsidRPr="00414B31">
      <w:pgSz w:w="11906" w:h="16838"/>
      <w:pgMar w:top="1450" w:right="1439" w:bottom="1564"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odie bassett" w:date="2018-11-14T11:14:00Z" w:initials="jb">
    <w:p w14:paraId="766BBA78" w14:textId="77777777" w:rsidR="00414B31" w:rsidRDefault="00414B31">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66BBA7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66BBA78" w16cid:durableId="1F9681F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D46442"/>
    <w:multiLevelType w:val="hybridMultilevel"/>
    <w:tmpl w:val="0EB477B2"/>
    <w:lvl w:ilvl="0" w:tplc="894214B0">
      <w:start w:val="1"/>
      <w:numFmt w:val="bullet"/>
      <w:lvlText w:val="•"/>
      <w:lvlJc w:val="left"/>
      <w:pPr>
        <w:ind w:left="107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185AB23A">
      <w:start w:val="1"/>
      <w:numFmt w:val="bullet"/>
      <w:lvlText w:val="o"/>
      <w:lvlJc w:val="left"/>
      <w:pPr>
        <w:ind w:left="46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B54E5AC">
      <w:start w:val="1"/>
      <w:numFmt w:val="bullet"/>
      <w:lvlText w:val="▪"/>
      <w:lvlJc w:val="left"/>
      <w:pPr>
        <w:ind w:left="53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8CA06E74">
      <w:start w:val="1"/>
      <w:numFmt w:val="bullet"/>
      <w:lvlText w:val="•"/>
      <w:lvlJc w:val="left"/>
      <w:pPr>
        <w:ind w:left="60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1A29E9C">
      <w:start w:val="1"/>
      <w:numFmt w:val="bullet"/>
      <w:lvlText w:val="o"/>
      <w:lvlJc w:val="left"/>
      <w:pPr>
        <w:ind w:left="6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F128B52">
      <w:start w:val="1"/>
      <w:numFmt w:val="bullet"/>
      <w:lvlText w:val="▪"/>
      <w:lvlJc w:val="left"/>
      <w:pPr>
        <w:ind w:left="75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59300CC0">
      <w:start w:val="1"/>
      <w:numFmt w:val="bullet"/>
      <w:lvlText w:val="•"/>
      <w:lvlJc w:val="left"/>
      <w:pPr>
        <w:ind w:left="825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B62EB68">
      <w:start w:val="1"/>
      <w:numFmt w:val="bullet"/>
      <w:lvlText w:val="o"/>
      <w:lvlJc w:val="left"/>
      <w:pPr>
        <w:ind w:left="8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7E4F60A">
      <w:start w:val="1"/>
      <w:numFmt w:val="bullet"/>
      <w:lvlText w:val="▪"/>
      <w:lvlJc w:val="left"/>
      <w:pPr>
        <w:ind w:left="96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D052417"/>
    <w:multiLevelType w:val="hybridMultilevel"/>
    <w:tmpl w:val="79C4D44E"/>
    <w:lvl w:ilvl="0" w:tplc="744C0B1E">
      <w:start w:val="1"/>
      <w:numFmt w:val="bullet"/>
      <w:lvlText w:val="•"/>
      <w:lvlJc w:val="left"/>
      <w:pPr>
        <w:ind w:left="7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3F88160">
      <w:start w:val="1"/>
      <w:numFmt w:val="bullet"/>
      <w:lvlText w:val="o"/>
      <w:lvlJc w:val="left"/>
      <w:pPr>
        <w:ind w:left="347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C36EE2CE">
      <w:start w:val="1"/>
      <w:numFmt w:val="bullet"/>
      <w:lvlText w:val="▪"/>
      <w:lvlJc w:val="left"/>
      <w:pPr>
        <w:ind w:left="41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B0C5752">
      <w:start w:val="1"/>
      <w:numFmt w:val="bullet"/>
      <w:lvlText w:val="•"/>
      <w:lvlJc w:val="left"/>
      <w:pPr>
        <w:ind w:left="49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EE68CA">
      <w:start w:val="1"/>
      <w:numFmt w:val="bullet"/>
      <w:lvlText w:val="o"/>
      <w:lvlJc w:val="left"/>
      <w:pPr>
        <w:ind w:left="563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2706790">
      <w:start w:val="1"/>
      <w:numFmt w:val="bullet"/>
      <w:lvlText w:val="▪"/>
      <w:lvlJc w:val="left"/>
      <w:pPr>
        <w:ind w:left="635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E121C48">
      <w:start w:val="1"/>
      <w:numFmt w:val="bullet"/>
      <w:lvlText w:val="•"/>
      <w:lvlJc w:val="left"/>
      <w:pPr>
        <w:ind w:left="70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3C4D798">
      <w:start w:val="1"/>
      <w:numFmt w:val="bullet"/>
      <w:lvlText w:val="o"/>
      <w:lvlJc w:val="left"/>
      <w:pPr>
        <w:ind w:left="779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8C96E0A6">
      <w:start w:val="1"/>
      <w:numFmt w:val="bullet"/>
      <w:lvlText w:val="▪"/>
      <w:lvlJc w:val="left"/>
      <w:pPr>
        <w:ind w:left="8513"/>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odie bassett">
    <w15:presenceInfo w15:providerId="Windows Live" w15:userId="c19752b7f7ac93f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c0MDY3MzM2tjAwM7dU0lEKTi0uzszPAykwrAUA53fcZCwAAAA="/>
  </w:docVars>
  <w:rsids>
    <w:rsidRoot w:val="007E3F6C"/>
    <w:rsid w:val="00047503"/>
    <w:rsid w:val="000C7D9C"/>
    <w:rsid w:val="00244F9A"/>
    <w:rsid w:val="002A1241"/>
    <w:rsid w:val="002E0855"/>
    <w:rsid w:val="00407E63"/>
    <w:rsid w:val="00414B31"/>
    <w:rsid w:val="004266EF"/>
    <w:rsid w:val="0056767C"/>
    <w:rsid w:val="006035E3"/>
    <w:rsid w:val="006773B9"/>
    <w:rsid w:val="007A28DF"/>
    <w:rsid w:val="007B11B6"/>
    <w:rsid w:val="007E3F6C"/>
    <w:rsid w:val="00864930"/>
    <w:rsid w:val="00A152F7"/>
    <w:rsid w:val="00AD14F6"/>
    <w:rsid w:val="00AD35EE"/>
    <w:rsid w:val="00CA6C27"/>
    <w:rsid w:val="00CD0073"/>
    <w:rsid w:val="00D24E8C"/>
    <w:rsid w:val="00DC57EA"/>
    <w:rsid w:val="00EB6B8F"/>
    <w:rsid w:val="00ED1699"/>
    <w:rsid w:val="00F72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7AF78A"/>
  <w15:docId w15:val="{93F5AE70-33E5-4355-9D75-6FB4729FD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58" w:lineRule="auto"/>
      <w:ind w:left="10" w:hanging="10"/>
      <w:jc w:val="center"/>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157"/>
      <w:ind w:left="10" w:right="1" w:hanging="10"/>
      <w:jc w:val="center"/>
      <w:outlineLvl w:val="0"/>
    </w:pPr>
    <w:rPr>
      <w:rFonts w:ascii="Times New Roman" w:eastAsia="Times New Roman" w:hAnsi="Times New Roman" w:cs="Times New Roman"/>
      <w:b/>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u w:val="single" w:color="000000"/>
    </w:rPr>
  </w:style>
  <w:style w:type="character" w:styleId="Hyperlink">
    <w:name w:val="Hyperlink"/>
    <w:basedOn w:val="DefaultParagraphFont"/>
    <w:uiPriority w:val="99"/>
    <w:unhideWhenUsed/>
    <w:rsid w:val="00CA6C27"/>
    <w:rPr>
      <w:color w:val="0563C1" w:themeColor="hyperlink"/>
      <w:u w:val="single"/>
    </w:rPr>
  </w:style>
  <w:style w:type="character" w:styleId="UnresolvedMention">
    <w:name w:val="Unresolved Mention"/>
    <w:basedOn w:val="DefaultParagraphFont"/>
    <w:uiPriority w:val="99"/>
    <w:semiHidden/>
    <w:unhideWhenUsed/>
    <w:rsid w:val="00CA6C27"/>
    <w:rPr>
      <w:color w:val="605E5C"/>
      <w:shd w:val="clear" w:color="auto" w:fill="E1DFDD"/>
    </w:rPr>
  </w:style>
  <w:style w:type="paragraph" w:customStyle="1" w:styleId="intro-text">
    <w:name w:val="intro-text"/>
    <w:basedOn w:val="Normal"/>
    <w:rsid w:val="004266EF"/>
    <w:pPr>
      <w:spacing w:before="100" w:beforeAutospacing="1" w:after="100" w:afterAutospacing="1" w:line="240" w:lineRule="auto"/>
      <w:ind w:left="0" w:firstLine="0"/>
      <w:jc w:val="left"/>
    </w:pPr>
    <w:rPr>
      <w:color w:val="auto"/>
      <w:szCs w:val="24"/>
    </w:rPr>
  </w:style>
  <w:style w:type="paragraph" w:styleId="NormalWeb">
    <w:name w:val="Normal (Web)"/>
    <w:basedOn w:val="Normal"/>
    <w:uiPriority w:val="99"/>
    <w:unhideWhenUsed/>
    <w:rsid w:val="004266EF"/>
    <w:pPr>
      <w:spacing w:before="100" w:beforeAutospacing="1" w:after="100" w:afterAutospacing="1" w:line="240" w:lineRule="auto"/>
      <w:ind w:left="0" w:firstLine="0"/>
      <w:jc w:val="left"/>
    </w:pPr>
    <w:rPr>
      <w:color w:val="auto"/>
      <w:szCs w:val="24"/>
    </w:rPr>
  </w:style>
  <w:style w:type="character" w:styleId="CommentReference">
    <w:name w:val="annotation reference"/>
    <w:basedOn w:val="DefaultParagraphFont"/>
    <w:uiPriority w:val="99"/>
    <w:semiHidden/>
    <w:unhideWhenUsed/>
    <w:rsid w:val="00414B31"/>
    <w:rPr>
      <w:sz w:val="16"/>
      <w:szCs w:val="16"/>
    </w:rPr>
  </w:style>
  <w:style w:type="paragraph" w:styleId="CommentText">
    <w:name w:val="annotation text"/>
    <w:basedOn w:val="Normal"/>
    <w:link w:val="CommentTextChar"/>
    <w:uiPriority w:val="99"/>
    <w:semiHidden/>
    <w:unhideWhenUsed/>
    <w:rsid w:val="00414B31"/>
    <w:pPr>
      <w:spacing w:line="240" w:lineRule="auto"/>
    </w:pPr>
    <w:rPr>
      <w:sz w:val="20"/>
      <w:szCs w:val="20"/>
    </w:rPr>
  </w:style>
  <w:style w:type="character" w:customStyle="1" w:styleId="CommentTextChar">
    <w:name w:val="Comment Text Char"/>
    <w:basedOn w:val="DefaultParagraphFont"/>
    <w:link w:val="CommentText"/>
    <w:uiPriority w:val="99"/>
    <w:semiHidden/>
    <w:rsid w:val="00414B31"/>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414B31"/>
    <w:rPr>
      <w:b/>
      <w:bCs/>
    </w:rPr>
  </w:style>
  <w:style w:type="character" w:customStyle="1" w:styleId="CommentSubjectChar">
    <w:name w:val="Comment Subject Char"/>
    <w:basedOn w:val="CommentTextChar"/>
    <w:link w:val="CommentSubject"/>
    <w:uiPriority w:val="99"/>
    <w:semiHidden/>
    <w:rsid w:val="00414B31"/>
    <w:rPr>
      <w:rFonts w:ascii="Times New Roman" w:eastAsia="Times New Roman" w:hAnsi="Times New Roman" w:cs="Times New Roman"/>
      <w:b/>
      <w:bCs/>
      <w:color w:val="000000"/>
      <w:sz w:val="20"/>
      <w:szCs w:val="20"/>
    </w:rPr>
  </w:style>
  <w:style w:type="paragraph" w:styleId="BalloonText">
    <w:name w:val="Balloon Text"/>
    <w:basedOn w:val="Normal"/>
    <w:link w:val="BalloonTextChar"/>
    <w:uiPriority w:val="99"/>
    <w:semiHidden/>
    <w:unhideWhenUsed/>
    <w:rsid w:val="00414B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4B31"/>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7970">
      <w:bodyDiv w:val="1"/>
      <w:marLeft w:val="0"/>
      <w:marRight w:val="0"/>
      <w:marTop w:val="0"/>
      <w:marBottom w:val="0"/>
      <w:divBdr>
        <w:top w:val="none" w:sz="0" w:space="0" w:color="auto"/>
        <w:left w:val="none" w:sz="0" w:space="0" w:color="auto"/>
        <w:bottom w:val="none" w:sz="0" w:space="0" w:color="auto"/>
        <w:right w:val="none" w:sz="0" w:space="0" w:color="auto"/>
      </w:divBdr>
    </w:div>
    <w:div w:id="27028513">
      <w:bodyDiv w:val="1"/>
      <w:marLeft w:val="0"/>
      <w:marRight w:val="0"/>
      <w:marTop w:val="0"/>
      <w:marBottom w:val="0"/>
      <w:divBdr>
        <w:top w:val="none" w:sz="0" w:space="0" w:color="auto"/>
        <w:left w:val="none" w:sz="0" w:space="0" w:color="auto"/>
        <w:bottom w:val="none" w:sz="0" w:space="0" w:color="auto"/>
        <w:right w:val="none" w:sz="0" w:space="0" w:color="auto"/>
      </w:divBdr>
    </w:div>
    <w:div w:id="72363963">
      <w:bodyDiv w:val="1"/>
      <w:marLeft w:val="0"/>
      <w:marRight w:val="0"/>
      <w:marTop w:val="0"/>
      <w:marBottom w:val="0"/>
      <w:divBdr>
        <w:top w:val="none" w:sz="0" w:space="0" w:color="auto"/>
        <w:left w:val="none" w:sz="0" w:space="0" w:color="auto"/>
        <w:bottom w:val="none" w:sz="0" w:space="0" w:color="auto"/>
        <w:right w:val="none" w:sz="0" w:space="0" w:color="auto"/>
      </w:divBdr>
    </w:div>
    <w:div w:id="489100436">
      <w:bodyDiv w:val="1"/>
      <w:marLeft w:val="0"/>
      <w:marRight w:val="0"/>
      <w:marTop w:val="0"/>
      <w:marBottom w:val="0"/>
      <w:divBdr>
        <w:top w:val="none" w:sz="0" w:space="0" w:color="auto"/>
        <w:left w:val="none" w:sz="0" w:space="0" w:color="auto"/>
        <w:bottom w:val="none" w:sz="0" w:space="0" w:color="auto"/>
        <w:right w:val="none" w:sz="0" w:space="0" w:color="auto"/>
      </w:divBdr>
    </w:div>
    <w:div w:id="498160759">
      <w:bodyDiv w:val="1"/>
      <w:marLeft w:val="0"/>
      <w:marRight w:val="0"/>
      <w:marTop w:val="0"/>
      <w:marBottom w:val="0"/>
      <w:divBdr>
        <w:top w:val="none" w:sz="0" w:space="0" w:color="auto"/>
        <w:left w:val="none" w:sz="0" w:space="0" w:color="auto"/>
        <w:bottom w:val="none" w:sz="0" w:space="0" w:color="auto"/>
        <w:right w:val="none" w:sz="0" w:space="0" w:color="auto"/>
      </w:divBdr>
    </w:div>
    <w:div w:id="621571291">
      <w:bodyDiv w:val="1"/>
      <w:marLeft w:val="0"/>
      <w:marRight w:val="0"/>
      <w:marTop w:val="0"/>
      <w:marBottom w:val="0"/>
      <w:divBdr>
        <w:top w:val="none" w:sz="0" w:space="0" w:color="auto"/>
        <w:left w:val="none" w:sz="0" w:space="0" w:color="auto"/>
        <w:bottom w:val="none" w:sz="0" w:space="0" w:color="auto"/>
        <w:right w:val="none" w:sz="0" w:space="0" w:color="auto"/>
      </w:divBdr>
    </w:div>
    <w:div w:id="1033768065">
      <w:bodyDiv w:val="1"/>
      <w:marLeft w:val="0"/>
      <w:marRight w:val="0"/>
      <w:marTop w:val="0"/>
      <w:marBottom w:val="0"/>
      <w:divBdr>
        <w:top w:val="none" w:sz="0" w:space="0" w:color="auto"/>
        <w:left w:val="none" w:sz="0" w:space="0" w:color="auto"/>
        <w:bottom w:val="none" w:sz="0" w:space="0" w:color="auto"/>
        <w:right w:val="none" w:sz="0" w:space="0" w:color="auto"/>
      </w:divBdr>
    </w:div>
    <w:div w:id="1190029037">
      <w:bodyDiv w:val="1"/>
      <w:marLeft w:val="0"/>
      <w:marRight w:val="0"/>
      <w:marTop w:val="0"/>
      <w:marBottom w:val="0"/>
      <w:divBdr>
        <w:top w:val="none" w:sz="0" w:space="0" w:color="auto"/>
        <w:left w:val="none" w:sz="0" w:space="0" w:color="auto"/>
        <w:bottom w:val="none" w:sz="0" w:space="0" w:color="auto"/>
        <w:right w:val="none" w:sz="0" w:space="0" w:color="auto"/>
      </w:divBdr>
    </w:div>
    <w:div w:id="1324579197">
      <w:bodyDiv w:val="1"/>
      <w:marLeft w:val="0"/>
      <w:marRight w:val="0"/>
      <w:marTop w:val="0"/>
      <w:marBottom w:val="0"/>
      <w:divBdr>
        <w:top w:val="none" w:sz="0" w:space="0" w:color="auto"/>
        <w:left w:val="none" w:sz="0" w:space="0" w:color="auto"/>
        <w:bottom w:val="none" w:sz="0" w:space="0" w:color="auto"/>
        <w:right w:val="none" w:sz="0" w:space="0" w:color="auto"/>
      </w:divBdr>
    </w:div>
    <w:div w:id="1389375489">
      <w:bodyDiv w:val="1"/>
      <w:marLeft w:val="0"/>
      <w:marRight w:val="0"/>
      <w:marTop w:val="0"/>
      <w:marBottom w:val="0"/>
      <w:divBdr>
        <w:top w:val="none" w:sz="0" w:space="0" w:color="auto"/>
        <w:left w:val="none" w:sz="0" w:space="0" w:color="auto"/>
        <w:bottom w:val="none" w:sz="0" w:space="0" w:color="auto"/>
        <w:right w:val="none" w:sz="0" w:space="0" w:color="auto"/>
      </w:divBdr>
    </w:div>
    <w:div w:id="1511798067">
      <w:bodyDiv w:val="1"/>
      <w:marLeft w:val="0"/>
      <w:marRight w:val="0"/>
      <w:marTop w:val="0"/>
      <w:marBottom w:val="0"/>
      <w:divBdr>
        <w:top w:val="none" w:sz="0" w:space="0" w:color="auto"/>
        <w:left w:val="none" w:sz="0" w:space="0" w:color="auto"/>
        <w:bottom w:val="none" w:sz="0" w:space="0" w:color="auto"/>
        <w:right w:val="none" w:sz="0" w:space="0" w:color="auto"/>
      </w:divBdr>
    </w:div>
    <w:div w:id="1538473419">
      <w:bodyDiv w:val="1"/>
      <w:marLeft w:val="0"/>
      <w:marRight w:val="0"/>
      <w:marTop w:val="0"/>
      <w:marBottom w:val="0"/>
      <w:divBdr>
        <w:top w:val="none" w:sz="0" w:space="0" w:color="auto"/>
        <w:left w:val="none" w:sz="0" w:space="0" w:color="auto"/>
        <w:bottom w:val="none" w:sz="0" w:space="0" w:color="auto"/>
        <w:right w:val="none" w:sz="0" w:space="0" w:color="auto"/>
      </w:divBdr>
    </w:div>
    <w:div w:id="1577083423">
      <w:bodyDiv w:val="1"/>
      <w:marLeft w:val="0"/>
      <w:marRight w:val="0"/>
      <w:marTop w:val="0"/>
      <w:marBottom w:val="0"/>
      <w:divBdr>
        <w:top w:val="none" w:sz="0" w:space="0" w:color="auto"/>
        <w:left w:val="none" w:sz="0" w:space="0" w:color="auto"/>
        <w:bottom w:val="none" w:sz="0" w:space="0" w:color="auto"/>
        <w:right w:val="none" w:sz="0" w:space="0" w:color="auto"/>
      </w:divBdr>
    </w:div>
    <w:div w:id="17456453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jpg"/><Relationship Id="rId18" Type="http://schemas.openxmlformats.org/officeDocument/2006/relationships/hyperlink" Target="https://www.theguardian.com/commentisfree/2015/dec/08/50-anniversary-race-relations-act-uk-prejudice-racism" TargetMode="External"/><Relationship Id="rId26" Type="http://schemas.openxmlformats.org/officeDocument/2006/relationships/hyperlink" Target="https://www.theguardian.com/commentisfree/2015/dec/08/50-anniversary-race-relations-act-uk-prejudice-racism" TargetMode="External"/><Relationship Id="rId39" Type="http://schemas.openxmlformats.org/officeDocument/2006/relationships/hyperlink" Target="https://www.equalityhumanrights.com/en/equality-act-2010/what-equality-act" TargetMode="External"/><Relationship Id="rId21" Type="http://schemas.openxmlformats.org/officeDocument/2006/relationships/hyperlink" Target="https://www.theguardian.com/commentisfree/2015/dec/08/50-anniversary-race-relations-act-uk-prejudice-racism" TargetMode="External"/><Relationship Id="rId34" Type="http://schemas.openxmlformats.org/officeDocument/2006/relationships/hyperlink" Target="https://www.equalityhumanrights.com/en/equality-act-2010/what-equality-act" TargetMode="External"/><Relationship Id="rId42" Type="http://schemas.openxmlformats.org/officeDocument/2006/relationships/hyperlink" Target="https://www.wcva.org.uk/what-we-do/the-future-generations-(wales)-act-all-you-need-to-know" TargetMode="External"/><Relationship Id="rId47" Type="http://schemas.openxmlformats.org/officeDocument/2006/relationships/hyperlink" Target="https://www.wcva.org.uk/what-we-do/the-future-generations-(wales)-act-all-you-need-to-know" TargetMode="External"/><Relationship Id="rId50" Type="http://schemas.openxmlformats.org/officeDocument/2006/relationships/hyperlink" Target="https://www.wcva.org.uk/what-we-do/the-future-generations-(wales)-act-all-you-need-to-know" TargetMode="External"/><Relationship Id="rId55" Type="http://schemas.openxmlformats.org/officeDocument/2006/relationships/hyperlink" Target="https://www.wcva.org.uk/what-we-do/the-future-generations-(wales)-act-all-you-need-to-know" TargetMode="External"/><Relationship Id="rId63" Type="http://schemas.openxmlformats.org/officeDocument/2006/relationships/hyperlink" Target="https://www.wcva.org.uk/what-we-do/the-future-generations-(wales)-act-all-you-need-to-know" TargetMode="External"/><Relationship Id="rId68" Type="http://schemas.openxmlformats.org/officeDocument/2006/relationships/hyperlink" Target="https://www.publichealthnetwork.cymru/en/topics/policy/well-being-of-future-generations-wales-act-2015/" TargetMode="External"/><Relationship Id="rId76" Type="http://schemas.openxmlformats.org/officeDocument/2006/relationships/hyperlink" Target="https://www.publichealthnetwork.cymru/en/topics/policy/well-being-of-future-generations-wales-act-2015/" TargetMode="External"/><Relationship Id="rId84" Type="http://schemas.microsoft.com/office/2011/relationships/people" Target="people.xml"/><Relationship Id="rId7" Type="http://schemas.openxmlformats.org/officeDocument/2006/relationships/hyperlink" Target="https://www.theguardian.com/commentisfree/2013/oct/15/theresa-may-immigration-bill-racist-landlords" TargetMode="External"/><Relationship Id="rId71" Type="http://schemas.openxmlformats.org/officeDocument/2006/relationships/hyperlink" Target="https://www.publichealthnetwork.cymru/en/topics/policy/well-being-of-future-generations-wales-act-2015/" TargetMode="External"/><Relationship Id="rId2" Type="http://schemas.openxmlformats.org/officeDocument/2006/relationships/styles" Target="styles.xml"/><Relationship Id="rId16" Type="http://schemas.openxmlformats.org/officeDocument/2006/relationships/hyperlink" Target="https://www.theguardian.com/commentisfree/2015/dec/08/50-anniversary-race-relations-act-uk-prejudice-racism" TargetMode="External"/><Relationship Id="rId29" Type="http://schemas.openxmlformats.org/officeDocument/2006/relationships/hyperlink" Target="https://www.theguardian.com/commentisfree/2015/dec/08/50-anniversary-race-relations-act-uk-prejudice-racism" TargetMode="External"/><Relationship Id="rId11" Type="http://schemas.microsoft.com/office/2016/09/relationships/commentsIds" Target="commentsIds.xml"/><Relationship Id="rId24" Type="http://schemas.openxmlformats.org/officeDocument/2006/relationships/hyperlink" Target="https://www.theguardian.com/commentisfree/2015/dec/08/50-anniversary-race-relations-act-uk-prejudice-racism" TargetMode="External"/><Relationship Id="rId32" Type="http://schemas.openxmlformats.org/officeDocument/2006/relationships/hyperlink" Target="https://www.equalityhumanrights.com/en/equality-act-2010/what-equality-act" TargetMode="External"/><Relationship Id="rId37" Type="http://schemas.openxmlformats.org/officeDocument/2006/relationships/hyperlink" Target="https://www.equalityhumanrights.com/en/equality-act-2010/what-equality-act" TargetMode="External"/><Relationship Id="rId40" Type="http://schemas.openxmlformats.org/officeDocument/2006/relationships/hyperlink" Target="https://www.equalityhumanrights.com/en/equality-act-2010/what-equality-act" TargetMode="External"/><Relationship Id="rId45" Type="http://schemas.openxmlformats.org/officeDocument/2006/relationships/hyperlink" Target="https://www.wcva.org.uk/what-we-do/the-future-generations-(wales)-act-all-you-need-to-know" TargetMode="External"/><Relationship Id="rId53" Type="http://schemas.openxmlformats.org/officeDocument/2006/relationships/hyperlink" Target="https://www.wcva.org.uk/what-we-do/the-future-generations-(wales)-act-all-you-need-to-know" TargetMode="External"/><Relationship Id="rId58" Type="http://schemas.openxmlformats.org/officeDocument/2006/relationships/hyperlink" Target="https://www.wcva.org.uk/what-we-do/the-future-generations-(wales)-act-all-you-need-to-know" TargetMode="External"/><Relationship Id="rId66" Type="http://schemas.openxmlformats.org/officeDocument/2006/relationships/hyperlink" Target="https://www.publichealthnetwork.cymru/en/topics/policy/well-being-of-future-generations-wales-act-2015/" TargetMode="External"/><Relationship Id="rId74" Type="http://schemas.openxmlformats.org/officeDocument/2006/relationships/hyperlink" Target="https://www.publichealthnetwork.cymru/en/topics/policy/well-being-of-future-generations-wales-act-2015/" TargetMode="External"/><Relationship Id="rId79" Type="http://schemas.openxmlformats.org/officeDocument/2006/relationships/hyperlink" Target="https://www.publichealthnetwork.cymru/en/topics/policy/well-being-of-future-generations-wales-act-2015/" TargetMode="External"/><Relationship Id="rId5" Type="http://schemas.openxmlformats.org/officeDocument/2006/relationships/hyperlink" Target="https://en.wikipedia.org/wiki/Race_Relations_Act_1965" TargetMode="External"/><Relationship Id="rId61" Type="http://schemas.openxmlformats.org/officeDocument/2006/relationships/hyperlink" Target="https://www.wcva.org.uk/what-we-do/the-future-generations-(wales)-act-all-you-need-to-know" TargetMode="External"/><Relationship Id="rId82" Type="http://schemas.openxmlformats.org/officeDocument/2006/relationships/hyperlink" Target="https://journals.sagepub.com" TargetMode="External"/><Relationship Id="rId19" Type="http://schemas.openxmlformats.org/officeDocument/2006/relationships/hyperlink" Target="https://www.theguardian.com/commentisfree/2015/dec/08/50-anniversary-race-relations-act-uk-prejudice-racism" TargetMode="Externa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hyperlink" Target="https://www.wcva.org.uk/" TargetMode="External"/><Relationship Id="rId22" Type="http://schemas.openxmlformats.org/officeDocument/2006/relationships/hyperlink" Target="https://www.theguardian.com/commentisfree/2015/dec/08/50-anniversary-race-relations-act-uk-prejudice-racism" TargetMode="External"/><Relationship Id="rId27" Type="http://schemas.openxmlformats.org/officeDocument/2006/relationships/hyperlink" Target="https://www.theguardian.com/commentisfree/2015/dec/08/50-anniversary-race-relations-act-uk-prejudice-racism" TargetMode="External"/><Relationship Id="rId30" Type="http://schemas.openxmlformats.org/officeDocument/2006/relationships/hyperlink" Target="https://www.theguardian.com/commentisfree/2015/dec/08/50-anniversary-race-relations-act-uk-prejudice-racism" TargetMode="External"/><Relationship Id="rId35" Type="http://schemas.openxmlformats.org/officeDocument/2006/relationships/hyperlink" Target="https://www.equalityhumanrights.com/en/equality-act-2010/what-equality-act" TargetMode="External"/><Relationship Id="rId43" Type="http://schemas.openxmlformats.org/officeDocument/2006/relationships/hyperlink" Target="https://www.wcva.org.uk/what-we-do/the-future-generations-(wales)-act-all-you-need-to-know" TargetMode="External"/><Relationship Id="rId48" Type="http://schemas.openxmlformats.org/officeDocument/2006/relationships/hyperlink" Target="https://www.wcva.org.uk/what-we-do/the-future-generations-(wales)-act-all-you-need-to-know" TargetMode="External"/><Relationship Id="rId56" Type="http://schemas.openxmlformats.org/officeDocument/2006/relationships/hyperlink" Target="https://www.wcva.org.uk/what-we-do/the-future-generations-(wales)-act-all-you-need-to-know" TargetMode="External"/><Relationship Id="rId64" Type="http://schemas.openxmlformats.org/officeDocument/2006/relationships/hyperlink" Target="https://www.wcva.org.uk/what-we-do/the-future-generations-(wales)-act-all-you-need-to-know" TargetMode="External"/><Relationship Id="rId69" Type="http://schemas.openxmlformats.org/officeDocument/2006/relationships/hyperlink" Target="https://www.publichealthnetwork.cymru/en/topics/policy/well-being-of-future-generations-wales-act-2015/" TargetMode="External"/><Relationship Id="rId77" Type="http://schemas.openxmlformats.org/officeDocument/2006/relationships/hyperlink" Target="https://www.publichealthnetwork.cymru/en/topics/policy/well-being-of-future-generations-wales-act-2015/" TargetMode="External"/><Relationship Id="rId8" Type="http://schemas.openxmlformats.org/officeDocument/2006/relationships/hyperlink" Target="https://www.theguardian.com/commentisfree/2013/oct/15/theresa-may-immigration-bill-racist-landlords" TargetMode="External"/><Relationship Id="rId51" Type="http://schemas.openxmlformats.org/officeDocument/2006/relationships/hyperlink" Target="https://www.wcva.org.uk/what-we-do/the-future-generations-(wales)-act-all-you-need-to-know" TargetMode="External"/><Relationship Id="rId72" Type="http://schemas.openxmlformats.org/officeDocument/2006/relationships/hyperlink" Target="https://www.publichealthnetwork.cymru/en/topics/policy/well-being-of-future-generations-wales-act-2015/" TargetMode="External"/><Relationship Id="rId80" Type="http://schemas.openxmlformats.org/officeDocument/2006/relationships/hyperlink" Target="https://www.bbc.co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bbc.com/bitesize/guides/zt4hvcw/revision/1" TargetMode="External"/><Relationship Id="rId17" Type="http://schemas.openxmlformats.org/officeDocument/2006/relationships/hyperlink" Target="https://www.theguardian.com/commentisfree/2015/dec/08/50-anniversary-race-relations-act-uk-prejudice-racism" TargetMode="External"/><Relationship Id="rId25" Type="http://schemas.openxmlformats.org/officeDocument/2006/relationships/hyperlink" Target="https://www.theguardian.com/commentisfree/2015/dec/08/50-anniversary-race-relations-act-uk-prejudice-racism" TargetMode="External"/><Relationship Id="rId33" Type="http://schemas.openxmlformats.org/officeDocument/2006/relationships/hyperlink" Target="https://www.equalityhumanrights.com/en/equality-act-2010/what-equality-act" TargetMode="External"/><Relationship Id="rId38" Type="http://schemas.openxmlformats.org/officeDocument/2006/relationships/hyperlink" Target="https://www.equalityhumanrights.com/en/equality-act-2010/what-equality-act" TargetMode="External"/><Relationship Id="rId46" Type="http://schemas.openxmlformats.org/officeDocument/2006/relationships/hyperlink" Target="https://www.wcva.org.uk/what-we-do/the-future-generations-(wales)-act-all-you-need-to-know" TargetMode="External"/><Relationship Id="rId59" Type="http://schemas.openxmlformats.org/officeDocument/2006/relationships/hyperlink" Target="https://www.wcva.org.uk/what-we-do/the-future-generations-(wales)-act-all-you-need-to-know" TargetMode="External"/><Relationship Id="rId67" Type="http://schemas.openxmlformats.org/officeDocument/2006/relationships/hyperlink" Target="https://www.publichealthnetwork.cymru/en/topics/policy/well-being-of-future-generations-wales-act-2015/" TargetMode="External"/><Relationship Id="rId20" Type="http://schemas.openxmlformats.org/officeDocument/2006/relationships/hyperlink" Target="https://www.theguardian.com/commentisfree/2015/dec/08/50-anniversary-race-relations-act-uk-prejudice-racism" TargetMode="External"/><Relationship Id="rId41" Type="http://schemas.openxmlformats.org/officeDocument/2006/relationships/hyperlink" Target="https://www.wcva.org.uk/what-we-do/the-future-generations-(wales)-act-all-you-need-to-know" TargetMode="External"/><Relationship Id="rId54" Type="http://schemas.openxmlformats.org/officeDocument/2006/relationships/hyperlink" Target="https://www.wcva.org.uk/what-we-do/the-future-generations-(wales)-act-all-you-need-to-know" TargetMode="External"/><Relationship Id="rId62" Type="http://schemas.openxmlformats.org/officeDocument/2006/relationships/hyperlink" Target="https://www.wcva.org.uk/what-we-do/the-future-generations-(wales)-act-all-you-need-to-know" TargetMode="External"/><Relationship Id="rId70" Type="http://schemas.openxmlformats.org/officeDocument/2006/relationships/hyperlink" Target="https://www.publichealthnetwork.cymru/en/topics/policy/well-being-of-future-generations-wales-act-2015/" TargetMode="External"/><Relationship Id="rId75" Type="http://schemas.openxmlformats.org/officeDocument/2006/relationships/hyperlink" Target="https://www.publichealthnetwork.cymru/en/topics/policy/well-being-of-future-generations-wales-act-2015/" TargetMode="External"/><Relationship Id="rId83"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en.wikipedia.org/wiki/Race_Relations_Act_1965" TargetMode="External"/><Relationship Id="rId15" Type="http://schemas.openxmlformats.org/officeDocument/2006/relationships/hyperlink" Target="https://www.wcva.org.uk/" TargetMode="External"/><Relationship Id="rId23" Type="http://schemas.openxmlformats.org/officeDocument/2006/relationships/hyperlink" Target="https://www.theguardian.com/commentisfree/2015/dec/08/50-anniversary-race-relations-act-uk-prejudice-racism" TargetMode="External"/><Relationship Id="rId28" Type="http://schemas.openxmlformats.org/officeDocument/2006/relationships/hyperlink" Target="https://www.theguardian.com/commentisfree/2015/dec/08/50-anniversary-race-relations-act-uk-prejudice-racism" TargetMode="External"/><Relationship Id="rId36" Type="http://schemas.openxmlformats.org/officeDocument/2006/relationships/hyperlink" Target="https://www.equalityhumanrights.com/en/equality-act-2010/what-equality-act" TargetMode="External"/><Relationship Id="rId49" Type="http://schemas.openxmlformats.org/officeDocument/2006/relationships/hyperlink" Target="https://www.wcva.org.uk/what-we-do/the-future-generations-(wales)-act-all-you-need-to-know" TargetMode="External"/><Relationship Id="rId57" Type="http://schemas.openxmlformats.org/officeDocument/2006/relationships/hyperlink" Target="https://www.wcva.org.uk/what-we-do/the-future-generations-(wales)-act-all-you-need-to-know" TargetMode="External"/><Relationship Id="rId10" Type="http://schemas.microsoft.com/office/2011/relationships/commentsExtended" Target="commentsExtended.xml"/><Relationship Id="rId31" Type="http://schemas.openxmlformats.org/officeDocument/2006/relationships/hyperlink" Target="https://www.equalityhumanrights.com/en/equality-act-2010/what-equality-act" TargetMode="External"/><Relationship Id="rId44" Type="http://schemas.openxmlformats.org/officeDocument/2006/relationships/hyperlink" Target="https://www.wcva.org.uk/what-we-do/the-future-generations-(wales)-act-all-you-need-to-know" TargetMode="External"/><Relationship Id="rId52" Type="http://schemas.openxmlformats.org/officeDocument/2006/relationships/hyperlink" Target="https://www.wcva.org.uk/what-we-do/the-future-generations-(wales)-act-all-you-need-to-know" TargetMode="External"/><Relationship Id="rId60" Type="http://schemas.openxmlformats.org/officeDocument/2006/relationships/hyperlink" Target="https://www.wcva.org.uk/what-we-do/the-future-generations-(wales)-act-all-you-need-to-know" TargetMode="External"/><Relationship Id="rId65" Type="http://schemas.openxmlformats.org/officeDocument/2006/relationships/hyperlink" Target="https://www.publichealthnetwork.cymru/en/topics/policy/well-being-of-future-generations-wales-act-2015/" TargetMode="External"/><Relationship Id="rId73" Type="http://schemas.openxmlformats.org/officeDocument/2006/relationships/hyperlink" Target="https://www.publichealthnetwork.cymru/en/topics/policy/well-being-of-future-generations-wales-act-2015/" TargetMode="External"/><Relationship Id="rId78" Type="http://schemas.openxmlformats.org/officeDocument/2006/relationships/hyperlink" Target="https://www.publichealthnetwork.cymru/en/topics/policy/well-being-of-future-generations-wales-act-2015/" TargetMode="External"/><Relationship Id="rId81" Type="http://schemas.openxmlformats.org/officeDocument/2006/relationships/hyperlink" Target="https://futuregenerations.wales/about-us/future-generations-a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3660</Words>
  <Characters>20862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bassett</dc:creator>
  <cp:keywords/>
  <cp:lastModifiedBy>jodie bassett</cp:lastModifiedBy>
  <cp:revision>2</cp:revision>
  <dcterms:created xsi:type="dcterms:W3CDTF">2018-11-19T12:35:00Z</dcterms:created>
  <dcterms:modified xsi:type="dcterms:W3CDTF">2018-11-19T12:35:00Z</dcterms:modified>
</cp:coreProperties>
</file>