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26A32" w14:textId="34BA41A0" w:rsidR="00035C14" w:rsidRDefault="00E74835" w:rsidP="000F7DF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A7E66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687457A3" w14:textId="77777777" w:rsidR="000F7DF5" w:rsidRPr="000F7DF5" w:rsidRDefault="000F7DF5" w:rsidP="000F7DF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977996B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proofErr w:type="spellStart"/>
      <w:r w:rsidRPr="006A254F">
        <w:rPr>
          <w:rFonts w:ascii="Arial" w:hAnsi="Arial" w:cs="Arial"/>
          <w:sz w:val="24"/>
          <w:szCs w:val="24"/>
        </w:rPr>
        <w:t>Berlinski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, S. &amp; </w:t>
      </w:r>
      <w:proofErr w:type="spellStart"/>
      <w:r w:rsidRPr="006A254F">
        <w:rPr>
          <w:rFonts w:ascii="Arial" w:hAnsi="Arial" w:cs="Arial"/>
          <w:sz w:val="24"/>
          <w:szCs w:val="24"/>
        </w:rPr>
        <w:t>Schady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, N. (2015) </w:t>
      </w:r>
      <w:r w:rsidRPr="0007209F">
        <w:rPr>
          <w:rFonts w:ascii="Arial" w:hAnsi="Arial" w:cs="Arial"/>
          <w:i/>
          <w:iCs/>
          <w:sz w:val="24"/>
          <w:szCs w:val="24"/>
        </w:rPr>
        <w:t xml:space="preserve">The Early </w:t>
      </w:r>
      <w:proofErr w:type="gramStart"/>
      <w:r w:rsidRPr="0007209F">
        <w:rPr>
          <w:rFonts w:ascii="Arial" w:hAnsi="Arial" w:cs="Arial"/>
          <w:i/>
          <w:iCs/>
          <w:sz w:val="24"/>
          <w:szCs w:val="24"/>
        </w:rPr>
        <w:t>Years :</w:t>
      </w:r>
      <w:proofErr w:type="gramEnd"/>
      <w:r w:rsidRPr="0007209F">
        <w:rPr>
          <w:rFonts w:ascii="Arial" w:hAnsi="Arial" w:cs="Arial"/>
          <w:i/>
          <w:iCs/>
          <w:sz w:val="24"/>
          <w:szCs w:val="24"/>
        </w:rPr>
        <w:t xml:space="preserve"> Child Well-Being and The Role of Public Policy</w:t>
      </w:r>
      <w:r w:rsidRPr="006A254F">
        <w:rPr>
          <w:rFonts w:ascii="Arial" w:hAnsi="Arial" w:cs="Arial"/>
          <w:sz w:val="24"/>
          <w:szCs w:val="24"/>
        </w:rPr>
        <w:t>. Springer Open, New York. doi:10.1057/9781137536495.</w:t>
      </w:r>
    </w:p>
    <w:p w14:paraId="4C4562F4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Bowlby, J. (1988). </w:t>
      </w:r>
      <w:r w:rsidRPr="0007209F">
        <w:rPr>
          <w:rFonts w:ascii="Arial" w:hAnsi="Arial" w:cs="Arial"/>
          <w:i/>
          <w:iCs/>
          <w:sz w:val="24"/>
          <w:szCs w:val="24"/>
        </w:rPr>
        <w:t>A secure base</w:t>
      </w:r>
      <w:r w:rsidRPr="006A254F">
        <w:rPr>
          <w:rFonts w:ascii="Arial" w:hAnsi="Arial" w:cs="Arial"/>
          <w:sz w:val="24"/>
          <w:szCs w:val="24"/>
        </w:rPr>
        <w:t>. London: Routledge.</w:t>
      </w:r>
    </w:p>
    <w:p w14:paraId="1CF2169D" w14:textId="06CBA985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Bradshaw, J. (2016) </w:t>
      </w:r>
      <w:r w:rsidRPr="0007209F">
        <w:rPr>
          <w:rFonts w:ascii="Arial" w:hAnsi="Arial" w:cs="Arial"/>
          <w:i/>
          <w:iCs/>
          <w:sz w:val="24"/>
          <w:szCs w:val="24"/>
        </w:rPr>
        <w:t>The Well-Being of Children in the UK</w:t>
      </w:r>
      <w:r w:rsidRPr="006A254F">
        <w:rPr>
          <w:rFonts w:ascii="Arial" w:hAnsi="Arial" w:cs="Arial"/>
          <w:sz w:val="24"/>
          <w:szCs w:val="24"/>
        </w:rPr>
        <w:t xml:space="preserve">. Bristol: Policy Press. Available at: https://search-ebscohost-com.ezproxy.uwtsd.ac.uk/login.aspx?direct=true&amp;db=nlebk&amp;AN=1203282&amp;site=ehost-live </w:t>
      </w:r>
      <w:bookmarkStart w:id="0" w:name="_Hlk105942019"/>
      <w:r w:rsidR="006A254F">
        <w:rPr>
          <w:rFonts w:ascii="Arial" w:hAnsi="Arial" w:cs="Arial"/>
          <w:sz w:val="24"/>
          <w:szCs w:val="24"/>
        </w:rPr>
        <w:t>(Accessed</w:t>
      </w:r>
      <w:r w:rsidR="00106F95">
        <w:rPr>
          <w:rFonts w:ascii="Arial" w:hAnsi="Arial" w:cs="Arial"/>
          <w:sz w:val="24"/>
          <w:szCs w:val="24"/>
        </w:rPr>
        <w:t>: 1</w:t>
      </w:r>
      <w:r w:rsidR="00106F95" w:rsidRPr="00106F95">
        <w:rPr>
          <w:rFonts w:ascii="Arial" w:hAnsi="Arial" w:cs="Arial"/>
          <w:sz w:val="24"/>
          <w:szCs w:val="24"/>
          <w:vertAlign w:val="superscript"/>
        </w:rPr>
        <w:t>st</w:t>
      </w:r>
      <w:r w:rsidR="00106F95">
        <w:rPr>
          <w:rFonts w:ascii="Arial" w:hAnsi="Arial" w:cs="Arial"/>
          <w:sz w:val="24"/>
          <w:szCs w:val="24"/>
        </w:rPr>
        <w:t xml:space="preserve"> June 2022).</w:t>
      </w:r>
      <w:bookmarkEnd w:id="0"/>
    </w:p>
    <w:p w14:paraId="0E5A5510" w14:textId="774D7174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Bredekamp, </w:t>
      </w:r>
      <w:proofErr w:type="gramStart"/>
      <w:r w:rsidRPr="006A254F">
        <w:rPr>
          <w:rFonts w:ascii="Arial" w:hAnsi="Arial" w:cs="Arial"/>
          <w:sz w:val="24"/>
          <w:szCs w:val="24"/>
        </w:rPr>
        <w:t>S.(</w:t>
      </w:r>
      <w:proofErr w:type="gramEnd"/>
      <w:r w:rsidRPr="006A254F">
        <w:rPr>
          <w:rFonts w:ascii="Arial" w:hAnsi="Arial" w:cs="Arial"/>
          <w:sz w:val="24"/>
          <w:szCs w:val="24"/>
        </w:rPr>
        <w:t xml:space="preserve">1997). </w:t>
      </w:r>
      <w:r w:rsidRPr="0007209F">
        <w:rPr>
          <w:rFonts w:ascii="Arial" w:hAnsi="Arial" w:cs="Arial"/>
          <w:i/>
          <w:iCs/>
          <w:sz w:val="24"/>
          <w:szCs w:val="24"/>
        </w:rPr>
        <w:t>Developmentally Appropriate Practice in Early Childhood Programs</w:t>
      </w:r>
      <w:r w:rsidR="0007209F">
        <w:rPr>
          <w:rFonts w:ascii="Arial" w:hAnsi="Arial" w:cs="Arial"/>
          <w:sz w:val="24"/>
          <w:szCs w:val="24"/>
        </w:rPr>
        <w:t>.</w:t>
      </w:r>
      <w:r w:rsidRPr="0007209F">
        <w:rPr>
          <w:rFonts w:ascii="Arial" w:hAnsi="Arial" w:cs="Arial"/>
          <w:sz w:val="24"/>
          <w:szCs w:val="24"/>
        </w:rPr>
        <w:t xml:space="preserve"> </w:t>
      </w:r>
      <w:r w:rsidRPr="006A254F">
        <w:rPr>
          <w:rFonts w:ascii="Arial" w:hAnsi="Arial" w:cs="Arial"/>
          <w:sz w:val="24"/>
          <w:szCs w:val="24"/>
        </w:rPr>
        <w:t>(Revised Edition). Washington, DC: NAEYC.</w:t>
      </w:r>
    </w:p>
    <w:p w14:paraId="3A7DF9FD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Bronfenbrenner, U. (1977). </w:t>
      </w:r>
      <w:r w:rsidRPr="0007209F">
        <w:rPr>
          <w:rFonts w:ascii="Arial" w:hAnsi="Arial" w:cs="Arial"/>
          <w:i/>
          <w:iCs/>
          <w:sz w:val="24"/>
          <w:szCs w:val="24"/>
        </w:rPr>
        <w:t>Toward an experimental ecology of human development</w:t>
      </w:r>
      <w:r w:rsidRPr="006A254F">
        <w:rPr>
          <w:rFonts w:ascii="Arial" w:hAnsi="Arial" w:cs="Arial"/>
          <w:sz w:val="24"/>
          <w:szCs w:val="24"/>
        </w:rPr>
        <w:t>. American Psychologist, 32(7), 513–531.</w:t>
      </w:r>
    </w:p>
    <w:p w14:paraId="0DEC3B13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Byrnes, M. (2005). </w:t>
      </w:r>
      <w:r w:rsidRPr="0007209F">
        <w:rPr>
          <w:rFonts w:ascii="Arial" w:hAnsi="Arial" w:cs="Arial"/>
          <w:i/>
          <w:iCs/>
          <w:sz w:val="24"/>
          <w:szCs w:val="24"/>
        </w:rPr>
        <w:t>Taking sides. Clashing views on controversial issues in special education</w:t>
      </w:r>
      <w:r w:rsidRPr="006A254F">
        <w:rPr>
          <w:rFonts w:ascii="Arial" w:hAnsi="Arial" w:cs="Arial"/>
          <w:sz w:val="24"/>
          <w:szCs w:val="24"/>
        </w:rPr>
        <w:t xml:space="preserve">. Dubuque, </w:t>
      </w:r>
      <w:proofErr w:type="spellStart"/>
      <w:r w:rsidRPr="006A254F">
        <w:rPr>
          <w:rFonts w:ascii="Arial" w:hAnsi="Arial" w:cs="Arial"/>
          <w:sz w:val="24"/>
          <w:szCs w:val="24"/>
        </w:rPr>
        <w:t>Ia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6A254F">
        <w:rPr>
          <w:rFonts w:ascii="Arial" w:hAnsi="Arial" w:cs="Arial"/>
          <w:sz w:val="24"/>
          <w:szCs w:val="24"/>
        </w:rPr>
        <w:t>Mcgraw-Hill</w:t>
      </w:r>
      <w:proofErr w:type="spellEnd"/>
      <w:r w:rsidRPr="006A254F">
        <w:rPr>
          <w:rFonts w:ascii="Arial" w:hAnsi="Arial" w:cs="Arial"/>
          <w:sz w:val="24"/>
          <w:szCs w:val="24"/>
        </w:rPr>
        <w:t>/Dushkin.</w:t>
      </w:r>
    </w:p>
    <w:p w14:paraId="3AA30B6A" w14:textId="77777777" w:rsidR="00014E81" w:rsidRPr="0007209F" w:rsidRDefault="00014E81" w:rsidP="00014E81">
      <w:pPr>
        <w:tabs>
          <w:tab w:val="left" w:pos="2340"/>
        </w:tabs>
        <w:rPr>
          <w:rFonts w:ascii="Arial" w:hAnsi="Arial" w:cs="Arial"/>
          <w:i/>
          <w:iCs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Chase, E. &amp; Statham, J. (2015). </w:t>
      </w:r>
      <w:r w:rsidRPr="0007209F">
        <w:rPr>
          <w:rFonts w:ascii="Arial" w:hAnsi="Arial" w:cs="Arial"/>
          <w:i/>
          <w:iCs/>
          <w:sz w:val="24"/>
          <w:szCs w:val="24"/>
        </w:rPr>
        <w:t>Commercial and sexual exploitation of children and young people in the UK.</w:t>
      </w:r>
    </w:p>
    <w:p w14:paraId="1BF9AE3D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proofErr w:type="spellStart"/>
      <w:r w:rsidRPr="006A254F">
        <w:rPr>
          <w:rFonts w:ascii="Arial" w:hAnsi="Arial" w:cs="Arial"/>
          <w:sz w:val="24"/>
          <w:szCs w:val="24"/>
        </w:rPr>
        <w:t>Daines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, C.L. (2021). </w:t>
      </w:r>
      <w:r w:rsidRPr="0007209F">
        <w:rPr>
          <w:rFonts w:ascii="Arial" w:hAnsi="Arial" w:cs="Arial"/>
          <w:i/>
          <w:iCs/>
          <w:sz w:val="24"/>
          <w:szCs w:val="24"/>
        </w:rPr>
        <w:t>Effects of Positive and Negative Childhood Experiences on Adult Family Health</w:t>
      </w:r>
      <w:r w:rsidRPr="006A254F">
        <w:rPr>
          <w:rFonts w:ascii="Arial" w:hAnsi="Arial" w:cs="Arial"/>
          <w:sz w:val="24"/>
          <w:szCs w:val="24"/>
        </w:rPr>
        <w:t>. BMC Public Health, 21(1). doi:10.1186/s12889-021-10732-w.</w:t>
      </w:r>
    </w:p>
    <w:p w14:paraId="549E0DA3" w14:textId="61EBB269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Dobson, M. (1997). </w:t>
      </w:r>
      <w:r w:rsidRPr="0007209F">
        <w:rPr>
          <w:rFonts w:ascii="Arial" w:hAnsi="Arial" w:cs="Arial"/>
          <w:i/>
          <w:iCs/>
          <w:sz w:val="24"/>
          <w:szCs w:val="24"/>
        </w:rPr>
        <w:t>Retrospective assessment of Network Care</w:t>
      </w:r>
      <w:r w:rsidRPr="006A254F">
        <w:rPr>
          <w:rFonts w:ascii="Arial" w:hAnsi="Arial" w:cs="Arial"/>
          <w:sz w:val="24"/>
          <w:szCs w:val="24"/>
        </w:rPr>
        <w:t xml:space="preserve">. Available at: </w:t>
      </w:r>
      <w:hyperlink r:id="rId4" w:history="1">
        <w:r w:rsidR="0007209F" w:rsidRPr="00A819D2">
          <w:rPr>
            <w:rStyle w:val="Hyperlink"/>
            <w:rFonts w:ascii="Arial" w:hAnsi="Arial" w:cs="Arial"/>
            <w:sz w:val="24"/>
            <w:szCs w:val="24"/>
          </w:rPr>
          <w:t>http://www.wellnessresourcecenter.info/wp-content/uploads/Blanks-Retrospec-NSA-Wellness.pdf</w:t>
        </w:r>
      </w:hyperlink>
      <w:r w:rsidR="0007209F">
        <w:rPr>
          <w:rFonts w:ascii="Arial" w:hAnsi="Arial" w:cs="Arial"/>
          <w:sz w:val="24"/>
          <w:szCs w:val="24"/>
        </w:rPr>
        <w:t xml:space="preserve"> </w:t>
      </w:r>
      <w:r w:rsidRPr="006A254F">
        <w:rPr>
          <w:rFonts w:ascii="Arial" w:hAnsi="Arial" w:cs="Arial"/>
          <w:sz w:val="24"/>
          <w:szCs w:val="24"/>
        </w:rPr>
        <w:t xml:space="preserve"> </w:t>
      </w:r>
      <w:r w:rsidR="00106F95">
        <w:rPr>
          <w:rFonts w:ascii="Arial" w:hAnsi="Arial" w:cs="Arial"/>
          <w:sz w:val="24"/>
          <w:szCs w:val="24"/>
        </w:rPr>
        <w:t xml:space="preserve">(Accessed: </w:t>
      </w:r>
      <w:r w:rsidR="00106F95">
        <w:rPr>
          <w:rFonts w:ascii="Arial" w:hAnsi="Arial" w:cs="Arial"/>
          <w:sz w:val="24"/>
          <w:szCs w:val="24"/>
        </w:rPr>
        <w:t>8th</w:t>
      </w:r>
      <w:r w:rsidR="00106F95">
        <w:rPr>
          <w:rFonts w:ascii="Arial" w:hAnsi="Arial" w:cs="Arial"/>
          <w:sz w:val="24"/>
          <w:szCs w:val="24"/>
        </w:rPr>
        <w:t xml:space="preserve"> June 2022).</w:t>
      </w:r>
    </w:p>
    <w:p w14:paraId="4E7DF7E3" w14:textId="08E01783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Early Learning Network. (2021). Available at: </w:t>
      </w:r>
      <w:hyperlink r:id="rId5" w:history="1">
        <w:r w:rsidR="00106F95" w:rsidRPr="00A819D2">
          <w:rPr>
            <w:rStyle w:val="Hyperlink"/>
            <w:rFonts w:ascii="Arial" w:hAnsi="Arial" w:cs="Arial"/>
            <w:sz w:val="24"/>
            <w:szCs w:val="24"/>
          </w:rPr>
          <w:t>https://earlylearningnetwork.unl.edu/</w:t>
        </w:r>
      </w:hyperlink>
      <w:r w:rsidR="00106F95">
        <w:rPr>
          <w:rFonts w:ascii="Arial" w:hAnsi="Arial" w:cs="Arial"/>
          <w:sz w:val="24"/>
          <w:szCs w:val="24"/>
        </w:rPr>
        <w:t xml:space="preserve">. </w:t>
      </w:r>
      <w:r w:rsidR="00106F95">
        <w:rPr>
          <w:rFonts w:ascii="Arial" w:hAnsi="Arial" w:cs="Arial"/>
          <w:sz w:val="24"/>
          <w:szCs w:val="24"/>
        </w:rPr>
        <w:t xml:space="preserve">(Accessed: </w:t>
      </w:r>
      <w:r w:rsidR="00106F95">
        <w:rPr>
          <w:rFonts w:ascii="Arial" w:hAnsi="Arial" w:cs="Arial"/>
          <w:sz w:val="24"/>
          <w:szCs w:val="24"/>
        </w:rPr>
        <w:t>6</w:t>
      </w:r>
      <w:r w:rsidR="00106F95" w:rsidRPr="00106F95">
        <w:rPr>
          <w:rFonts w:ascii="Arial" w:hAnsi="Arial" w:cs="Arial"/>
          <w:sz w:val="24"/>
          <w:szCs w:val="24"/>
          <w:vertAlign w:val="superscript"/>
        </w:rPr>
        <w:t>th</w:t>
      </w:r>
      <w:r w:rsidR="00106F95">
        <w:rPr>
          <w:rFonts w:ascii="Arial" w:hAnsi="Arial" w:cs="Arial"/>
          <w:sz w:val="24"/>
          <w:szCs w:val="24"/>
        </w:rPr>
        <w:t xml:space="preserve"> June 2022).</w:t>
      </w:r>
    </w:p>
    <w:p w14:paraId="519B98DB" w14:textId="407EC9B3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Early Years Concerns </w:t>
      </w:r>
      <w:proofErr w:type="gramStart"/>
      <w:r w:rsidRPr="006A254F">
        <w:rPr>
          <w:rFonts w:ascii="Arial" w:hAnsi="Arial" w:cs="Arial"/>
          <w:sz w:val="24"/>
          <w:szCs w:val="24"/>
        </w:rPr>
        <w:t>For</w:t>
      </w:r>
      <w:proofErr w:type="gramEnd"/>
      <w:r w:rsidRPr="006A254F">
        <w:rPr>
          <w:rFonts w:ascii="Arial" w:hAnsi="Arial" w:cs="Arial"/>
          <w:sz w:val="24"/>
          <w:szCs w:val="24"/>
        </w:rPr>
        <w:t xml:space="preserve"> The Child (2021). </w:t>
      </w:r>
      <w:r w:rsidRPr="0007209F">
        <w:rPr>
          <w:rFonts w:ascii="Arial" w:hAnsi="Arial" w:cs="Arial"/>
          <w:i/>
          <w:iCs/>
          <w:sz w:val="24"/>
          <w:szCs w:val="24"/>
        </w:rPr>
        <w:t>Safeguarding in the early years</w:t>
      </w:r>
      <w:r w:rsidRPr="006A254F">
        <w:rPr>
          <w:rFonts w:ascii="Arial" w:hAnsi="Arial" w:cs="Arial"/>
          <w:sz w:val="24"/>
          <w:szCs w:val="24"/>
        </w:rPr>
        <w:t xml:space="preserve">. [online] early years alliance. Available at: </w:t>
      </w:r>
      <w:hyperlink r:id="rId6" w:history="1">
        <w:r w:rsidR="00106F95" w:rsidRPr="00A819D2">
          <w:rPr>
            <w:rStyle w:val="Hyperlink"/>
            <w:rFonts w:ascii="Arial" w:hAnsi="Arial" w:cs="Arial"/>
            <w:sz w:val="24"/>
            <w:szCs w:val="24"/>
          </w:rPr>
          <w:t>https://www.eyalliance.org.uk/safeguarding-early-years</w:t>
        </w:r>
      </w:hyperlink>
      <w:r w:rsidRPr="006A254F">
        <w:rPr>
          <w:rFonts w:ascii="Arial" w:hAnsi="Arial" w:cs="Arial"/>
          <w:sz w:val="24"/>
          <w:szCs w:val="24"/>
        </w:rPr>
        <w:t>.</w:t>
      </w:r>
      <w:r w:rsidR="00106F95">
        <w:rPr>
          <w:rFonts w:ascii="Arial" w:hAnsi="Arial" w:cs="Arial"/>
          <w:sz w:val="24"/>
          <w:szCs w:val="24"/>
        </w:rPr>
        <w:t xml:space="preserve"> </w:t>
      </w:r>
      <w:r w:rsidR="00106F95">
        <w:rPr>
          <w:rFonts w:ascii="Arial" w:hAnsi="Arial" w:cs="Arial"/>
          <w:sz w:val="24"/>
          <w:szCs w:val="24"/>
        </w:rPr>
        <w:t xml:space="preserve">(Accessed: </w:t>
      </w:r>
      <w:r w:rsidR="00106F95">
        <w:rPr>
          <w:rFonts w:ascii="Arial" w:hAnsi="Arial" w:cs="Arial"/>
          <w:sz w:val="24"/>
          <w:szCs w:val="24"/>
        </w:rPr>
        <w:t>3</w:t>
      </w:r>
      <w:r w:rsidR="00106F95" w:rsidRPr="00106F95">
        <w:rPr>
          <w:rFonts w:ascii="Arial" w:hAnsi="Arial" w:cs="Arial"/>
          <w:sz w:val="24"/>
          <w:szCs w:val="24"/>
          <w:vertAlign w:val="superscript"/>
        </w:rPr>
        <w:t>rd</w:t>
      </w:r>
      <w:r w:rsidR="00106F95">
        <w:rPr>
          <w:rFonts w:ascii="Arial" w:hAnsi="Arial" w:cs="Arial"/>
          <w:sz w:val="24"/>
          <w:szCs w:val="24"/>
        </w:rPr>
        <w:t xml:space="preserve"> June 2022).</w:t>
      </w:r>
    </w:p>
    <w:p w14:paraId="5943D7C8" w14:textId="120C4EEA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Frontiers In Psychology. (2020). Available at: </w:t>
      </w:r>
      <w:hyperlink r:id="rId7" w:history="1">
        <w:r w:rsidR="00106F95" w:rsidRPr="00A819D2">
          <w:rPr>
            <w:rStyle w:val="Hyperlink"/>
            <w:rFonts w:ascii="Arial" w:hAnsi="Arial" w:cs="Arial"/>
            <w:sz w:val="24"/>
            <w:szCs w:val="24"/>
          </w:rPr>
          <w:t>https://www.frontiersin.org/journals/psychology</w:t>
        </w:r>
      </w:hyperlink>
      <w:r w:rsidRPr="006A254F">
        <w:rPr>
          <w:rFonts w:ascii="Arial" w:hAnsi="Arial" w:cs="Arial"/>
          <w:sz w:val="24"/>
          <w:szCs w:val="24"/>
        </w:rPr>
        <w:t>.</w:t>
      </w:r>
      <w:r w:rsidR="00106F95">
        <w:rPr>
          <w:rFonts w:ascii="Arial" w:hAnsi="Arial" w:cs="Arial"/>
          <w:sz w:val="24"/>
          <w:szCs w:val="24"/>
        </w:rPr>
        <w:t xml:space="preserve"> </w:t>
      </w:r>
      <w:r w:rsidR="00106F95">
        <w:rPr>
          <w:rFonts w:ascii="Arial" w:hAnsi="Arial" w:cs="Arial"/>
          <w:sz w:val="24"/>
          <w:szCs w:val="24"/>
        </w:rPr>
        <w:t>(Accessed: 1</w:t>
      </w:r>
      <w:r w:rsidR="00106F95" w:rsidRPr="00106F95">
        <w:rPr>
          <w:rFonts w:ascii="Arial" w:hAnsi="Arial" w:cs="Arial"/>
          <w:sz w:val="24"/>
          <w:szCs w:val="24"/>
          <w:vertAlign w:val="superscript"/>
        </w:rPr>
        <w:t>st</w:t>
      </w:r>
      <w:r w:rsidR="00106F95">
        <w:rPr>
          <w:rFonts w:ascii="Arial" w:hAnsi="Arial" w:cs="Arial"/>
          <w:sz w:val="24"/>
          <w:szCs w:val="24"/>
        </w:rPr>
        <w:t xml:space="preserve"> June 2022).</w:t>
      </w:r>
    </w:p>
    <w:p w14:paraId="1ABA05C6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Gasper, M. (2009). </w:t>
      </w:r>
      <w:r w:rsidRPr="0007209F">
        <w:rPr>
          <w:rFonts w:ascii="Arial" w:hAnsi="Arial" w:cs="Arial"/>
          <w:i/>
          <w:iCs/>
          <w:sz w:val="24"/>
          <w:szCs w:val="24"/>
        </w:rPr>
        <w:t>Multi-Agency Working in the Early Years: Challenges and Opportunities</w:t>
      </w:r>
      <w:r w:rsidRPr="006A254F">
        <w:rPr>
          <w:rFonts w:ascii="Arial" w:hAnsi="Arial" w:cs="Arial"/>
          <w:sz w:val="24"/>
          <w:szCs w:val="24"/>
        </w:rPr>
        <w:t>. London. Sage Publications Ltd.</w:t>
      </w:r>
    </w:p>
    <w:p w14:paraId="6D7C48E8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Gill, T. (2014). </w:t>
      </w:r>
      <w:r w:rsidRPr="0007209F">
        <w:rPr>
          <w:rFonts w:ascii="Arial" w:hAnsi="Arial" w:cs="Arial"/>
          <w:i/>
          <w:iCs/>
          <w:sz w:val="24"/>
          <w:szCs w:val="24"/>
        </w:rPr>
        <w:t>The Benefits of Children’s Engagement with Nature: A Systematic Literature Review. Children, Youth and Environments</w:t>
      </w:r>
      <w:r w:rsidRPr="006A254F">
        <w:rPr>
          <w:rFonts w:ascii="Arial" w:hAnsi="Arial" w:cs="Arial"/>
          <w:sz w:val="24"/>
          <w:szCs w:val="24"/>
        </w:rPr>
        <w:t>, 24(2), p.10. doi:10.7721/chilyoutenvi.24.2.0010.</w:t>
      </w:r>
    </w:p>
    <w:p w14:paraId="5405CD2A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Hall, R.E. (2005). </w:t>
      </w:r>
      <w:r w:rsidRPr="0007209F">
        <w:rPr>
          <w:rFonts w:ascii="Arial" w:hAnsi="Arial" w:cs="Arial"/>
          <w:i/>
          <w:iCs/>
          <w:sz w:val="24"/>
          <w:szCs w:val="24"/>
        </w:rPr>
        <w:t>Employment Fluctuations with Equilibrium Wage Stickiness.</w:t>
      </w:r>
      <w:r w:rsidRPr="006A254F">
        <w:rPr>
          <w:rFonts w:ascii="Arial" w:hAnsi="Arial" w:cs="Arial"/>
          <w:sz w:val="24"/>
          <w:szCs w:val="24"/>
        </w:rPr>
        <w:t xml:space="preserve"> American Economic Review, 95(1), pp.50–65. doi:10.1257/0002828053828482.</w:t>
      </w:r>
    </w:p>
    <w:p w14:paraId="7D9C98D9" w14:textId="25D3EA29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lastRenderedPageBreak/>
        <w:t xml:space="preserve">HM Treasury (2003). </w:t>
      </w:r>
      <w:r w:rsidRPr="0007209F">
        <w:rPr>
          <w:rFonts w:ascii="Arial" w:hAnsi="Arial" w:cs="Arial"/>
          <w:i/>
          <w:iCs/>
          <w:sz w:val="24"/>
          <w:szCs w:val="24"/>
        </w:rPr>
        <w:t>Every child matters</w:t>
      </w:r>
      <w:r w:rsidRPr="006A254F">
        <w:rPr>
          <w:rFonts w:ascii="Arial" w:hAnsi="Arial" w:cs="Arial"/>
          <w:sz w:val="24"/>
          <w:szCs w:val="24"/>
        </w:rPr>
        <w:t xml:space="preserve">. [online] GOV.UK. Available at: </w:t>
      </w:r>
      <w:hyperlink r:id="rId8" w:history="1">
        <w:r w:rsidR="00B86075" w:rsidRPr="00A819D2">
          <w:rPr>
            <w:rStyle w:val="Hyperlink"/>
            <w:rFonts w:ascii="Arial" w:hAnsi="Arial" w:cs="Arial"/>
            <w:sz w:val="24"/>
            <w:szCs w:val="24"/>
          </w:rPr>
          <w:t>https://www.gov.uk/government/publications/every-child-matters</w:t>
        </w:r>
      </w:hyperlink>
      <w:r w:rsidRPr="006A254F">
        <w:rPr>
          <w:rFonts w:ascii="Arial" w:hAnsi="Arial" w:cs="Arial"/>
          <w:sz w:val="24"/>
          <w:szCs w:val="24"/>
        </w:rPr>
        <w:t>.</w:t>
      </w:r>
      <w:r w:rsidR="00B86075">
        <w:rPr>
          <w:rFonts w:ascii="Arial" w:hAnsi="Arial" w:cs="Arial"/>
          <w:sz w:val="24"/>
          <w:szCs w:val="24"/>
        </w:rPr>
        <w:t xml:space="preserve"> </w:t>
      </w:r>
      <w:r w:rsidR="00B86075">
        <w:rPr>
          <w:rFonts w:ascii="Arial" w:hAnsi="Arial" w:cs="Arial"/>
          <w:sz w:val="24"/>
          <w:szCs w:val="24"/>
        </w:rPr>
        <w:t xml:space="preserve">(Accessed: </w:t>
      </w:r>
      <w:r w:rsidR="00B86075">
        <w:rPr>
          <w:rFonts w:ascii="Arial" w:hAnsi="Arial" w:cs="Arial"/>
          <w:sz w:val="24"/>
          <w:szCs w:val="24"/>
        </w:rPr>
        <w:t>4</w:t>
      </w:r>
      <w:r w:rsidR="00B86075" w:rsidRPr="00B86075">
        <w:rPr>
          <w:rFonts w:ascii="Arial" w:hAnsi="Arial" w:cs="Arial"/>
          <w:sz w:val="24"/>
          <w:szCs w:val="24"/>
          <w:vertAlign w:val="superscript"/>
        </w:rPr>
        <w:t>th</w:t>
      </w:r>
      <w:r w:rsidR="00B86075">
        <w:rPr>
          <w:rFonts w:ascii="Arial" w:hAnsi="Arial" w:cs="Arial"/>
          <w:sz w:val="24"/>
          <w:szCs w:val="24"/>
        </w:rPr>
        <w:t xml:space="preserve"> June 2022).</w:t>
      </w:r>
    </w:p>
    <w:p w14:paraId="7BA0BFCE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Hughes, G., Hammond, L. (2022). </w:t>
      </w:r>
      <w:r w:rsidRPr="0007209F">
        <w:rPr>
          <w:rFonts w:ascii="Arial" w:hAnsi="Arial" w:cs="Arial"/>
          <w:i/>
          <w:iCs/>
          <w:sz w:val="24"/>
          <w:szCs w:val="24"/>
        </w:rPr>
        <w:t xml:space="preserve">Food and mental </w:t>
      </w:r>
      <w:proofErr w:type="gramStart"/>
      <w:r w:rsidRPr="0007209F">
        <w:rPr>
          <w:rFonts w:ascii="Arial" w:hAnsi="Arial" w:cs="Arial"/>
          <w:i/>
          <w:iCs/>
          <w:sz w:val="24"/>
          <w:szCs w:val="24"/>
        </w:rPr>
        <w:t>health :</w:t>
      </w:r>
      <w:proofErr w:type="gramEnd"/>
      <w:r w:rsidRPr="0007209F">
        <w:rPr>
          <w:rFonts w:ascii="Arial" w:hAnsi="Arial" w:cs="Arial"/>
          <w:i/>
          <w:iCs/>
          <w:sz w:val="24"/>
          <w:szCs w:val="24"/>
        </w:rPr>
        <w:t xml:space="preserve"> a guide for health professionals.</w:t>
      </w:r>
      <w:r w:rsidRPr="006A254F">
        <w:rPr>
          <w:rFonts w:ascii="Arial" w:hAnsi="Arial" w:cs="Arial"/>
          <w:sz w:val="24"/>
          <w:szCs w:val="24"/>
        </w:rPr>
        <w:t xml:space="preserve"> Milton Park, Abingdon, </w:t>
      </w:r>
      <w:proofErr w:type="gramStart"/>
      <w:r w:rsidRPr="006A254F">
        <w:rPr>
          <w:rFonts w:ascii="Arial" w:hAnsi="Arial" w:cs="Arial"/>
          <w:sz w:val="24"/>
          <w:szCs w:val="24"/>
        </w:rPr>
        <w:t>Oxon ;</w:t>
      </w:r>
      <w:proofErr w:type="gramEnd"/>
      <w:r w:rsidRPr="006A254F">
        <w:rPr>
          <w:rFonts w:ascii="Arial" w:hAnsi="Arial" w:cs="Arial"/>
          <w:sz w:val="24"/>
          <w:szCs w:val="24"/>
        </w:rPr>
        <w:t xml:space="preserve"> New York, Ny: Routledge.</w:t>
      </w:r>
    </w:p>
    <w:p w14:paraId="60EB2F28" w14:textId="7CB7A2B2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Jennifer A. (2016). </w:t>
      </w:r>
      <w:r w:rsidRPr="00B86075">
        <w:rPr>
          <w:rFonts w:ascii="Arial" w:hAnsi="Arial" w:cs="Arial"/>
          <w:i/>
          <w:iCs/>
          <w:sz w:val="24"/>
          <w:szCs w:val="24"/>
        </w:rPr>
        <w:t>Risk Factors for Childhood Obesity in the First 1,000 Days: A Systematic Review</w:t>
      </w:r>
      <w:r w:rsidR="00B86075">
        <w:rPr>
          <w:rFonts w:ascii="Arial" w:hAnsi="Arial" w:cs="Arial"/>
          <w:sz w:val="24"/>
          <w:szCs w:val="24"/>
        </w:rPr>
        <w:t>.</w:t>
      </w:r>
      <w:r w:rsidRPr="006A254F">
        <w:rPr>
          <w:rFonts w:ascii="Arial" w:hAnsi="Arial" w:cs="Arial"/>
          <w:sz w:val="24"/>
          <w:szCs w:val="24"/>
        </w:rPr>
        <w:t xml:space="preserve"> American Journal of Preventive Medicine.</w:t>
      </w:r>
    </w:p>
    <w:p w14:paraId="397CEBF8" w14:textId="201F5C04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proofErr w:type="spellStart"/>
      <w:r w:rsidRPr="006A254F">
        <w:rPr>
          <w:rFonts w:ascii="Arial" w:hAnsi="Arial" w:cs="Arial"/>
          <w:sz w:val="24"/>
          <w:szCs w:val="24"/>
        </w:rPr>
        <w:t>Josephcote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, B. (2017) </w:t>
      </w:r>
      <w:r w:rsidRPr="0007209F">
        <w:rPr>
          <w:rFonts w:ascii="Arial" w:hAnsi="Arial" w:cs="Arial"/>
          <w:i/>
          <w:iCs/>
          <w:sz w:val="24"/>
          <w:szCs w:val="24"/>
        </w:rPr>
        <w:t>Cheap unhealthy food makes healthy food choices much less likely</w:t>
      </w:r>
      <w:r w:rsidRPr="006A254F"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="00B86075" w:rsidRPr="00A819D2">
          <w:rPr>
            <w:rStyle w:val="Hyperlink"/>
            <w:rFonts w:ascii="Arial" w:hAnsi="Arial" w:cs="Arial"/>
            <w:sz w:val="24"/>
            <w:szCs w:val="24"/>
          </w:rPr>
          <w:t>https://www.diabetes.co.uk/news/2017/nov/cheap-unhealthy-food-makes-healthy-food-choices-much-less-likely-96636800.html</w:t>
        </w:r>
      </w:hyperlink>
      <w:r w:rsidR="00B86075">
        <w:rPr>
          <w:rFonts w:ascii="Arial" w:hAnsi="Arial" w:cs="Arial"/>
          <w:sz w:val="24"/>
          <w:szCs w:val="24"/>
        </w:rPr>
        <w:t xml:space="preserve"> </w:t>
      </w:r>
      <w:r w:rsidRPr="006A254F">
        <w:rPr>
          <w:rFonts w:ascii="Arial" w:hAnsi="Arial" w:cs="Arial"/>
          <w:sz w:val="24"/>
          <w:szCs w:val="24"/>
        </w:rPr>
        <w:t xml:space="preserve"> (Accessed: </w:t>
      </w:r>
      <w:r w:rsidR="00B86075">
        <w:rPr>
          <w:rFonts w:ascii="Arial" w:hAnsi="Arial" w:cs="Arial"/>
          <w:sz w:val="24"/>
          <w:szCs w:val="24"/>
        </w:rPr>
        <w:t>2</w:t>
      </w:r>
      <w:r w:rsidR="00B86075" w:rsidRPr="00B86075">
        <w:rPr>
          <w:rFonts w:ascii="Arial" w:hAnsi="Arial" w:cs="Arial"/>
          <w:sz w:val="24"/>
          <w:szCs w:val="24"/>
          <w:vertAlign w:val="superscript"/>
        </w:rPr>
        <w:t>nd</w:t>
      </w:r>
      <w:r w:rsidR="00B86075">
        <w:rPr>
          <w:rFonts w:ascii="Arial" w:hAnsi="Arial" w:cs="Arial"/>
          <w:sz w:val="24"/>
          <w:szCs w:val="24"/>
        </w:rPr>
        <w:t xml:space="preserve"> June 2022</w:t>
      </w:r>
      <w:r w:rsidRPr="006A254F">
        <w:rPr>
          <w:rFonts w:ascii="Arial" w:hAnsi="Arial" w:cs="Arial"/>
          <w:sz w:val="24"/>
          <w:szCs w:val="24"/>
        </w:rPr>
        <w:t xml:space="preserve">). </w:t>
      </w:r>
    </w:p>
    <w:p w14:paraId="08756C27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proofErr w:type="spellStart"/>
      <w:r w:rsidRPr="006A254F">
        <w:rPr>
          <w:rFonts w:ascii="Arial" w:hAnsi="Arial" w:cs="Arial"/>
          <w:sz w:val="24"/>
          <w:szCs w:val="24"/>
        </w:rPr>
        <w:t>Karakochuk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, C.D., Whitfield, K.C., Green, </w:t>
      </w:r>
      <w:proofErr w:type="gramStart"/>
      <w:r w:rsidRPr="006A254F">
        <w:rPr>
          <w:rFonts w:ascii="Arial" w:hAnsi="Arial" w:cs="Arial"/>
          <w:sz w:val="24"/>
          <w:szCs w:val="24"/>
        </w:rPr>
        <w:t>T.J.</w:t>
      </w:r>
      <w:proofErr w:type="gramEnd"/>
      <w:r w:rsidRPr="006A254F">
        <w:rPr>
          <w:rFonts w:ascii="Arial" w:hAnsi="Arial" w:cs="Arial"/>
          <w:sz w:val="24"/>
          <w:szCs w:val="24"/>
        </w:rPr>
        <w:t xml:space="preserve"> and Klaus Kraemer (2018). </w:t>
      </w:r>
      <w:r w:rsidRPr="00B86075">
        <w:rPr>
          <w:rFonts w:ascii="Arial" w:hAnsi="Arial" w:cs="Arial"/>
          <w:i/>
          <w:iCs/>
          <w:sz w:val="24"/>
          <w:szCs w:val="24"/>
        </w:rPr>
        <w:t>The biology of the first 1000 days</w:t>
      </w:r>
      <w:r w:rsidRPr="006A254F">
        <w:rPr>
          <w:rFonts w:ascii="Arial" w:hAnsi="Arial" w:cs="Arial"/>
          <w:sz w:val="24"/>
          <w:szCs w:val="24"/>
        </w:rPr>
        <w:t xml:space="preserve">. Boca Raton </w:t>
      </w:r>
      <w:proofErr w:type="spellStart"/>
      <w:r w:rsidRPr="006A254F">
        <w:rPr>
          <w:rFonts w:ascii="Arial" w:hAnsi="Arial" w:cs="Arial"/>
          <w:sz w:val="24"/>
          <w:szCs w:val="24"/>
        </w:rPr>
        <w:t>Crc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 Press, Taylor &amp; Francis Group.</w:t>
      </w:r>
    </w:p>
    <w:p w14:paraId="1BC2CC97" w14:textId="122DDD1B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Kaw Valley </w:t>
      </w:r>
      <w:proofErr w:type="spellStart"/>
      <w:r w:rsidRPr="006A254F">
        <w:rPr>
          <w:rFonts w:ascii="Arial" w:hAnsi="Arial" w:cs="Arial"/>
          <w:sz w:val="24"/>
          <w:szCs w:val="24"/>
        </w:rPr>
        <w:t>Center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 (2018) </w:t>
      </w:r>
      <w:r w:rsidRPr="00B86075">
        <w:rPr>
          <w:rFonts w:ascii="Arial" w:hAnsi="Arial" w:cs="Arial"/>
          <w:i/>
          <w:iCs/>
          <w:sz w:val="24"/>
          <w:szCs w:val="24"/>
        </w:rPr>
        <w:t>4 State-Specific Factors That Affect a Child's Wellbeing</w:t>
      </w:r>
      <w:r w:rsidRPr="006A254F">
        <w:rPr>
          <w:rFonts w:ascii="Arial" w:hAnsi="Arial" w:cs="Arial"/>
          <w:sz w:val="24"/>
          <w:szCs w:val="24"/>
        </w:rPr>
        <w:t xml:space="preserve">. Available at: https://www.kvc.org/blog/4-state-specific-factors-that-affect-a-childs-wellbeing/ (Accessed: </w:t>
      </w:r>
      <w:r w:rsidR="00B86075">
        <w:rPr>
          <w:rFonts w:ascii="Arial" w:hAnsi="Arial" w:cs="Arial"/>
          <w:sz w:val="24"/>
          <w:szCs w:val="24"/>
        </w:rPr>
        <w:t>3</w:t>
      </w:r>
      <w:r w:rsidR="00B86075" w:rsidRPr="00B86075">
        <w:rPr>
          <w:rFonts w:ascii="Arial" w:hAnsi="Arial" w:cs="Arial"/>
          <w:sz w:val="24"/>
          <w:szCs w:val="24"/>
          <w:vertAlign w:val="superscript"/>
        </w:rPr>
        <w:t>rd</w:t>
      </w:r>
      <w:r w:rsidR="00B86075">
        <w:rPr>
          <w:rFonts w:ascii="Arial" w:hAnsi="Arial" w:cs="Arial"/>
          <w:sz w:val="24"/>
          <w:szCs w:val="24"/>
        </w:rPr>
        <w:t xml:space="preserve"> June 2022</w:t>
      </w:r>
      <w:r w:rsidRPr="006A254F">
        <w:rPr>
          <w:rFonts w:ascii="Arial" w:hAnsi="Arial" w:cs="Arial"/>
          <w:sz w:val="24"/>
          <w:szCs w:val="24"/>
        </w:rPr>
        <w:t>).</w:t>
      </w:r>
      <w:r w:rsidR="00B86075">
        <w:rPr>
          <w:rFonts w:ascii="Arial" w:hAnsi="Arial" w:cs="Arial"/>
          <w:sz w:val="24"/>
          <w:szCs w:val="24"/>
        </w:rPr>
        <w:t xml:space="preserve"> </w:t>
      </w:r>
    </w:p>
    <w:p w14:paraId="1B2F8E15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Marmot, M. (2020). </w:t>
      </w:r>
      <w:r w:rsidRPr="00B86075">
        <w:rPr>
          <w:rFonts w:ascii="Arial" w:hAnsi="Arial" w:cs="Arial"/>
          <w:i/>
          <w:iCs/>
          <w:sz w:val="24"/>
          <w:szCs w:val="24"/>
        </w:rPr>
        <w:t xml:space="preserve">Health equity in England: </w:t>
      </w:r>
      <w:proofErr w:type="gramStart"/>
      <w:r w:rsidRPr="00B86075"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 w:rsidRPr="00B86075">
        <w:rPr>
          <w:rFonts w:ascii="Arial" w:hAnsi="Arial" w:cs="Arial"/>
          <w:i/>
          <w:iCs/>
          <w:sz w:val="24"/>
          <w:szCs w:val="24"/>
        </w:rPr>
        <w:t xml:space="preserve"> Marmot review 10 years on</w:t>
      </w:r>
      <w:r w:rsidRPr="006A254F">
        <w:rPr>
          <w:rFonts w:ascii="Arial" w:hAnsi="Arial" w:cs="Arial"/>
          <w:sz w:val="24"/>
          <w:szCs w:val="24"/>
        </w:rPr>
        <w:t>. BMJ, 368(1), p.m693. doi:10.1136/bmj.m693.</w:t>
      </w:r>
    </w:p>
    <w:p w14:paraId="0A6A6B36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Maslow, A.H. (1943). </w:t>
      </w:r>
      <w:r w:rsidRPr="00B86075">
        <w:rPr>
          <w:rFonts w:ascii="Arial" w:hAnsi="Arial" w:cs="Arial"/>
          <w:i/>
          <w:iCs/>
          <w:sz w:val="24"/>
          <w:szCs w:val="24"/>
        </w:rPr>
        <w:t>A theory of human motivation</w:t>
      </w:r>
      <w:r w:rsidRPr="006A254F">
        <w:rPr>
          <w:rFonts w:ascii="Arial" w:hAnsi="Arial" w:cs="Arial"/>
          <w:sz w:val="24"/>
          <w:szCs w:val="24"/>
        </w:rPr>
        <w:t xml:space="preserve">. United States: </w:t>
      </w:r>
      <w:proofErr w:type="spellStart"/>
      <w:r w:rsidRPr="006A254F">
        <w:rPr>
          <w:rFonts w:ascii="Arial" w:hAnsi="Arial" w:cs="Arial"/>
          <w:sz w:val="24"/>
          <w:szCs w:val="24"/>
        </w:rPr>
        <w:t>Bnpublishing</w:t>
      </w:r>
      <w:proofErr w:type="spellEnd"/>
      <w:r w:rsidRPr="006A254F">
        <w:rPr>
          <w:rFonts w:ascii="Arial" w:hAnsi="Arial" w:cs="Arial"/>
          <w:sz w:val="24"/>
          <w:szCs w:val="24"/>
        </w:rPr>
        <w:t>.</w:t>
      </w:r>
    </w:p>
    <w:p w14:paraId="2F9FB735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proofErr w:type="spellStart"/>
      <w:r w:rsidRPr="006A254F">
        <w:rPr>
          <w:rFonts w:ascii="Arial" w:hAnsi="Arial" w:cs="Arial"/>
          <w:sz w:val="24"/>
          <w:szCs w:val="24"/>
        </w:rPr>
        <w:t>Mccormick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, C.B. and Scherer, D.G. (2018). </w:t>
      </w:r>
      <w:r w:rsidRPr="00B86075">
        <w:rPr>
          <w:rFonts w:ascii="Arial" w:hAnsi="Arial" w:cs="Arial"/>
          <w:i/>
          <w:iCs/>
          <w:sz w:val="24"/>
          <w:szCs w:val="24"/>
        </w:rPr>
        <w:t>Child and adolescent development for educators</w:t>
      </w:r>
      <w:r w:rsidRPr="006A254F">
        <w:rPr>
          <w:rFonts w:ascii="Arial" w:hAnsi="Arial" w:cs="Arial"/>
          <w:sz w:val="24"/>
          <w:szCs w:val="24"/>
        </w:rPr>
        <w:t>. New York: The Guilford Press.</w:t>
      </w:r>
    </w:p>
    <w:p w14:paraId="1D4435C3" w14:textId="72454398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Meltzer, S. (No date). </w:t>
      </w:r>
      <w:r w:rsidRPr="00B86075">
        <w:rPr>
          <w:rFonts w:ascii="Arial" w:hAnsi="Arial" w:cs="Arial"/>
          <w:i/>
          <w:iCs/>
          <w:sz w:val="24"/>
          <w:szCs w:val="24"/>
        </w:rPr>
        <w:t>Obstetrical, pregnancy and socio-economic predictors for new-onset severe postpartum psychiatric disorders in primiparous women</w:t>
      </w:r>
      <w:r w:rsidR="00B86075">
        <w:rPr>
          <w:rFonts w:ascii="Arial" w:hAnsi="Arial" w:cs="Arial"/>
          <w:sz w:val="24"/>
          <w:szCs w:val="24"/>
        </w:rPr>
        <w:t>.</w:t>
      </w:r>
      <w:r w:rsidRPr="006A254F">
        <w:rPr>
          <w:rFonts w:ascii="Arial" w:hAnsi="Arial" w:cs="Arial"/>
          <w:sz w:val="24"/>
          <w:szCs w:val="24"/>
        </w:rPr>
        <w:t xml:space="preserve"> Psychological Medicine. Cambridge University Press, 47(8), pp. 1427–1441. </w:t>
      </w:r>
      <w:proofErr w:type="spellStart"/>
      <w:r w:rsidRPr="006A254F">
        <w:rPr>
          <w:rFonts w:ascii="Arial" w:hAnsi="Arial" w:cs="Arial"/>
          <w:sz w:val="24"/>
          <w:szCs w:val="24"/>
        </w:rPr>
        <w:t>doi</w:t>
      </w:r>
      <w:proofErr w:type="spellEnd"/>
      <w:r w:rsidRPr="006A254F">
        <w:rPr>
          <w:rFonts w:ascii="Arial" w:hAnsi="Arial" w:cs="Arial"/>
          <w:sz w:val="24"/>
          <w:szCs w:val="24"/>
        </w:rPr>
        <w:t>: 10.1017/S0033291716003020.</w:t>
      </w:r>
    </w:p>
    <w:p w14:paraId="5CCF3495" w14:textId="0A25BEE2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Morris, S. (2015) </w:t>
      </w:r>
      <w:r w:rsidRPr="00B86075">
        <w:rPr>
          <w:rFonts w:ascii="Arial" w:hAnsi="Arial" w:cs="Arial"/>
          <w:i/>
          <w:iCs/>
          <w:sz w:val="24"/>
          <w:szCs w:val="24"/>
        </w:rPr>
        <w:t>Long-term food bank users risk nutritional problems</w:t>
      </w:r>
      <w:r w:rsidRPr="006A254F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="00B86075" w:rsidRPr="00A819D2">
          <w:rPr>
            <w:rStyle w:val="Hyperlink"/>
            <w:rFonts w:ascii="Arial" w:hAnsi="Arial" w:cs="Arial"/>
            <w:sz w:val="24"/>
            <w:szCs w:val="24"/>
          </w:rPr>
          <w:t>https://www.theguardian.com/society/2015/mar/18/long-term-food-bank-users-nutritional-problems-balanced-diet</w:t>
        </w:r>
      </w:hyperlink>
      <w:r w:rsidR="00B86075">
        <w:rPr>
          <w:rFonts w:ascii="Arial" w:hAnsi="Arial" w:cs="Arial"/>
          <w:sz w:val="24"/>
          <w:szCs w:val="24"/>
        </w:rPr>
        <w:t xml:space="preserve"> </w:t>
      </w:r>
      <w:r w:rsidRPr="006A254F">
        <w:rPr>
          <w:rFonts w:ascii="Arial" w:hAnsi="Arial" w:cs="Arial"/>
          <w:sz w:val="24"/>
          <w:szCs w:val="24"/>
        </w:rPr>
        <w:t xml:space="preserve">(Accessed: </w:t>
      </w:r>
      <w:r w:rsidR="00B86075">
        <w:rPr>
          <w:rFonts w:ascii="Arial" w:hAnsi="Arial" w:cs="Arial"/>
          <w:sz w:val="24"/>
          <w:szCs w:val="24"/>
        </w:rPr>
        <w:t>10th June 2022</w:t>
      </w:r>
      <w:r w:rsidRPr="006A254F">
        <w:rPr>
          <w:rFonts w:ascii="Arial" w:hAnsi="Arial" w:cs="Arial"/>
          <w:sz w:val="24"/>
          <w:szCs w:val="24"/>
        </w:rPr>
        <w:t xml:space="preserve">). </w:t>
      </w:r>
    </w:p>
    <w:p w14:paraId="1421218E" w14:textId="678074E4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National Health Service (2011b) </w:t>
      </w:r>
      <w:r w:rsidRPr="00B86075">
        <w:rPr>
          <w:rFonts w:ascii="Arial" w:hAnsi="Arial" w:cs="Arial"/>
          <w:i/>
          <w:iCs/>
          <w:sz w:val="24"/>
          <w:szCs w:val="24"/>
        </w:rPr>
        <w:t>Healthy Start</w:t>
      </w:r>
      <w:r w:rsidRPr="006A254F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="00B86075" w:rsidRPr="00A819D2">
          <w:rPr>
            <w:rStyle w:val="Hyperlink"/>
            <w:rFonts w:ascii="Arial" w:hAnsi="Arial" w:cs="Arial"/>
            <w:sz w:val="24"/>
            <w:szCs w:val="24"/>
          </w:rPr>
          <w:t>https://www.healthystart.nhs.uk/healthy-start-vouchers/</w:t>
        </w:r>
      </w:hyperlink>
      <w:r w:rsidR="00B86075">
        <w:rPr>
          <w:rFonts w:ascii="Arial" w:hAnsi="Arial" w:cs="Arial"/>
          <w:sz w:val="24"/>
          <w:szCs w:val="24"/>
        </w:rPr>
        <w:t xml:space="preserve"> </w:t>
      </w:r>
      <w:r w:rsidRPr="006A254F">
        <w:rPr>
          <w:rFonts w:ascii="Arial" w:hAnsi="Arial" w:cs="Arial"/>
          <w:sz w:val="24"/>
          <w:szCs w:val="24"/>
        </w:rPr>
        <w:t xml:space="preserve">(Accessed: </w:t>
      </w:r>
      <w:r w:rsidR="00B86075">
        <w:rPr>
          <w:rFonts w:ascii="Arial" w:hAnsi="Arial" w:cs="Arial"/>
          <w:sz w:val="24"/>
          <w:szCs w:val="24"/>
        </w:rPr>
        <w:t>5</w:t>
      </w:r>
      <w:r w:rsidR="00B86075">
        <w:rPr>
          <w:rFonts w:ascii="Arial" w:hAnsi="Arial" w:cs="Arial"/>
          <w:sz w:val="24"/>
          <w:szCs w:val="24"/>
          <w:vertAlign w:val="superscript"/>
        </w:rPr>
        <w:t xml:space="preserve">th </w:t>
      </w:r>
      <w:r w:rsidR="00B86075">
        <w:rPr>
          <w:rFonts w:ascii="Arial" w:hAnsi="Arial" w:cs="Arial"/>
          <w:sz w:val="24"/>
          <w:szCs w:val="24"/>
        </w:rPr>
        <w:t>June 2022).</w:t>
      </w:r>
    </w:p>
    <w:p w14:paraId="56110DDD" w14:textId="77777777" w:rsidR="00014E81" w:rsidRPr="00B86075" w:rsidRDefault="00014E81" w:rsidP="00014E81">
      <w:pPr>
        <w:tabs>
          <w:tab w:val="left" w:pos="2340"/>
        </w:tabs>
        <w:rPr>
          <w:rFonts w:ascii="Arial" w:hAnsi="Arial" w:cs="Arial"/>
          <w:i/>
          <w:iCs/>
          <w:sz w:val="24"/>
          <w:szCs w:val="24"/>
        </w:rPr>
      </w:pPr>
      <w:proofErr w:type="spellStart"/>
      <w:r w:rsidRPr="006A254F">
        <w:rPr>
          <w:rFonts w:ascii="Arial" w:hAnsi="Arial" w:cs="Arial"/>
          <w:sz w:val="24"/>
          <w:szCs w:val="24"/>
        </w:rPr>
        <w:t>Payler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, J. and </w:t>
      </w:r>
      <w:proofErr w:type="spellStart"/>
      <w:r w:rsidRPr="006A254F">
        <w:rPr>
          <w:rFonts w:ascii="Arial" w:hAnsi="Arial" w:cs="Arial"/>
          <w:sz w:val="24"/>
          <w:szCs w:val="24"/>
        </w:rPr>
        <w:t>Georgeson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, J. (2013). </w:t>
      </w:r>
      <w:r w:rsidRPr="00B86075">
        <w:rPr>
          <w:rFonts w:ascii="Arial" w:hAnsi="Arial" w:cs="Arial"/>
          <w:i/>
          <w:iCs/>
          <w:sz w:val="24"/>
          <w:szCs w:val="24"/>
        </w:rPr>
        <w:t xml:space="preserve">Multiagency working in the early years: confidence, </w:t>
      </w:r>
      <w:proofErr w:type="gramStart"/>
      <w:r w:rsidRPr="00B86075">
        <w:rPr>
          <w:rFonts w:ascii="Arial" w:hAnsi="Arial" w:cs="Arial"/>
          <w:i/>
          <w:iCs/>
          <w:sz w:val="24"/>
          <w:szCs w:val="24"/>
        </w:rPr>
        <w:t>competence</w:t>
      </w:r>
      <w:proofErr w:type="gramEnd"/>
      <w:r w:rsidRPr="00B86075">
        <w:rPr>
          <w:rFonts w:ascii="Arial" w:hAnsi="Arial" w:cs="Arial"/>
          <w:i/>
          <w:iCs/>
          <w:sz w:val="24"/>
          <w:szCs w:val="24"/>
        </w:rPr>
        <w:t xml:space="preserve"> and context. </w:t>
      </w:r>
    </w:p>
    <w:p w14:paraId="674DC9D9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Payne, E. (2017). </w:t>
      </w:r>
      <w:r w:rsidRPr="00B86075">
        <w:rPr>
          <w:rFonts w:ascii="Arial" w:hAnsi="Arial" w:cs="Arial"/>
          <w:i/>
          <w:iCs/>
          <w:sz w:val="24"/>
          <w:szCs w:val="24"/>
        </w:rPr>
        <w:t>A review of web-based support systems for students in higher education</w:t>
      </w:r>
      <w:r w:rsidRPr="006A254F">
        <w:rPr>
          <w:rFonts w:ascii="Arial" w:hAnsi="Arial" w:cs="Arial"/>
          <w:sz w:val="24"/>
          <w:szCs w:val="24"/>
        </w:rPr>
        <w:t>. International Journal of Mental Health Systems, 11(1). doi:10.1186/s13033-017-0165-z.</w:t>
      </w:r>
    </w:p>
    <w:p w14:paraId="3B3DBEEB" w14:textId="5E804FB5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Public Health Wales (2019) </w:t>
      </w:r>
      <w:r w:rsidRPr="00B86075">
        <w:rPr>
          <w:rFonts w:ascii="Arial" w:hAnsi="Arial" w:cs="Arial"/>
          <w:i/>
          <w:iCs/>
          <w:sz w:val="24"/>
          <w:szCs w:val="24"/>
        </w:rPr>
        <w:t>Obesity in Wales</w:t>
      </w:r>
      <w:r w:rsidRPr="006A254F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="00B86075" w:rsidRPr="00A819D2">
          <w:rPr>
            <w:rStyle w:val="Hyperlink"/>
            <w:rFonts w:ascii="Arial" w:hAnsi="Arial" w:cs="Arial"/>
            <w:sz w:val="24"/>
            <w:szCs w:val="24"/>
          </w:rPr>
          <w:t>http://www.publichealthwalesobservatory.wales.nhs.uk/obesityinwales</w:t>
        </w:r>
      </w:hyperlink>
      <w:r w:rsidR="00B86075">
        <w:rPr>
          <w:rFonts w:ascii="Arial" w:hAnsi="Arial" w:cs="Arial"/>
          <w:sz w:val="24"/>
          <w:szCs w:val="24"/>
        </w:rPr>
        <w:t xml:space="preserve"> </w:t>
      </w:r>
      <w:r w:rsidRPr="006A254F">
        <w:rPr>
          <w:rFonts w:ascii="Arial" w:hAnsi="Arial" w:cs="Arial"/>
          <w:sz w:val="24"/>
          <w:szCs w:val="24"/>
        </w:rPr>
        <w:t>(Accessed: 1</w:t>
      </w:r>
      <w:r w:rsidR="00B86075">
        <w:rPr>
          <w:rFonts w:ascii="Arial" w:hAnsi="Arial" w:cs="Arial"/>
          <w:sz w:val="24"/>
          <w:szCs w:val="24"/>
        </w:rPr>
        <w:t>1th June 2022</w:t>
      </w:r>
      <w:r w:rsidRPr="006A254F">
        <w:rPr>
          <w:rFonts w:ascii="Arial" w:hAnsi="Arial" w:cs="Arial"/>
          <w:sz w:val="24"/>
          <w:szCs w:val="24"/>
        </w:rPr>
        <w:t xml:space="preserve">). </w:t>
      </w:r>
    </w:p>
    <w:p w14:paraId="4AD21423" w14:textId="23DEBFEA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lastRenderedPageBreak/>
        <w:t xml:space="preserve">Save The Children. (2017). [online] Available at: </w:t>
      </w:r>
      <w:hyperlink r:id="rId13" w:history="1">
        <w:r w:rsidR="00B86075" w:rsidRPr="00A819D2">
          <w:rPr>
            <w:rStyle w:val="Hyperlink"/>
            <w:rFonts w:ascii="Arial" w:hAnsi="Arial" w:cs="Arial"/>
            <w:sz w:val="24"/>
            <w:szCs w:val="24"/>
          </w:rPr>
          <w:t>https://www.savethechildren.org.uk/content/dam/gb/reports/annual-report-2017.pdf</w:t>
        </w:r>
      </w:hyperlink>
      <w:r w:rsidRPr="006A254F">
        <w:rPr>
          <w:rFonts w:ascii="Arial" w:hAnsi="Arial" w:cs="Arial"/>
          <w:sz w:val="24"/>
          <w:szCs w:val="24"/>
        </w:rPr>
        <w:t>.</w:t>
      </w:r>
      <w:r w:rsidR="00B86075">
        <w:rPr>
          <w:rFonts w:ascii="Arial" w:hAnsi="Arial" w:cs="Arial"/>
          <w:sz w:val="24"/>
          <w:szCs w:val="24"/>
        </w:rPr>
        <w:t xml:space="preserve"> </w:t>
      </w:r>
    </w:p>
    <w:p w14:paraId="785B6997" w14:textId="1B11DF26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Trussell Trust (2019) </w:t>
      </w:r>
      <w:r w:rsidRPr="00B86075">
        <w:rPr>
          <w:rFonts w:ascii="Arial" w:hAnsi="Arial" w:cs="Arial"/>
          <w:i/>
          <w:iCs/>
          <w:sz w:val="24"/>
          <w:szCs w:val="24"/>
        </w:rPr>
        <w:t>How Food Banks Work</w:t>
      </w:r>
      <w:r w:rsidRPr="006A254F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="00B86075" w:rsidRPr="00A819D2">
          <w:rPr>
            <w:rStyle w:val="Hyperlink"/>
            <w:rFonts w:ascii="Arial" w:hAnsi="Arial" w:cs="Arial"/>
            <w:sz w:val="24"/>
            <w:szCs w:val="24"/>
          </w:rPr>
          <w:t>https://www.trusselltrust.org/what-we-do/how-foodbanks-work/</w:t>
        </w:r>
      </w:hyperlink>
      <w:r w:rsidR="00B86075">
        <w:rPr>
          <w:rFonts w:ascii="Arial" w:hAnsi="Arial" w:cs="Arial"/>
          <w:sz w:val="24"/>
          <w:szCs w:val="24"/>
        </w:rPr>
        <w:t xml:space="preserve"> </w:t>
      </w:r>
      <w:r w:rsidRPr="006A254F">
        <w:rPr>
          <w:rFonts w:ascii="Arial" w:hAnsi="Arial" w:cs="Arial"/>
          <w:sz w:val="24"/>
          <w:szCs w:val="24"/>
        </w:rPr>
        <w:t xml:space="preserve"> (Accessed: 9th Ju</w:t>
      </w:r>
      <w:r w:rsidR="00B86075">
        <w:rPr>
          <w:rFonts w:ascii="Arial" w:hAnsi="Arial" w:cs="Arial"/>
          <w:sz w:val="24"/>
          <w:szCs w:val="24"/>
        </w:rPr>
        <w:t>ne</w:t>
      </w:r>
      <w:r w:rsidRPr="006A254F">
        <w:rPr>
          <w:rFonts w:ascii="Arial" w:hAnsi="Arial" w:cs="Arial"/>
          <w:sz w:val="24"/>
          <w:szCs w:val="24"/>
        </w:rPr>
        <w:t xml:space="preserve"> 202</w:t>
      </w:r>
      <w:r w:rsidR="00B86075">
        <w:rPr>
          <w:rFonts w:ascii="Arial" w:hAnsi="Arial" w:cs="Arial"/>
          <w:sz w:val="24"/>
          <w:szCs w:val="24"/>
        </w:rPr>
        <w:t>2</w:t>
      </w:r>
      <w:r w:rsidRPr="006A254F">
        <w:rPr>
          <w:rFonts w:ascii="Arial" w:hAnsi="Arial" w:cs="Arial"/>
          <w:sz w:val="24"/>
          <w:szCs w:val="24"/>
        </w:rPr>
        <w:t xml:space="preserve">). </w:t>
      </w:r>
    </w:p>
    <w:p w14:paraId="65EEAEC1" w14:textId="41F4130C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UNICEF (2013). </w:t>
      </w:r>
      <w:r w:rsidRPr="0007209F">
        <w:rPr>
          <w:rFonts w:ascii="Arial" w:hAnsi="Arial" w:cs="Arial"/>
          <w:i/>
          <w:iCs/>
          <w:sz w:val="24"/>
          <w:szCs w:val="24"/>
        </w:rPr>
        <w:t>The first 1,000 days of life: The brain’s window of opportunity</w:t>
      </w:r>
      <w:r w:rsidRPr="006A254F"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="0007209F" w:rsidRPr="00A819D2">
          <w:rPr>
            <w:rStyle w:val="Hyperlink"/>
            <w:rFonts w:ascii="Arial" w:hAnsi="Arial" w:cs="Arial"/>
            <w:sz w:val="24"/>
            <w:szCs w:val="24"/>
          </w:rPr>
          <w:t>https://www.unicef-irc.org/article/958-the-first-1000-days-of-life-the-brains-window-of-opportunity.html</w:t>
        </w:r>
      </w:hyperlink>
      <w:r w:rsidRPr="006A254F">
        <w:rPr>
          <w:rFonts w:ascii="Arial" w:hAnsi="Arial" w:cs="Arial"/>
          <w:sz w:val="24"/>
          <w:szCs w:val="24"/>
        </w:rPr>
        <w:t>.</w:t>
      </w:r>
      <w:r w:rsidR="0007209F">
        <w:rPr>
          <w:rFonts w:ascii="Arial" w:hAnsi="Arial" w:cs="Arial"/>
          <w:sz w:val="24"/>
          <w:szCs w:val="24"/>
        </w:rPr>
        <w:t xml:space="preserve"> </w:t>
      </w:r>
      <w:r w:rsidRPr="006A254F">
        <w:rPr>
          <w:rFonts w:ascii="Arial" w:hAnsi="Arial" w:cs="Arial"/>
          <w:sz w:val="24"/>
          <w:szCs w:val="24"/>
        </w:rPr>
        <w:t xml:space="preserve">(Accessed: </w:t>
      </w:r>
      <w:r w:rsidR="0007209F">
        <w:rPr>
          <w:rFonts w:ascii="Arial" w:hAnsi="Arial" w:cs="Arial"/>
          <w:sz w:val="24"/>
          <w:szCs w:val="24"/>
        </w:rPr>
        <w:t>2</w:t>
      </w:r>
      <w:r w:rsidR="0007209F" w:rsidRPr="0007209F">
        <w:rPr>
          <w:rFonts w:ascii="Arial" w:hAnsi="Arial" w:cs="Arial"/>
          <w:sz w:val="24"/>
          <w:szCs w:val="24"/>
          <w:vertAlign w:val="superscript"/>
        </w:rPr>
        <w:t>nd</w:t>
      </w:r>
      <w:r w:rsidR="0007209F">
        <w:rPr>
          <w:rFonts w:ascii="Arial" w:hAnsi="Arial" w:cs="Arial"/>
          <w:sz w:val="24"/>
          <w:szCs w:val="24"/>
        </w:rPr>
        <w:t xml:space="preserve"> June 2022).</w:t>
      </w:r>
    </w:p>
    <w:p w14:paraId="10B30758" w14:textId="66DAE9EF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Welsh Government. (2019). Well-being of Wales: 2019 | GOV.WALES. [online] Available at: </w:t>
      </w:r>
      <w:hyperlink r:id="rId16" w:history="1">
        <w:r w:rsidR="0007209F" w:rsidRPr="00A819D2">
          <w:rPr>
            <w:rStyle w:val="Hyperlink"/>
            <w:rFonts w:ascii="Arial" w:hAnsi="Arial" w:cs="Arial"/>
            <w:sz w:val="24"/>
            <w:szCs w:val="24"/>
          </w:rPr>
          <w:t>https://gov.wales/well-being-wales-2019</w:t>
        </w:r>
      </w:hyperlink>
      <w:r w:rsidRPr="006A254F">
        <w:rPr>
          <w:rFonts w:ascii="Arial" w:hAnsi="Arial" w:cs="Arial"/>
          <w:sz w:val="24"/>
          <w:szCs w:val="24"/>
        </w:rPr>
        <w:t>.</w:t>
      </w:r>
      <w:r w:rsidR="0007209F">
        <w:rPr>
          <w:rFonts w:ascii="Arial" w:hAnsi="Arial" w:cs="Arial"/>
          <w:sz w:val="24"/>
          <w:szCs w:val="24"/>
        </w:rPr>
        <w:t xml:space="preserve"> (Accessed: 3</w:t>
      </w:r>
      <w:r w:rsidR="0007209F" w:rsidRPr="0007209F">
        <w:rPr>
          <w:rFonts w:ascii="Arial" w:hAnsi="Arial" w:cs="Arial"/>
          <w:sz w:val="24"/>
          <w:szCs w:val="24"/>
          <w:vertAlign w:val="superscript"/>
        </w:rPr>
        <w:t>rd</w:t>
      </w:r>
      <w:r w:rsidR="0007209F">
        <w:rPr>
          <w:rFonts w:ascii="Arial" w:hAnsi="Arial" w:cs="Arial"/>
          <w:sz w:val="24"/>
          <w:szCs w:val="24"/>
        </w:rPr>
        <w:t xml:space="preserve"> June 2022).</w:t>
      </w:r>
    </w:p>
    <w:p w14:paraId="3F2D7DA8" w14:textId="77777777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>WHO (1948) Constitution. World Health Organization, Geneva.</w:t>
      </w:r>
    </w:p>
    <w:p w14:paraId="6A985126" w14:textId="4F3A62D5" w:rsidR="00014E81" w:rsidRPr="006A254F" w:rsidRDefault="00014E81" w:rsidP="00014E81">
      <w:pPr>
        <w:tabs>
          <w:tab w:val="left" w:pos="2340"/>
        </w:tabs>
        <w:rPr>
          <w:rFonts w:ascii="Arial" w:hAnsi="Arial" w:cs="Arial"/>
          <w:sz w:val="24"/>
          <w:szCs w:val="24"/>
        </w:rPr>
      </w:pPr>
      <w:r w:rsidRPr="006A254F">
        <w:rPr>
          <w:rFonts w:ascii="Arial" w:hAnsi="Arial" w:cs="Arial"/>
          <w:sz w:val="24"/>
          <w:szCs w:val="24"/>
        </w:rPr>
        <w:t xml:space="preserve">Wilson, Valerie &amp; </w:t>
      </w:r>
      <w:proofErr w:type="spellStart"/>
      <w:r w:rsidRPr="006A254F">
        <w:rPr>
          <w:rFonts w:ascii="Arial" w:hAnsi="Arial" w:cs="Arial"/>
          <w:sz w:val="24"/>
          <w:szCs w:val="24"/>
        </w:rPr>
        <w:t>Pirrie</w:t>
      </w:r>
      <w:proofErr w:type="spellEnd"/>
      <w:r w:rsidRPr="006A254F">
        <w:rPr>
          <w:rFonts w:ascii="Arial" w:hAnsi="Arial" w:cs="Arial"/>
          <w:sz w:val="24"/>
          <w:szCs w:val="24"/>
        </w:rPr>
        <w:t xml:space="preserve">, Anne. (2000). </w:t>
      </w:r>
      <w:r w:rsidRPr="0007209F">
        <w:rPr>
          <w:rFonts w:ascii="Arial" w:hAnsi="Arial" w:cs="Arial"/>
          <w:i/>
          <w:iCs/>
          <w:sz w:val="24"/>
          <w:szCs w:val="24"/>
        </w:rPr>
        <w:t>Multidisciplinary Teamworking Indicators of Good Practice</w:t>
      </w:r>
      <w:r w:rsidRPr="006A254F">
        <w:rPr>
          <w:rFonts w:ascii="Arial" w:hAnsi="Arial" w:cs="Arial"/>
          <w:sz w:val="24"/>
          <w:szCs w:val="24"/>
        </w:rPr>
        <w:t>. SCRE Spotlights 77.</w:t>
      </w:r>
    </w:p>
    <w:sectPr w:rsidR="00014E81" w:rsidRPr="006A25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690"/>
    <w:rsid w:val="0000537C"/>
    <w:rsid w:val="00014E81"/>
    <w:rsid w:val="000354A9"/>
    <w:rsid w:val="00035C14"/>
    <w:rsid w:val="0007209F"/>
    <w:rsid w:val="000E69AC"/>
    <w:rsid w:val="000F7DF5"/>
    <w:rsid w:val="00106F95"/>
    <w:rsid w:val="00114D61"/>
    <w:rsid w:val="00124153"/>
    <w:rsid w:val="00165C16"/>
    <w:rsid w:val="001A7E66"/>
    <w:rsid w:val="002733A6"/>
    <w:rsid w:val="002841F7"/>
    <w:rsid w:val="00294F8E"/>
    <w:rsid w:val="00332A7C"/>
    <w:rsid w:val="00346FB6"/>
    <w:rsid w:val="00374155"/>
    <w:rsid w:val="003B18F1"/>
    <w:rsid w:val="003C4701"/>
    <w:rsid w:val="003D7F2B"/>
    <w:rsid w:val="003E2400"/>
    <w:rsid w:val="003F7FF6"/>
    <w:rsid w:val="004B6F58"/>
    <w:rsid w:val="00563C74"/>
    <w:rsid w:val="00585478"/>
    <w:rsid w:val="00586B51"/>
    <w:rsid w:val="005A3AA1"/>
    <w:rsid w:val="005B5348"/>
    <w:rsid w:val="00615851"/>
    <w:rsid w:val="00622A00"/>
    <w:rsid w:val="006506D7"/>
    <w:rsid w:val="00697C32"/>
    <w:rsid w:val="006A254F"/>
    <w:rsid w:val="006F6529"/>
    <w:rsid w:val="00715247"/>
    <w:rsid w:val="007722E3"/>
    <w:rsid w:val="007D01ED"/>
    <w:rsid w:val="007D08F4"/>
    <w:rsid w:val="007E0006"/>
    <w:rsid w:val="008B5597"/>
    <w:rsid w:val="00925476"/>
    <w:rsid w:val="009A16BE"/>
    <w:rsid w:val="00A64E4E"/>
    <w:rsid w:val="00B61C6C"/>
    <w:rsid w:val="00B840AF"/>
    <w:rsid w:val="00B86075"/>
    <w:rsid w:val="00BF4712"/>
    <w:rsid w:val="00BF7690"/>
    <w:rsid w:val="00C0198A"/>
    <w:rsid w:val="00C853D8"/>
    <w:rsid w:val="00CC205C"/>
    <w:rsid w:val="00CF2051"/>
    <w:rsid w:val="00D41D55"/>
    <w:rsid w:val="00D53680"/>
    <w:rsid w:val="00D9640E"/>
    <w:rsid w:val="00DB3A2C"/>
    <w:rsid w:val="00DD7154"/>
    <w:rsid w:val="00E17F76"/>
    <w:rsid w:val="00E32F54"/>
    <w:rsid w:val="00E744A4"/>
    <w:rsid w:val="00E74835"/>
    <w:rsid w:val="00ED64E8"/>
    <w:rsid w:val="00F07D30"/>
    <w:rsid w:val="00F16D9B"/>
    <w:rsid w:val="00FC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C9145"/>
  <w15:chartTrackingRefBased/>
  <w15:docId w15:val="{17631C80-F7DB-4BCF-BEBA-0C19BD9C1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53D8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2733A6"/>
  </w:style>
  <w:style w:type="character" w:customStyle="1" w:styleId="eop">
    <w:name w:val="eop"/>
    <w:basedOn w:val="DefaultParagraphFont"/>
    <w:rsid w:val="002733A6"/>
  </w:style>
  <w:style w:type="character" w:styleId="Emphasis">
    <w:name w:val="Emphasis"/>
    <w:basedOn w:val="DefaultParagraphFont"/>
    <w:uiPriority w:val="20"/>
    <w:qFormat/>
    <w:rsid w:val="006F6529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D536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9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5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0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84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981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every-child-matters" TargetMode="External"/><Relationship Id="rId13" Type="http://schemas.openxmlformats.org/officeDocument/2006/relationships/hyperlink" Target="https://www.savethechildren.org.uk/content/dam/gb/reports/annual-report-2017.pd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frontiersin.org/journals/psychology" TargetMode="External"/><Relationship Id="rId12" Type="http://schemas.openxmlformats.org/officeDocument/2006/relationships/hyperlink" Target="http://www.publichealthwalesobservatory.wales.nhs.uk/obesityinwale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gov.wales/well-being-wales-2019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yalliance.org.uk/safeguarding-early-years" TargetMode="External"/><Relationship Id="rId11" Type="http://schemas.openxmlformats.org/officeDocument/2006/relationships/hyperlink" Target="https://www.healthystart.nhs.uk/healthy-start-vouchers/" TargetMode="External"/><Relationship Id="rId5" Type="http://schemas.openxmlformats.org/officeDocument/2006/relationships/hyperlink" Target="https://earlylearningnetwork.unl.edu/" TargetMode="External"/><Relationship Id="rId15" Type="http://schemas.openxmlformats.org/officeDocument/2006/relationships/hyperlink" Target="https://www.unicef-irc.org/article/958-the-first-1000-days-of-life-the-brains-window-of-opportunity.html" TargetMode="External"/><Relationship Id="rId10" Type="http://schemas.openxmlformats.org/officeDocument/2006/relationships/hyperlink" Target="https://www.theguardian.com/society/2015/mar/18/long-term-food-bank-users-nutritional-problems-balanced-diet" TargetMode="External"/><Relationship Id="rId4" Type="http://schemas.openxmlformats.org/officeDocument/2006/relationships/hyperlink" Target="http://www.wellnessresourcecenter.info/wp-content/uploads/Blanks-Retrospec-NSA-Wellness.pdf" TargetMode="External"/><Relationship Id="rId9" Type="http://schemas.openxmlformats.org/officeDocument/2006/relationships/hyperlink" Target="https://www.diabetes.co.uk/news/2017/nov/cheap-unhealthy-food-makes-healthy-food-choices-much-less-likely-96636800.html" TargetMode="External"/><Relationship Id="rId14" Type="http://schemas.openxmlformats.org/officeDocument/2006/relationships/hyperlink" Target="https://www.trusselltrust.org/what-we-do/how-foodbanks-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1054</Words>
  <Characters>5566</Characters>
  <Application>Microsoft Office Word</Application>
  <DocSecurity>0</DocSecurity>
  <Lines>92</Lines>
  <Paragraphs>15</Paragraphs>
  <ScaleCrop>false</ScaleCrop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Kalon Smithers</dc:creator>
  <cp:keywords/>
  <dc:description/>
  <cp:lastModifiedBy>Kalon Smithers</cp:lastModifiedBy>
  <cp:revision>2</cp:revision>
  <dcterms:created xsi:type="dcterms:W3CDTF">2022-06-12T15:10:00Z</dcterms:created>
  <dcterms:modified xsi:type="dcterms:W3CDTF">2022-06-12T15:10:00Z</dcterms:modified>
</cp:coreProperties>
</file>