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F73709" w14:textId="4E28BA02" w:rsidR="00433AFF" w:rsidRDefault="00433AFF" w:rsidP="39B561C1">
      <w:pPr>
        <w:spacing w:after="0"/>
        <w:rPr>
          <w:rFonts w:ascii="Times New Roman" w:eastAsia="Times New Roman" w:hAnsi="Times New Roman" w:cs="Times New Roman"/>
        </w:rPr>
      </w:pPr>
    </w:p>
    <w:p w14:paraId="22D0A31C" w14:textId="4671B76B" w:rsidR="00433AFF" w:rsidRDefault="5B0D74A4" w:rsidP="39B561C1">
      <w:pPr>
        <w:spacing w:after="0" w:line="480" w:lineRule="auto"/>
      </w:pPr>
      <w:r w:rsidRPr="39B561C1">
        <w:rPr>
          <w:rFonts w:ascii="Times New Roman" w:eastAsia="Times New Roman" w:hAnsi="Times New Roman" w:cs="Times New Roman"/>
          <w:b/>
          <w:bCs/>
          <w:sz w:val="40"/>
          <w:szCs w:val="40"/>
        </w:rPr>
        <w:t xml:space="preserve"> </w:t>
      </w:r>
    </w:p>
    <w:p w14:paraId="74E9321C" w14:textId="3FB6F7DD" w:rsidR="00433AFF" w:rsidRDefault="5B0D74A4" w:rsidP="39B561C1">
      <w:pPr>
        <w:spacing w:after="0" w:line="480" w:lineRule="auto"/>
        <w:jc w:val="center"/>
      </w:pPr>
      <w:r w:rsidRPr="39B561C1">
        <w:rPr>
          <w:rFonts w:ascii="Times New Roman" w:eastAsia="Times New Roman" w:hAnsi="Times New Roman" w:cs="Times New Roman"/>
          <w:b/>
          <w:bCs/>
          <w:sz w:val="40"/>
          <w:szCs w:val="40"/>
        </w:rPr>
        <w:t>LCLM6002 DESIGN THINKING AND INNOVATION</w:t>
      </w:r>
    </w:p>
    <w:p w14:paraId="1CB40CD6" w14:textId="2D6A13EA" w:rsidR="00433AFF" w:rsidRDefault="5B0D74A4" w:rsidP="39B561C1">
      <w:pPr>
        <w:spacing w:after="0"/>
        <w:jc w:val="center"/>
      </w:pPr>
      <w:r w:rsidRPr="39B561C1">
        <w:rPr>
          <w:rFonts w:ascii="Times New Roman" w:eastAsia="Times New Roman" w:hAnsi="Times New Roman" w:cs="Times New Roman"/>
          <w:b/>
          <w:bCs/>
          <w:sz w:val="40"/>
          <w:szCs w:val="40"/>
        </w:rPr>
        <w:t xml:space="preserve">Individual report: </w:t>
      </w:r>
      <w:r w:rsidRPr="39B561C1">
        <w:rPr>
          <w:rFonts w:ascii="Times New Roman" w:eastAsia="Times New Roman" w:hAnsi="Times New Roman" w:cs="Times New Roman"/>
          <w:b/>
          <w:bCs/>
          <w:i/>
          <w:iCs/>
          <w:sz w:val="40"/>
          <w:szCs w:val="40"/>
        </w:rPr>
        <w:t>Design Thinking and Innovation through Digital Transformation</w:t>
      </w:r>
    </w:p>
    <w:p w14:paraId="44956D67" w14:textId="5596DB16" w:rsidR="00433AFF" w:rsidRDefault="5B0D74A4" w:rsidP="39B561C1">
      <w:pPr>
        <w:spacing w:after="0"/>
      </w:pPr>
      <w:r w:rsidRPr="39B561C1">
        <w:rPr>
          <w:rFonts w:ascii="Times New Roman" w:eastAsia="Times New Roman" w:hAnsi="Times New Roman" w:cs="Times New Roman"/>
          <w:b/>
          <w:bCs/>
          <w:sz w:val="48"/>
          <w:szCs w:val="48"/>
        </w:rPr>
        <w:t xml:space="preserve"> </w:t>
      </w:r>
    </w:p>
    <w:p w14:paraId="69929F63" w14:textId="6781815C" w:rsidR="00433AFF" w:rsidRDefault="5B0D74A4" w:rsidP="39B561C1">
      <w:pPr>
        <w:spacing w:after="0"/>
      </w:pPr>
      <w:r w:rsidRPr="39B561C1">
        <w:rPr>
          <w:rFonts w:ascii="Times New Roman" w:eastAsia="Times New Roman" w:hAnsi="Times New Roman" w:cs="Times New Roman"/>
          <w:b/>
          <w:bCs/>
          <w:sz w:val="48"/>
          <w:szCs w:val="48"/>
        </w:rPr>
        <w:t xml:space="preserve"> </w:t>
      </w:r>
    </w:p>
    <w:p w14:paraId="4376652E" w14:textId="05A0B307" w:rsidR="00433AFF" w:rsidRDefault="5B0D74A4" w:rsidP="39B561C1">
      <w:pPr>
        <w:spacing w:after="0"/>
      </w:pPr>
      <w:r w:rsidRPr="39B561C1">
        <w:rPr>
          <w:rFonts w:ascii="Times New Roman" w:eastAsia="Times New Roman" w:hAnsi="Times New Roman" w:cs="Times New Roman"/>
        </w:rPr>
        <w:t xml:space="preserve"> </w:t>
      </w:r>
    </w:p>
    <w:p w14:paraId="7E963504" w14:textId="7CBCAD48" w:rsidR="00433AFF" w:rsidRDefault="5B0D74A4" w:rsidP="39B561C1">
      <w:pPr>
        <w:spacing w:before="240" w:after="240" w:line="600" w:lineRule="auto"/>
        <w:jc w:val="center"/>
      </w:pPr>
      <w:r w:rsidRPr="39B561C1">
        <w:rPr>
          <w:rFonts w:ascii="Times New Roman" w:eastAsia="Times New Roman" w:hAnsi="Times New Roman" w:cs="Times New Roman"/>
          <w:b/>
          <w:bCs/>
          <w:sz w:val="32"/>
          <w:szCs w:val="32"/>
        </w:rPr>
        <w:t xml:space="preserve">Name: </w:t>
      </w:r>
      <w:r w:rsidRPr="39B561C1">
        <w:rPr>
          <w:rFonts w:ascii="Times New Roman" w:eastAsia="Times New Roman" w:hAnsi="Times New Roman" w:cs="Times New Roman"/>
          <w:sz w:val="32"/>
          <w:szCs w:val="32"/>
        </w:rPr>
        <w:t>Daniel</w:t>
      </w:r>
      <w:r w:rsidRPr="39B561C1">
        <w:rPr>
          <w:rFonts w:ascii="Times New Roman" w:eastAsia="Times New Roman" w:hAnsi="Times New Roman" w:cs="Times New Roman"/>
          <w:b/>
          <w:bCs/>
          <w:sz w:val="32"/>
          <w:szCs w:val="32"/>
        </w:rPr>
        <w:t>-</w:t>
      </w:r>
      <w:r w:rsidRPr="39B561C1">
        <w:rPr>
          <w:rFonts w:ascii="Times New Roman" w:eastAsia="Times New Roman" w:hAnsi="Times New Roman" w:cs="Times New Roman"/>
          <w:sz w:val="32"/>
          <w:szCs w:val="32"/>
        </w:rPr>
        <w:t>Eugen</w:t>
      </w:r>
      <w:r w:rsidRPr="39B561C1">
        <w:rPr>
          <w:rFonts w:ascii="Times New Roman" w:eastAsia="Times New Roman" w:hAnsi="Times New Roman" w:cs="Times New Roman"/>
          <w:b/>
          <w:bCs/>
          <w:sz w:val="32"/>
          <w:szCs w:val="32"/>
        </w:rPr>
        <w:t xml:space="preserve"> </w:t>
      </w:r>
      <w:r w:rsidRPr="39B561C1">
        <w:rPr>
          <w:rFonts w:ascii="Times New Roman" w:eastAsia="Times New Roman" w:hAnsi="Times New Roman" w:cs="Times New Roman"/>
          <w:sz w:val="32"/>
          <w:szCs w:val="32"/>
        </w:rPr>
        <w:t>Tranca</w:t>
      </w:r>
    </w:p>
    <w:p w14:paraId="6BE18287" w14:textId="6D44EE4B" w:rsidR="00433AFF" w:rsidRDefault="5B0D74A4" w:rsidP="39B561C1">
      <w:pPr>
        <w:spacing w:before="240" w:after="240" w:line="600" w:lineRule="auto"/>
        <w:jc w:val="center"/>
      </w:pPr>
      <w:r w:rsidRPr="39B561C1">
        <w:rPr>
          <w:rFonts w:ascii="Times New Roman" w:eastAsia="Times New Roman" w:hAnsi="Times New Roman" w:cs="Times New Roman"/>
          <w:b/>
          <w:bCs/>
          <w:sz w:val="32"/>
          <w:szCs w:val="32"/>
        </w:rPr>
        <w:t xml:space="preserve">Student Number: </w:t>
      </w:r>
      <w:r w:rsidRPr="39B561C1">
        <w:rPr>
          <w:rFonts w:ascii="Times New Roman" w:eastAsia="Times New Roman" w:hAnsi="Times New Roman" w:cs="Times New Roman"/>
          <w:sz w:val="32"/>
          <w:szCs w:val="32"/>
        </w:rPr>
        <w:t>2329475</w:t>
      </w:r>
    </w:p>
    <w:p w14:paraId="31DD7D60" w14:textId="6D032EB6"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625F8137" w14:textId="3B5670A9" w:rsidR="00433AFF" w:rsidRDefault="5B0D74A4" w:rsidP="39B561C1">
      <w:pPr>
        <w:spacing w:after="0" w:line="360" w:lineRule="auto"/>
        <w:jc w:val="both"/>
      </w:pPr>
      <w:r w:rsidRPr="39B561C1">
        <w:rPr>
          <w:rFonts w:ascii="Times New Roman" w:eastAsia="Times New Roman" w:hAnsi="Times New Roman" w:cs="Times New Roman"/>
          <w:b/>
          <w:bCs/>
          <w:sz w:val="36"/>
          <w:szCs w:val="36"/>
        </w:rPr>
        <w:t xml:space="preserve"> </w:t>
      </w:r>
    </w:p>
    <w:p w14:paraId="2608AB00" w14:textId="0D9C307C" w:rsidR="00433AFF" w:rsidRDefault="5B0D74A4" w:rsidP="39B561C1">
      <w:pPr>
        <w:spacing w:after="0" w:line="360" w:lineRule="auto"/>
        <w:jc w:val="both"/>
      </w:pPr>
      <w:r w:rsidRPr="39B561C1">
        <w:rPr>
          <w:rFonts w:ascii="Times New Roman" w:eastAsia="Times New Roman" w:hAnsi="Times New Roman" w:cs="Times New Roman"/>
          <w:b/>
          <w:bCs/>
          <w:sz w:val="36"/>
          <w:szCs w:val="36"/>
        </w:rPr>
        <w:t xml:space="preserve"> </w:t>
      </w:r>
    </w:p>
    <w:p w14:paraId="2B769718" w14:textId="4591B307" w:rsidR="00433AFF" w:rsidRDefault="5B0D74A4" w:rsidP="39B561C1">
      <w:pPr>
        <w:spacing w:after="0" w:line="360" w:lineRule="auto"/>
        <w:jc w:val="both"/>
      </w:pPr>
      <w:r w:rsidRPr="39B561C1">
        <w:rPr>
          <w:rFonts w:ascii="Times New Roman" w:eastAsia="Times New Roman" w:hAnsi="Times New Roman" w:cs="Times New Roman"/>
          <w:b/>
          <w:bCs/>
          <w:sz w:val="36"/>
          <w:szCs w:val="36"/>
        </w:rPr>
        <w:t xml:space="preserve"> </w:t>
      </w:r>
    </w:p>
    <w:p w14:paraId="23BC1209" w14:textId="59B911F2" w:rsidR="00433AFF" w:rsidRDefault="00433AFF" w:rsidP="39B561C1">
      <w:pPr>
        <w:spacing w:after="0" w:line="360" w:lineRule="auto"/>
        <w:jc w:val="both"/>
        <w:rPr>
          <w:rFonts w:ascii="Times New Roman" w:eastAsia="Times New Roman" w:hAnsi="Times New Roman" w:cs="Times New Roman"/>
          <w:b/>
          <w:bCs/>
          <w:sz w:val="36"/>
          <w:szCs w:val="36"/>
        </w:rPr>
      </w:pPr>
    </w:p>
    <w:p w14:paraId="32FABBBD" w14:textId="6150EBFB" w:rsidR="00433AFF" w:rsidRDefault="00433AFF" w:rsidP="39B561C1">
      <w:pPr>
        <w:spacing w:after="0" w:line="360" w:lineRule="auto"/>
        <w:jc w:val="both"/>
        <w:rPr>
          <w:rFonts w:ascii="Times New Roman" w:eastAsia="Times New Roman" w:hAnsi="Times New Roman" w:cs="Times New Roman"/>
          <w:b/>
          <w:bCs/>
          <w:sz w:val="36"/>
          <w:szCs w:val="36"/>
        </w:rPr>
      </w:pPr>
    </w:p>
    <w:p w14:paraId="0ECCB0DC" w14:textId="77C415CA" w:rsidR="00433AFF" w:rsidRDefault="00433AFF" w:rsidP="39B561C1">
      <w:pPr>
        <w:spacing w:after="0" w:line="360" w:lineRule="auto"/>
        <w:jc w:val="both"/>
        <w:rPr>
          <w:rFonts w:ascii="Times New Roman" w:eastAsia="Times New Roman" w:hAnsi="Times New Roman" w:cs="Times New Roman"/>
          <w:b/>
          <w:bCs/>
          <w:sz w:val="36"/>
          <w:szCs w:val="36"/>
        </w:rPr>
      </w:pPr>
    </w:p>
    <w:p w14:paraId="3E25CB8C" w14:textId="31578803" w:rsidR="00433AFF" w:rsidRDefault="00433AFF" w:rsidP="39B561C1">
      <w:pPr>
        <w:spacing w:after="0" w:line="360" w:lineRule="auto"/>
        <w:jc w:val="both"/>
        <w:rPr>
          <w:rFonts w:ascii="Times New Roman" w:eastAsia="Times New Roman" w:hAnsi="Times New Roman" w:cs="Times New Roman"/>
          <w:b/>
          <w:bCs/>
          <w:sz w:val="36"/>
          <w:szCs w:val="36"/>
        </w:rPr>
      </w:pPr>
    </w:p>
    <w:p w14:paraId="5C8EAE01" w14:textId="4C65CEF0" w:rsidR="00433AFF" w:rsidRDefault="00433AFF" w:rsidP="39B561C1">
      <w:pPr>
        <w:spacing w:after="0" w:line="360" w:lineRule="auto"/>
        <w:jc w:val="both"/>
        <w:rPr>
          <w:rFonts w:ascii="Times New Roman" w:eastAsia="Times New Roman" w:hAnsi="Times New Roman" w:cs="Times New Roman"/>
          <w:b/>
          <w:bCs/>
          <w:sz w:val="36"/>
          <w:szCs w:val="36"/>
        </w:rPr>
      </w:pPr>
    </w:p>
    <w:p w14:paraId="2928B4FD" w14:textId="5496C2BE" w:rsidR="00433AFF" w:rsidRDefault="00433AFF" w:rsidP="39B561C1">
      <w:pPr>
        <w:spacing w:after="0" w:line="360" w:lineRule="auto"/>
        <w:jc w:val="both"/>
        <w:rPr>
          <w:rFonts w:ascii="Times New Roman" w:eastAsia="Times New Roman" w:hAnsi="Times New Roman" w:cs="Times New Roman"/>
          <w:b/>
          <w:bCs/>
          <w:sz w:val="36"/>
          <w:szCs w:val="36"/>
        </w:rPr>
      </w:pPr>
    </w:p>
    <w:p w14:paraId="27D8A13F" w14:textId="12AE3F22" w:rsidR="00433AFF" w:rsidRDefault="5B0D74A4" w:rsidP="39B561C1">
      <w:pPr>
        <w:spacing w:after="0" w:line="360" w:lineRule="auto"/>
        <w:jc w:val="both"/>
      </w:pPr>
      <w:r w:rsidRPr="39B561C1">
        <w:rPr>
          <w:rFonts w:ascii="Times New Roman" w:eastAsia="Times New Roman" w:hAnsi="Times New Roman" w:cs="Times New Roman"/>
          <w:b/>
          <w:bCs/>
          <w:sz w:val="36"/>
          <w:szCs w:val="36"/>
        </w:rPr>
        <w:t xml:space="preserve"> </w:t>
      </w:r>
    </w:p>
    <w:p w14:paraId="6DC8982B" w14:textId="5AD11719" w:rsidR="00433AFF" w:rsidRDefault="5B0D74A4" w:rsidP="39B561C1">
      <w:pPr>
        <w:spacing w:before="480" w:after="0" w:line="276" w:lineRule="auto"/>
      </w:pPr>
      <w:r w:rsidRPr="39B561C1">
        <w:rPr>
          <w:rFonts w:ascii="Calibri Light" w:eastAsia="Calibri Light" w:hAnsi="Calibri Light" w:cs="Calibri Light"/>
          <w:b/>
          <w:bCs/>
          <w:color w:val="2F5496"/>
          <w:sz w:val="28"/>
          <w:szCs w:val="28"/>
          <w:lang w:val="en-US"/>
        </w:rPr>
        <w:t>Table of Contents</w:t>
      </w:r>
    </w:p>
    <w:p w14:paraId="458168C6" w14:textId="4BE9B8DF" w:rsidR="00433AFF" w:rsidRDefault="5B0D74A4" w:rsidP="39B561C1">
      <w:pPr>
        <w:tabs>
          <w:tab w:val="right" w:leader="dot" w:pos="9016"/>
        </w:tabs>
        <w:spacing w:before="120" w:after="0"/>
      </w:pPr>
      <w:hyperlink r:id="rId4" w:anchor="_Toc235136506">
        <w:r w:rsidRPr="39B561C1">
          <w:rPr>
            <w:rStyle w:val="Hyperlink"/>
            <w:b/>
            <w:bCs/>
            <w:color w:val="0000FF"/>
          </w:rPr>
          <w:t>Task 1: Design-Thinking Analysis of Viable UK Market Opportunities</w:t>
        </w:r>
        <w:r w:rsidR="009E63F3">
          <w:tab/>
        </w:r>
        <w:r w:rsidRPr="39B561C1">
          <w:rPr>
            <w:rStyle w:val="Hyperlink"/>
            <w:b/>
            <w:bCs/>
            <w:color w:val="0000FF"/>
          </w:rPr>
          <w:t>1</w:t>
        </w:r>
      </w:hyperlink>
    </w:p>
    <w:p w14:paraId="361A69AC" w14:textId="3DEED57D" w:rsidR="00433AFF" w:rsidRDefault="5B0D74A4" w:rsidP="39B561C1">
      <w:pPr>
        <w:tabs>
          <w:tab w:val="right" w:leader="dot" w:pos="9016"/>
        </w:tabs>
        <w:spacing w:after="0"/>
      </w:pPr>
      <w:hyperlink r:id="rId5" w:anchor="_Toc235136507">
        <w:r w:rsidRPr="39B561C1">
          <w:rPr>
            <w:rStyle w:val="Hyperlink"/>
            <w:b/>
            <w:bCs/>
            <w:color w:val="0000FF"/>
          </w:rPr>
          <w:t>Introduction</w:t>
        </w:r>
        <w:r w:rsidR="009E63F3">
          <w:tab/>
        </w:r>
        <w:r w:rsidRPr="39B561C1">
          <w:rPr>
            <w:rStyle w:val="Hyperlink"/>
            <w:color w:val="0000FF"/>
          </w:rPr>
          <w:t>1</w:t>
        </w:r>
      </w:hyperlink>
    </w:p>
    <w:p w14:paraId="30E4EED6" w14:textId="672BFFBB" w:rsidR="00433AFF" w:rsidRDefault="5B0D74A4" w:rsidP="39B561C1">
      <w:pPr>
        <w:tabs>
          <w:tab w:val="right" w:leader="dot" w:pos="9016"/>
        </w:tabs>
        <w:spacing w:after="0"/>
      </w:pPr>
      <w:hyperlink r:id="rId6" w:anchor="_Toc235136508">
        <w:r w:rsidRPr="39B561C1">
          <w:rPr>
            <w:rStyle w:val="Hyperlink"/>
            <w:b/>
            <w:bCs/>
            <w:color w:val="0000FF"/>
          </w:rPr>
          <w:t>Opportunity 1: A Rural Commerce Co-operative and Shared Fulfilment Network</w:t>
        </w:r>
        <w:r w:rsidR="009E63F3">
          <w:tab/>
        </w:r>
        <w:r w:rsidRPr="39B561C1">
          <w:rPr>
            <w:rStyle w:val="Hyperlink"/>
            <w:color w:val="0000FF"/>
          </w:rPr>
          <w:t>2</w:t>
        </w:r>
      </w:hyperlink>
    </w:p>
    <w:p w14:paraId="698ACFB9" w14:textId="5908CB4F" w:rsidR="00433AFF" w:rsidRDefault="5B0D74A4" w:rsidP="39B561C1">
      <w:pPr>
        <w:tabs>
          <w:tab w:val="right" w:leader="dot" w:pos="9016"/>
        </w:tabs>
        <w:spacing w:after="0"/>
      </w:pPr>
      <w:hyperlink r:id="rId7" w:anchor="_Toc235136509">
        <w:r w:rsidRPr="39B561C1">
          <w:rPr>
            <w:rStyle w:val="Hyperlink"/>
            <w:b/>
            <w:bCs/>
            <w:color w:val="0000FF"/>
          </w:rPr>
          <w:t>Opportunity 2: Collective Demand Forecasting and Purchasing for Micro-Retailers</w:t>
        </w:r>
        <w:r w:rsidR="009E63F3">
          <w:tab/>
        </w:r>
        <w:r w:rsidRPr="39B561C1">
          <w:rPr>
            <w:rStyle w:val="Hyperlink"/>
            <w:color w:val="0000FF"/>
          </w:rPr>
          <w:t>3</w:t>
        </w:r>
      </w:hyperlink>
    </w:p>
    <w:p w14:paraId="58ACF348" w14:textId="2CF6E37B" w:rsidR="00433AFF" w:rsidRDefault="5B0D74A4" w:rsidP="39B561C1">
      <w:pPr>
        <w:tabs>
          <w:tab w:val="right" w:leader="dot" w:pos="9016"/>
        </w:tabs>
        <w:spacing w:after="0"/>
      </w:pPr>
      <w:hyperlink r:id="rId8" w:anchor="_Toc235136510">
        <w:r w:rsidRPr="39B561C1">
          <w:rPr>
            <w:rStyle w:val="Hyperlink"/>
            <w:b/>
            <w:bCs/>
            <w:color w:val="0000FF"/>
          </w:rPr>
          <w:t>Opportunity 3: A Circular Returns and Local Recommerce Exchange</w:t>
        </w:r>
        <w:r w:rsidR="009E63F3">
          <w:tab/>
        </w:r>
        <w:r w:rsidRPr="39B561C1">
          <w:rPr>
            <w:rStyle w:val="Hyperlink"/>
            <w:color w:val="0000FF"/>
          </w:rPr>
          <w:t>4</w:t>
        </w:r>
      </w:hyperlink>
    </w:p>
    <w:p w14:paraId="5EBAAA75" w14:textId="316E9554" w:rsidR="00433AFF" w:rsidRDefault="5B0D74A4" w:rsidP="39B561C1">
      <w:pPr>
        <w:tabs>
          <w:tab w:val="right" w:leader="dot" w:pos="9016"/>
        </w:tabs>
        <w:spacing w:after="0"/>
      </w:pPr>
      <w:hyperlink r:id="rId9" w:anchor="_Toc235136511">
        <w:r w:rsidRPr="39B561C1">
          <w:rPr>
            <w:rStyle w:val="Hyperlink"/>
            <w:b/>
            <w:bCs/>
            <w:color w:val="0000FF"/>
          </w:rPr>
          <w:t>Opportunity 4: A Digital Trust Passport and Compliance Co-pilot for SMEs</w:t>
        </w:r>
        <w:r w:rsidR="009E63F3">
          <w:tab/>
        </w:r>
        <w:r w:rsidRPr="39B561C1">
          <w:rPr>
            <w:rStyle w:val="Hyperlink"/>
            <w:color w:val="0000FF"/>
          </w:rPr>
          <w:t>6</w:t>
        </w:r>
      </w:hyperlink>
    </w:p>
    <w:p w14:paraId="22D3D9CD" w14:textId="4A9F03D5" w:rsidR="00433AFF" w:rsidRDefault="5B0D74A4" w:rsidP="39B561C1">
      <w:pPr>
        <w:tabs>
          <w:tab w:val="right" w:leader="dot" w:pos="9016"/>
        </w:tabs>
        <w:spacing w:after="0"/>
      </w:pPr>
      <w:hyperlink r:id="rId10" w:anchor="_Toc235136512">
        <w:r w:rsidRPr="39B561C1">
          <w:rPr>
            <w:rStyle w:val="Hyperlink"/>
            <w:color w:val="0000FF"/>
          </w:rPr>
          <w:t>Cross-Cutting Feasibility and Responsible Innovation Considerations</w:t>
        </w:r>
        <w:r w:rsidR="009E63F3">
          <w:tab/>
        </w:r>
        <w:r w:rsidRPr="39B561C1">
          <w:rPr>
            <w:rStyle w:val="Hyperlink"/>
            <w:color w:val="0000FF"/>
          </w:rPr>
          <w:t>6</w:t>
        </w:r>
      </w:hyperlink>
    </w:p>
    <w:p w14:paraId="14CCBCF0" w14:textId="26F78A63" w:rsidR="00433AFF" w:rsidRDefault="5B0D74A4" w:rsidP="39B561C1">
      <w:pPr>
        <w:tabs>
          <w:tab w:val="right" w:leader="dot" w:pos="9016"/>
        </w:tabs>
        <w:spacing w:after="0"/>
      </w:pPr>
      <w:hyperlink r:id="rId11" w:anchor="_Toc235136513">
        <w:r w:rsidRPr="39B561C1">
          <w:rPr>
            <w:rStyle w:val="Hyperlink"/>
            <w:b/>
            <w:bCs/>
            <w:color w:val="0000FF"/>
          </w:rPr>
          <w:t>Evaluation and Prioritisation</w:t>
        </w:r>
        <w:r w:rsidR="009E63F3">
          <w:tab/>
        </w:r>
        <w:r w:rsidRPr="39B561C1">
          <w:rPr>
            <w:rStyle w:val="Hyperlink"/>
            <w:color w:val="0000FF"/>
          </w:rPr>
          <w:t>6</w:t>
        </w:r>
      </w:hyperlink>
    </w:p>
    <w:p w14:paraId="34D608AC" w14:textId="40625117" w:rsidR="00433AFF" w:rsidRDefault="5B0D74A4" w:rsidP="39B561C1">
      <w:pPr>
        <w:tabs>
          <w:tab w:val="right" w:leader="dot" w:pos="9016"/>
        </w:tabs>
        <w:spacing w:before="120" w:after="0"/>
      </w:pPr>
      <w:hyperlink r:id="rId12" w:anchor="_Toc235136514">
        <w:r w:rsidRPr="39B561C1">
          <w:rPr>
            <w:rStyle w:val="Hyperlink"/>
            <w:b/>
            <w:bCs/>
            <w:color w:val="0000FF"/>
          </w:rPr>
          <w:t>Conclusion</w:t>
        </w:r>
        <w:r w:rsidR="009E63F3">
          <w:tab/>
        </w:r>
        <w:r w:rsidRPr="39B561C1">
          <w:rPr>
            <w:rStyle w:val="Hyperlink"/>
            <w:b/>
            <w:bCs/>
            <w:color w:val="0000FF"/>
          </w:rPr>
          <w:t>6</w:t>
        </w:r>
      </w:hyperlink>
    </w:p>
    <w:p w14:paraId="580CCD01" w14:textId="5B990287" w:rsidR="00433AFF" w:rsidRDefault="5B0D74A4" w:rsidP="39B561C1">
      <w:pPr>
        <w:tabs>
          <w:tab w:val="right" w:leader="dot" w:pos="9016"/>
        </w:tabs>
        <w:spacing w:before="120" w:after="0"/>
      </w:pPr>
      <w:hyperlink r:id="rId13" w:anchor="_Toc235136515">
        <w:r w:rsidRPr="39B561C1">
          <w:rPr>
            <w:rStyle w:val="Hyperlink"/>
            <w:b/>
            <w:bCs/>
            <w:color w:val="0000FF"/>
          </w:rPr>
          <w:t>Task 2: Applying Design Thinking to Develop BridgeBasket</w:t>
        </w:r>
        <w:r w:rsidR="009E63F3">
          <w:tab/>
        </w:r>
        <w:r w:rsidRPr="39B561C1">
          <w:rPr>
            <w:rStyle w:val="Hyperlink"/>
            <w:b/>
            <w:bCs/>
            <w:color w:val="0000FF"/>
          </w:rPr>
          <w:t>7</w:t>
        </w:r>
      </w:hyperlink>
    </w:p>
    <w:p w14:paraId="543DE5EE" w14:textId="4E374F52" w:rsidR="00433AFF" w:rsidRDefault="5B0D74A4" w:rsidP="39B561C1">
      <w:pPr>
        <w:tabs>
          <w:tab w:val="right" w:leader="dot" w:pos="9016"/>
        </w:tabs>
        <w:spacing w:after="0"/>
      </w:pPr>
      <w:hyperlink r:id="rId14" w:anchor="_Toc235136516">
        <w:r w:rsidRPr="39B561C1">
          <w:rPr>
            <w:rStyle w:val="Hyperlink"/>
            <w:color w:val="0000FF"/>
          </w:rPr>
          <w:t>Empathise</w:t>
        </w:r>
        <w:r w:rsidR="009E63F3">
          <w:tab/>
        </w:r>
        <w:r w:rsidRPr="39B561C1">
          <w:rPr>
            <w:rStyle w:val="Hyperlink"/>
            <w:color w:val="0000FF"/>
          </w:rPr>
          <w:t>7</w:t>
        </w:r>
      </w:hyperlink>
    </w:p>
    <w:p w14:paraId="53A947A0" w14:textId="257EBD0E" w:rsidR="00433AFF" w:rsidRDefault="5B0D74A4" w:rsidP="39B561C1">
      <w:pPr>
        <w:tabs>
          <w:tab w:val="right" w:leader="dot" w:pos="9016"/>
        </w:tabs>
        <w:spacing w:after="0"/>
      </w:pPr>
      <w:hyperlink r:id="rId15" w:anchor="_Toc235136517">
        <w:r w:rsidRPr="39B561C1">
          <w:rPr>
            <w:rStyle w:val="Hyperlink"/>
            <w:color w:val="0000FF"/>
          </w:rPr>
          <w:t>Define</w:t>
        </w:r>
        <w:r w:rsidR="009E63F3">
          <w:tab/>
        </w:r>
        <w:r w:rsidRPr="39B561C1">
          <w:rPr>
            <w:rStyle w:val="Hyperlink"/>
            <w:color w:val="0000FF"/>
          </w:rPr>
          <w:t>7</w:t>
        </w:r>
      </w:hyperlink>
    </w:p>
    <w:p w14:paraId="7A455641" w14:textId="7734E44E" w:rsidR="00433AFF" w:rsidRDefault="5B0D74A4" w:rsidP="39B561C1">
      <w:pPr>
        <w:tabs>
          <w:tab w:val="right" w:leader="dot" w:pos="9016"/>
        </w:tabs>
        <w:spacing w:after="0"/>
      </w:pPr>
      <w:hyperlink r:id="rId16" w:anchor="_Toc235136518">
        <w:r w:rsidRPr="39B561C1">
          <w:rPr>
            <w:rStyle w:val="Hyperlink"/>
            <w:color w:val="0000FF"/>
          </w:rPr>
          <w:t>Ideate</w:t>
        </w:r>
        <w:r w:rsidR="009E63F3">
          <w:tab/>
        </w:r>
        <w:r w:rsidRPr="39B561C1">
          <w:rPr>
            <w:rStyle w:val="Hyperlink"/>
            <w:color w:val="0000FF"/>
          </w:rPr>
          <w:t>8</w:t>
        </w:r>
      </w:hyperlink>
    </w:p>
    <w:p w14:paraId="0491FF85" w14:textId="336A1360" w:rsidR="00433AFF" w:rsidRDefault="5B0D74A4" w:rsidP="39B561C1">
      <w:pPr>
        <w:tabs>
          <w:tab w:val="right" w:leader="dot" w:pos="9016"/>
        </w:tabs>
        <w:spacing w:after="0"/>
      </w:pPr>
      <w:hyperlink r:id="rId17" w:anchor="_Toc235136519">
        <w:r w:rsidRPr="39B561C1">
          <w:rPr>
            <w:rStyle w:val="Hyperlink"/>
            <w:color w:val="0000FF"/>
          </w:rPr>
          <w:t>Prototype</w:t>
        </w:r>
        <w:r w:rsidR="009E63F3">
          <w:tab/>
        </w:r>
        <w:r w:rsidRPr="39B561C1">
          <w:rPr>
            <w:rStyle w:val="Hyperlink"/>
            <w:color w:val="0000FF"/>
          </w:rPr>
          <w:t>8</w:t>
        </w:r>
      </w:hyperlink>
    </w:p>
    <w:p w14:paraId="207FE914" w14:textId="0E911A0B" w:rsidR="00433AFF" w:rsidRDefault="5B0D74A4" w:rsidP="39B561C1">
      <w:pPr>
        <w:tabs>
          <w:tab w:val="right" w:leader="dot" w:pos="9016"/>
        </w:tabs>
        <w:spacing w:after="0"/>
      </w:pPr>
      <w:hyperlink r:id="rId18" w:anchor="_Toc235136520">
        <w:r w:rsidRPr="39B561C1">
          <w:rPr>
            <w:rStyle w:val="Hyperlink"/>
            <w:color w:val="0000FF"/>
          </w:rPr>
          <w:t>Test and refine</w:t>
        </w:r>
        <w:r w:rsidR="009E63F3">
          <w:tab/>
        </w:r>
        <w:r w:rsidRPr="39B561C1">
          <w:rPr>
            <w:rStyle w:val="Hyperlink"/>
            <w:color w:val="0000FF"/>
          </w:rPr>
          <w:t>8</w:t>
        </w:r>
      </w:hyperlink>
    </w:p>
    <w:p w14:paraId="38B095E3" w14:textId="577DA694" w:rsidR="00433AFF" w:rsidRDefault="5B0D74A4" w:rsidP="39B561C1">
      <w:pPr>
        <w:tabs>
          <w:tab w:val="right" w:leader="dot" w:pos="9016"/>
        </w:tabs>
        <w:spacing w:before="120" w:after="0"/>
      </w:pPr>
      <w:hyperlink r:id="rId19" w:anchor="_Toc235136521">
        <w:r w:rsidRPr="39B561C1">
          <w:rPr>
            <w:rStyle w:val="Hyperlink"/>
            <w:b/>
            <w:bCs/>
            <w:color w:val="0000FF"/>
          </w:rPr>
          <w:t>Conclusion</w:t>
        </w:r>
        <w:r w:rsidR="009E63F3">
          <w:tab/>
        </w:r>
        <w:r w:rsidRPr="39B561C1">
          <w:rPr>
            <w:rStyle w:val="Hyperlink"/>
            <w:b/>
            <w:bCs/>
            <w:color w:val="0000FF"/>
          </w:rPr>
          <w:t>9</w:t>
        </w:r>
      </w:hyperlink>
    </w:p>
    <w:p w14:paraId="2FC14EAC" w14:textId="71FBE607" w:rsidR="00433AFF" w:rsidRDefault="5B0D74A4" w:rsidP="39B561C1">
      <w:pPr>
        <w:tabs>
          <w:tab w:val="right" w:leader="dot" w:pos="9016"/>
        </w:tabs>
        <w:spacing w:before="120" w:after="0"/>
      </w:pPr>
      <w:hyperlink r:id="rId20" w:anchor="_Toc235136522">
        <w:r w:rsidRPr="39B561C1">
          <w:rPr>
            <w:rStyle w:val="Hyperlink"/>
            <w:b/>
            <w:bCs/>
            <w:color w:val="0000FF"/>
          </w:rPr>
          <w:t>References</w:t>
        </w:r>
        <w:r w:rsidR="009E63F3">
          <w:tab/>
        </w:r>
        <w:r w:rsidRPr="39B561C1">
          <w:rPr>
            <w:rStyle w:val="Hyperlink"/>
            <w:b/>
            <w:bCs/>
            <w:color w:val="0000FF"/>
          </w:rPr>
          <w:t>9</w:t>
        </w:r>
      </w:hyperlink>
    </w:p>
    <w:p w14:paraId="732DA18E" w14:textId="5F175E66" w:rsidR="00433AFF" w:rsidRDefault="5B0D74A4" w:rsidP="39B561C1">
      <w:pPr>
        <w:spacing w:after="0" w:line="360" w:lineRule="auto"/>
        <w:jc w:val="both"/>
      </w:pPr>
      <w:r w:rsidRPr="39B561C1">
        <w:rPr>
          <w:rFonts w:ascii="Times New Roman" w:eastAsia="Times New Roman" w:hAnsi="Times New Roman" w:cs="Times New Roman"/>
          <w:b/>
          <w:bCs/>
          <w:sz w:val="36"/>
          <w:szCs w:val="36"/>
        </w:rPr>
        <w:t>Task 1: Design-Thinking Analysis of Viable UK Market Opportunities</w:t>
      </w:r>
    </w:p>
    <w:p w14:paraId="0E0C7526" w14:textId="2A5DE22A" w:rsidR="00433AFF" w:rsidRDefault="5B0D74A4" w:rsidP="39B561C1">
      <w:pPr>
        <w:spacing w:after="0" w:line="360" w:lineRule="auto"/>
        <w:jc w:val="both"/>
      </w:pPr>
      <w:r w:rsidRPr="39B561C1">
        <w:rPr>
          <w:rFonts w:ascii="Times New Roman" w:eastAsia="Times New Roman" w:hAnsi="Times New Roman" w:cs="Times New Roman"/>
          <w:b/>
          <w:bCs/>
          <w:sz w:val="27"/>
          <w:szCs w:val="27"/>
        </w:rPr>
        <w:t>Introduction</w:t>
      </w:r>
    </w:p>
    <w:p w14:paraId="2A5F5A09" w14:textId="5E29C78E" w:rsidR="00433AFF" w:rsidRDefault="5B0D74A4" w:rsidP="39B561C1">
      <w:pPr>
        <w:spacing w:after="0" w:line="360" w:lineRule="auto"/>
        <w:jc w:val="both"/>
      </w:pPr>
      <w:r w:rsidRPr="39B561C1">
        <w:rPr>
          <w:rFonts w:ascii="Times New Roman" w:eastAsia="Times New Roman" w:hAnsi="Times New Roman" w:cs="Times New Roman"/>
        </w:rPr>
        <w:t>The scenario demonstrates that COVID-19 did more than temporarily increase online shopping. It changed the “job” that consumers expect commerce to perform: purchasing should now be convenient, locally available, trackable and possible through a mobile device. In May 2026, online transactions represented 28.8% of retail sales in Great Britain, showing that digital purchasing remains embedded beyond the pandemic period (Office for National Statistics, 2026). The opportunity is particularly significant because the UK contained approximately 5.7 million private-sector businesses at the beginning of 2025, 99.85% of which were SMEs and 75% of which had no employees other than their owners (Department for Business and Trade, 2025a).</w:t>
      </w:r>
    </w:p>
    <w:p w14:paraId="52DF9F3D" w14:textId="31CCFF1F" w:rsidR="00433AFF" w:rsidRDefault="5B0D74A4" w:rsidP="39B561C1">
      <w:pPr>
        <w:spacing w:after="0" w:line="360" w:lineRule="auto"/>
        <w:jc w:val="both"/>
      </w:pPr>
      <w:r w:rsidRPr="39B561C1">
        <w:rPr>
          <w:rFonts w:ascii="Times New Roman" w:eastAsia="Times New Roman" w:hAnsi="Times New Roman" w:cs="Times New Roman"/>
        </w:rPr>
        <w:t xml:space="preserve">A design-thinking approach will therefore begin by empathising with specific users rather than assuming that another standard website builder is required. Interviews, observation and customer-journey mapping could explore how a farm producer manages WhatsApp orders, how an independent retailer handles unsold stock or how a rural consumer receives and returns parcels. These insights would be converted during the </w:t>
      </w:r>
      <w:r w:rsidRPr="39B561C1">
        <w:rPr>
          <w:rFonts w:ascii="Times New Roman" w:eastAsia="Times New Roman" w:hAnsi="Times New Roman" w:cs="Times New Roman"/>
          <w:b/>
          <w:bCs/>
        </w:rPr>
        <w:t>Define</w:t>
      </w:r>
      <w:r w:rsidRPr="39B561C1">
        <w:rPr>
          <w:rFonts w:ascii="Times New Roman" w:eastAsia="Times New Roman" w:hAnsi="Times New Roman" w:cs="Times New Roman"/>
        </w:rPr>
        <w:t xml:space="preserve"> stage into precise problem statements. The Jobs-to-be-Done approach is also useful because customers do not simply “buy software”; they employ a solution to save time, reduce uncertainty or reach customers more reliably (Christensen et al., 2016).</w:t>
      </w:r>
    </w:p>
    <w:p w14:paraId="703943AB" w14:textId="53340AC7" w:rsidR="00433AFF" w:rsidRDefault="5B0D74A4" w:rsidP="39B561C1">
      <w:pPr>
        <w:spacing w:after="0" w:line="360" w:lineRule="auto"/>
        <w:jc w:val="both"/>
      </w:pPr>
      <w:r w:rsidRPr="39B561C1">
        <w:rPr>
          <w:rFonts w:ascii="Times New Roman" w:eastAsia="Times New Roman" w:hAnsi="Times New Roman" w:cs="Times New Roman"/>
        </w:rPr>
        <w:t>Ideas will then be developed through the Design Council’s Double Diamond, which involves exploring the problem broadly before defining and developing a focused solution. Low-cost prototypes can subsequently be refined through the Lean Startup build-measure-learn process (Design Council, 2019; Ries, 2011). This ensures that a business idea is desirable to customers, technically feasible and financially viable. On this basis, four less conventional but commercially promising opportunity areas emerge.</w:t>
      </w:r>
    </w:p>
    <w:p w14:paraId="1B1F79A0" w14:textId="00BE87D7"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5325A935" w14:textId="0983570B" w:rsidR="00433AFF" w:rsidRDefault="5B0D74A4" w:rsidP="39B561C1">
      <w:pPr>
        <w:spacing w:after="0" w:line="360" w:lineRule="auto"/>
        <w:jc w:val="both"/>
      </w:pPr>
      <w:r w:rsidRPr="39B561C1">
        <w:rPr>
          <w:rFonts w:ascii="Times New Roman" w:eastAsia="Times New Roman" w:hAnsi="Times New Roman" w:cs="Times New Roman"/>
          <w:b/>
          <w:bCs/>
          <w:sz w:val="27"/>
          <w:szCs w:val="27"/>
        </w:rPr>
        <w:t>Opportunity 1: A Rural Commerce Co-operative and Shared Fulfilment Network</w:t>
      </w:r>
    </w:p>
    <w:p w14:paraId="21741593" w14:textId="79C5217E" w:rsidR="00433AFF" w:rsidRDefault="5B0D74A4" w:rsidP="39B561C1">
      <w:pPr>
        <w:spacing w:after="0" w:line="360" w:lineRule="auto"/>
        <w:jc w:val="both"/>
      </w:pPr>
      <w:r w:rsidRPr="39B561C1">
        <w:rPr>
          <w:rFonts w:ascii="Times New Roman" w:eastAsia="Times New Roman" w:hAnsi="Times New Roman" w:cs="Times New Roman"/>
        </w:rPr>
        <w:t>A viable opportunity is a digital co-operative through which independent retailers, farms, market traders and service providers in one locality share a common online marketplace, collection points and delivery resources. The principal user pain point is not always the absence of an e-commerce website; it is that individual rural businesses lack the order density, time and bargaining power needed to operate online efficiently. A farm shop may receive orders through Facebook, another producer through WhatsApp and a local bookshop through its own website, yet each arranges separate packaging, payment and delivery. Consumers consequently face multiple delivery charges, fragmented ordering systems and inconvenient collection times.</w:t>
      </w:r>
    </w:p>
    <w:p w14:paraId="22C00851" w14:textId="6C402E77" w:rsidR="00433AFF" w:rsidRDefault="5B0D74A4" w:rsidP="39B561C1">
      <w:pPr>
        <w:spacing w:after="0" w:line="360" w:lineRule="auto"/>
        <w:jc w:val="both"/>
      </w:pPr>
      <w:r w:rsidRPr="39B561C1">
        <w:rPr>
          <w:rFonts w:ascii="Times New Roman" w:eastAsia="Times New Roman" w:hAnsi="Times New Roman" w:cs="Times New Roman"/>
        </w:rPr>
        <w:t>The market gap exists between national marketplaces, which may charge significant commissions and weaken the identity of local businesses, and standalone websites, which leave each microbusiness responsible for fulfilment. The proposed venture would allow customers to place one combined order from several nearby sellers and select home delivery or collection from a pub, post office, library or participating shop. This applies Blue Ocean Strategy by creating a shared local-commerce category rather than competing directly with conventional website providers or national couriers (Kim and Mauborgne, 2015).</w:t>
      </w:r>
    </w:p>
    <w:p w14:paraId="180D51FA" w14:textId="3BA46903" w:rsidR="00433AFF" w:rsidRDefault="5B0D74A4" w:rsidP="39B561C1">
      <w:pPr>
        <w:spacing w:after="0" w:line="360" w:lineRule="auto"/>
        <w:jc w:val="both"/>
      </w:pPr>
      <w:r w:rsidRPr="39B561C1">
        <w:rPr>
          <w:rFonts w:ascii="Times New Roman" w:eastAsia="Times New Roman" w:hAnsi="Times New Roman" w:cs="Times New Roman"/>
        </w:rPr>
        <w:t>The main technological enablers include cloud-based catalogues, open payment APIs, route-optimisation software, QR collection codes and mobile inventory updates. UK connectivity is increasingly capable of supporting such a model. By the end of March 2025, more than 87% of UK homes and businesses had access to gigabit-capable broadband, while Ofcom reported that full-fibre take-up was proportionally higher in rural premises than in urban areas (Building Digital UK, 2025; Ofcom, 2025).</w:t>
      </w:r>
    </w:p>
    <w:p w14:paraId="71C6EC6E" w14:textId="4C99C3F5" w:rsidR="00433AFF" w:rsidRDefault="5B0D74A4" w:rsidP="39B561C1">
      <w:pPr>
        <w:spacing w:after="0" w:line="360" w:lineRule="auto"/>
        <w:jc w:val="both"/>
      </w:pPr>
      <w:r w:rsidRPr="39B561C1">
        <w:rPr>
          <w:rFonts w:ascii="Times New Roman" w:eastAsia="Times New Roman" w:hAnsi="Times New Roman" w:cs="Times New Roman"/>
        </w:rPr>
        <w:t>The model is scalable through geographic replication rather than by centralising every operation. A venture could license the platform to local authorities, business improvement districts, farm co-operatives or producer groups, with income generated through subscriptions and small transaction fees. Sustainability is built into the model because consolidated orders and shared collection points can reduce duplicated journeys, packaging and failed deliveries.</w:t>
      </w:r>
    </w:p>
    <w:p w14:paraId="0E6F34FB" w14:textId="7FC724DB" w:rsidR="00433AFF" w:rsidRDefault="5B0D74A4" w:rsidP="39B561C1">
      <w:pPr>
        <w:spacing w:after="0" w:line="360" w:lineRule="auto"/>
        <w:jc w:val="both"/>
      </w:pPr>
      <w:r w:rsidRPr="39B561C1">
        <w:rPr>
          <w:rFonts w:ascii="Times New Roman" w:eastAsia="Times New Roman" w:hAnsi="Times New Roman" w:cs="Times New Roman"/>
        </w:rPr>
        <w:t xml:space="preserve">During the </w:t>
      </w:r>
      <w:r w:rsidRPr="39B561C1">
        <w:rPr>
          <w:rFonts w:ascii="Times New Roman" w:eastAsia="Times New Roman" w:hAnsi="Times New Roman" w:cs="Times New Roman"/>
          <w:b/>
          <w:bCs/>
        </w:rPr>
        <w:t>Prototype</w:t>
      </w:r>
      <w:r w:rsidRPr="39B561C1">
        <w:rPr>
          <w:rFonts w:ascii="Times New Roman" w:eastAsia="Times New Roman" w:hAnsi="Times New Roman" w:cs="Times New Roman"/>
        </w:rPr>
        <w:t xml:space="preserve"> and </w:t>
      </w:r>
      <w:r w:rsidRPr="39B561C1">
        <w:rPr>
          <w:rFonts w:ascii="Times New Roman" w:eastAsia="Times New Roman" w:hAnsi="Times New Roman" w:cs="Times New Roman"/>
          <w:b/>
          <w:bCs/>
        </w:rPr>
        <w:t>Test</w:t>
      </w:r>
      <w:r w:rsidRPr="39B561C1">
        <w:rPr>
          <w:rFonts w:ascii="Times New Roman" w:eastAsia="Times New Roman" w:hAnsi="Times New Roman" w:cs="Times New Roman"/>
        </w:rPr>
        <w:t xml:space="preserve"> stages, the concept could be trialled within one village cluster involving ten businesses and one shared collection point. Measures should include the percentage of orders consolidated, delivery cost per basket, repeat purchasing, seller administration time and vehicle miles avoided. This opportunity could develop a strong competitive advantage because its value comes from local partnerships and network density rather than only from software that competitors could copy.</w:t>
      </w:r>
    </w:p>
    <w:p w14:paraId="20AB8E28" w14:textId="48193E47" w:rsidR="00433AFF" w:rsidRDefault="5B0D74A4" w:rsidP="39B561C1">
      <w:pPr>
        <w:spacing w:after="0" w:line="360" w:lineRule="auto"/>
        <w:jc w:val="both"/>
      </w:pPr>
      <w:r w:rsidRPr="39B561C1">
        <w:rPr>
          <w:rFonts w:ascii="Times New Roman" w:eastAsia="Times New Roman" w:hAnsi="Times New Roman" w:cs="Times New Roman"/>
          <w:b/>
          <w:bCs/>
          <w:sz w:val="27"/>
          <w:szCs w:val="27"/>
        </w:rPr>
        <w:t>Opportunity 2: Collective Demand Forecasting and Purchasing for Micro-Retailers</w:t>
      </w:r>
    </w:p>
    <w:p w14:paraId="6BDD0DBD" w14:textId="58A8B108" w:rsidR="00433AFF" w:rsidRDefault="5B0D74A4" w:rsidP="39B561C1">
      <w:pPr>
        <w:spacing w:after="0" w:line="360" w:lineRule="auto"/>
        <w:jc w:val="both"/>
      </w:pPr>
      <w:r w:rsidRPr="39B561C1">
        <w:rPr>
          <w:rFonts w:ascii="Times New Roman" w:eastAsia="Times New Roman" w:hAnsi="Times New Roman" w:cs="Times New Roman"/>
        </w:rPr>
        <w:t>A second opportunity is a data platform that helps independent retailers and local producers forecast demand collectively and purchase supplies together. A major user pain point is uncertainty. Small firms frequently lack enough historical data to predict changes in demand and cannot afford the analytical systems used by national retailers. They may over-order perishable or seasonal products, lose sales through stock shortages or pay higher wholesale prices because each business purchases relatively small quantities independently.</w:t>
      </w:r>
    </w:p>
    <w:p w14:paraId="2C2D0CEA" w14:textId="44ABA912" w:rsidR="00433AFF" w:rsidRDefault="5B0D74A4" w:rsidP="39B561C1">
      <w:pPr>
        <w:spacing w:after="0" w:line="360" w:lineRule="auto"/>
        <w:jc w:val="both"/>
      </w:pPr>
      <w:r w:rsidRPr="39B561C1">
        <w:rPr>
          <w:rFonts w:ascii="Times New Roman" w:eastAsia="Times New Roman" w:hAnsi="Times New Roman" w:cs="Times New Roman"/>
        </w:rPr>
        <w:t>The technological-adoption problem is not simply that SMEs refuse to use advanced software. Research found that the most common barrier to AI adoption among UK firms was difficulty identifying appropriate business activities or use cases, followed by cost and limited expertise (Office for National Statistics, 2025). This suggests that SMEs require a service that provides clear commercial actions rather than a complicated AI dashboard.</w:t>
      </w:r>
    </w:p>
    <w:p w14:paraId="21F558E2" w14:textId="27BD101F" w:rsidR="00433AFF" w:rsidRDefault="5B0D74A4" w:rsidP="39B561C1">
      <w:pPr>
        <w:spacing w:after="0" w:line="360" w:lineRule="auto"/>
        <w:jc w:val="both"/>
      </w:pPr>
      <w:r w:rsidRPr="39B561C1">
        <w:rPr>
          <w:rFonts w:ascii="Times New Roman" w:eastAsia="Times New Roman" w:hAnsi="Times New Roman" w:cs="Times New Roman"/>
        </w:rPr>
        <w:t xml:space="preserve">The market gap is therefore a neutral </w:t>
      </w:r>
      <w:r w:rsidRPr="39B561C1">
        <w:rPr>
          <w:rFonts w:ascii="Times New Roman" w:eastAsia="Times New Roman" w:hAnsi="Times New Roman" w:cs="Times New Roman"/>
          <w:b/>
          <w:bCs/>
        </w:rPr>
        <w:t>data co-operative</w:t>
      </w:r>
      <w:r w:rsidRPr="39B561C1">
        <w:rPr>
          <w:rFonts w:ascii="Times New Roman" w:eastAsia="Times New Roman" w:hAnsi="Times New Roman" w:cs="Times New Roman"/>
        </w:rPr>
        <w:t xml:space="preserve"> designed for smaller firms. Participating businesses would contribute anonymised sales and inventory information in exchange for local demand forecasts, recommended reorder levels and access to collective purchasing. For example, several independent cafés could combine expected demand for takeaway packaging, milk alternatives or cleaning products. Local food retailers could coordinate purchases of seasonal produce, while market traders could share anonymised information about changing customer demand.</w:t>
      </w:r>
    </w:p>
    <w:p w14:paraId="559C840A" w14:textId="2A4FAF3C" w:rsidR="00433AFF" w:rsidRDefault="5B0D74A4" w:rsidP="39B561C1">
      <w:pPr>
        <w:spacing w:after="0" w:line="360" w:lineRule="auto"/>
        <w:jc w:val="both"/>
      </w:pPr>
      <w:r w:rsidRPr="39B561C1">
        <w:rPr>
          <w:rFonts w:ascii="Times New Roman" w:eastAsia="Times New Roman" w:hAnsi="Times New Roman" w:cs="Times New Roman"/>
        </w:rPr>
        <w:t>The technological enablers include point-of-sale integrations, cloud analytics, machine-learning forecasting, weather data and local events information. Privacy-preserving aggregation could prevent businesses from seeing competitors’ individual sales figures. The platform should translate the analysis into practical recommendations such as “delay this order”, “increase weekend stock” or “join a collective purchase” rather than requiring owners to interpret complex graphs.</w:t>
      </w:r>
    </w:p>
    <w:p w14:paraId="42B9C150" w14:textId="37025E8F" w:rsidR="00433AFF" w:rsidRDefault="5B0D74A4" w:rsidP="39B561C1">
      <w:pPr>
        <w:spacing w:after="0" w:line="360" w:lineRule="auto"/>
        <w:jc w:val="both"/>
      </w:pPr>
      <w:r w:rsidRPr="39B561C1">
        <w:rPr>
          <w:rFonts w:ascii="Times New Roman" w:eastAsia="Times New Roman" w:hAnsi="Times New Roman" w:cs="Times New Roman"/>
        </w:rPr>
        <w:t>Scalability would be supported by network effects. Forecasts could become more accurate as additional comparable businesses contribute data, while larger collective orders could improve negotiating power with suppliers. Revenue could be generated through subscriptions, a percentage of verified purchasing savings or transparent supplier referral fees. Technology adoption is associated with benefits such as time savings, lower costs, improved decisions and better communication, supporting the potential value proposition of this service (Department for Business and Trade, 2025b).</w:t>
      </w:r>
    </w:p>
    <w:p w14:paraId="4D8DF434" w14:textId="41C523D3" w:rsidR="00433AFF" w:rsidRDefault="5B0D74A4" w:rsidP="39B561C1">
      <w:pPr>
        <w:spacing w:after="0" w:line="360" w:lineRule="auto"/>
        <w:jc w:val="both"/>
      </w:pPr>
      <w:r w:rsidRPr="39B561C1">
        <w:rPr>
          <w:rFonts w:ascii="Times New Roman" w:eastAsia="Times New Roman" w:hAnsi="Times New Roman" w:cs="Times New Roman"/>
        </w:rPr>
        <w:t xml:space="preserve">The opportunity also contributes to sustainability because more accurate forecasting can reduce food waste, unsold products, emergency deliveries and unnecessary storage. However, the </w:t>
      </w:r>
      <w:r w:rsidRPr="39B561C1">
        <w:rPr>
          <w:rFonts w:ascii="Times New Roman" w:eastAsia="Times New Roman" w:hAnsi="Times New Roman" w:cs="Times New Roman"/>
          <w:b/>
          <w:bCs/>
        </w:rPr>
        <w:t>Empathise</w:t>
      </w:r>
      <w:r w:rsidRPr="39B561C1">
        <w:rPr>
          <w:rFonts w:ascii="Times New Roman" w:eastAsia="Times New Roman" w:hAnsi="Times New Roman" w:cs="Times New Roman"/>
        </w:rPr>
        <w:t xml:space="preserve"> stage must investigate whether owners trust collective data sharing and which information they consider commercially sensitive. A minimum viable product could initially accept spreadsheet uploads rather than requiring expensive live integrations. Testing should compare forecasting accuracy, waste levels, stock shortages and purchasing costs against each firm’s previous methods.</w:t>
      </w:r>
    </w:p>
    <w:p w14:paraId="12256CC2" w14:textId="5B196DDD" w:rsidR="00433AFF" w:rsidRDefault="5B0D74A4" w:rsidP="39B561C1">
      <w:pPr>
        <w:spacing w:after="0" w:line="360" w:lineRule="auto"/>
        <w:jc w:val="both"/>
      </w:pPr>
      <w:r w:rsidRPr="39B561C1">
        <w:rPr>
          <w:rFonts w:ascii="Times New Roman" w:eastAsia="Times New Roman" w:hAnsi="Times New Roman" w:cs="Times New Roman"/>
        </w:rPr>
        <w:t>This approach follows effectuation theory because the venture can begin with the resources, businesses and datasets already available in one location and expand as partners make commitments (Sarasvathy, 2001). It therefore avoids the risk of spending heavily on a national platform before demonstrating that businesses will share data and pay for the service.</w:t>
      </w:r>
    </w:p>
    <w:p w14:paraId="6AA3700B" w14:textId="77E3072E" w:rsidR="00433AFF" w:rsidRDefault="5B0D74A4" w:rsidP="39B561C1">
      <w:pPr>
        <w:spacing w:after="0" w:line="360" w:lineRule="auto"/>
        <w:jc w:val="both"/>
      </w:pPr>
      <w:r w:rsidRPr="39B561C1">
        <w:rPr>
          <w:rFonts w:ascii="Times New Roman" w:eastAsia="Times New Roman" w:hAnsi="Times New Roman" w:cs="Times New Roman"/>
          <w:b/>
          <w:bCs/>
          <w:sz w:val="27"/>
          <w:szCs w:val="27"/>
        </w:rPr>
        <w:t>Opportunity 3: A Circular Returns and Local Recommerce Exchange</w:t>
      </w:r>
    </w:p>
    <w:p w14:paraId="6F1F1D9A" w14:textId="3A9492CA" w:rsidR="00433AFF" w:rsidRDefault="5B0D74A4" w:rsidP="39B561C1">
      <w:pPr>
        <w:spacing w:after="0" w:line="360" w:lineRule="auto"/>
        <w:jc w:val="both"/>
      </w:pPr>
      <w:r w:rsidRPr="39B561C1">
        <w:rPr>
          <w:rFonts w:ascii="Times New Roman" w:eastAsia="Times New Roman" w:hAnsi="Times New Roman" w:cs="Times New Roman"/>
        </w:rPr>
        <w:t>The expansion of online purchasing has created a less visible problem: independent retailers struggle to process returns economically. Customers expect fast refunds and convenient returns, while sellers face inspection, repackaging, transport costs and a reduction in the resale value of returned products. UK non-food returns were forecast to reach approximately £25.1 billion in 2025, with an overall returns rate of around 19.5% (Retail Economics, 2025).</w:t>
      </w:r>
    </w:p>
    <w:p w14:paraId="7A832835" w14:textId="7CA3E10C" w:rsidR="00433AFF" w:rsidRDefault="5B0D74A4" w:rsidP="39B561C1">
      <w:pPr>
        <w:spacing w:after="0" w:line="360" w:lineRule="auto"/>
        <w:jc w:val="both"/>
      </w:pPr>
      <w:r w:rsidRPr="39B561C1">
        <w:rPr>
          <w:rFonts w:ascii="Times New Roman" w:eastAsia="Times New Roman" w:hAnsi="Times New Roman" w:cs="Times New Roman"/>
        </w:rPr>
        <w:t>The market gap is a local reverse-logistics and recommence service aimed at SMEs rather than national retailers. The venture would provide shared drop-off points where products from participating businesses are scanned, inspected and directed towards their most valuable next use. Suitable products could be returned to ordinary stock, sold locally as open-box items, repaired, donated or recycled. Customers would receive one QR-based returns process across several local businesses, while retailers would receive faster information about the product’s condition and resale potential.</w:t>
      </w:r>
    </w:p>
    <w:p w14:paraId="4172629E" w14:textId="2012DDCA" w:rsidR="00433AFF" w:rsidRDefault="5B0D74A4" w:rsidP="39B561C1">
      <w:pPr>
        <w:spacing w:after="0" w:line="360" w:lineRule="auto"/>
        <w:jc w:val="both"/>
      </w:pPr>
      <w:r w:rsidRPr="39B561C1">
        <w:rPr>
          <w:rFonts w:ascii="Times New Roman" w:eastAsia="Times New Roman" w:hAnsi="Times New Roman" w:cs="Times New Roman"/>
        </w:rPr>
        <w:t>Technological enablers include computer-vision-assisted product grading, QR codes, digital product records, automated refunds and algorithms that identify the lowest-cost recovery route. Digital Product Passports may also become increasingly relevant to UK businesses selling in European markets because they can provide information concerning product materials, origin, repairability and reuse. UK government-backed business support has already begun helping firms understand and prepare for Digital Product Passport requirements (Department for Business and Trade, 2025c).</w:t>
      </w:r>
    </w:p>
    <w:p w14:paraId="2C157779" w14:textId="79CAC7DC" w:rsidR="00433AFF" w:rsidRDefault="5B0D74A4" w:rsidP="39B561C1">
      <w:pPr>
        <w:spacing w:after="0" w:line="360" w:lineRule="auto"/>
        <w:jc w:val="both"/>
      </w:pPr>
      <w:r w:rsidRPr="39B561C1">
        <w:rPr>
          <w:rFonts w:ascii="Times New Roman" w:eastAsia="Times New Roman" w:hAnsi="Times New Roman" w:cs="Times New Roman"/>
        </w:rPr>
        <w:t>Scalability would be achieved by placing returns points inside existing convenience stores, parcel shops, lockers or community hubs instead of building dedicated premises. Revenue could combine merchant subscriptions, handling fees and commission from the resale of open-box or refurbished products. The service could initially specialise in one product category before expanding into others.</w:t>
      </w:r>
    </w:p>
    <w:p w14:paraId="66A4B2B6" w14:textId="69EFB662" w:rsidR="00433AFF" w:rsidRDefault="5B0D74A4" w:rsidP="39B561C1">
      <w:pPr>
        <w:spacing w:after="0" w:line="360" w:lineRule="auto"/>
        <w:jc w:val="both"/>
      </w:pPr>
      <w:r w:rsidRPr="39B561C1">
        <w:rPr>
          <w:rFonts w:ascii="Times New Roman" w:eastAsia="Times New Roman" w:hAnsi="Times New Roman" w:cs="Times New Roman"/>
        </w:rPr>
        <w:t>Sustainability is central to the business model because the purpose is to retain product value and reduce unnecessary disposal and transportation. However, design thinking requires the entrepreneur to test customer behaviour rather than assume environmental benefits alone will encourage adoption. A minimum viable trial could focus on clothing, books or small electrical products and compare recovery value, refund speed, resale rates and transport distances with conventional postal returns.</w:t>
      </w:r>
    </w:p>
    <w:p w14:paraId="11C2A553" w14:textId="09FBE212" w:rsidR="00433AFF" w:rsidRDefault="5B0D74A4" w:rsidP="39B561C1">
      <w:pPr>
        <w:spacing w:after="0" w:line="360" w:lineRule="auto"/>
        <w:jc w:val="both"/>
      </w:pPr>
      <w:r w:rsidRPr="39B561C1">
        <w:rPr>
          <w:rFonts w:ascii="Times New Roman" w:eastAsia="Times New Roman" w:hAnsi="Times New Roman" w:cs="Times New Roman"/>
        </w:rPr>
        <w:t xml:space="preserve">During the </w:t>
      </w:r>
      <w:r w:rsidRPr="39B561C1">
        <w:rPr>
          <w:rFonts w:ascii="Times New Roman" w:eastAsia="Times New Roman" w:hAnsi="Times New Roman" w:cs="Times New Roman"/>
          <w:b/>
          <w:bCs/>
        </w:rPr>
        <w:t>Define</w:t>
      </w:r>
      <w:r w:rsidRPr="39B561C1">
        <w:rPr>
          <w:rFonts w:ascii="Times New Roman" w:eastAsia="Times New Roman" w:hAnsi="Times New Roman" w:cs="Times New Roman"/>
        </w:rPr>
        <w:t xml:space="preserve"> stage, the venture should also identify the primary problem accurately. For customers, the problem may be inconvenience; for retailers, it may be the delay before an item can be resold; and for the environment, it may be unnecessary transportation and product disposal. The eventual service must therefore balance all three needs. This opportunity is distinctive because returns are treated as a source of recoverable inventory rather than merely an unavoidable business cost.</w:t>
      </w:r>
    </w:p>
    <w:p w14:paraId="5CD22013" w14:textId="63393C88" w:rsidR="00433AFF" w:rsidRDefault="5B0D74A4" w:rsidP="39B561C1">
      <w:pPr>
        <w:spacing w:after="0" w:line="360" w:lineRule="auto"/>
        <w:jc w:val="both"/>
      </w:pPr>
      <w:r w:rsidRPr="39B561C1">
        <w:rPr>
          <w:rFonts w:ascii="Times New Roman" w:eastAsia="Times New Roman" w:hAnsi="Times New Roman" w:cs="Times New Roman"/>
          <w:b/>
          <w:bCs/>
          <w:sz w:val="27"/>
          <w:szCs w:val="27"/>
        </w:rPr>
        <w:t>Opportunity 4: A Digital Trust Passport and Compliance Co-pilot for SMEs</w:t>
      </w:r>
    </w:p>
    <w:p w14:paraId="5754A45A" w14:textId="5E9D7618" w:rsidR="00433AFF" w:rsidRDefault="5B0D74A4" w:rsidP="39B561C1">
      <w:pPr>
        <w:spacing w:after="0" w:line="360" w:lineRule="auto"/>
        <w:jc w:val="both"/>
      </w:pPr>
      <w:r w:rsidRPr="39B561C1">
        <w:rPr>
          <w:rFonts w:ascii="Times New Roman" w:eastAsia="Times New Roman" w:hAnsi="Times New Roman" w:cs="Times New Roman"/>
        </w:rPr>
        <w:t>A fourth opportunity is a subscription service that gives small online businesses a visible digital trust passport while guiding them through cyber security, privacy, accessibility and consumer-protection requirements. The user pain point is that a sole trader may be expected to understand secure payment systems, phishing, backups, privacy notices, cookie consent, online returns information and accessible website design without employing legal or technical staff.</w:t>
      </w:r>
    </w:p>
    <w:p w14:paraId="667D3333" w14:textId="5D9FF682" w:rsidR="00433AFF" w:rsidRDefault="5B0D74A4" w:rsidP="39B561C1">
      <w:pPr>
        <w:spacing w:after="0" w:line="360" w:lineRule="auto"/>
        <w:jc w:val="both"/>
      </w:pPr>
      <w:r w:rsidRPr="39B561C1">
        <w:rPr>
          <w:rFonts w:ascii="Times New Roman" w:eastAsia="Times New Roman" w:hAnsi="Times New Roman" w:cs="Times New Roman"/>
        </w:rPr>
        <w:t>Consumers may also hesitate to purchase from an unfamiliar local website because they cannot easily judge whether it is secure or legitimate. Cyber risk is substantial. The 2025/2026 Cyber Security Breaches Survey found that 42% of microbusinesses and 46% of small businesses had experienced a cyber breach or attack during the previous 12 months (Department for Science, Innovation and Technology, 2026).</w:t>
      </w:r>
    </w:p>
    <w:p w14:paraId="6BBD6D97" w14:textId="5032BC9B" w:rsidR="00433AFF" w:rsidRDefault="5B0D74A4" w:rsidP="39B561C1">
      <w:pPr>
        <w:spacing w:after="0" w:line="360" w:lineRule="auto"/>
        <w:jc w:val="both"/>
      </w:pPr>
      <w:r w:rsidRPr="39B561C1">
        <w:rPr>
          <w:rFonts w:ascii="Times New Roman" w:eastAsia="Times New Roman" w:hAnsi="Times New Roman" w:cs="Times New Roman"/>
        </w:rPr>
        <w:t>The market gap exists because current compliance support is fragmented. Trust badges displayed on websites may provide little meaningful verification, while professional security and legal audits can be unaffordable for microbusinesses. The proposed service would convert complex requirements into short, prioritised actions and verify evidence such as multi-factor authentication, secure backups, approved payment systems, accessible website text and transparent contact information.</w:t>
      </w:r>
    </w:p>
    <w:p w14:paraId="1FF827F7" w14:textId="5D9B4A61" w:rsidR="00433AFF" w:rsidRDefault="5B0D74A4" w:rsidP="39B561C1">
      <w:pPr>
        <w:spacing w:after="0" w:line="360" w:lineRule="auto"/>
        <w:jc w:val="both"/>
      </w:pPr>
      <w:r w:rsidRPr="39B561C1">
        <w:rPr>
          <w:rFonts w:ascii="Times New Roman" w:eastAsia="Times New Roman" w:hAnsi="Times New Roman" w:cs="Times New Roman"/>
        </w:rPr>
        <w:t>Businesses completing the required checks would receive a dated, clickable trust profile that customers could inspect before purchasing. Technological enablers include automated website scanning, digital identity verification, secure API checks, guided risk assessments and continuous monitoring. The service should complement free public support such as the National Cyber Security Centre’s Cyber Action Toolkit rather than simply charging businesses for information already available publicly.</w:t>
      </w:r>
    </w:p>
    <w:p w14:paraId="1C2EAEAD" w14:textId="5BA1BF9B" w:rsidR="00433AFF" w:rsidRDefault="5B0D74A4" w:rsidP="39B561C1">
      <w:pPr>
        <w:spacing w:after="0" w:line="360" w:lineRule="auto"/>
        <w:jc w:val="both"/>
      </w:pPr>
      <w:r w:rsidRPr="39B561C1">
        <w:rPr>
          <w:rFonts w:ascii="Times New Roman" w:eastAsia="Times New Roman" w:hAnsi="Times New Roman" w:cs="Times New Roman"/>
        </w:rPr>
        <w:t>The business could scale through partnerships with banks, business insurers, local authorities, e-commerce providers and trade associations. A free version could offer basic checks, while paid tiers could include continuous monitoring, staff training, personalised recommendations and assistance following a cyber incident. It may also be possible for businesses completing the programme to receive reduced insurance premiums or improved access to online marketplaces.</w:t>
      </w:r>
    </w:p>
    <w:p w14:paraId="4F29DC57" w14:textId="265776DC" w:rsidR="00433AFF" w:rsidRDefault="5B0D74A4" w:rsidP="39B561C1">
      <w:pPr>
        <w:spacing w:after="0" w:line="360" w:lineRule="auto"/>
        <w:jc w:val="both"/>
      </w:pPr>
      <w:r w:rsidRPr="39B561C1">
        <w:rPr>
          <w:rFonts w:ascii="Times New Roman" w:eastAsia="Times New Roman" w:hAnsi="Times New Roman" w:cs="Times New Roman"/>
        </w:rPr>
        <w:t xml:space="preserve">The sustainability dimension is institutional rather than exclusively environmental. Stronger security and greater consumer trust make digital commerce more resilient and reduce the likelihood that a small business abandons online trading following fraud, reputational damage or data loss. During the </w:t>
      </w:r>
      <w:r w:rsidRPr="39B561C1">
        <w:rPr>
          <w:rFonts w:ascii="Times New Roman" w:eastAsia="Times New Roman" w:hAnsi="Times New Roman" w:cs="Times New Roman"/>
          <w:b/>
          <w:bCs/>
        </w:rPr>
        <w:t>Test</w:t>
      </w:r>
      <w:r w:rsidRPr="39B561C1">
        <w:rPr>
          <w:rFonts w:ascii="Times New Roman" w:eastAsia="Times New Roman" w:hAnsi="Times New Roman" w:cs="Times New Roman"/>
        </w:rPr>
        <w:t xml:space="preserve"> stage, researchers should examine whether consumers understand and value the passport, whether businesses complete the recommended actions and whether verified businesses experience higher conversion rates or fewer security incidents. The concept reflects service-design principles because it combines automated technology with human support at difficult or stressful points in the customer journey.</w:t>
      </w:r>
    </w:p>
    <w:p w14:paraId="5FB574EC" w14:textId="3FA057D6" w:rsidR="00433AFF" w:rsidRDefault="5B0D74A4" w:rsidP="39B561C1">
      <w:pPr>
        <w:pStyle w:val="Heading3"/>
        <w:spacing w:before="270" w:after="270" w:line="360" w:lineRule="auto"/>
        <w:jc w:val="both"/>
      </w:pPr>
      <w:r w:rsidRPr="39B561C1">
        <w:rPr>
          <w:rFonts w:ascii="Times New Roman" w:eastAsia="Times New Roman" w:hAnsi="Times New Roman" w:cs="Times New Roman"/>
          <w:b/>
          <w:bCs/>
          <w:sz w:val="27"/>
          <w:szCs w:val="27"/>
        </w:rPr>
        <w:t>Cross-Cutting Feasibility and Responsible Innovation Considerations</w:t>
      </w:r>
    </w:p>
    <w:p w14:paraId="7FA50803" w14:textId="7CB2D8F6" w:rsidR="00433AFF" w:rsidRDefault="5B0D74A4" w:rsidP="39B561C1">
      <w:pPr>
        <w:spacing w:before="240" w:after="240" w:line="360" w:lineRule="auto"/>
        <w:jc w:val="both"/>
      </w:pPr>
      <w:r w:rsidRPr="39B561C1">
        <w:rPr>
          <w:rFonts w:ascii="Times New Roman" w:eastAsia="Times New Roman" w:hAnsi="Times New Roman" w:cs="Times New Roman"/>
        </w:rPr>
        <w:t>Although each opportunity has commercial potential, its success would depend on how effectively the venture manages adoption risks across different user groups. Small firms are not a homogeneous market: a digitally confident retailer with several employees will require a different level of support from a sole trader who relies on paper records or informal social-media orders. Consequently, customer segmentation should form part of the Empathise stage. Businesses could be grouped according to digital capability, transaction volume, location and willingness to collaborate. This would help entrepreneurs avoid developing an over-engineered product for users who mainly value simplicity, reassurance and visible cost savings.</w:t>
      </w:r>
    </w:p>
    <w:p w14:paraId="7E48657A" w14:textId="6209F481" w:rsidR="00433AFF" w:rsidRDefault="5B0D74A4" w:rsidP="39B561C1">
      <w:pPr>
        <w:spacing w:before="240" w:after="240" w:line="360" w:lineRule="auto"/>
        <w:jc w:val="both"/>
      </w:pPr>
      <w:r w:rsidRPr="39B561C1">
        <w:rPr>
          <w:rFonts w:ascii="Times New Roman" w:eastAsia="Times New Roman" w:hAnsi="Times New Roman" w:cs="Times New Roman"/>
        </w:rPr>
        <w:t>Responsible data use is another important requirement. The forecasting co-operative and trust passport would depend on access to commercial or customer information, creating concerns about privacy, ownership and platform dependence. Clear consent processes, data-minimisation principles and transparent rules concerning how information is shared would therefore be essential. Participating SMEs should retain the ability to export their data and leave the platform without losing access to important business records. Such safeguards may also strengthen trust and reduce resistance during adoption.</w:t>
      </w:r>
    </w:p>
    <w:p w14:paraId="40E98C65" w14:textId="6A1865CD" w:rsidR="00433AFF" w:rsidRDefault="5B0D74A4" w:rsidP="39B561C1">
      <w:pPr>
        <w:spacing w:before="240" w:after="240" w:line="360" w:lineRule="auto"/>
        <w:jc w:val="both"/>
      </w:pPr>
      <w:r w:rsidRPr="39B561C1">
        <w:rPr>
          <w:rFonts w:ascii="Times New Roman" w:eastAsia="Times New Roman" w:hAnsi="Times New Roman" w:cs="Times New Roman"/>
        </w:rPr>
        <w:t>Financial accessibility should also be tested. Subscription models provide predictable revenue, but fixed monthly charges may discourage seasonal businesses and low-volume traders. Alternative pricing models, including pay-as-you-use fees, shared community licences or outcome-based charges, could be compared during prototyping. In accordance with effectuation theory, entrepreneurs should begin with affordable commitments and existing partnerships rather than building expensive infrastructure before demand is proven (Sarasvathy, 2001).</w:t>
      </w:r>
    </w:p>
    <w:p w14:paraId="2EE6AAD9" w14:textId="7665FAE1" w:rsidR="00433AFF" w:rsidRDefault="5B0D74A4" w:rsidP="39B561C1">
      <w:pPr>
        <w:spacing w:before="240" w:after="240" w:line="360" w:lineRule="auto"/>
        <w:jc w:val="both"/>
      </w:pPr>
      <w:r w:rsidRPr="39B561C1">
        <w:rPr>
          <w:rFonts w:ascii="Times New Roman" w:eastAsia="Times New Roman" w:hAnsi="Times New Roman" w:cs="Times New Roman"/>
        </w:rPr>
        <w:t>Finally, scalability should not be measured only by the number of users. A responsible venture should monitor customer retention, business survival, waste reduction, delivery efficiency and user confidence. This broader evaluation would ensure that growth creates sustained value instead of simply increasing transactions. Repeated experimentation, consistent with the Lean Startup approach, would allow weak assumptions to be identified before national expansion (Ries, 2011).</w:t>
      </w:r>
    </w:p>
    <w:p w14:paraId="24BB7594" w14:textId="05B42E74" w:rsidR="00433AFF" w:rsidRDefault="5B0D74A4" w:rsidP="39B561C1">
      <w:pPr>
        <w:spacing w:before="240" w:after="240" w:line="360" w:lineRule="auto"/>
        <w:jc w:val="both"/>
      </w:pPr>
      <w:r w:rsidRPr="39B561C1">
        <w:rPr>
          <w:rFonts w:ascii="Times New Roman" w:eastAsia="Times New Roman" w:hAnsi="Times New Roman" w:cs="Times New Roman"/>
        </w:rPr>
        <w:t xml:space="preserve"> </w:t>
      </w:r>
    </w:p>
    <w:p w14:paraId="503FB63F" w14:textId="03A68B47" w:rsidR="00433AFF" w:rsidRDefault="5B0D74A4" w:rsidP="39B561C1">
      <w:pPr>
        <w:spacing w:after="0" w:line="360" w:lineRule="auto"/>
        <w:jc w:val="both"/>
      </w:pPr>
      <w:r w:rsidRPr="39B561C1">
        <w:rPr>
          <w:rFonts w:ascii="Times New Roman" w:eastAsia="Times New Roman" w:hAnsi="Times New Roman" w:cs="Times New Roman"/>
          <w:b/>
          <w:bCs/>
          <w:sz w:val="27"/>
          <w:szCs w:val="27"/>
        </w:rPr>
        <w:t>Evaluation and Prioritisation</w:t>
      </w:r>
    </w:p>
    <w:p w14:paraId="56FF07B9" w14:textId="579E120C" w:rsidR="00433AFF" w:rsidRDefault="5B0D74A4" w:rsidP="39B561C1">
      <w:pPr>
        <w:spacing w:after="0" w:line="360" w:lineRule="auto"/>
        <w:jc w:val="both"/>
      </w:pPr>
      <w:r w:rsidRPr="39B561C1">
        <w:rPr>
          <w:rFonts w:ascii="Times New Roman" w:eastAsia="Times New Roman" w:hAnsi="Times New Roman" w:cs="Times New Roman"/>
        </w:rPr>
        <w:t>These four opportunities are more viable and distinctive than another generic e-commerce platform because each addresses a secondary problem created by digital expansion: fragmented local fulfilment, weak purchasing power, costly product returns and low digital trust. The rural commerce co-operative has the strongest immediate connection to the scenario because it combines e-commerce, local production and delivery while preserving the identities of individual businesses. The collective forecasting and purchasing platform offers the greatest potential for long-term network effects, although it depends on businesses trusting the data-sharing process.</w:t>
      </w:r>
    </w:p>
    <w:p w14:paraId="5CE2EF3B" w14:textId="005626EB" w:rsidR="00433AFF" w:rsidRDefault="5B0D74A4" w:rsidP="39B561C1">
      <w:pPr>
        <w:spacing w:after="0" w:line="360" w:lineRule="auto"/>
        <w:jc w:val="both"/>
      </w:pPr>
      <w:r w:rsidRPr="39B561C1">
        <w:rPr>
          <w:rFonts w:ascii="Times New Roman" w:eastAsia="Times New Roman" w:hAnsi="Times New Roman" w:cs="Times New Roman"/>
        </w:rPr>
        <w:t>The circular returns exchange provides the clearest environmental contribution and responds to a problem that will become more significant as online sales continue to grow. The digital trust passport is likely to require the least physical infrastructure and could be piloted comparatively quickly, although its credibility would depend on recognised partners and transparent verification standards.</w:t>
      </w:r>
    </w:p>
    <w:p w14:paraId="67D92512" w14:textId="36F35E98" w:rsidR="00433AFF" w:rsidRDefault="5B0D74A4" w:rsidP="39B561C1">
      <w:pPr>
        <w:spacing w:after="0" w:line="360" w:lineRule="auto"/>
        <w:jc w:val="both"/>
      </w:pPr>
      <w:r w:rsidRPr="39B561C1">
        <w:rPr>
          <w:rFonts w:ascii="Times New Roman" w:eastAsia="Times New Roman" w:hAnsi="Times New Roman" w:cs="Times New Roman"/>
        </w:rPr>
        <w:t>The UK Innovation Survey found that only 34% of SMEs were innovation-active between 2022 and 2024, compared with 47% of large businesses, suggesting that smaller firms remain an underserved innovation market (Department for Science, Innovation and Technology, 2026b). Nevertheless, final opportunity selection should not be based solely on national statistics. Entrepreneurs should interview and observe a narrow group of users, define one specific problem, produce a low-cost prototype and test willingness to use and pay for the service. Evidence from these experiments should then be evaluated against desirability, technical feasibility, commercial viability and sustainability. This prevents technology-led innovation and increases the likelihood that the selected venture solves a meaningful problem within the UK market.</w:t>
      </w:r>
    </w:p>
    <w:p w14:paraId="72B98A18" w14:textId="0ADA0CC8"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22D9DDD8" w14:textId="06F23DB8" w:rsidR="00433AFF" w:rsidRDefault="5B0D74A4" w:rsidP="39B561C1">
      <w:pPr>
        <w:pStyle w:val="Heading2"/>
        <w:spacing w:before="299" w:after="299" w:line="360" w:lineRule="auto"/>
        <w:jc w:val="both"/>
      </w:pPr>
      <w:r w:rsidRPr="39B561C1">
        <w:rPr>
          <w:rFonts w:ascii="Times New Roman" w:eastAsia="Times New Roman" w:hAnsi="Times New Roman" w:cs="Times New Roman"/>
          <w:b/>
          <w:bCs/>
          <w:sz w:val="36"/>
          <w:szCs w:val="36"/>
        </w:rPr>
        <w:t xml:space="preserve">Conclusion </w:t>
      </w:r>
    </w:p>
    <w:p w14:paraId="24A7F419" w14:textId="738115DE" w:rsidR="00433AFF" w:rsidRDefault="5B0D74A4" w:rsidP="39B561C1">
      <w:pPr>
        <w:spacing w:before="240" w:after="240" w:line="360" w:lineRule="auto"/>
        <w:jc w:val="both"/>
      </w:pPr>
      <w:r w:rsidRPr="39B561C1">
        <w:rPr>
          <w:rFonts w:ascii="Times New Roman" w:eastAsia="Times New Roman" w:hAnsi="Times New Roman" w:cs="Times New Roman"/>
        </w:rPr>
        <w:t>The analysis demonstrates that the strongest opportunities emerging from the expansion of digital commerce are not limited to creating more online stores. Greater potential exists in solving the secondary problems created by rapid digitalisation, including fragmented local fulfilment, weak purchasing power among microbusinesses, costly product returns and limited consumer trust. The rural commerce co-operative, collective forecasting platform, circular returns exchange and digital trust passport each address a clear user need while offering potential for scalability through subscriptions, partnerships, data integration and geographic replication. Their long-term viability would depend on remaining affordable, accessible and environmentally responsible. Applying Design Thinking ensures that these opportunities are developed around real user experiences rather than technological assumptions. Therefore, the most viable ventures will be those that begin with a narrowly defined problem, test demand through low-cost prototypes and use customer evidence to refine the solution before wider market expansion.</w:t>
      </w:r>
    </w:p>
    <w:p w14:paraId="646F713B" w14:textId="3B435515"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506638CA" w14:textId="0787921E"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6707F97B" w14:textId="09D94442"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233DFF8F" w14:textId="35484090"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27F484C7" w14:textId="25275BF3"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405C0D82" w14:textId="5A63C3A8"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2DE67B6B" w14:textId="69D27BA4"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234A8DA8" w14:textId="0104D7D1"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51F6FCAA" w14:textId="6E01A64C"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383469DF" w14:textId="6A0FCE18"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420F9A56" w14:textId="52970B70" w:rsidR="00433AFF" w:rsidRDefault="5B0D74A4" w:rsidP="39B561C1">
      <w:pPr>
        <w:spacing w:after="0" w:line="360" w:lineRule="auto"/>
        <w:jc w:val="both"/>
      </w:pPr>
      <w:r w:rsidRPr="39B561C1">
        <w:rPr>
          <w:rFonts w:ascii="Times New Roman" w:eastAsia="Times New Roman" w:hAnsi="Times New Roman" w:cs="Times New Roman"/>
        </w:rPr>
        <w:t xml:space="preserve"> </w:t>
      </w:r>
    </w:p>
    <w:p w14:paraId="0EB87DE4" w14:textId="1734E522" w:rsidR="00433AFF" w:rsidRDefault="5B0D74A4" w:rsidP="39B561C1">
      <w:pPr>
        <w:pStyle w:val="Heading2"/>
        <w:spacing w:before="299" w:after="299" w:line="360" w:lineRule="auto"/>
      </w:pPr>
      <w:r w:rsidRPr="39B561C1">
        <w:rPr>
          <w:rFonts w:ascii="Times New Roman" w:eastAsia="Times New Roman" w:hAnsi="Times New Roman" w:cs="Times New Roman"/>
          <w:b/>
          <w:bCs/>
          <w:sz w:val="36"/>
          <w:szCs w:val="36"/>
        </w:rPr>
        <w:t>Task 2: Applying Design Thinking to Develop BridgeBasket</w:t>
      </w:r>
    </w:p>
    <w:p w14:paraId="325F0B2D" w14:textId="5C7C7BA2" w:rsidR="00433AFF" w:rsidRDefault="5B0D74A4" w:rsidP="39B561C1">
      <w:pPr>
        <w:spacing w:before="240" w:after="240" w:line="360" w:lineRule="auto"/>
        <w:jc w:val="both"/>
      </w:pPr>
      <w:r w:rsidRPr="39B561C1">
        <w:rPr>
          <w:rFonts w:ascii="Times New Roman" w:eastAsia="Times New Roman" w:hAnsi="Times New Roman" w:cs="Times New Roman"/>
        </w:rPr>
        <w:t xml:space="preserve">The venture developed through the five stages of Design Thinking is </w:t>
      </w:r>
      <w:r w:rsidRPr="39B561C1">
        <w:rPr>
          <w:rFonts w:ascii="Times New Roman" w:eastAsia="Times New Roman" w:hAnsi="Times New Roman" w:cs="Times New Roman"/>
          <w:b/>
          <w:bCs/>
        </w:rPr>
        <w:t>BridgeBasket</w:t>
      </w:r>
      <w:r w:rsidRPr="39B561C1">
        <w:rPr>
          <w:rFonts w:ascii="Times New Roman" w:eastAsia="Times New Roman" w:hAnsi="Times New Roman" w:cs="Times New Roman"/>
        </w:rPr>
        <w:t>, an assisted-commerce service that enables digitally excluded consumers to order from local retailers by telephone or through trusted community locations. This responds to the risk that rapid digitalisation benefits confident internet users while unintentionally excluding older people, disabled consumers and those lacking suitable devices, connectivity or digital skills. Almost two million UK adults do not use the internet, while 21% of people aged over 65 have no internet access at home (Ofcom, 2025a; Ofcom, 2025b).</w:t>
      </w:r>
    </w:p>
    <w:p w14:paraId="7A296AD6" w14:textId="402178EB" w:rsidR="00433AFF" w:rsidRDefault="5B0D74A4" w:rsidP="39B561C1">
      <w:pPr>
        <w:pStyle w:val="Heading3"/>
        <w:spacing w:before="270" w:after="270" w:line="360" w:lineRule="auto"/>
        <w:jc w:val="both"/>
      </w:pPr>
      <w:r w:rsidRPr="39B561C1">
        <w:rPr>
          <w:rFonts w:ascii="Times New Roman" w:eastAsia="Times New Roman" w:hAnsi="Times New Roman" w:cs="Times New Roman"/>
          <w:b/>
          <w:bCs/>
          <w:sz w:val="27"/>
          <w:szCs w:val="27"/>
        </w:rPr>
        <w:t>Empathise</w:t>
      </w:r>
    </w:p>
    <w:p w14:paraId="11FD2368" w14:textId="296FB538" w:rsidR="00433AFF" w:rsidRDefault="5B0D74A4" w:rsidP="39B561C1">
      <w:pPr>
        <w:spacing w:before="240" w:after="240" w:line="360" w:lineRule="auto"/>
        <w:jc w:val="both"/>
      </w:pPr>
      <w:r w:rsidRPr="39B561C1">
        <w:rPr>
          <w:rFonts w:ascii="Times New Roman" w:eastAsia="Times New Roman" w:hAnsi="Times New Roman" w:cs="Times New Roman"/>
        </w:rPr>
        <w:t>The first stage would involve understanding why some consumers cannot or do not want to purchase online. The entrepreneur would interview rural residents, particularly older consumers, people with disabilities and those who rely only on smartphones. Participants would be observed attempting tasks such as finding a product, comparing prices, creating an account, paying and arranging collection. Interviews would also be conducted with independent retailers, carers, library employees and community organisations.</w:t>
      </w:r>
    </w:p>
    <w:p w14:paraId="01F066AB" w14:textId="71BCE6AC" w:rsidR="00433AFF" w:rsidRDefault="5B0D74A4" w:rsidP="39B561C1">
      <w:pPr>
        <w:spacing w:before="240" w:after="240" w:line="360" w:lineRule="auto"/>
        <w:jc w:val="both"/>
      </w:pPr>
      <w:r w:rsidRPr="39B561C1">
        <w:rPr>
          <w:rFonts w:ascii="Times New Roman" w:eastAsia="Times New Roman" w:hAnsi="Times New Roman" w:cs="Times New Roman"/>
        </w:rPr>
        <w:t>This research may reveal that exclusion is not caused solely by poor internet coverage. Users may struggle with passwords, small text, complicated checkout pages, fear of fraud or uncertainty about whether an unfamiliar retailer is trustworthy. Ofcom identifies access, skills, confidence and affordability as interconnected dimensions of digital disadvantage (Ofcom, 2025c). Retailers also experience difficulties because employees must repeatedly explain online processes or manually take orders while serving other customers.</w:t>
      </w:r>
    </w:p>
    <w:p w14:paraId="1DA32BEB" w14:textId="550F5E86" w:rsidR="00433AFF" w:rsidRDefault="5B0D74A4" w:rsidP="39B561C1">
      <w:pPr>
        <w:spacing w:before="240" w:after="240" w:line="360" w:lineRule="auto"/>
        <w:jc w:val="both"/>
      </w:pPr>
      <w:r w:rsidRPr="39B561C1">
        <w:rPr>
          <w:rFonts w:ascii="Times New Roman" w:eastAsia="Times New Roman" w:hAnsi="Times New Roman" w:cs="Times New Roman"/>
        </w:rPr>
        <w:t>Empathy maps and customer-journey diagrams would capture what users think, feel, say and do. This reflects human-centred design, which develops solutions with affected users rather than designing around assumptions about them (IDEO, 2026).</w:t>
      </w:r>
    </w:p>
    <w:p w14:paraId="583A3657" w14:textId="252B023F" w:rsidR="00433AFF" w:rsidRDefault="5B0D74A4" w:rsidP="39B561C1">
      <w:pPr>
        <w:spacing w:before="240" w:after="240" w:line="360" w:lineRule="auto"/>
        <w:jc w:val="both"/>
      </w:pPr>
      <w:r w:rsidRPr="39B561C1">
        <w:rPr>
          <w:rFonts w:ascii="Times New Roman" w:eastAsia="Times New Roman" w:hAnsi="Times New Roman" w:cs="Times New Roman"/>
        </w:rPr>
        <w:t xml:space="preserve"> </w:t>
      </w:r>
    </w:p>
    <w:p w14:paraId="23FBDC17" w14:textId="1FFCC70A" w:rsidR="00433AFF" w:rsidRDefault="5B0D74A4" w:rsidP="39B561C1">
      <w:pPr>
        <w:spacing w:before="240" w:after="240" w:line="360" w:lineRule="auto"/>
        <w:jc w:val="both"/>
      </w:pPr>
      <w:r w:rsidRPr="39B561C1">
        <w:rPr>
          <w:rFonts w:ascii="Times New Roman" w:eastAsia="Times New Roman" w:hAnsi="Times New Roman" w:cs="Times New Roman"/>
        </w:rPr>
        <w:t xml:space="preserve"> </w:t>
      </w:r>
    </w:p>
    <w:p w14:paraId="6B94B1DA" w14:textId="2E5454E7" w:rsidR="00433AFF" w:rsidRDefault="5B0D74A4" w:rsidP="39B561C1">
      <w:pPr>
        <w:pStyle w:val="Heading3"/>
        <w:spacing w:before="270" w:after="270" w:line="360" w:lineRule="auto"/>
        <w:jc w:val="both"/>
      </w:pPr>
      <w:r w:rsidRPr="39B561C1">
        <w:rPr>
          <w:rFonts w:ascii="Times New Roman" w:eastAsia="Times New Roman" w:hAnsi="Times New Roman" w:cs="Times New Roman"/>
          <w:b/>
          <w:bCs/>
          <w:sz w:val="27"/>
          <w:szCs w:val="27"/>
        </w:rPr>
        <w:t>Define</w:t>
      </w:r>
    </w:p>
    <w:p w14:paraId="60AF08AE" w14:textId="7DA6378F" w:rsidR="00433AFF" w:rsidRDefault="5B0D74A4" w:rsidP="39B561C1">
      <w:pPr>
        <w:spacing w:before="240" w:after="240" w:line="360" w:lineRule="auto"/>
        <w:jc w:val="both"/>
      </w:pPr>
      <w:r w:rsidRPr="39B561C1">
        <w:rPr>
          <w:rFonts w:ascii="Times New Roman" w:eastAsia="Times New Roman" w:hAnsi="Times New Roman" w:cs="Times New Roman"/>
        </w:rPr>
        <w:t>The evidence would be synthesised into the following problem statement:</w:t>
      </w:r>
    </w:p>
    <w:p w14:paraId="1D90B881" w14:textId="3CBD5A72" w:rsidR="00433AFF" w:rsidRDefault="5B0D74A4" w:rsidP="39B561C1">
      <w:pPr>
        <w:spacing w:before="240" w:after="240" w:line="360" w:lineRule="auto"/>
        <w:jc w:val="both"/>
      </w:pPr>
      <w:r w:rsidRPr="39B561C1">
        <w:rPr>
          <w:rFonts w:ascii="Times New Roman" w:eastAsia="Times New Roman" w:hAnsi="Times New Roman" w:cs="Times New Roman"/>
        </w:rPr>
        <w:t>“How might digitally excluded rural consumers access the choice and convenience of online local shopping without being required to navigate complicated websites, create multiple accounts or disclose payment information to an unfamiliar person</w:t>
      </w:r>
      <w:r w:rsidRPr="39B561C1">
        <w:rPr>
          <w:rFonts w:ascii="Times New Roman" w:eastAsia="Times New Roman" w:hAnsi="Times New Roman" w:cs="Times New Roman"/>
          <w:b/>
          <w:bCs/>
        </w:rPr>
        <w:t>?”</w:t>
      </w:r>
    </w:p>
    <w:p w14:paraId="1A887E97" w14:textId="79D72AAB" w:rsidR="00433AFF" w:rsidRDefault="5B0D74A4" w:rsidP="39B561C1">
      <w:pPr>
        <w:spacing w:before="240" w:after="240" w:line="360" w:lineRule="auto"/>
        <w:jc w:val="both"/>
      </w:pPr>
      <w:r w:rsidRPr="39B561C1">
        <w:rPr>
          <w:rFonts w:ascii="Times New Roman" w:eastAsia="Times New Roman" w:hAnsi="Times New Roman" w:cs="Times New Roman"/>
        </w:rPr>
        <w:t>The problem is therefore not an absence of e-commerce platforms. It is the absence of an accessible bridge between digitally excluded consumers and businesses that increasingly organise products, discounts and services online. The UK Government’s Digital Inclusion Action Plan similarly recognises the need for simple online services, continued offline alternatives and trusted local support (Department for Science, Innovation and Technology, 2026).</w:t>
      </w:r>
    </w:p>
    <w:p w14:paraId="203505ED" w14:textId="157FC30C" w:rsidR="00433AFF" w:rsidRDefault="5B0D74A4" w:rsidP="39B561C1">
      <w:pPr>
        <w:pStyle w:val="Heading3"/>
        <w:spacing w:before="270" w:after="270" w:line="360" w:lineRule="auto"/>
        <w:jc w:val="both"/>
      </w:pPr>
      <w:r w:rsidRPr="39B561C1">
        <w:rPr>
          <w:rFonts w:ascii="Times New Roman" w:eastAsia="Times New Roman" w:hAnsi="Times New Roman" w:cs="Times New Roman"/>
          <w:b/>
          <w:bCs/>
          <w:sz w:val="27"/>
          <w:szCs w:val="27"/>
        </w:rPr>
        <w:t>Ideate</w:t>
      </w:r>
    </w:p>
    <w:p w14:paraId="1BE70288" w14:textId="3F279128" w:rsidR="00433AFF" w:rsidRDefault="5B0D74A4" w:rsidP="39B561C1">
      <w:pPr>
        <w:spacing w:before="240" w:after="240" w:line="360" w:lineRule="auto"/>
        <w:jc w:val="both"/>
      </w:pPr>
      <w:r w:rsidRPr="39B561C1">
        <w:rPr>
          <w:rFonts w:ascii="Times New Roman" w:eastAsia="Times New Roman" w:hAnsi="Times New Roman" w:cs="Times New Roman"/>
        </w:rPr>
        <w:t>A collaborative ideation workshop would involve consumers, retailers and community representatives. Possible ideas could include voice-controlled ordering, accessible touchscreen kiosks, printed catalogues connected to telephone ordering, mobile digital-support vans and trained community shopping assistants.</w:t>
      </w:r>
    </w:p>
    <w:p w14:paraId="64CF270E" w14:textId="075BCD25" w:rsidR="00433AFF" w:rsidRDefault="5B0D74A4" w:rsidP="39B561C1">
      <w:pPr>
        <w:spacing w:before="240" w:after="240" w:line="360" w:lineRule="auto"/>
        <w:jc w:val="both"/>
      </w:pPr>
      <w:r w:rsidRPr="39B561C1">
        <w:rPr>
          <w:rFonts w:ascii="Times New Roman" w:eastAsia="Times New Roman" w:hAnsi="Times New Roman" w:cs="Times New Roman"/>
        </w:rPr>
        <w:t>These ideas would be assessed according to desirability, technical feasibility, affordability and revenue potential. The selected concept, BridgeBasket, would combine human assistance with simple technology. Consumers could telephone a local number or visit a participating library, post office or community centre. A trained assistant would search participating retailers’ catalogues, compare appropriate products and create one digital basket on the customer’s behalf.</w:t>
      </w:r>
    </w:p>
    <w:p w14:paraId="6813E3BC" w14:textId="3689980B" w:rsidR="00433AFF" w:rsidRDefault="5B0D74A4" w:rsidP="39B561C1">
      <w:pPr>
        <w:spacing w:before="240" w:after="240" w:line="360" w:lineRule="auto"/>
        <w:jc w:val="both"/>
      </w:pPr>
      <w:r w:rsidRPr="39B561C1">
        <w:rPr>
          <w:rFonts w:ascii="Times New Roman" w:eastAsia="Times New Roman" w:hAnsi="Times New Roman" w:cs="Times New Roman"/>
        </w:rPr>
        <w:t>Payment would be completed securely through an automated telephone-payment system rather than by telling card details to the assistant. Customers could choose home delivery or collection and receive confirmation by text message, automated voice call or printed receipt. Retailers would pay a small subscription and transaction fee, while councils or charities could subsidise access for vulnerable users.</w:t>
      </w:r>
    </w:p>
    <w:p w14:paraId="1F848FC7" w14:textId="23065356" w:rsidR="00433AFF" w:rsidRDefault="5B0D74A4" w:rsidP="39B561C1">
      <w:pPr>
        <w:spacing w:before="240" w:after="240" w:line="360" w:lineRule="auto"/>
        <w:jc w:val="both"/>
      </w:pPr>
      <w:r w:rsidRPr="39B561C1">
        <w:rPr>
          <w:rFonts w:ascii="Times New Roman" w:eastAsia="Times New Roman" w:hAnsi="Times New Roman" w:cs="Times New Roman"/>
        </w:rPr>
        <w:t xml:space="preserve"> </w:t>
      </w:r>
    </w:p>
    <w:p w14:paraId="31945876" w14:textId="36FCEFFF" w:rsidR="00433AFF" w:rsidRDefault="5B0D74A4" w:rsidP="39B561C1">
      <w:pPr>
        <w:pStyle w:val="Heading3"/>
        <w:spacing w:before="270" w:after="270" w:line="360" w:lineRule="auto"/>
        <w:jc w:val="both"/>
      </w:pPr>
      <w:r w:rsidRPr="39B561C1">
        <w:rPr>
          <w:rFonts w:ascii="Times New Roman" w:eastAsia="Times New Roman" w:hAnsi="Times New Roman" w:cs="Times New Roman"/>
          <w:b/>
          <w:bCs/>
          <w:sz w:val="27"/>
          <w:szCs w:val="27"/>
        </w:rPr>
        <w:t>Prototype</w:t>
      </w:r>
    </w:p>
    <w:p w14:paraId="13401DBF" w14:textId="2BE3CA35" w:rsidR="00433AFF" w:rsidRDefault="5B0D74A4" w:rsidP="39B561C1">
      <w:pPr>
        <w:spacing w:before="240" w:after="240" w:line="360" w:lineRule="auto"/>
        <w:jc w:val="both"/>
      </w:pPr>
      <w:r w:rsidRPr="39B561C1">
        <w:rPr>
          <w:rFonts w:ascii="Times New Roman" w:eastAsia="Times New Roman" w:hAnsi="Times New Roman" w:cs="Times New Roman"/>
        </w:rPr>
        <w:t>The minimum viable product would avoid developing an expensive application. It would consist of one telephone line, a no-code ordering dashboard, simplified product lists from six local businesses and one support desk operating during selected hours. A library and post office in two rural communities would act as assistance and collection points.</w:t>
      </w:r>
    </w:p>
    <w:p w14:paraId="6DBE1CCB" w14:textId="28D726DC" w:rsidR="00433AFF" w:rsidRDefault="5B0D74A4" w:rsidP="39B561C1">
      <w:pPr>
        <w:spacing w:before="240" w:after="240" w:line="360" w:lineRule="auto"/>
        <w:jc w:val="both"/>
      </w:pPr>
      <w:r w:rsidRPr="39B561C1">
        <w:rPr>
          <w:rFonts w:ascii="Times New Roman" w:eastAsia="Times New Roman" w:hAnsi="Times New Roman" w:cs="Times New Roman"/>
        </w:rPr>
        <w:t>During a four-week pilot, employees would manually create orders and communicate them to retailers. This “concierge prototype” would test the service experience and business model before automation. Prototyping is valuable because it turns assumptions into something users can experience, criticise and improve (IDEO, 2022).</w:t>
      </w:r>
    </w:p>
    <w:p w14:paraId="01B5FD05" w14:textId="30DEFAA2" w:rsidR="00433AFF" w:rsidRDefault="5B0D74A4" w:rsidP="39B561C1">
      <w:pPr>
        <w:pStyle w:val="Heading3"/>
        <w:spacing w:before="270" w:after="270" w:line="360" w:lineRule="auto"/>
        <w:jc w:val="both"/>
      </w:pPr>
      <w:r w:rsidRPr="39B561C1">
        <w:rPr>
          <w:rFonts w:ascii="Times New Roman" w:eastAsia="Times New Roman" w:hAnsi="Times New Roman" w:cs="Times New Roman"/>
          <w:b/>
          <w:bCs/>
          <w:sz w:val="27"/>
          <w:szCs w:val="27"/>
        </w:rPr>
        <w:t>Test and refine</w:t>
      </w:r>
    </w:p>
    <w:p w14:paraId="6911DF17" w14:textId="60AE5735" w:rsidR="00433AFF" w:rsidRDefault="5B0D74A4" w:rsidP="39B561C1">
      <w:pPr>
        <w:spacing w:before="240" w:after="240" w:line="360" w:lineRule="auto"/>
        <w:jc w:val="both"/>
      </w:pPr>
      <w:r w:rsidRPr="39B561C1">
        <w:rPr>
          <w:rFonts w:ascii="Times New Roman" w:eastAsia="Times New Roman" w:hAnsi="Times New Roman" w:cs="Times New Roman"/>
        </w:rPr>
        <w:t>Testing would measure completed orders, abandoned requests, average call duration, repeat usage, order accuracy, retailer administration time and cost per transaction. Interviews would explore whether customers felt respected, safe and independent rather than embarrassed or dependent.</w:t>
      </w:r>
    </w:p>
    <w:p w14:paraId="418F9ACC" w14:textId="1B07740E" w:rsidR="00433AFF" w:rsidRDefault="5B0D74A4" w:rsidP="39B561C1">
      <w:pPr>
        <w:spacing w:before="240" w:after="240" w:line="360" w:lineRule="auto"/>
        <w:jc w:val="both"/>
      </w:pPr>
      <w:r w:rsidRPr="39B561C1">
        <w:rPr>
          <w:rFonts w:ascii="Times New Roman" w:eastAsia="Times New Roman" w:hAnsi="Times New Roman" w:cs="Times New Roman"/>
        </w:rPr>
        <w:t>The team would test different options, including human-assisted calls, automated voice menus and community kiosks. Where customers struggle with product descriptions, printed or large-text catalogues could be introduced. Where payment creates anxiety, payment at collection could be tested. Retailer feedback might result in live stock updates or defined ordering hours.</w:t>
      </w:r>
    </w:p>
    <w:p w14:paraId="40881D14" w14:textId="2B213908" w:rsidR="00433AFF" w:rsidRDefault="5B0D74A4" w:rsidP="39B561C1">
      <w:pPr>
        <w:spacing w:before="240" w:after="240" w:line="360" w:lineRule="auto"/>
        <w:jc w:val="both"/>
      </w:pPr>
      <w:r w:rsidRPr="39B561C1">
        <w:rPr>
          <w:rFonts w:ascii="Times New Roman" w:eastAsia="Times New Roman" w:hAnsi="Times New Roman" w:cs="Times New Roman"/>
        </w:rPr>
        <w:t>BridgeBasket would only expand after demonstrating repeat demand and a financially sustainable transaction cost. The process would remain iterative, allowing testing results to return the entrepreneur to earlier stages and redefine features where necessary, consistent with the Design Council’s principle of alternating divergent exploration with focused development (Design Council, 2023).</w:t>
      </w:r>
    </w:p>
    <w:p w14:paraId="7245291B" w14:textId="1A8A9059" w:rsidR="00433AFF" w:rsidRDefault="5B0D74A4" w:rsidP="39B561C1">
      <w:pPr>
        <w:spacing w:before="240" w:after="240" w:line="360" w:lineRule="auto"/>
        <w:jc w:val="both"/>
      </w:pPr>
      <w:r w:rsidRPr="39B561C1">
        <w:rPr>
          <w:rFonts w:ascii="Times New Roman" w:eastAsia="Times New Roman" w:hAnsi="Times New Roman" w:cs="Times New Roman"/>
        </w:rPr>
        <w:t xml:space="preserve"> </w:t>
      </w:r>
    </w:p>
    <w:p w14:paraId="165380EC" w14:textId="542C234A" w:rsidR="00433AFF" w:rsidRDefault="5B0D74A4" w:rsidP="39B561C1">
      <w:pPr>
        <w:spacing w:before="240" w:after="240" w:line="360" w:lineRule="auto"/>
        <w:jc w:val="both"/>
      </w:pPr>
      <w:r w:rsidRPr="39B561C1">
        <w:rPr>
          <w:rFonts w:ascii="Times New Roman" w:eastAsia="Times New Roman" w:hAnsi="Times New Roman" w:cs="Times New Roman"/>
        </w:rPr>
        <w:t xml:space="preserve"> </w:t>
      </w:r>
    </w:p>
    <w:p w14:paraId="163E1B90" w14:textId="3470AA2C" w:rsidR="00433AFF" w:rsidRDefault="5B0D74A4" w:rsidP="39B561C1">
      <w:pPr>
        <w:spacing w:before="240" w:after="240" w:line="360" w:lineRule="auto"/>
        <w:jc w:val="both"/>
      </w:pPr>
      <w:r w:rsidRPr="39B561C1">
        <w:rPr>
          <w:rFonts w:ascii="Times New Roman" w:eastAsia="Times New Roman" w:hAnsi="Times New Roman" w:cs="Times New Roman"/>
        </w:rPr>
        <w:t xml:space="preserve"> </w:t>
      </w:r>
    </w:p>
    <w:p w14:paraId="639251DE" w14:textId="026F7324" w:rsidR="00433AFF" w:rsidRDefault="5B0D74A4" w:rsidP="39B561C1">
      <w:pPr>
        <w:pStyle w:val="Heading2"/>
        <w:spacing w:before="299" w:after="299" w:line="360" w:lineRule="auto"/>
        <w:jc w:val="both"/>
      </w:pPr>
      <w:r w:rsidRPr="39B561C1">
        <w:rPr>
          <w:rFonts w:ascii="Times New Roman" w:eastAsia="Times New Roman" w:hAnsi="Times New Roman" w:cs="Times New Roman"/>
          <w:b/>
          <w:bCs/>
          <w:sz w:val="36"/>
          <w:szCs w:val="36"/>
        </w:rPr>
        <w:t xml:space="preserve">Conclusion </w:t>
      </w:r>
    </w:p>
    <w:p w14:paraId="03445634" w14:textId="7A6E1BC1" w:rsidR="00433AFF" w:rsidRDefault="5B0D74A4" w:rsidP="39B561C1">
      <w:pPr>
        <w:spacing w:before="240" w:after="240" w:line="360" w:lineRule="auto"/>
        <w:jc w:val="both"/>
      </w:pPr>
      <w:r w:rsidRPr="39B561C1">
        <w:rPr>
          <w:rFonts w:ascii="Times New Roman" w:eastAsia="Times New Roman" w:hAnsi="Times New Roman" w:cs="Times New Roman"/>
        </w:rPr>
        <w:t>The application of the five Design Thinking stages has shown how digital exclusion can be transformed into a viable entrepreneurial opportunity. BridgeBasket responds to the needs of rural consumers who may be unable or unwilling to navigate complex e-commerce systems, while also helping local retailers reach customers who are increasingly excluded from digital-only services. Through empathy research, the problem was defined as a lack of accessible and trusted support rather than simply a lack of internet access. The proposed assisted-commerce model combines telephone ordering, community support points and secure payment methods to reduce barriers without removing consumer independence. A small-scale concierge-style MVP would allow the entrepreneur to test demand, operational costs, user confidence and retailer participation before investing in automation. Continuous testing and refinement would help ensure that BridgeBasket remains inclusive, commercially sustainable and responsive to the practical needs of both consumers and participating businesses.</w:t>
      </w:r>
    </w:p>
    <w:p w14:paraId="3F792B28" w14:textId="313E04ED" w:rsidR="00433AFF" w:rsidRDefault="5B0D74A4" w:rsidP="39B561C1">
      <w:pPr>
        <w:spacing w:before="240" w:after="240"/>
      </w:pPr>
      <w:r w:rsidRPr="39B561C1">
        <w:rPr>
          <w:rFonts w:ascii="Times New Roman" w:eastAsia="Times New Roman" w:hAnsi="Times New Roman" w:cs="Times New Roman"/>
        </w:rPr>
        <w:t xml:space="preserve"> </w:t>
      </w:r>
    </w:p>
    <w:p w14:paraId="4B499330" w14:textId="42EF577A" w:rsidR="00433AFF" w:rsidRDefault="5B0D74A4" w:rsidP="39B561C1">
      <w:pPr>
        <w:spacing w:after="0"/>
      </w:pPr>
      <w:r w:rsidRPr="39B561C1">
        <w:rPr>
          <w:rFonts w:ascii="Times New Roman" w:eastAsia="Times New Roman" w:hAnsi="Times New Roman" w:cs="Times New Roman"/>
        </w:rPr>
        <w:t xml:space="preserve"> </w:t>
      </w:r>
    </w:p>
    <w:p w14:paraId="0457394A" w14:textId="0A88C873" w:rsidR="00433AFF" w:rsidRDefault="5B0D74A4" w:rsidP="39B561C1">
      <w:pPr>
        <w:spacing w:after="0"/>
      </w:pPr>
      <w:r w:rsidRPr="39B561C1">
        <w:rPr>
          <w:rFonts w:ascii="Times New Roman" w:eastAsia="Times New Roman" w:hAnsi="Times New Roman" w:cs="Times New Roman"/>
        </w:rPr>
        <w:t xml:space="preserve"> </w:t>
      </w:r>
    </w:p>
    <w:p w14:paraId="4E564752" w14:textId="4A392A63" w:rsidR="00433AFF" w:rsidRDefault="5B0D74A4" w:rsidP="39B561C1">
      <w:pPr>
        <w:spacing w:after="0"/>
      </w:pPr>
      <w:r w:rsidRPr="39B561C1">
        <w:rPr>
          <w:rFonts w:ascii="Times New Roman" w:eastAsia="Times New Roman" w:hAnsi="Times New Roman" w:cs="Times New Roman"/>
        </w:rPr>
        <w:t xml:space="preserve"> </w:t>
      </w:r>
    </w:p>
    <w:p w14:paraId="7B6E713A" w14:textId="0B04D56B" w:rsidR="00433AFF" w:rsidRDefault="5B0D74A4" w:rsidP="39B561C1">
      <w:pPr>
        <w:spacing w:after="0"/>
      </w:pPr>
      <w:r w:rsidRPr="39B561C1">
        <w:rPr>
          <w:rFonts w:ascii="Times New Roman" w:eastAsia="Times New Roman" w:hAnsi="Times New Roman" w:cs="Times New Roman"/>
        </w:rPr>
        <w:t xml:space="preserve"> </w:t>
      </w:r>
    </w:p>
    <w:p w14:paraId="0F7399AB" w14:textId="5691CC6A" w:rsidR="00433AFF" w:rsidRDefault="5B0D74A4" w:rsidP="39B561C1">
      <w:pPr>
        <w:spacing w:after="0"/>
      </w:pPr>
      <w:r w:rsidRPr="39B561C1">
        <w:rPr>
          <w:rFonts w:ascii="Times New Roman" w:eastAsia="Times New Roman" w:hAnsi="Times New Roman" w:cs="Times New Roman"/>
        </w:rPr>
        <w:t xml:space="preserve"> </w:t>
      </w:r>
    </w:p>
    <w:p w14:paraId="36710F64" w14:textId="479382D3" w:rsidR="00433AFF" w:rsidRDefault="5B0D74A4" w:rsidP="39B561C1">
      <w:pPr>
        <w:spacing w:after="0"/>
      </w:pPr>
      <w:r w:rsidRPr="39B561C1">
        <w:rPr>
          <w:rFonts w:ascii="Times New Roman" w:eastAsia="Times New Roman" w:hAnsi="Times New Roman" w:cs="Times New Roman"/>
        </w:rPr>
        <w:t xml:space="preserve"> </w:t>
      </w:r>
    </w:p>
    <w:p w14:paraId="29032958" w14:textId="7DBE2CD2" w:rsidR="00433AFF" w:rsidRDefault="5B0D74A4" w:rsidP="39B561C1">
      <w:pPr>
        <w:spacing w:after="0"/>
      </w:pPr>
      <w:r w:rsidRPr="39B561C1">
        <w:rPr>
          <w:rFonts w:ascii="Times New Roman" w:eastAsia="Times New Roman" w:hAnsi="Times New Roman" w:cs="Times New Roman"/>
        </w:rPr>
        <w:t xml:space="preserve"> </w:t>
      </w:r>
    </w:p>
    <w:p w14:paraId="11D5D0F1" w14:textId="51062171" w:rsidR="00433AFF" w:rsidRDefault="5B0D74A4" w:rsidP="39B561C1">
      <w:pPr>
        <w:spacing w:after="0"/>
      </w:pPr>
      <w:r w:rsidRPr="39B561C1">
        <w:rPr>
          <w:rFonts w:ascii="Times New Roman" w:eastAsia="Times New Roman" w:hAnsi="Times New Roman" w:cs="Times New Roman"/>
        </w:rPr>
        <w:t xml:space="preserve"> </w:t>
      </w:r>
    </w:p>
    <w:p w14:paraId="7A3EA103" w14:textId="4F7D81F4" w:rsidR="00433AFF" w:rsidRDefault="5B0D74A4" w:rsidP="39B561C1">
      <w:pPr>
        <w:spacing w:after="0"/>
      </w:pPr>
      <w:r w:rsidRPr="39B561C1">
        <w:rPr>
          <w:rFonts w:ascii="Times New Roman" w:eastAsia="Times New Roman" w:hAnsi="Times New Roman" w:cs="Times New Roman"/>
        </w:rPr>
        <w:t xml:space="preserve"> </w:t>
      </w:r>
    </w:p>
    <w:p w14:paraId="13857F56" w14:textId="0874DA6F" w:rsidR="00433AFF" w:rsidRDefault="5B0D74A4" w:rsidP="39B561C1">
      <w:pPr>
        <w:spacing w:after="0"/>
      </w:pPr>
      <w:r w:rsidRPr="39B561C1">
        <w:rPr>
          <w:rFonts w:ascii="Times New Roman" w:eastAsia="Times New Roman" w:hAnsi="Times New Roman" w:cs="Times New Roman"/>
        </w:rPr>
        <w:t xml:space="preserve"> </w:t>
      </w:r>
    </w:p>
    <w:p w14:paraId="0B4C2F8E" w14:textId="378D49A6" w:rsidR="00433AFF" w:rsidRDefault="5B0D74A4" w:rsidP="39B561C1">
      <w:pPr>
        <w:spacing w:after="0"/>
      </w:pPr>
      <w:r w:rsidRPr="39B561C1">
        <w:rPr>
          <w:rFonts w:ascii="Times New Roman" w:eastAsia="Times New Roman" w:hAnsi="Times New Roman" w:cs="Times New Roman"/>
        </w:rPr>
        <w:t xml:space="preserve"> </w:t>
      </w:r>
    </w:p>
    <w:p w14:paraId="627137FC" w14:textId="65071341" w:rsidR="00433AFF" w:rsidRDefault="5B0D74A4" w:rsidP="39B561C1">
      <w:pPr>
        <w:spacing w:after="0"/>
      </w:pPr>
      <w:r w:rsidRPr="39B561C1">
        <w:rPr>
          <w:rFonts w:ascii="Times New Roman" w:eastAsia="Times New Roman" w:hAnsi="Times New Roman" w:cs="Times New Roman"/>
        </w:rPr>
        <w:t xml:space="preserve"> </w:t>
      </w:r>
    </w:p>
    <w:p w14:paraId="53964D10" w14:textId="2F2370C4" w:rsidR="00433AFF" w:rsidRDefault="5B0D74A4" w:rsidP="39B561C1">
      <w:pPr>
        <w:spacing w:after="0"/>
      </w:pPr>
      <w:r w:rsidRPr="39B561C1">
        <w:rPr>
          <w:rFonts w:ascii="Times New Roman" w:eastAsia="Times New Roman" w:hAnsi="Times New Roman" w:cs="Times New Roman"/>
        </w:rPr>
        <w:t xml:space="preserve"> </w:t>
      </w:r>
    </w:p>
    <w:p w14:paraId="519E806A" w14:textId="6EFC6FEF" w:rsidR="00433AFF" w:rsidRDefault="5B0D74A4" w:rsidP="39B561C1">
      <w:pPr>
        <w:pStyle w:val="Heading2"/>
        <w:spacing w:before="299" w:after="299"/>
      </w:pPr>
      <w:r w:rsidRPr="39B561C1">
        <w:rPr>
          <w:rFonts w:ascii="Times New Roman" w:eastAsia="Times New Roman" w:hAnsi="Times New Roman" w:cs="Times New Roman"/>
          <w:b/>
          <w:bCs/>
          <w:sz w:val="36"/>
          <w:szCs w:val="36"/>
        </w:rPr>
        <w:t>References</w:t>
      </w:r>
    </w:p>
    <w:p w14:paraId="14FCC35B" w14:textId="0BFD548D" w:rsidR="00433AFF" w:rsidRDefault="5B0D74A4" w:rsidP="39B561C1">
      <w:pPr>
        <w:spacing w:before="240" w:after="240"/>
      </w:pPr>
      <w:r w:rsidRPr="39B561C1">
        <w:rPr>
          <w:rFonts w:ascii="Times New Roman" w:eastAsia="Times New Roman" w:hAnsi="Times New Roman" w:cs="Times New Roman"/>
        </w:rPr>
        <w:t xml:space="preserve">Blue Marble (2025) </w:t>
      </w:r>
      <w:r w:rsidRPr="39B561C1">
        <w:rPr>
          <w:rFonts w:ascii="Times New Roman" w:eastAsia="Times New Roman" w:hAnsi="Times New Roman" w:cs="Times New Roman"/>
          <w:i/>
          <w:iCs/>
        </w:rPr>
        <w:t>Exploring digital disadvantage: Research report</w:t>
      </w:r>
      <w:r w:rsidRPr="39B561C1">
        <w:rPr>
          <w:rFonts w:ascii="Times New Roman" w:eastAsia="Times New Roman" w:hAnsi="Times New Roman" w:cs="Times New Roman"/>
        </w:rPr>
        <w:t xml:space="preserve">. Report prepared for Ofcom. Available at: </w:t>
      </w:r>
      <w:hyperlink r:id="rId21">
        <w:r w:rsidRPr="39B561C1">
          <w:rPr>
            <w:rStyle w:val="Hyperlink"/>
            <w:color w:val="0000FF"/>
          </w:rPr>
          <w:t>https://www.ofcom.org.uk/siteassets/resources/documents/internet-based-services/technology/research-digital-disadvantage/exploring-digital-disadvantage-research-report.pdf</w:t>
        </w:r>
      </w:hyperlink>
      <w:r w:rsidRPr="39B561C1">
        <w:rPr>
          <w:rFonts w:ascii="Times New Roman" w:eastAsia="Times New Roman" w:hAnsi="Times New Roman" w:cs="Times New Roman"/>
        </w:rPr>
        <w:t xml:space="preserve"> (Accessed: 16 July 2026).</w:t>
      </w:r>
    </w:p>
    <w:p w14:paraId="03FE78A3" w14:textId="5899706B" w:rsidR="00433AFF" w:rsidRDefault="5B0D74A4" w:rsidP="39B561C1">
      <w:pPr>
        <w:spacing w:before="240" w:after="240"/>
      </w:pPr>
      <w:r w:rsidRPr="39B561C1">
        <w:rPr>
          <w:rFonts w:ascii="Times New Roman" w:eastAsia="Times New Roman" w:hAnsi="Times New Roman" w:cs="Times New Roman"/>
        </w:rPr>
        <w:t xml:space="preserve">Building Digital UK (2025) </w:t>
      </w:r>
      <w:r w:rsidRPr="39B561C1">
        <w:rPr>
          <w:rFonts w:ascii="Times New Roman" w:eastAsia="Times New Roman" w:hAnsi="Times New Roman" w:cs="Times New Roman"/>
          <w:i/>
          <w:iCs/>
        </w:rPr>
        <w:t>Building Digital UK Annual Report and Accounts 2024 to 2025</w:t>
      </w:r>
      <w:r w:rsidRPr="39B561C1">
        <w:rPr>
          <w:rFonts w:ascii="Times New Roman" w:eastAsia="Times New Roman" w:hAnsi="Times New Roman" w:cs="Times New Roman"/>
        </w:rPr>
        <w:t xml:space="preserve">. London: Building Digital UK. Available at: </w:t>
      </w:r>
      <w:hyperlink r:id="rId22">
        <w:r w:rsidRPr="39B561C1">
          <w:rPr>
            <w:rStyle w:val="Hyperlink"/>
            <w:color w:val="0000FF"/>
          </w:rPr>
          <w:t>https://www.gov.uk/government/publications/building-digital-uk-annual-report-and-accounts-2024-2025</w:t>
        </w:r>
      </w:hyperlink>
      <w:r w:rsidRPr="39B561C1">
        <w:rPr>
          <w:rFonts w:ascii="Times New Roman" w:eastAsia="Times New Roman" w:hAnsi="Times New Roman" w:cs="Times New Roman"/>
        </w:rPr>
        <w:t xml:space="preserve"> (Accessed: 16 July 2026).</w:t>
      </w:r>
    </w:p>
    <w:p w14:paraId="2A1F88C5" w14:textId="6E50B456" w:rsidR="00433AFF" w:rsidRDefault="5B0D74A4" w:rsidP="39B561C1">
      <w:pPr>
        <w:spacing w:before="240" w:after="240"/>
      </w:pPr>
      <w:r w:rsidRPr="39B561C1">
        <w:rPr>
          <w:rFonts w:ascii="Times New Roman" w:eastAsia="Times New Roman" w:hAnsi="Times New Roman" w:cs="Times New Roman"/>
        </w:rPr>
        <w:t xml:space="preserve">Christensen, C.M., Hall, T., Dillon, K. and Duncan, D.S. (2016) </w:t>
      </w:r>
      <w:r w:rsidRPr="39B561C1">
        <w:rPr>
          <w:rFonts w:ascii="Times New Roman" w:eastAsia="Times New Roman" w:hAnsi="Times New Roman" w:cs="Times New Roman"/>
          <w:i/>
          <w:iCs/>
        </w:rPr>
        <w:t>Competing Against Luck: The Story of Innovation and Customer Choice</w:t>
      </w:r>
      <w:r w:rsidRPr="39B561C1">
        <w:rPr>
          <w:rFonts w:ascii="Times New Roman" w:eastAsia="Times New Roman" w:hAnsi="Times New Roman" w:cs="Times New Roman"/>
        </w:rPr>
        <w:t>. New York: HarperBusiness.</w:t>
      </w:r>
    </w:p>
    <w:p w14:paraId="5B62EAA4" w14:textId="16CE9137" w:rsidR="00433AFF" w:rsidRDefault="5B0D74A4" w:rsidP="39B561C1">
      <w:pPr>
        <w:spacing w:before="240" w:after="240"/>
      </w:pPr>
      <w:r w:rsidRPr="39B561C1">
        <w:rPr>
          <w:rFonts w:ascii="Times New Roman" w:eastAsia="Times New Roman" w:hAnsi="Times New Roman" w:cs="Times New Roman"/>
        </w:rPr>
        <w:t xml:space="preserve">Department for Business and Trade (2025a) </w:t>
      </w:r>
      <w:r w:rsidRPr="39B561C1">
        <w:rPr>
          <w:rFonts w:ascii="Times New Roman" w:eastAsia="Times New Roman" w:hAnsi="Times New Roman" w:cs="Times New Roman"/>
          <w:i/>
          <w:iCs/>
        </w:rPr>
        <w:t>Business population estimates for the UK and regions 2025</w:t>
      </w:r>
      <w:r w:rsidRPr="39B561C1">
        <w:rPr>
          <w:rFonts w:ascii="Times New Roman" w:eastAsia="Times New Roman" w:hAnsi="Times New Roman" w:cs="Times New Roman"/>
        </w:rPr>
        <w:t xml:space="preserve">. London: Department for Business and Trade. Available at: </w:t>
      </w:r>
      <w:hyperlink r:id="rId23">
        <w:r w:rsidRPr="39B561C1">
          <w:rPr>
            <w:rStyle w:val="Hyperlink"/>
            <w:color w:val="0000FF"/>
          </w:rPr>
          <w:t>https://www.gov.uk/government/statistics/business-population-estimates-2025/business-population-estimates-for-the-uk-and-regions-2025-statistical-release</w:t>
        </w:r>
      </w:hyperlink>
      <w:r w:rsidRPr="39B561C1">
        <w:rPr>
          <w:rFonts w:ascii="Times New Roman" w:eastAsia="Times New Roman" w:hAnsi="Times New Roman" w:cs="Times New Roman"/>
        </w:rPr>
        <w:t xml:space="preserve"> (Accessed: 16 July 2026).</w:t>
      </w:r>
    </w:p>
    <w:p w14:paraId="37981134" w14:textId="6E213546" w:rsidR="00433AFF" w:rsidRDefault="5B0D74A4" w:rsidP="39B561C1">
      <w:pPr>
        <w:spacing w:before="240" w:after="240"/>
      </w:pPr>
      <w:r w:rsidRPr="39B561C1">
        <w:rPr>
          <w:rFonts w:ascii="Times New Roman" w:eastAsia="Times New Roman" w:hAnsi="Times New Roman" w:cs="Times New Roman"/>
        </w:rPr>
        <w:t xml:space="preserve">Department for Business and Trade (2025b) </w:t>
      </w:r>
      <w:r w:rsidRPr="39B561C1">
        <w:rPr>
          <w:rFonts w:ascii="Times New Roman" w:eastAsia="Times New Roman" w:hAnsi="Times New Roman" w:cs="Times New Roman"/>
          <w:i/>
          <w:iCs/>
        </w:rPr>
        <w:t>Understanding technology adoption among UK SMEs</w:t>
      </w:r>
      <w:r w:rsidRPr="39B561C1">
        <w:rPr>
          <w:rFonts w:ascii="Times New Roman" w:eastAsia="Times New Roman" w:hAnsi="Times New Roman" w:cs="Times New Roman"/>
        </w:rPr>
        <w:t xml:space="preserve">. London: Department for Business and Trade. Available at: </w:t>
      </w:r>
      <w:hyperlink r:id="rId24">
        <w:r w:rsidRPr="39B561C1">
          <w:rPr>
            <w:rStyle w:val="Hyperlink"/>
            <w:color w:val="0000FF"/>
          </w:rPr>
          <w:t>https://www.gov.uk/government/publications/understanding-technology-adoption-among-uk-smes</w:t>
        </w:r>
      </w:hyperlink>
      <w:r w:rsidRPr="39B561C1">
        <w:rPr>
          <w:rFonts w:ascii="Times New Roman" w:eastAsia="Times New Roman" w:hAnsi="Times New Roman" w:cs="Times New Roman"/>
        </w:rPr>
        <w:t xml:space="preserve"> (Accessed: 16 July 2026).</w:t>
      </w:r>
    </w:p>
    <w:p w14:paraId="5840644B" w14:textId="588C055D" w:rsidR="00433AFF" w:rsidRDefault="5B0D74A4" w:rsidP="39B561C1">
      <w:pPr>
        <w:spacing w:before="240" w:after="240"/>
      </w:pPr>
      <w:r w:rsidRPr="39B561C1">
        <w:rPr>
          <w:rFonts w:ascii="Times New Roman" w:eastAsia="Times New Roman" w:hAnsi="Times New Roman" w:cs="Times New Roman"/>
        </w:rPr>
        <w:t xml:space="preserve">Department for Business and Trade (2025c) </w:t>
      </w:r>
      <w:r w:rsidRPr="39B561C1">
        <w:rPr>
          <w:rFonts w:ascii="Times New Roman" w:eastAsia="Times New Roman" w:hAnsi="Times New Roman" w:cs="Times New Roman"/>
          <w:i/>
          <w:iCs/>
        </w:rPr>
        <w:t>All you need to know about Digital Product Passports (DPP)</w:t>
      </w:r>
      <w:r w:rsidRPr="39B561C1">
        <w:rPr>
          <w:rFonts w:ascii="Times New Roman" w:eastAsia="Times New Roman" w:hAnsi="Times New Roman" w:cs="Times New Roman"/>
        </w:rPr>
        <w:t xml:space="preserve">. Available at: </w:t>
      </w:r>
      <w:hyperlink r:id="rId25">
        <w:r w:rsidRPr="39B561C1">
          <w:rPr>
            <w:rStyle w:val="Hyperlink"/>
            <w:color w:val="0000FF"/>
          </w:rPr>
          <w:t>https://www.business.gov.uk/business-academy/events/all-you-need-to-know-about-digital-product-passports-dpp-09-april-2025/</w:t>
        </w:r>
      </w:hyperlink>
      <w:r w:rsidRPr="39B561C1">
        <w:rPr>
          <w:rFonts w:ascii="Times New Roman" w:eastAsia="Times New Roman" w:hAnsi="Times New Roman" w:cs="Times New Roman"/>
        </w:rPr>
        <w:t xml:space="preserve"> (Accessed: 16 July 2026).</w:t>
      </w:r>
    </w:p>
    <w:p w14:paraId="26355099" w14:textId="66C1D0B4" w:rsidR="00433AFF" w:rsidRDefault="5B0D74A4" w:rsidP="39B561C1">
      <w:pPr>
        <w:spacing w:before="240" w:after="240"/>
      </w:pPr>
      <w:r w:rsidRPr="39B561C1">
        <w:rPr>
          <w:rFonts w:ascii="Times New Roman" w:eastAsia="Times New Roman" w:hAnsi="Times New Roman" w:cs="Times New Roman"/>
        </w:rPr>
        <w:t xml:space="preserve">Department for Business and Trade (2026) </w:t>
      </w:r>
      <w:r w:rsidRPr="39B561C1">
        <w:rPr>
          <w:rFonts w:ascii="Times New Roman" w:eastAsia="Times New Roman" w:hAnsi="Times New Roman" w:cs="Times New Roman"/>
          <w:i/>
          <w:iCs/>
        </w:rPr>
        <w:t>UK Innovation Survey 2025: Report</w:t>
      </w:r>
      <w:r w:rsidRPr="39B561C1">
        <w:rPr>
          <w:rFonts w:ascii="Times New Roman" w:eastAsia="Times New Roman" w:hAnsi="Times New Roman" w:cs="Times New Roman"/>
        </w:rPr>
        <w:t xml:space="preserve">. London: Department for Business and Trade. Available at: </w:t>
      </w:r>
      <w:hyperlink r:id="rId26">
        <w:r w:rsidRPr="39B561C1">
          <w:rPr>
            <w:rStyle w:val="Hyperlink"/>
            <w:color w:val="0000FF"/>
          </w:rPr>
          <w:t>https://www.gov.uk/government/statistics/uk-innovation-survey-2025-report/uk-innovation-survey-2025-report</w:t>
        </w:r>
      </w:hyperlink>
      <w:r w:rsidRPr="39B561C1">
        <w:rPr>
          <w:rFonts w:ascii="Times New Roman" w:eastAsia="Times New Roman" w:hAnsi="Times New Roman" w:cs="Times New Roman"/>
        </w:rPr>
        <w:t xml:space="preserve"> (Accessed: 16 July 2026).</w:t>
      </w:r>
    </w:p>
    <w:p w14:paraId="72D60AA9" w14:textId="302B8FF2" w:rsidR="00433AFF" w:rsidRDefault="5B0D74A4" w:rsidP="39B561C1">
      <w:pPr>
        <w:spacing w:before="240" w:after="240"/>
      </w:pPr>
      <w:r w:rsidRPr="39B561C1">
        <w:rPr>
          <w:rFonts w:ascii="Times New Roman" w:eastAsia="Times New Roman" w:hAnsi="Times New Roman" w:cs="Times New Roman"/>
        </w:rPr>
        <w:t xml:space="preserve">Department for Science, Innovation and Technology (2026a) </w:t>
      </w:r>
      <w:r w:rsidRPr="39B561C1">
        <w:rPr>
          <w:rFonts w:ascii="Times New Roman" w:eastAsia="Times New Roman" w:hAnsi="Times New Roman" w:cs="Times New Roman"/>
          <w:i/>
          <w:iCs/>
        </w:rPr>
        <w:t>Cyber Security Breaches Survey 2025/2026</w:t>
      </w:r>
      <w:r w:rsidRPr="39B561C1">
        <w:rPr>
          <w:rFonts w:ascii="Times New Roman" w:eastAsia="Times New Roman" w:hAnsi="Times New Roman" w:cs="Times New Roman"/>
        </w:rPr>
        <w:t xml:space="preserve">. London: Department for Science, Innovation and Technology. Available at: </w:t>
      </w:r>
      <w:hyperlink r:id="rId27">
        <w:r w:rsidRPr="39B561C1">
          <w:rPr>
            <w:rStyle w:val="Hyperlink"/>
            <w:color w:val="0000FF"/>
          </w:rPr>
          <w:t>https://www.gov.uk/government/statistics/cyber-security-breaches-survey-20252026/cyber-security-breaches-survey-20252026</w:t>
        </w:r>
      </w:hyperlink>
      <w:r w:rsidRPr="39B561C1">
        <w:rPr>
          <w:rFonts w:ascii="Times New Roman" w:eastAsia="Times New Roman" w:hAnsi="Times New Roman" w:cs="Times New Roman"/>
        </w:rPr>
        <w:t xml:space="preserve"> (Accessed: 16 July 2026).</w:t>
      </w:r>
    </w:p>
    <w:p w14:paraId="057740DE" w14:textId="40862E07" w:rsidR="00433AFF" w:rsidRDefault="5B0D74A4" w:rsidP="39B561C1">
      <w:pPr>
        <w:spacing w:before="240" w:after="240"/>
      </w:pPr>
      <w:r w:rsidRPr="39B561C1">
        <w:rPr>
          <w:rFonts w:ascii="Times New Roman" w:eastAsia="Times New Roman" w:hAnsi="Times New Roman" w:cs="Times New Roman"/>
        </w:rPr>
        <w:t xml:space="preserve">Department for Science, Innovation and Technology (2026b) </w:t>
      </w:r>
      <w:r w:rsidRPr="39B561C1">
        <w:rPr>
          <w:rFonts w:ascii="Times New Roman" w:eastAsia="Times New Roman" w:hAnsi="Times New Roman" w:cs="Times New Roman"/>
          <w:i/>
          <w:iCs/>
        </w:rPr>
        <w:t>Digital Inclusion Action Plan: One Year On</w:t>
      </w:r>
      <w:r w:rsidRPr="39B561C1">
        <w:rPr>
          <w:rFonts w:ascii="Times New Roman" w:eastAsia="Times New Roman" w:hAnsi="Times New Roman" w:cs="Times New Roman"/>
        </w:rPr>
        <w:t xml:space="preserve">. London: Department for Science, Innovation and Technology. Available at: </w:t>
      </w:r>
      <w:hyperlink r:id="rId28">
        <w:r w:rsidRPr="39B561C1">
          <w:rPr>
            <w:rStyle w:val="Hyperlink"/>
            <w:color w:val="0000FF"/>
          </w:rPr>
          <w:t>https://www.gov.uk/government/publications/digital-inclusion-action-plan-one-year-on/digital-inclusion-action-plan-one-year-on</w:t>
        </w:r>
      </w:hyperlink>
      <w:r w:rsidRPr="39B561C1">
        <w:rPr>
          <w:rFonts w:ascii="Times New Roman" w:eastAsia="Times New Roman" w:hAnsi="Times New Roman" w:cs="Times New Roman"/>
        </w:rPr>
        <w:t xml:space="preserve"> (Accessed: 16 July 2026).</w:t>
      </w:r>
    </w:p>
    <w:p w14:paraId="06054892" w14:textId="758BAC8C" w:rsidR="00433AFF" w:rsidRDefault="5B0D74A4" w:rsidP="39B561C1">
      <w:pPr>
        <w:spacing w:before="240" w:after="240"/>
      </w:pPr>
      <w:r w:rsidRPr="39B561C1">
        <w:rPr>
          <w:rFonts w:ascii="Times New Roman" w:eastAsia="Times New Roman" w:hAnsi="Times New Roman" w:cs="Times New Roman"/>
        </w:rPr>
        <w:t xml:space="preserve">Design Council (n.d.) </w:t>
      </w:r>
      <w:r w:rsidRPr="39B561C1">
        <w:rPr>
          <w:rFonts w:ascii="Times New Roman" w:eastAsia="Times New Roman" w:hAnsi="Times New Roman" w:cs="Times New Roman"/>
          <w:i/>
          <w:iCs/>
        </w:rPr>
        <w:t>The Double Diamond</w:t>
      </w:r>
      <w:r w:rsidRPr="39B561C1">
        <w:rPr>
          <w:rFonts w:ascii="Times New Roman" w:eastAsia="Times New Roman" w:hAnsi="Times New Roman" w:cs="Times New Roman"/>
        </w:rPr>
        <w:t xml:space="preserve">. Available at: </w:t>
      </w:r>
      <w:hyperlink r:id="rId29">
        <w:r w:rsidRPr="39B561C1">
          <w:rPr>
            <w:rStyle w:val="Hyperlink"/>
            <w:color w:val="0000FF"/>
          </w:rPr>
          <w:t>https://www.designcouncil.org.uk/resources/the-double-diamond/</w:t>
        </w:r>
      </w:hyperlink>
      <w:r w:rsidRPr="39B561C1">
        <w:rPr>
          <w:rFonts w:ascii="Times New Roman" w:eastAsia="Times New Roman" w:hAnsi="Times New Roman" w:cs="Times New Roman"/>
        </w:rPr>
        <w:t xml:space="preserve"> (Accessed: 16 July 2026).</w:t>
      </w:r>
    </w:p>
    <w:p w14:paraId="4DEAEFF1" w14:textId="6FEC6D1F" w:rsidR="00433AFF" w:rsidRDefault="5B0D74A4" w:rsidP="39B561C1">
      <w:pPr>
        <w:spacing w:before="240" w:after="240"/>
      </w:pPr>
      <w:r w:rsidRPr="39B561C1">
        <w:rPr>
          <w:rFonts w:ascii="Times New Roman" w:eastAsia="Times New Roman" w:hAnsi="Times New Roman" w:cs="Times New Roman"/>
        </w:rPr>
        <w:t xml:space="preserve">IDEO (2022) ‘The secret power of prototyping’, </w:t>
      </w:r>
      <w:r w:rsidRPr="39B561C1">
        <w:rPr>
          <w:rFonts w:ascii="Times New Roman" w:eastAsia="Times New Roman" w:hAnsi="Times New Roman" w:cs="Times New Roman"/>
          <w:i/>
          <w:iCs/>
        </w:rPr>
        <w:t>IDEO Journal</w:t>
      </w:r>
      <w:r w:rsidRPr="39B561C1">
        <w:rPr>
          <w:rFonts w:ascii="Times New Roman" w:eastAsia="Times New Roman" w:hAnsi="Times New Roman" w:cs="Times New Roman"/>
        </w:rPr>
        <w:t xml:space="preserve">, 9 May. Available at: </w:t>
      </w:r>
      <w:hyperlink r:id="rId30">
        <w:r w:rsidRPr="39B561C1">
          <w:rPr>
            <w:rStyle w:val="Hyperlink"/>
            <w:color w:val="0000FF"/>
          </w:rPr>
          <w:t>https://www.ideo.com/journal/the-secret-power-of-prototyping</w:t>
        </w:r>
      </w:hyperlink>
      <w:r w:rsidRPr="39B561C1">
        <w:rPr>
          <w:rFonts w:ascii="Times New Roman" w:eastAsia="Times New Roman" w:hAnsi="Times New Roman" w:cs="Times New Roman"/>
        </w:rPr>
        <w:t xml:space="preserve"> (Accessed: 16 July 2026).</w:t>
      </w:r>
    </w:p>
    <w:p w14:paraId="068C3D8A" w14:textId="1EE5A852" w:rsidR="00433AFF" w:rsidRDefault="5B0D74A4" w:rsidP="39B561C1">
      <w:pPr>
        <w:spacing w:before="240" w:after="240"/>
      </w:pPr>
      <w:r w:rsidRPr="39B561C1">
        <w:rPr>
          <w:rFonts w:ascii="Times New Roman" w:eastAsia="Times New Roman" w:hAnsi="Times New Roman" w:cs="Times New Roman"/>
        </w:rPr>
        <w:t xml:space="preserve">IDEO (n.d.) </w:t>
      </w:r>
      <w:r w:rsidRPr="39B561C1">
        <w:rPr>
          <w:rFonts w:ascii="Times New Roman" w:eastAsia="Times New Roman" w:hAnsi="Times New Roman" w:cs="Times New Roman"/>
          <w:i/>
          <w:iCs/>
        </w:rPr>
        <w:t>Design Thinking by IDEO: Human-Centered Innovation</w:t>
      </w:r>
      <w:r w:rsidRPr="39B561C1">
        <w:rPr>
          <w:rFonts w:ascii="Times New Roman" w:eastAsia="Times New Roman" w:hAnsi="Times New Roman" w:cs="Times New Roman"/>
        </w:rPr>
        <w:t xml:space="preserve">. Available at: </w:t>
      </w:r>
      <w:hyperlink r:id="rId31">
        <w:r w:rsidRPr="39B561C1">
          <w:rPr>
            <w:rStyle w:val="Hyperlink"/>
            <w:color w:val="0000FF"/>
          </w:rPr>
          <w:t>https://designthinking.ideo.com/</w:t>
        </w:r>
      </w:hyperlink>
      <w:r w:rsidRPr="39B561C1">
        <w:rPr>
          <w:rFonts w:ascii="Times New Roman" w:eastAsia="Times New Roman" w:hAnsi="Times New Roman" w:cs="Times New Roman"/>
        </w:rPr>
        <w:t xml:space="preserve"> (Accessed: 16 July 2026).</w:t>
      </w:r>
    </w:p>
    <w:p w14:paraId="16DD4716" w14:textId="34077387" w:rsidR="00433AFF" w:rsidRDefault="5B0D74A4" w:rsidP="39B561C1">
      <w:pPr>
        <w:spacing w:before="240" w:after="240"/>
      </w:pPr>
      <w:r w:rsidRPr="39B561C1">
        <w:rPr>
          <w:rFonts w:ascii="Times New Roman" w:eastAsia="Times New Roman" w:hAnsi="Times New Roman" w:cs="Times New Roman"/>
        </w:rPr>
        <w:t xml:space="preserve">Kim, W.C. and Mauborgne, R. (2015) </w:t>
      </w:r>
      <w:r w:rsidRPr="39B561C1">
        <w:rPr>
          <w:rFonts w:ascii="Times New Roman" w:eastAsia="Times New Roman" w:hAnsi="Times New Roman" w:cs="Times New Roman"/>
          <w:i/>
          <w:iCs/>
        </w:rPr>
        <w:t>Blue Ocean Strategy: How to Create Uncontested Market Space and Make the Competition Irrelevant</w:t>
      </w:r>
      <w:r w:rsidRPr="39B561C1">
        <w:rPr>
          <w:rFonts w:ascii="Times New Roman" w:eastAsia="Times New Roman" w:hAnsi="Times New Roman" w:cs="Times New Roman"/>
        </w:rPr>
        <w:t>. Expanded edition. Boston, MA: Harvard Business Review Press.</w:t>
      </w:r>
    </w:p>
    <w:p w14:paraId="5271E9D0" w14:textId="50A6C8D0" w:rsidR="00433AFF" w:rsidRDefault="5B0D74A4" w:rsidP="39B561C1">
      <w:pPr>
        <w:spacing w:before="240" w:after="240"/>
      </w:pPr>
      <w:r w:rsidRPr="39B561C1">
        <w:rPr>
          <w:rFonts w:ascii="Times New Roman" w:eastAsia="Times New Roman" w:hAnsi="Times New Roman" w:cs="Times New Roman"/>
        </w:rPr>
        <w:t xml:space="preserve">National Cyber Security Centre (n.d.) </w:t>
      </w:r>
      <w:r w:rsidRPr="39B561C1">
        <w:rPr>
          <w:rFonts w:ascii="Times New Roman" w:eastAsia="Times New Roman" w:hAnsi="Times New Roman" w:cs="Times New Roman"/>
          <w:i/>
          <w:iCs/>
        </w:rPr>
        <w:t>Cyber Action Toolkit</w:t>
      </w:r>
      <w:r w:rsidRPr="39B561C1">
        <w:rPr>
          <w:rFonts w:ascii="Times New Roman" w:eastAsia="Times New Roman" w:hAnsi="Times New Roman" w:cs="Times New Roman"/>
        </w:rPr>
        <w:t xml:space="preserve">. Available at: </w:t>
      </w:r>
      <w:hyperlink r:id="rId32">
        <w:r w:rsidRPr="39B561C1">
          <w:rPr>
            <w:rStyle w:val="Hyperlink"/>
            <w:color w:val="0000FF"/>
          </w:rPr>
          <w:t>https://cybertoolkit.service.ncsc.gov.uk/</w:t>
        </w:r>
      </w:hyperlink>
      <w:r w:rsidRPr="39B561C1">
        <w:rPr>
          <w:rFonts w:ascii="Times New Roman" w:eastAsia="Times New Roman" w:hAnsi="Times New Roman" w:cs="Times New Roman"/>
        </w:rPr>
        <w:t xml:space="preserve"> (Accessed: 16 July 2026).</w:t>
      </w:r>
    </w:p>
    <w:p w14:paraId="4851B8C6" w14:textId="3AB57F51" w:rsidR="00433AFF" w:rsidRDefault="5B0D74A4" w:rsidP="39B561C1">
      <w:pPr>
        <w:spacing w:before="240" w:after="240"/>
      </w:pPr>
      <w:r w:rsidRPr="39B561C1">
        <w:rPr>
          <w:rFonts w:ascii="Times New Roman" w:eastAsia="Times New Roman" w:hAnsi="Times New Roman" w:cs="Times New Roman"/>
        </w:rPr>
        <w:t xml:space="preserve">Office for National Statistics (2025) </w:t>
      </w:r>
      <w:r w:rsidRPr="39B561C1">
        <w:rPr>
          <w:rFonts w:ascii="Times New Roman" w:eastAsia="Times New Roman" w:hAnsi="Times New Roman" w:cs="Times New Roman"/>
          <w:i/>
          <w:iCs/>
        </w:rPr>
        <w:t>Management practices and the adoption of technology and artificial intelligence in UK firms: 2023</w:t>
      </w:r>
      <w:r w:rsidRPr="39B561C1">
        <w:rPr>
          <w:rFonts w:ascii="Times New Roman" w:eastAsia="Times New Roman" w:hAnsi="Times New Roman" w:cs="Times New Roman"/>
        </w:rPr>
        <w:t xml:space="preserve">. Newport: Office for National Statistics. Available at: </w:t>
      </w:r>
      <w:hyperlink r:id="rId33">
        <w:r w:rsidRPr="39B561C1">
          <w:rPr>
            <w:rStyle w:val="Hyperlink"/>
            <w:color w:val="0000FF"/>
          </w:rPr>
          <w:t>https://www.ons.gov.uk/economy/economicoutputandproductivity/productivitymeasures/articles/managementpracticesandtheadoptionoftechnologyandartificialintelligenceinukfirms2023/2025-03-24</w:t>
        </w:r>
      </w:hyperlink>
      <w:r w:rsidRPr="39B561C1">
        <w:rPr>
          <w:rFonts w:ascii="Times New Roman" w:eastAsia="Times New Roman" w:hAnsi="Times New Roman" w:cs="Times New Roman"/>
        </w:rPr>
        <w:t xml:space="preserve"> (Accessed: 16 July 2026).</w:t>
      </w:r>
    </w:p>
    <w:p w14:paraId="3B8ECC33" w14:textId="5C3F9C7F" w:rsidR="00433AFF" w:rsidRDefault="5B0D74A4" w:rsidP="39B561C1">
      <w:pPr>
        <w:spacing w:before="240" w:after="240"/>
      </w:pPr>
      <w:r w:rsidRPr="39B561C1">
        <w:rPr>
          <w:rFonts w:ascii="Times New Roman" w:eastAsia="Times New Roman" w:hAnsi="Times New Roman" w:cs="Times New Roman"/>
        </w:rPr>
        <w:t xml:space="preserve">Office for National Statistics (2026) </w:t>
      </w:r>
      <w:r w:rsidRPr="39B561C1">
        <w:rPr>
          <w:rFonts w:ascii="Times New Roman" w:eastAsia="Times New Roman" w:hAnsi="Times New Roman" w:cs="Times New Roman"/>
          <w:i/>
          <w:iCs/>
        </w:rPr>
        <w:t>Retail sales, Great Britain: May 2026</w:t>
      </w:r>
      <w:r w:rsidRPr="39B561C1">
        <w:rPr>
          <w:rFonts w:ascii="Times New Roman" w:eastAsia="Times New Roman" w:hAnsi="Times New Roman" w:cs="Times New Roman"/>
        </w:rPr>
        <w:t xml:space="preserve">. Newport: Office for National Statistics. Available at: </w:t>
      </w:r>
      <w:hyperlink r:id="rId34">
        <w:r w:rsidRPr="39B561C1">
          <w:rPr>
            <w:rStyle w:val="Hyperlink"/>
            <w:color w:val="0000FF"/>
          </w:rPr>
          <w:t>https://www.ons.gov.uk/businessindustryandtrade/retailindustry/bulletins/retailsales/may2026</w:t>
        </w:r>
      </w:hyperlink>
      <w:r w:rsidRPr="39B561C1">
        <w:rPr>
          <w:rFonts w:ascii="Times New Roman" w:eastAsia="Times New Roman" w:hAnsi="Times New Roman" w:cs="Times New Roman"/>
        </w:rPr>
        <w:t xml:space="preserve"> (Accessed: 16 July 2026).</w:t>
      </w:r>
    </w:p>
    <w:p w14:paraId="29D279C9" w14:textId="09F2D3A8" w:rsidR="00433AFF" w:rsidRDefault="5B0D74A4" w:rsidP="39B561C1">
      <w:pPr>
        <w:spacing w:before="240" w:after="240"/>
      </w:pPr>
      <w:r w:rsidRPr="39B561C1">
        <w:rPr>
          <w:rFonts w:ascii="Times New Roman" w:eastAsia="Times New Roman" w:hAnsi="Times New Roman" w:cs="Times New Roman"/>
        </w:rPr>
        <w:t xml:space="preserve">Ofcom (2025a) </w:t>
      </w:r>
      <w:r w:rsidRPr="39B561C1">
        <w:rPr>
          <w:rFonts w:ascii="Times New Roman" w:eastAsia="Times New Roman" w:hAnsi="Times New Roman" w:cs="Times New Roman"/>
          <w:i/>
          <w:iCs/>
        </w:rPr>
        <w:t>Connected Nations 2025: UK report</w:t>
      </w:r>
      <w:r w:rsidRPr="39B561C1">
        <w:rPr>
          <w:rFonts w:ascii="Times New Roman" w:eastAsia="Times New Roman" w:hAnsi="Times New Roman" w:cs="Times New Roman"/>
        </w:rPr>
        <w:t xml:space="preserve">. London: Ofcom. Available at: </w:t>
      </w:r>
      <w:hyperlink r:id="rId35">
        <w:r w:rsidRPr="39B561C1">
          <w:rPr>
            <w:rStyle w:val="Hyperlink"/>
            <w:color w:val="0000FF"/>
          </w:rPr>
          <w:t>https://www.ofcom.org.uk/phones-and-broadband/coverage-and-speeds/connected-nations-20252</w:t>
        </w:r>
      </w:hyperlink>
      <w:r w:rsidRPr="39B561C1">
        <w:rPr>
          <w:rFonts w:ascii="Times New Roman" w:eastAsia="Times New Roman" w:hAnsi="Times New Roman" w:cs="Times New Roman"/>
        </w:rPr>
        <w:t xml:space="preserve"> (Accessed: 16 July 2026).</w:t>
      </w:r>
    </w:p>
    <w:p w14:paraId="75D37619" w14:textId="0D4DC693" w:rsidR="00433AFF" w:rsidRDefault="5B0D74A4" w:rsidP="39B561C1">
      <w:pPr>
        <w:spacing w:before="240" w:after="240"/>
      </w:pPr>
      <w:r w:rsidRPr="39B561C1">
        <w:rPr>
          <w:rFonts w:ascii="Times New Roman" w:eastAsia="Times New Roman" w:hAnsi="Times New Roman" w:cs="Times New Roman"/>
        </w:rPr>
        <w:t xml:space="preserve">Ofcom (2025b) </w:t>
      </w:r>
      <w:r w:rsidRPr="39B561C1">
        <w:rPr>
          <w:rFonts w:ascii="Times New Roman" w:eastAsia="Times New Roman" w:hAnsi="Times New Roman" w:cs="Times New Roman"/>
          <w:i/>
          <w:iCs/>
        </w:rPr>
        <w:t>A demographic deep dive into internet use: Analysis using Ofcom’s Technology Tracker 2025</w:t>
      </w:r>
      <w:r w:rsidRPr="39B561C1">
        <w:rPr>
          <w:rFonts w:ascii="Times New Roman" w:eastAsia="Times New Roman" w:hAnsi="Times New Roman" w:cs="Times New Roman"/>
        </w:rPr>
        <w:t xml:space="preserve">. London: Ofcom. Available at: </w:t>
      </w:r>
      <w:hyperlink r:id="rId36">
        <w:r w:rsidRPr="39B561C1">
          <w:rPr>
            <w:rStyle w:val="Hyperlink"/>
            <w:color w:val="0000FF"/>
          </w:rPr>
          <w:t>https://www.ofcom.org.uk/siteassets/resources/documents/internet-based-services/technology/digital-transitions-analysis-using-ofcoms-technology-tracker-2025.pdf</w:t>
        </w:r>
      </w:hyperlink>
      <w:r w:rsidRPr="39B561C1">
        <w:rPr>
          <w:rFonts w:ascii="Times New Roman" w:eastAsia="Times New Roman" w:hAnsi="Times New Roman" w:cs="Times New Roman"/>
        </w:rPr>
        <w:t xml:space="preserve"> (Accessed: 16 July 2026).</w:t>
      </w:r>
    </w:p>
    <w:p w14:paraId="7F34E59A" w14:textId="2F18CE65" w:rsidR="00433AFF" w:rsidRDefault="5B0D74A4" w:rsidP="39B561C1">
      <w:pPr>
        <w:spacing w:before="240" w:after="240"/>
      </w:pPr>
      <w:r w:rsidRPr="39B561C1">
        <w:rPr>
          <w:rFonts w:ascii="Times New Roman" w:eastAsia="Times New Roman" w:hAnsi="Times New Roman" w:cs="Times New Roman"/>
        </w:rPr>
        <w:t xml:space="preserve">Retail Economics (2025) </w:t>
      </w:r>
      <w:r w:rsidRPr="39B561C1">
        <w:rPr>
          <w:rFonts w:ascii="Times New Roman" w:eastAsia="Times New Roman" w:hAnsi="Times New Roman" w:cs="Times New Roman"/>
          <w:i/>
          <w:iCs/>
        </w:rPr>
        <w:t>ZigZag Returns Benchmark 2025</w:t>
      </w:r>
      <w:r w:rsidRPr="39B561C1">
        <w:rPr>
          <w:rFonts w:ascii="Times New Roman" w:eastAsia="Times New Roman" w:hAnsi="Times New Roman" w:cs="Times New Roman"/>
        </w:rPr>
        <w:t xml:space="preserve">. London: Retail Economics. Available at: </w:t>
      </w:r>
      <w:hyperlink r:id="rId37">
        <w:r w:rsidRPr="39B561C1">
          <w:rPr>
            <w:rStyle w:val="Hyperlink"/>
            <w:color w:val="0000FF"/>
          </w:rPr>
          <w:t>https://www.retaileconomics.co.uk/retail-insights/thought-leadership-reports/zigzag-uk-returns-benchmark-2025</w:t>
        </w:r>
      </w:hyperlink>
      <w:r w:rsidRPr="39B561C1">
        <w:rPr>
          <w:rFonts w:ascii="Times New Roman" w:eastAsia="Times New Roman" w:hAnsi="Times New Roman" w:cs="Times New Roman"/>
        </w:rPr>
        <w:t xml:space="preserve"> (Accessed: 16 July 2026).</w:t>
      </w:r>
    </w:p>
    <w:p w14:paraId="256D0879" w14:textId="29C6DF26" w:rsidR="00433AFF" w:rsidRDefault="5B0D74A4" w:rsidP="39B561C1">
      <w:pPr>
        <w:spacing w:before="240" w:after="240"/>
      </w:pPr>
      <w:r w:rsidRPr="39B561C1">
        <w:rPr>
          <w:rFonts w:ascii="Times New Roman" w:eastAsia="Times New Roman" w:hAnsi="Times New Roman" w:cs="Times New Roman"/>
        </w:rPr>
        <w:t xml:space="preserve">Ries, E. (2011) </w:t>
      </w:r>
      <w:r w:rsidRPr="39B561C1">
        <w:rPr>
          <w:rFonts w:ascii="Times New Roman" w:eastAsia="Times New Roman" w:hAnsi="Times New Roman" w:cs="Times New Roman"/>
          <w:i/>
          <w:iCs/>
        </w:rPr>
        <w:t>The Lean Startup: How Constant Innovation Creates Radically Successful Businesses</w:t>
      </w:r>
      <w:r w:rsidRPr="39B561C1">
        <w:rPr>
          <w:rFonts w:ascii="Times New Roman" w:eastAsia="Times New Roman" w:hAnsi="Times New Roman" w:cs="Times New Roman"/>
        </w:rPr>
        <w:t>. New York: Crown Business.</w:t>
      </w:r>
    </w:p>
    <w:p w14:paraId="219B96AC" w14:textId="6369AE8E" w:rsidR="00433AFF" w:rsidRDefault="5B0D74A4" w:rsidP="39B561C1">
      <w:pPr>
        <w:spacing w:before="240" w:after="240"/>
      </w:pPr>
      <w:r w:rsidRPr="39B561C1">
        <w:rPr>
          <w:rFonts w:ascii="Times New Roman" w:eastAsia="Times New Roman" w:hAnsi="Times New Roman" w:cs="Times New Roman"/>
        </w:rPr>
        <w:t xml:space="preserve">Sarasvathy, S.D. (2001) ‘Causation and effectuation: Toward a theoretical shift from economic inevitability to entrepreneurial contingency’, </w:t>
      </w:r>
      <w:r w:rsidRPr="39B561C1">
        <w:rPr>
          <w:rFonts w:ascii="Times New Roman" w:eastAsia="Times New Roman" w:hAnsi="Times New Roman" w:cs="Times New Roman"/>
          <w:i/>
          <w:iCs/>
        </w:rPr>
        <w:t>Academy of Management Review</w:t>
      </w:r>
      <w:r w:rsidRPr="39B561C1">
        <w:rPr>
          <w:rFonts w:ascii="Times New Roman" w:eastAsia="Times New Roman" w:hAnsi="Times New Roman" w:cs="Times New Roman"/>
        </w:rPr>
        <w:t>, 26(2), pp. 243–263. doi: 10.5465/amr.2001.4378020.</w:t>
      </w:r>
    </w:p>
    <w:p w14:paraId="222AC4F6" w14:textId="53126D76" w:rsidR="00433AFF" w:rsidRDefault="00433AFF"/>
    <w:sectPr w:rsidR="00433A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EDE415"/>
    <w:rsid w:val="00351E2F"/>
    <w:rsid w:val="00433AFF"/>
    <w:rsid w:val="00435B66"/>
    <w:rsid w:val="009E63F3"/>
    <w:rsid w:val="39B561C1"/>
    <w:rsid w:val="50340C71"/>
    <w:rsid w:val="5B0D74A4"/>
    <w:rsid w:val="73EDE41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B6EC9"/>
  <w15:chartTrackingRefBased/>
  <w15:docId w15:val="{6E3E4318-9D04-45BF-8718-F0B464C70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ro-RO"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39B561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9B561C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9B561C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18"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26" Type="http://schemas.openxmlformats.org/officeDocument/2006/relationships/hyperlink" Target="https://www.gov.uk/government/statistics/uk-innovation-survey-2025-report/uk-innovation-survey-2025-report" TargetMode="External"/><Relationship Id="rId39" Type="http://schemas.openxmlformats.org/officeDocument/2006/relationships/theme" Target="theme/theme1.xml"/><Relationship Id="rId21" Type="http://schemas.openxmlformats.org/officeDocument/2006/relationships/hyperlink" Target="https://www.ofcom.org.uk/siteassets/resources/documents/internet-based-services/technology/research-digital-disadvantage/exploring-digital-disadvantage-research-report.pdf" TargetMode="External"/><Relationship Id="rId34" Type="http://schemas.openxmlformats.org/officeDocument/2006/relationships/hyperlink" Target="https://www.ons.gov.uk/businessindustryandtrade/retailindustry/bulletins/retailsales/may2026" TargetMode="External"/><Relationship Id="rId7"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12"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17"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25" Type="http://schemas.openxmlformats.org/officeDocument/2006/relationships/hyperlink" Target="https://www.business.gov.uk/business-academy/events/all-you-need-to-know-about-digital-product-passports-dpp-09-april-2025/" TargetMode="External"/><Relationship Id="rId33" Type="http://schemas.openxmlformats.org/officeDocument/2006/relationships/hyperlink" Target="https://www.ons.gov.uk/economy/economicoutputandproductivity/productivitymeasures/articles/managementpracticesandtheadoptionoftechnologyandartificialintelligenceinukfirms2023/2025-03-24"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20"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29" Type="http://schemas.openxmlformats.org/officeDocument/2006/relationships/hyperlink" Target="https://www.designcouncil.org.uk/resources/the-double-diamond/" TargetMode="External"/><Relationship Id="rId1" Type="http://schemas.openxmlformats.org/officeDocument/2006/relationships/styles" Target="styles.xml"/><Relationship Id="rId6"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11"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24" Type="http://schemas.openxmlformats.org/officeDocument/2006/relationships/hyperlink" Target="https://www.gov.uk/government/publications/understanding-technology-adoption-among-uk-smes" TargetMode="External"/><Relationship Id="rId32" Type="http://schemas.openxmlformats.org/officeDocument/2006/relationships/hyperlink" Target="https://cybertoolkit.service.ncsc.gov.uk/" TargetMode="External"/><Relationship Id="rId37" Type="http://schemas.openxmlformats.org/officeDocument/2006/relationships/hyperlink" Target="https://www.retaileconomics.co.uk/retail-insights/thought-leadership-reports/zigzag-uk-returns-benchmark-2025" TargetMode="External"/><Relationship Id="rId5"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15"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23" Type="http://schemas.openxmlformats.org/officeDocument/2006/relationships/hyperlink" Target="https://www.gov.uk/government/statistics/business-population-estimates-2025/business-population-estimates-for-the-uk-and-regions-2025-statistical-release" TargetMode="External"/><Relationship Id="rId28" Type="http://schemas.openxmlformats.org/officeDocument/2006/relationships/hyperlink" Target="https://www.gov.uk/government/publications/digital-inclusion-action-plan-one-year-on/digital-inclusion-action-plan-one-year-on" TargetMode="External"/><Relationship Id="rId36" Type="http://schemas.openxmlformats.org/officeDocument/2006/relationships/hyperlink" Target="https://www.ofcom.org.uk/siteassets/resources/documents/internet-based-services/technology/digital-transitions-analysis-using-ofcoms-technology-tracker-2025.pdf" TargetMode="External"/><Relationship Id="rId10"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19"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31" Type="http://schemas.openxmlformats.org/officeDocument/2006/relationships/hyperlink" Target="https://designthinking.ideo.com/" TargetMode="External"/><Relationship Id="rId4"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9"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14"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22" Type="http://schemas.openxmlformats.org/officeDocument/2006/relationships/hyperlink" Target="https://www.gov.uk/government/publications/building-digital-uk-annual-report-and-accounts-2024-2025" TargetMode="External"/><Relationship Id="rId27" Type="http://schemas.openxmlformats.org/officeDocument/2006/relationships/hyperlink" Target="https://www.gov.uk/government/statistics/cyber-security-breaches-survey-20252026/cyber-security-breaches-survey-20252026" TargetMode="External"/><Relationship Id="rId30" Type="http://schemas.openxmlformats.org/officeDocument/2006/relationships/hyperlink" Target="https://www.ideo.com/journal/the-secret-power-of-prototyping" TargetMode="External"/><Relationship Id="rId35" Type="http://schemas.openxmlformats.org/officeDocument/2006/relationships/hyperlink" Target="https://www.ofcom.org.uk/phones-and-broadband/coverage-and-speeds/connected-nations-20252" TargetMode="External"/><Relationship Id="rId8" Type="http://schemas.openxmlformats.org/officeDocument/2006/relationships/hyperlink" Target="https://word-edit.officeapps.live.com/we/wordeditorframe.aspx?new=1&amp;ui=ro-RO&amp;rs=ro-RO&amp;wopisrc=https%3A%2F%2Fmy.microsoftpersonalcontent.com%2Fpersonal%2F2460521651d7c31a%2F_vti_bin%2Fwopi.ashx%2Ffiles%2Fa1347273af3c4c3781e13523f29584ef&amp;wdenableroaming=1&amp;mscc=1&amp;wdodb=1&amp;hid=acb1674d-73db-4752-97b5-7154aedd6b8b.0&amp;uih=apphome&amp;jsapi=1&amp;jsapiver=v2&amp;corrid=3e00b858-82dc-4115-b3f0-ca2934780f57&amp;usid=3e00b858-82dc-4115-b3f0-ca2934780f57&amp;newsession=1&amp;sftc=1&amp;hfto=1784241059918.9&amp;uihit=Bootstrapper&amp;muv=v1&amp;sdr=6&amp;ats=PairwiseBroker&amp;cac=1&amp;rat=1&amp;sams=1&amp;sfp=1&amp;sdp=1&amp;dchat=1&amp;sc=%7B%22pmo%22%3A%22https%3A%2F%2Fword.cloud.microsoft%22%2C%22pmshare%22%3Atrue%7D&amp;wdorigin=APPHOME-WEB.DIRECT,APPHOME-WEB.BANNER.NEWBLANK-OCDI&amp;wdprevioussession=acb1674d-73db-4752-97b5-7154aedd6b8b&amp;wdprevioussessionsrc=AppHomeWeb&amp;ct=1784241066256&amp;ctp=LeastProtected&amp;rct=Normal&amp;wdhostclicktime=1784241066256&amp;afdflight=6&amp;csiro=1&amp;wdredirectionreason=Unified_SingleFlush"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7677</Words>
  <Characters>43759</Characters>
  <Application>Microsoft Office Word</Application>
  <DocSecurity>0</DocSecurity>
  <Lines>364</Lines>
  <Paragraphs>102</Paragraphs>
  <ScaleCrop>false</ScaleCrop>
  <Company/>
  <LinksUpToDate>false</LinksUpToDate>
  <CharactersWithSpaces>51334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Paula Marcu</cp:lastModifiedBy>
  <cp:revision>2</cp:revision>
  <dcterms:created xsi:type="dcterms:W3CDTF">2026-07-16T22:43:00Z</dcterms:created>
  <dcterms:modified xsi:type="dcterms:W3CDTF">2026-07-16T22:43:00Z</dcterms:modified>
</cp:coreProperties>
</file>