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19463" w14:textId="0137CDDD" w:rsidR="00226173" w:rsidRPr="00345EFC" w:rsidRDefault="00345EFC" w:rsidP="639A34EC">
      <w:pPr>
        <w:widowControl w:val="0"/>
        <w:spacing w:before="120" w:after="120" w:line="360" w:lineRule="auto"/>
        <w:jc w:val="both"/>
        <w:rPr>
          <w:rFonts w:ascii="Times New Roman" w:eastAsia="Times New Roman" w:hAnsi="Times New Roman" w:cs="Times New Roman"/>
          <w:b/>
          <w:bCs/>
          <w:color w:val="0F4761" w:themeColor="accent1" w:themeShade="BF"/>
          <w:sz w:val="28"/>
          <w:szCs w:val="28"/>
          <w:lang w:val="en-GB"/>
        </w:rPr>
      </w:pPr>
      <w:r w:rsidRPr="639A34EC">
        <w:rPr>
          <w:rFonts w:ascii="Times New Roman" w:eastAsia="Times New Roman" w:hAnsi="Times New Roman" w:cs="Times New Roman"/>
          <w:b/>
          <w:bCs/>
          <w:sz w:val="28"/>
          <w:szCs w:val="28"/>
          <w:lang w:val="en-GB"/>
        </w:rPr>
        <w:t>1.</w:t>
      </w:r>
      <w:r w:rsidR="00226173" w:rsidRPr="639A34EC">
        <w:rPr>
          <w:rFonts w:ascii="Times New Roman" w:eastAsia="Times New Roman" w:hAnsi="Times New Roman" w:cs="Times New Roman"/>
          <w:b/>
          <w:bCs/>
          <w:sz w:val="28"/>
          <w:szCs w:val="28"/>
          <w:lang w:val="en-GB"/>
        </w:rPr>
        <w:t>I</w:t>
      </w:r>
      <w:r w:rsidR="00155178" w:rsidRPr="639A34EC">
        <w:rPr>
          <w:rFonts w:ascii="Times New Roman" w:eastAsia="Times New Roman" w:hAnsi="Times New Roman" w:cs="Times New Roman"/>
          <w:b/>
          <w:bCs/>
          <w:sz w:val="28"/>
          <w:szCs w:val="28"/>
          <w:lang w:val="en-GB"/>
        </w:rPr>
        <w:t>ntroduction</w:t>
      </w:r>
    </w:p>
    <w:p w14:paraId="51B21C82" w14:textId="711BAD3B" w:rsidR="0094698D" w:rsidRPr="00E279BE" w:rsidRDefault="2B66BD2A" w:rsidP="639A34EC">
      <w:pPr>
        <w:widowControl w:val="0"/>
        <w:spacing w:before="120" w:after="120" w:line="360" w:lineRule="auto"/>
        <w:jc w:val="both"/>
        <w:rPr>
          <w:rFonts w:ascii="Times New Roman" w:eastAsia="Times New Roman" w:hAnsi="Times New Roman" w:cs="Times New Roman"/>
        </w:rPr>
      </w:pPr>
      <w:r w:rsidRPr="639A34EC">
        <w:rPr>
          <w:rFonts w:ascii="Times New Roman" w:eastAsia="Times New Roman" w:hAnsi="Times New Roman" w:cs="Times New Roman"/>
        </w:rPr>
        <w:t xml:space="preserve">Getting rid of or lowering things that make it harder for international trade to happen is what liberalizing commerce means.  These things are tariffs, quotas, subsidies, and restrictions that make it difficult for commodities, services, and money to travel freely between countries.    Trade reform has been a key aspect of running the international economy since the General Agreement on Tariffs and Trade (GATT) was signed in 1947 and changed its name to the </w:t>
      </w:r>
      <w:r w:rsidR="3AD7F0CD" w:rsidRPr="639A34EC">
        <w:rPr>
          <w:rFonts w:ascii="Times New Roman" w:eastAsia="Times New Roman" w:hAnsi="Times New Roman" w:cs="Times New Roman"/>
        </w:rPr>
        <w:t>International</w:t>
      </w:r>
      <w:r w:rsidRPr="639A34EC">
        <w:rPr>
          <w:rFonts w:ascii="Times New Roman" w:eastAsia="Times New Roman" w:hAnsi="Times New Roman" w:cs="Times New Roman"/>
        </w:rPr>
        <w:t xml:space="preserve"> Trade Organization (WTO) in 1995.    People have been told that making it simpler for them to do business with each other, get foreign investment, and leverage their comparative advantage to become more efficient will help developing countries grow their economies, enhance technology, and lower poverty. </w:t>
      </w:r>
    </w:p>
    <w:p w14:paraId="2C078E63" w14:textId="13E4AFB3" w:rsidR="0094698D" w:rsidRDefault="2B66BD2A" w:rsidP="639A34EC">
      <w:pPr>
        <w:widowControl w:val="0"/>
        <w:spacing w:before="120" w:after="120" w:line="360" w:lineRule="auto"/>
        <w:jc w:val="both"/>
        <w:rPr>
          <w:rFonts w:ascii="Times New Roman" w:eastAsia="Times New Roman" w:hAnsi="Times New Roman" w:cs="Times New Roman"/>
        </w:rPr>
      </w:pPr>
      <w:r w:rsidRPr="639A34EC">
        <w:rPr>
          <w:rFonts w:ascii="Times New Roman" w:eastAsia="Times New Roman" w:hAnsi="Times New Roman" w:cs="Times New Roman"/>
        </w:rPr>
        <w:t>South Asia, which encompasses Afghanistan, Bangladesh, India, Pakistan, Sri Lanka, Nepal, Bhutan, the Maldives, and Bangladesh, is a good site to look into these changes.    This area has more than 1.9 billion people, which is over a fifth of the world's population.   Its GDP has been expanding swiftly, by an average of 6.5% a year from 2000 to 2023 (World Bank, 2024), yet it barely accounts for less than 3% of world trade.    In the 1990s, trade in South Asia become easier.   India started to alter a lot in 1991.  Prices had fallen from 82% to 30% by the year 2000.   Bangladesh and Pakistan both adopted IMF structural adjustment, while Bangladesh used the Everything But Arms (EBA) program to get duty-free access. After 1977, Sri Lanka focused on policies that would help the country export.    In 2023, it was 11.8% on average in the area, down from more than 40% in 1990 (WITS, 2024).</w:t>
      </w:r>
    </w:p>
    <w:p w14:paraId="2CFEED0A" w14:textId="1F7A6228" w:rsidR="364FE174" w:rsidRDefault="364FE174" w:rsidP="639A34EC">
      <w:pPr>
        <w:widowControl w:val="0"/>
        <w:spacing w:before="120" w:after="120" w:line="360" w:lineRule="auto"/>
        <w:jc w:val="both"/>
        <w:rPr>
          <w:rFonts w:ascii="Times New Roman" w:eastAsia="Times New Roman" w:hAnsi="Times New Roman" w:cs="Times New Roman"/>
        </w:rPr>
      </w:pPr>
      <w:r w:rsidRPr="639A34EC">
        <w:rPr>
          <w:rFonts w:ascii="Times New Roman" w:eastAsia="Times New Roman" w:hAnsi="Times New Roman" w:cs="Times New Roman"/>
        </w:rPr>
        <w:t xml:space="preserve">Even with these advances, impacts are unclear.       While inequality rose, it exported $18 billion in 1991 and $450 billion in 2023.     Gini increased from 0.32 to 0.38 between 1993 and 2019 (NSSO, 2020).       That nation helped many </w:t>
      </w:r>
      <w:r w:rsidR="6BF00E28" w:rsidRPr="639A34EC">
        <w:rPr>
          <w:rFonts w:ascii="Times New Roman" w:eastAsia="Times New Roman" w:hAnsi="Times New Roman" w:cs="Times New Roman"/>
        </w:rPr>
        <w:t>escapes</w:t>
      </w:r>
      <w:r w:rsidRPr="639A34EC">
        <w:rPr>
          <w:rFonts w:ascii="Times New Roman" w:eastAsia="Times New Roman" w:hAnsi="Times New Roman" w:cs="Times New Roman"/>
        </w:rPr>
        <w:t xml:space="preserve"> poverty. It reduced from 44.2% in 1991 to 14.8% in 2022 (HIES, 2022).      This was mostly attributable to ready-made garments (RMG), yet 80% of its workers are still informal (BBS, 2023).  These differences emphasize the importance of studying. Trade liberalization has affected economic growth, income inequality, employment quality, and poverty reduction in emerging South Asian countries.  Middle-level players include business, </w:t>
      </w:r>
      <w:r w:rsidR="529F9F36" w:rsidRPr="639A34EC">
        <w:rPr>
          <w:rFonts w:ascii="Times New Roman" w:eastAsia="Times New Roman" w:hAnsi="Times New Roman" w:cs="Times New Roman"/>
        </w:rPr>
        <w:t>infrastructure</w:t>
      </w:r>
      <w:r w:rsidRPr="639A34EC">
        <w:rPr>
          <w:rFonts w:ascii="Times New Roman" w:eastAsia="Times New Roman" w:hAnsi="Times New Roman" w:cs="Times New Roman"/>
        </w:rPr>
        <w:t>, and global value chain mergers. The Heckscher-Ohlin-Samuelson model argues both parties win, but dependence theory says unfair trade and deindustrialization hurt. Research supports these claims. This study concentrates on South Asia due to its similar colonial histories, geography, and policy trajectories.</w:t>
      </w:r>
    </w:p>
    <w:p w14:paraId="18463E10" w14:textId="4FD64C5F" w:rsidR="639A34EC" w:rsidRDefault="639A34EC" w:rsidP="639A34EC">
      <w:pPr>
        <w:widowControl w:val="0"/>
        <w:spacing w:before="120" w:after="120" w:line="360" w:lineRule="auto"/>
        <w:jc w:val="both"/>
        <w:rPr>
          <w:rFonts w:ascii="Times New Roman" w:eastAsia="Times New Roman" w:hAnsi="Times New Roman" w:cs="Times New Roman"/>
          <w:b/>
          <w:bCs/>
          <w:color w:val="0F4761" w:themeColor="accent1" w:themeShade="BF"/>
          <w:sz w:val="28"/>
          <w:szCs w:val="28"/>
          <w:lang w:val="en-GB"/>
        </w:rPr>
      </w:pPr>
    </w:p>
    <w:p w14:paraId="2CF1AC77" w14:textId="71E92AA8" w:rsidR="555CB8AE" w:rsidRDefault="364FE174" w:rsidP="639A34EC">
      <w:pPr>
        <w:widowControl w:val="0"/>
        <w:spacing w:before="120" w:after="120" w:line="360" w:lineRule="auto"/>
        <w:jc w:val="both"/>
        <w:rPr>
          <w:rFonts w:ascii="Times New Roman" w:eastAsia="Times New Roman" w:hAnsi="Times New Roman" w:cs="Times New Roman"/>
          <w:b/>
          <w:bCs/>
          <w:color w:val="000000" w:themeColor="text1"/>
          <w:sz w:val="28"/>
          <w:szCs w:val="28"/>
          <w:lang w:val="en-GB"/>
        </w:rPr>
      </w:pPr>
      <w:r w:rsidRPr="639A34EC">
        <w:rPr>
          <w:rFonts w:ascii="Times New Roman" w:eastAsia="Times New Roman" w:hAnsi="Times New Roman" w:cs="Times New Roman"/>
          <w:b/>
          <w:bCs/>
          <w:color w:val="000000" w:themeColor="text1"/>
          <w:sz w:val="28"/>
          <w:szCs w:val="28"/>
          <w:lang w:val="en-GB"/>
        </w:rPr>
        <w:t>2. Literature Review</w:t>
      </w:r>
    </w:p>
    <w:p w14:paraId="5279732E" w14:textId="7B06DC0F" w:rsidR="555CB8AE" w:rsidRDefault="555CB8AE"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The Heckscher-Ohlin model formalizes David Ricardo's (1817) theory of comparative advantage.</w:t>
      </w:r>
      <w:r w:rsidR="61CC0860" w:rsidRPr="639A34EC">
        <w:rPr>
          <w:rFonts w:ascii="Times New Roman" w:eastAsia="Times New Roman" w:hAnsi="Times New Roman" w:cs="Times New Roman"/>
          <w:lang w:val="en-GB"/>
        </w:rPr>
        <w:t xml:space="preserve"> </w:t>
      </w:r>
      <w:r w:rsidRPr="639A34EC">
        <w:rPr>
          <w:rFonts w:ascii="Times New Roman" w:eastAsia="Times New Roman" w:hAnsi="Times New Roman" w:cs="Times New Roman"/>
          <w:lang w:val="en-GB"/>
        </w:rPr>
        <w:t xml:space="preserve">This is the premise for trade deregulation. This idea posits that governments will prioritize the production of goods comprising many components to enhance efficiency and meet consumer desires. Endogenous growth models elucidate the mechanisms via which commerce generates knowledge spillovers, facilitates technological diffusion, and engenders economies of </w:t>
      </w:r>
      <w:r w:rsidR="6E59D80E" w:rsidRPr="639A34EC">
        <w:rPr>
          <w:rFonts w:ascii="Times New Roman" w:eastAsia="Times New Roman" w:hAnsi="Times New Roman" w:cs="Times New Roman"/>
          <w:lang w:val="en-GB"/>
        </w:rPr>
        <w:t>scale (Grossman &amp; Helpman, 1991). In</w:t>
      </w:r>
      <w:r w:rsidRPr="639A34EC">
        <w:rPr>
          <w:rFonts w:ascii="Times New Roman" w:eastAsia="Times New Roman" w:hAnsi="Times New Roman" w:cs="Times New Roman"/>
          <w:lang w:val="en-GB"/>
        </w:rPr>
        <w:t xml:space="preserve"> 1995, Sachs and Warner created the first real-world evidence with a "openness index." This figure shows that open economies developed 2.4 percentage points faster than closed economies did between 1970 and 1989.</w:t>
      </w:r>
    </w:p>
    <w:p w14:paraId="0FF7657F" w14:textId="1BE78E68" w:rsidR="555CB8AE" w:rsidRDefault="555CB8AE"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But people didn't like the approaches.</w:t>
      </w:r>
      <w:r w:rsidR="503B3758" w:rsidRPr="639A34EC">
        <w:rPr>
          <w:rFonts w:ascii="Times New Roman" w:eastAsia="Times New Roman" w:hAnsi="Times New Roman" w:cs="Times New Roman"/>
          <w:lang w:val="en-GB"/>
        </w:rPr>
        <w:t xml:space="preserve"> It was</w:t>
      </w:r>
      <w:r w:rsidRPr="639A34EC">
        <w:rPr>
          <w:rFonts w:ascii="Times New Roman" w:eastAsia="Times New Roman" w:hAnsi="Times New Roman" w:cs="Times New Roman"/>
          <w:lang w:val="en-GB"/>
        </w:rPr>
        <w:t xml:space="preserve"> observed alterations in Sachs-Warner data upon the incorporation of macroeconomic variables such as institutional quality and black market premiums</w:t>
      </w:r>
      <w:r w:rsidR="0154B69B" w:rsidRPr="639A34EC">
        <w:rPr>
          <w:rFonts w:ascii="Times New Roman" w:eastAsia="Times New Roman" w:hAnsi="Times New Roman" w:cs="Times New Roman"/>
          <w:lang w:val="en-GB"/>
        </w:rPr>
        <w:t xml:space="preserve"> </w:t>
      </w:r>
      <w:r w:rsidR="52D2B4A7" w:rsidRPr="639A34EC">
        <w:rPr>
          <w:rFonts w:ascii="Times New Roman" w:eastAsia="Times New Roman" w:hAnsi="Times New Roman" w:cs="Times New Roman"/>
          <w:lang w:val="en-GB"/>
        </w:rPr>
        <w:t>(</w:t>
      </w:r>
      <w:r w:rsidR="0154B69B" w:rsidRPr="639A34EC">
        <w:rPr>
          <w:rFonts w:ascii="Times New Roman" w:eastAsia="Times New Roman" w:hAnsi="Times New Roman" w:cs="Times New Roman"/>
          <w:lang w:val="en-GB"/>
        </w:rPr>
        <w:t xml:space="preserve">Rodriguez and Rodrik </w:t>
      </w:r>
      <w:r w:rsidR="2EBF2106" w:rsidRPr="639A34EC">
        <w:rPr>
          <w:rFonts w:ascii="Times New Roman" w:eastAsia="Times New Roman" w:hAnsi="Times New Roman" w:cs="Times New Roman"/>
          <w:lang w:val="en-GB"/>
        </w:rPr>
        <w:t>,</w:t>
      </w:r>
      <w:r w:rsidR="0154B69B" w:rsidRPr="639A34EC">
        <w:rPr>
          <w:rFonts w:ascii="Times New Roman" w:eastAsia="Times New Roman" w:hAnsi="Times New Roman" w:cs="Times New Roman"/>
          <w:lang w:val="en-GB"/>
        </w:rPr>
        <w:t>2001)</w:t>
      </w:r>
      <w:r w:rsidRPr="639A34EC">
        <w:rPr>
          <w:rFonts w:ascii="Times New Roman" w:eastAsia="Times New Roman" w:hAnsi="Times New Roman" w:cs="Times New Roman"/>
          <w:lang w:val="en-GB"/>
        </w:rPr>
        <w:t>. This indicates merely a correlation, rather than a causal relationship. Trade deregulation sometimes happens at the same time as stabilization efforts in developing countries, which can be misleading. Harrison showed in 1996 that deregulation can only help the economy if the government, education, and infrastructure all get better at the same time.</w:t>
      </w:r>
      <w:r w:rsidR="19405AEF" w:rsidRPr="639A34EC">
        <w:rPr>
          <w:rFonts w:ascii="Times New Roman" w:eastAsia="Times New Roman" w:hAnsi="Times New Roman" w:cs="Times New Roman"/>
          <w:color w:val="000000" w:themeColor="text1"/>
          <w:lang w:val="en-GB"/>
        </w:rPr>
        <w:t xml:space="preserve"> South Asia-specific studies reveal heterogeneity.</w:t>
      </w:r>
    </w:p>
    <w:p w14:paraId="3D5EBA28" w14:textId="4316EDA1" w:rsidR="62057A46" w:rsidRDefault="62057A46"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India:</w:t>
      </w:r>
      <w:r w:rsidRPr="639A34EC">
        <w:rPr>
          <w:rFonts w:ascii="Times New Roman" w:eastAsia="Times New Roman" w:hAnsi="Times New Roman" w:cs="Times New Roman"/>
          <w:lang w:val="en-GB"/>
        </w:rPr>
        <w:t xml:space="preserve"> </w:t>
      </w:r>
      <w:r w:rsidR="066C3C5F" w:rsidRPr="639A34EC">
        <w:rPr>
          <w:rFonts w:ascii="Times New Roman" w:eastAsia="Times New Roman" w:hAnsi="Times New Roman" w:cs="Times New Roman"/>
          <w:lang w:val="en-GB"/>
        </w:rPr>
        <w:t>A</w:t>
      </w:r>
      <w:r w:rsidRPr="639A34EC">
        <w:rPr>
          <w:rFonts w:ascii="Times New Roman" w:eastAsia="Times New Roman" w:hAnsi="Times New Roman" w:cs="Times New Roman"/>
          <w:lang w:val="en-GB"/>
        </w:rPr>
        <w:t>fter 1991, rural areas that had bigger cuts in tariffs saw poverty go down more slowly (1.5 percentage points less over a decade) because they depended more on farming</w:t>
      </w:r>
      <w:r w:rsidR="38EF7106" w:rsidRPr="639A34EC">
        <w:rPr>
          <w:rFonts w:ascii="Times New Roman" w:eastAsia="Times New Roman" w:hAnsi="Times New Roman" w:cs="Times New Roman"/>
          <w:lang w:val="en-GB"/>
        </w:rPr>
        <w:t xml:space="preserve"> (Topalova, 2010)</w:t>
      </w:r>
      <w:r w:rsidRPr="639A34EC">
        <w:rPr>
          <w:rFonts w:ascii="Times New Roman" w:eastAsia="Times New Roman" w:hAnsi="Times New Roman" w:cs="Times New Roman"/>
          <w:lang w:val="en-GB"/>
        </w:rPr>
        <w:t xml:space="preserve">. On the other hand, productivity went up in areas where things were made in cities. Using imported intermediates made products 20% more diverse, lowered input costs, and raised output by 4–6% </w:t>
      </w:r>
      <w:r w:rsidR="716743B9" w:rsidRPr="639A34EC">
        <w:rPr>
          <w:rFonts w:ascii="Times New Roman" w:eastAsia="Times New Roman" w:hAnsi="Times New Roman" w:cs="Times New Roman"/>
          <w:lang w:val="en-GB"/>
        </w:rPr>
        <w:t>(</w:t>
      </w:r>
      <w:r w:rsidRPr="639A34EC">
        <w:rPr>
          <w:rFonts w:ascii="Times New Roman" w:eastAsia="Times New Roman" w:hAnsi="Times New Roman" w:cs="Times New Roman"/>
          <w:lang w:val="en-GB"/>
        </w:rPr>
        <w:t xml:space="preserve">Goldberg </w:t>
      </w:r>
      <w:r w:rsidRPr="639A34EC">
        <w:rPr>
          <w:rFonts w:ascii="Times New Roman" w:eastAsia="Times New Roman" w:hAnsi="Times New Roman" w:cs="Times New Roman"/>
          <w:i/>
          <w:iCs/>
          <w:lang w:val="en-GB"/>
        </w:rPr>
        <w:t>et al.,</w:t>
      </w:r>
      <w:r w:rsidRPr="639A34EC">
        <w:rPr>
          <w:rFonts w:ascii="Times New Roman" w:eastAsia="Times New Roman" w:hAnsi="Times New Roman" w:cs="Times New Roman"/>
          <w:lang w:val="en-GB"/>
        </w:rPr>
        <w:t xml:space="preserve">2010). Jobs lost in businesses that compete with imports were taken up by the export industry, therefore there was no overall effect on employment </w:t>
      </w:r>
      <w:r w:rsidR="23F11E2C" w:rsidRPr="639A34EC">
        <w:rPr>
          <w:rFonts w:ascii="Times New Roman" w:eastAsia="Times New Roman" w:hAnsi="Times New Roman" w:cs="Times New Roman"/>
          <w:lang w:val="en-GB"/>
        </w:rPr>
        <w:t>(</w:t>
      </w:r>
      <w:r w:rsidRPr="639A34EC">
        <w:rPr>
          <w:rFonts w:ascii="Times New Roman" w:eastAsia="Times New Roman" w:hAnsi="Times New Roman" w:cs="Times New Roman"/>
          <w:lang w:val="en-GB"/>
        </w:rPr>
        <w:t xml:space="preserve">Hasan </w:t>
      </w:r>
      <w:r w:rsidRPr="639A34EC">
        <w:rPr>
          <w:rFonts w:ascii="Times New Roman" w:eastAsia="Times New Roman" w:hAnsi="Times New Roman" w:cs="Times New Roman"/>
          <w:i/>
          <w:iCs/>
          <w:lang w:val="en-GB"/>
        </w:rPr>
        <w:t>et al.</w:t>
      </w:r>
      <w:r w:rsidR="74DE91C9" w:rsidRPr="639A34EC">
        <w:rPr>
          <w:rFonts w:ascii="Times New Roman" w:eastAsia="Times New Roman" w:hAnsi="Times New Roman" w:cs="Times New Roman"/>
          <w:i/>
          <w:iCs/>
          <w:lang w:val="en-GB"/>
        </w:rPr>
        <w:t>,</w:t>
      </w:r>
      <w:r w:rsidRPr="639A34EC">
        <w:rPr>
          <w:rFonts w:ascii="Times New Roman" w:eastAsia="Times New Roman" w:hAnsi="Times New Roman" w:cs="Times New Roman"/>
          <w:lang w:val="en-GB"/>
        </w:rPr>
        <w:t>2007</w:t>
      </w:r>
      <w:r w:rsidR="6F96DAC8" w:rsidRPr="639A34EC">
        <w:rPr>
          <w:rFonts w:ascii="Times New Roman" w:eastAsia="Times New Roman" w:hAnsi="Times New Roman" w:cs="Times New Roman"/>
          <w:lang w:val="en-GB"/>
        </w:rPr>
        <w:t>).</w:t>
      </w:r>
    </w:p>
    <w:p w14:paraId="3DFA2AC7" w14:textId="7A7DF48F" w:rsidR="62057A46" w:rsidRDefault="62057A46"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Bangladesh:</w:t>
      </w:r>
      <w:r w:rsidRPr="639A34EC">
        <w:rPr>
          <w:rFonts w:ascii="Times New Roman" w:eastAsia="Times New Roman" w:hAnsi="Times New Roman" w:cs="Times New Roman"/>
          <w:lang w:val="en-GB"/>
        </w:rPr>
        <w:t xml:space="preserve"> The expiration of the MFA in 2005 helped the RMG industry grow.  It presently has 4.2 million employees, majority of them are women.   In 1990, the industry was worth $1 billion. By 2023, it will be worth $45 billion.   the proximity to manufacturing improved girls' schooling by 38.6%, indicating benefits beyond financial gain.</w:t>
      </w:r>
      <w:r w:rsidR="00DB4A47" w:rsidRPr="639A34EC">
        <w:rPr>
          <w:rFonts w:ascii="Times New Roman" w:eastAsia="Times New Roman" w:hAnsi="Times New Roman" w:cs="Times New Roman"/>
          <w:lang w:val="en-GB"/>
        </w:rPr>
        <w:t xml:space="preserve"> E</w:t>
      </w:r>
      <w:r w:rsidRPr="639A34EC">
        <w:rPr>
          <w:rFonts w:ascii="Times New Roman" w:eastAsia="Times New Roman" w:hAnsi="Times New Roman" w:cs="Times New Roman"/>
          <w:lang w:val="en-GB"/>
        </w:rPr>
        <w:t>ven while productivity is going up, real earnings are staying the same because of low pay and bad working conditions (Heath and Mobarak, 2015)</w:t>
      </w:r>
      <w:r w:rsidR="21E265D4" w:rsidRPr="639A34EC">
        <w:rPr>
          <w:rFonts w:ascii="Times New Roman" w:eastAsia="Times New Roman" w:hAnsi="Times New Roman" w:cs="Times New Roman"/>
          <w:lang w:val="en-GB"/>
        </w:rPr>
        <w:t>.</w:t>
      </w:r>
    </w:p>
    <w:p w14:paraId="1F6323B6" w14:textId="7B9D5535" w:rsidR="21E265D4" w:rsidRDefault="21E265D4"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Pakistan and Sri Lanka:</w:t>
      </w:r>
      <w:r w:rsidRPr="639A34EC">
        <w:rPr>
          <w:rFonts w:ascii="Times New Roman" w:eastAsia="Times New Roman" w:hAnsi="Times New Roman" w:cs="Times New Roman"/>
          <w:lang w:val="en-GB"/>
        </w:rPr>
        <w:t xml:space="preserve">  CGE models</w:t>
      </w:r>
      <w:r w:rsidR="2890DBBF" w:rsidRPr="639A34EC">
        <w:rPr>
          <w:rFonts w:ascii="Times New Roman" w:eastAsia="Times New Roman" w:hAnsi="Times New Roman" w:cs="Times New Roman"/>
          <w:lang w:val="en-GB"/>
        </w:rPr>
        <w:t xml:space="preserve"> was used</w:t>
      </w:r>
      <w:r w:rsidRPr="639A34EC">
        <w:rPr>
          <w:rFonts w:ascii="Times New Roman" w:eastAsia="Times New Roman" w:hAnsi="Times New Roman" w:cs="Times New Roman"/>
          <w:lang w:val="en-GB"/>
        </w:rPr>
        <w:t xml:space="preserve"> to show that lowering tariffs by 50% could boost GDP by 1.8%, but it would also make inequality worse if people didn't learn new skills</w:t>
      </w:r>
      <w:r w:rsidR="147CB0FA" w:rsidRPr="639A34EC">
        <w:rPr>
          <w:rFonts w:ascii="Times New Roman" w:eastAsia="Times New Roman" w:hAnsi="Times New Roman" w:cs="Times New Roman"/>
          <w:lang w:val="en-GB"/>
        </w:rPr>
        <w:t xml:space="preserve"> (Akram et al., 2021)</w:t>
      </w:r>
      <w:r w:rsidRPr="639A34EC">
        <w:rPr>
          <w:rFonts w:ascii="Times New Roman" w:eastAsia="Times New Roman" w:hAnsi="Times New Roman" w:cs="Times New Roman"/>
          <w:lang w:val="en-GB"/>
        </w:rPr>
        <w:t xml:space="preserve">. When Sri Lanka's economy </w:t>
      </w:r>
      <w:r w:rsidR="269E7383" w:rsidRPr="639A34EC">
        <w:rPr>
          <w:rFonts w:ascii="Times New Roman" w:eastAsia="Times New Roman" w:hAnsi="Times New Roman" w:cs="Times New Roman"/>
          <w:lang w:val="en-GB"/>
        </w:rPr>
        <w:t>opened</w:t>
      </w:r>
      <w:r w:rsidRPr="639A34EC">
        <w:rPr>
          <w:rFonts w:ascii="Times New Roman" w:eastAsia="Times New Roman" w:hAnsi="Times New Roman" w:cs="Times New Roman"/>
          <w:lang w:val="en-GB"/>
        </w:rPr>
        <w:t xml:space="preserve"> in 1977, it started selling more textiles to other countries. But it lost its industrial base too quickly. Manufacturing made up 22% of GDP in 1980. By 2020 (CBSL), it had dropped to 16%. Gender, informality, and GVCs are some of the issues that </w:t>
      </w:r>
      <w:r w:rsidR="70B2C973" w:rsidRPr="639A34EC">
        <w:rPr>
          <w:rFonts w:ascii="Times New Roman" w:eastAsia="Times New Roman" w:hAnsi="Times New Roman" w:cs="Times New Roman"/>
          <w:lang w:val="en-GB"/>
        </w:rPr>
        <w:t>crosscut</w:t>
      </w:r>
      <w:r w:rsidRPr="639A34EC">
        <w:rPr>
          <w:rFonts w:ascii="Times New Roman" w:eastAsia="Times New Roman" w:hAnsi="Times New Roman" w:cs="Times New Roman"/>
          <w:lang w:val="en-GB"/>
        </w:rPr>
        <w:t>.</w:t>
      </w:r>
      <w:r w:rsidR="7B860F5D" w:rsidRPr="639A34EC">
        <w:rPr>
          <w:rFonts w:ascii="Times New Roman" w:eastAsia="Times New Roman" w:hAnsi="Times New Roman" w:cs="Times New Roman"/>
          <w:lang w:val="en-GB"/>
        </w:rPr>
        <w:t xml:space="preserve"> I</w:t>
      </w:r>
      <w:r w:rsidR="6845E819" w:rsidRPr="639A34EC">
        <w:rPr>
          <w:rFonts w:ascii="Times New Roman" w:eastAsia="Times New Roman" w:hAnsi="Times New Roman" w:cs="Times New Roman"/>
          <w:lang w:val="en-GB"/>
        </w:rPr>
        <w:t>t was</w:t>
      </w:r>
      <w:r w:rsidRPr="639A34EC">
        <w:rPr>
          <w:rFonts w:ascii="Times New Roman" w:eastAsia="Times New Roman" w:hAnsi="Times New Roman" w:cs="Times New Roman"/>
          <w:lang w:val="en-GB"/>
        </w:rPr>
        <w:t xml:space="preserve"> </w:t>
      </w:r>
      <w:r w:rsidR="70B91A44" w:rsidRPr="639A34EC">
        <w:rPr>
          <w:rFonts w:ascii="Times New Roman" w:eastAsia="Times New Roman" w:hAnsi="Times New Roman" w:cs="Times New Roman"/>
          <w:lang w:val="en-GB"/>
        </w:rPr>
        <w:t>asserted</w:t>
      </w:r>
      <w:r w:rsidRPr="639A34EC">
        <w:rPr>
          <w:rFonts w:ascii="Times New Roman" w:eastAsia="Times New Roman" w:hAnsi="Times New Roman" w:cs="Times New Roman"/>
          <w:lang w:val="en-GB"/>
        </w:rPr>
        <w:t xml:space="preserve"> that South Asia is inferior to East Asia regarding GVC integration due to logistical challenges</w:t>
      </w:r>
      <w:r w:rsidR="1C8ED857" w:rsidRPr="639A34EC">
        <w:rPr>
          <w:rFonts w:ascii="Times New Roman" w:eastAsia="Times New Roman" w:hAnsi="Times New Roman" w:cs="Times New Roman"/>
          <w:lang w:val="en-GB"/>
        </w:rPr>
        <w:t xml:space="preserve"> </w:t>
      </w:r>
      <w:r w:rsidR="077E8124" w:rsidRPr="639A34EC">
        <w:rPr>
          <w:rFonts w:ascii="Times New Roman" w:eastAsia="Times New Roman" w:hAnsi="Times New Roman" w:cs="Times New Roman"/>
          <w:lang w:val="en-GB"/>
        </w:rPr>
        <w:t>(</w:t>
      </w:r>
      <w:r w:rsidR="1C8ED857" w:rsidRPr="639A34EC">
        <w:rPr>
          <w:rFonts w:ascii="Times New Roman" w:eastAsia="Times New Roman" w:hAnsi="Times New Roman" w:cs="Times New Roman"/>
          <w:lang w:val="en-GB"/>
        </w:rPr>
        <w:t>Ghani and O'Connell</w:t>
      </w:r>
      <w:r w:rsidR="783C79EF" w:rsidRPr="639A34EC">
        <w:rPr>
          <w:rFonts w:ascii="Times New Roman" w:eastAsia="Times New Roman" w:hAnsi="Times New Roman" w:cs="Times New Roman"/>
          <w:lang w:val="en-GB"/>
        </w:rPr>
        <w:t xml:space="preserve">, </w:t>
      </w:r>
      <w:r w:rsidR="1C8ED857" w:rsidRPr="639A34EC">
        <w:rPr>
          <w:rFonts w:ascii="Times New Roman" w:eastAsia="Times New Roman" w:hAnsi="Times New Roman" w:cs="Times New Roman"/>
          <w:lang w:val="en-GB"/>
        </w:rPr>
        <w:t>2014)</w:t>
      </w:r>
      <w:r w:rsidRPr="639A34EC">
        <w:rPr>
          <w:rFonts w:ascii="Times New Roman" w:eastAsia="Times New Roman" w:hAnsi="Times New Roman" w:cs="Times New Roman"/>
          <w:lang w:val="en-GB"/>
        </w:rPr>
        <w:t>. India is 44th while Pakistan is 122nd on the World Bank's Logistics Performance Index. In India, 88% of people worked in informal jobs, and in Bangladesh, 82% did the same (ILO, 2023). Gender impacts both export-oriented industries, such as the Ready-Made Garment (RMG) industry, and import-competitive agricultural employment, rendering women more susceptible (Fontana &amp; Wood, 2000).</w:t>
      </w:r>
      <w:r w:rsidR="7D02B3B0" w:rsidRPr="639A34EC">
        <w:rPr>
          <w:rFonts w:ascii="Times New Roman" w:eastAsia="Times New Roman" w:hAnsi="Times New Roman" w:cs="Times New Roman"/>
          <w:lang w:val="en-GB"/>
        </w:rPr>
        <w:t xml:space="preserve"> Recent literature incorporates occurrences post-2010, including RCEP (2022), AfCFTA parallels, and disruptions caused by COVID-19 </w:t>
      </w:r>
      <w:r w:rsidR="216FD111" w:rsidRPr="639A34EC">
        <w:rPr>
          <w:rFonts w:ascii="Times New Roman" w:eastAsia="Times New Roman" w:hAnsi="Times New Roman" w:cs="Times New Roman"/>
          <w:lang w:val="en-GB"/>
        </w:rPr>
        <w:t>(</w:t>
      </w:r>
      <w:r w:rsidR="7D02B3B0" w:rsidRPr="639A34EC">
        <w:rPr>
          <w:rFonts w:ascii="Times New Roman" w:eastAsia="Times New Roman" w:hAnsi="Times New Roman" w:cs="Times New Roman"/>
          <w:lang w:val="en-GB"/>
        </w:rPr>
        <w:t>Nataraj</w:t>
      </w:r>
      <w:r w:rsidR="7D02B3B0" w:rsidRPr="639A34EC">
        <w:rPr>
          <w:rFonts w:ascii="Times New Roman" w:eastAsia="Times New Roman" w:hAnsi="Times New Roman" w:cs="Times New Roman"/>
          <w:i/>
          <w:iCs/>
          <w:lang w:val="en-GB"/>
        </w:rPr>
        <w:t xml:space="preserve"> et al.</w:t>
      </w:r>
      <w:r w:rsidR="2D3C594B" w:rsidRPr="639A34EC">
        <w:rPr>
          <w:rFonts w:ascii="Times New Roman" w:eastAsia="Times New Roman" w:hAnsi="Times New Roman" w:cs="Times New Roman"/>
          <w:lang w:val="en-GB"/>
        </w:rPr>
        <w:t xml:space="preserve">, </w:t>
      </w:r>
      <w:r w:rsidR="7D02B3B0" w:rsidRPr="639A34EC">
        <w:rPr>
          <w:rFonts w:ascii="Times New Roman" w:eastAsia="Times New Roman" w:hAnsi="Times New Roman" w:cs="Times New Roman"/>
          <w:lang w:val="en-GB"/>
        </w:rPr>
        <w:t>2022)</w:t>
      </w:r>
      <w:r w:rsidR="56AC6B84" w:rsidRPr="639A34EC">
        <w:rPr>
          <w:rFonts w:ascii="Times New Roman" w:eastAsia="Times New Roman" w:hAnsi="Times New Roman" w:cs="Times New Roman"/>
          <w:lang w:val="en-GB"/>
        </w:rPr>
        <w:t>. C</w:t>
      </w:r>
      <w:r w:rsidR="7D02B3B0" w:rsidRPr="639A34EC">
        <w:rPr>
          <w:rFonts w:ascii="Times New Roman" w:eastAsia="Times New Roman" w:hAnsi="Times New Roman" w:cs="Times New Roman"/>
          <w:lang w:val="en-GB"/>
        </w:rPr>
        <w:t>ontend that impediments to digital trade presently exceed tariffs inside the services sector. There remain deficiencies in: (1) comparative panel studies encompassing all eight South Asian countries; (2) sub-national heterogeneity at the district or state level; (3) the long-term dynamics of inequality through synthetic cohorts; and (4) the impact of climate shocks on this very vulnerable region</w:t>
      </w:r>
      <w:r w:rsidR="79B1B041" w:rsidRPr="639A34EC">
        <w:rPr>
          <w:rFonts w:ascii="Times New Roman" w:eastAsia="Times New Roman" w:hAnsi="Times New Roman" w:cs="Times New Roman"/>
          <w:lang w:val="en-GB"/>
        </w:rPr>
        <w:t>.</w:t>
      </w:r>
      <w:r w:rsidR="7D02B3B0" w:rsidRPr="639A34EC">
        <w:rPr>
          <w:rFonts w:ascii="Times New Roman" w:eastAsia="Times New Roman" w:hAnsi="Times New Roman" w:cs="Times New Roman"/>
          <w:lang w:val="en-GB"/>
        </w:rPr>
        <w:t xml:space="preserve"> This dissertation addresses these concerns by synthesizing macro-panel econometrics with micro-survey analysis and qualitative fieldwork.</w:t>
      </w:r>
    </w:p>
    <w:p w14:paraId="04703E58" w14:textId="02B23C4E" w:rsidR="0D9F9B93" w:rsidRDefault="7D02B3B0" w:rsidP="639A34EC">
      <w:pPr>
        <w:widowControl w:val="0"/>
        <w:spacing w:before="120" w:after="120" w:line="360" w:lineRule="auto"/>
        <w:jc w:val="both"/>
        <w:rPr>
          <w:rFonts w:ascii="Times New Roman" w:eastAsia="Times New Roman" w:hAnsi="Times New Roman" w:cs="Times New Roman"/>
          <w:b/>
          <w:bCs/>
          <w:sz w:val="28"/>
          <w:szCs w:val="28"/>
          <w:lang w:val="en-GB"/>
        </w:rPr>
      </w:pPr>
      <w:r w:rsidRPr="639A34EC">
        <w:rPr>
          <w:rFonts w:ascii="Times New Roman" w:eastAsia="Times New Roman" w:hAnsi="Times New Roman" w:cs="Times New Roman"/>
          <w:b/>
          <w:bCs/>
          <w:sz w:val="28"/>
          <w:szCs w:val="28"/>
          <w:lang w:val="en-GB"/>
        </w:rPr>
        <w:t xml:space="preserve">3. </w:t>
      </w:r>
      <w:r w:rsidR="00155178" w:rsidRPr="639A34EC">
        <w:rPr>
          <w:rFonts w:ascii="Times New Roman" w:eastAsia="Times New Roman" w:hAnsi="Times New Roman" w:cs="Times New Roman"/>
          <w:b/>
          <w:bCs/>
          <w:sz w:val="28"/>
          <w:szCs w:val="28"/>
          <w:lang w:val="en-GB"/>
        </w:rPr>
        <w:t xml:space="preserve">Methodology </w:t>
      </w:r>
    </w:p>
    <w:p w14:paraId="3332756E" w14:textId="7C881E2A" w:rsidR="14C93116" w:rsidRDefault="03F9B4CA"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Mixed-methods designs are strong and cover a lot of ground. Quantitative causal inference is enhanced by qualitative contextual and mechanistic identification.</w:t>
      </w:r>
    </w:p>
    <w:p w14:paraId="44210743" w14:textId="39BE2085" w:rsidR="03F9B4CA" w:rsidRDefault="03F9B4CA" w:rsidP="639A34EC">
      <w:pPr>
        <w:pStyle w:val="Heading3"/>
        <w:keepNext w:val="0"/>
        <w:keepLines w:val="0"/>
        <w:widowControl w:val="0"/>
        <w:spacing w:before="120" w:after="120" w:line="360" w:lineRule="auto"/>
        <w:jc w:val="both"/>
        <w:rPr>
          <w:rFonts w:ascii="Times New Roman" w:eastAsia="Times New Roman" w:hAnsi="Times New Roman" w:cs="Times New Roman"/>
          <w:color w:val="auto"/>
          <w:sz w:val="24"/>
          <w:szCs w:val="24"/>
          <w:lang w:val="en-GB"/>
        </w:rPr>
      </w:pPr>
      <w:r w:rsidRPr="639A34EC">
        <w:rPr>
          <w:rFonts w:ascii="Times New Roman" w:eastAsia="Times New Roman" w:hAnsi="Times New Roman" w:cs="Times New Roman"/>
          <w:color w:val="auto"/>
          <w:sz w:val="24"/>
          <w:szCs w:val="24"/>
          <w:lang w:val="en-GB"/>
        </w:rPr>
        <w:t>3.1 Quantitative Approach</w:t>
      </w:r>
    </w:p>
    <w:p w14:paraId="03CB8C0F" w14:textId="0CDC617D" w:rsidR="03F9B4CA" w:rsidRDefault="03F9B4CA"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The difference-in-differences (DiD) method takes advantage of the fact that South Asian countries and industries open at different times. This analysis utilizes the variation in effective tariffs (</w:t>
      </w:r>
      <w:bookmarkStart w:id="0" w:name="_Int_3JV503bp"/>
      <w:r w:rsidRPr="639A34EC">
        <w:rPr>
          <w:rFonts w:ascii="Times New Roman" w:eastAsia="Times New Roman" w:hAnsi="Times New Roman" w:cs="Times New Roman"/>
          <w:lang w:val="en-GB"/>
        </w:rPr>
        <w:t>ΔTariff</w:t>
      </w:r>
      <w:bookmarkEnd w:id="0"/>
      <w:r w:rsidRPr="639A34EC">
        <w:rPr>
          <w:rFonts w:ascii="Times New Roman" w:eastAsia="Times New Roman" w:hAnsi="Times New Roman" w:cs="Times New Roman"/>
          <w:lang w:val="en-GB"/>
        </w:rPr>
        <w:t>) from the UNCTAD TRAINS and WITS databases (1990-2023) to assess treatment intensity. Here are the results:</w:t>
      </w:r>
    </w:p>
    <w:p w14:paraId="4EB7AA76" w14:textId="0097577A" w:rsidR="03F9B4CA" w:rsidRDefault="03F9B4CA" w:rsidP="639A34EC">
      <w:pPr>
        <w:pStyle w:val="ListParagraph"/>
        <w:widowControl w:val="0"/>
        <w:numPr>
          <w:ilvl w:val="0"/>
          <w:numId w:val="4"/>
        </w:numPr>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 xml:space="preserve">Macro: </w:t>
      </w:r>
      <w:r w:rsidRPr="639A34EC">
        <w:rPr>
          <w:rFonts w:ascii="Times New Roman" w:eastAsia="Times New Roman" w:hAnsi="Times New Roman" w:cs="Times New Roman"/>
          <w:lang w:val="en-GB"/>
        </w:rPr>
        <w:t>Real GDP growth, the ratio of exports to GDP, and foreign direct investment (FDI) are all signs of a healthy economy.</w:t>
      </w:r>
    </w:p>
    <w:p w14:paraId="0E272139" w14:textId="56AEF03C" w:rsidR="03F9B4CA" w:rsidRDefault="03F9B4CA" w:rsidP="639A34EC">
      <w:pPr>
        <w:pStyle w:val="ListParagraph"/>
        <w:widowControl w:val="0"/>
        <w:numPr>
          <w:ilvl w:val="0"/>
          <w:numId w:val="4"/>
        </w:numPr>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 xml:space="preserve">Micro: </w:t>
      </w:r>
      <w:r w:rsidRPr="639A34EC">
        <w:rPr>
          <w:rFonts w:ascii="Times New Roman" w:eastAsia="Times New Roman" w:hAnsi="Times New Roman" w:cs="Times New Roman"/>
          <w:lang w:val="en-GB"/>
        </w:rPr>
        <w:t>In household surveys from India (NSSO), Bangladesh (HIES), Pakistan (PSLM), and Sri Lanka (HIES), IPUMS made the poverty status, Gini coefficient, employment rate, and wage premium more consistent.</w:t>
      </w:r>
    </w:p>
    <w:p w14:paraId="0E636711" w14:textId="3F06BB56" w:rsidR="03F9B4CA" w:rsidRDefault="03F9B4CA" w:rsidP="639A34EC">
      <w:pPr>
        <w:pStyle w:val="ListParagraph"/>
        <w:widowControl w:val="0"/>
        <w:numPr>
          <w:ilvl w:val="0"/>
          <w:numId w:val="4"/>
        </w:numPr>
        <w:spacing w:before="120" w:after="120" w:line="360" w:lineRule="auto"/>
        <w:jc w:val="both"/>
        <w:rPr>
          <w:rStyle w:val="Strong"/>
          <w:rFonts w:ascii="Times New Roman" w:eastAsia="Times New Roman" w:hAnsi="Times New Roman" w:cs="Times New Roman"/>
          <w:b w:val="0"/>
          <w:bCs w:val="0"/>
          <w:color w:val="000000" w:themeColor="text1"/>
          <w:lang w:val="en-GB"/>
        </w:rPr>
      </w:pPr>
      <w:r w:rsidRPr="639A34EC">
        <w:rPr>
          <w:rStyle w:val="Strong"/>
          <w:rFonts w:ascii="Times New Roman" w:eastAsia="Times New Roman" w:hAnsi="Times New Roman" w:cs="Times New Roman"/>
          <w:color w:val="000000" w:themeColor="text1"/>
          <w:lang w:val="en-GB"/>
        </w:rPr>
        <w:t xml:space="preserve">Sectoral: </w:t>
      </w:r>
      <w:r w:rsidRPr="639A34EC">
        <w:rPr>
          <w:rStyle w:val="Strong"/>
          <w:rFonts w:ascii="Times New Roman" w:eastAsia="Times New Roman" w:hAnsi="Times New Roman" w:cs="Times New Roman"/>
          <w:b w:val="0"/>
          <w:bCs w:val="0"/>
          <w:color w:val="000000" w:themeColor="text1"/>
          <w:lang w:val="en-GB"/>
        </w:rPr>
        <w:t>Agriculture, industry, and both formal and informal jobs create value (ILO KILM, national labor force surveys).</w:t>
      </w:r>
    </w:p>
    <w:p w14:paraId="7E30BE36" w14:textId="58F65C35" w:rsidR="3BC5D2D3" w:rsidRDefault="3BC5D2D3"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color w:val="000000" w:themeColor="text1"/>
          <w:lang w:val="en-GB"/>
        </w:rPr>
        <w:t>Core</w:t>
      </w:r>
      <w:r w:rsidR="7A289399" w:rsidRPr="639A34EC">
        <w:rPr>
          <w:rFonts w:ascii="Times New Roman" w:eastAsia="Times New Roman" w:hAnsi="Times New Roman" w:cs="Times New Roman"/>
          <w:color w:val="000000" w:themeColor="text1"/>
          <w:lang w:val="en-GB"/>
        </w:rPr>
        <w:t xml:space="preserve"> </w:t>
      </w:r>
      <w:r w:rsidRPr="639A34EC">
        <w:rPr>
          <w:rFonts w:ascii="Times New Roman" w:eastAsia="Times New Roman" w:hAnsi="Times New Roman" w:cs="Times New Roman"/>
          <w:color w:val="000000" w:themeColor="text1"/>
          <w:lang w:val="en-GB"/>
        </w:rPr>
        <w:t>specification:</w:t>
      </w:r>
      <w:r w:rsidR="31D5FFAA" w:rsidRPr="639A34EC">
        <w:rPr>
          <w:rFonts w:ascii="Times New Roman" w:eastAsia="Times New Roman" w:hAnsi="Times New Roman" w:cs="Times New Roman"/>
          <w:color w:val="000000" w:themeColor="text1"/>
          <w:lang w:val="en-GB"/>
        </w:rPr>
        <w:t xml:space="preserve"> </w:t>
      </w:r>
      <w:r w:rsidRPr="639A34EC">
        <w:rPr>
          <w:rFonts w:ascii="Times New Roman" w:eastAsia="Times New Roman" w:hAnsi="Times New Roman" w:cs="Times New Roman"/>
          <w:lang w:val="en-GB"/>
        </w:rPr>
        <w:t>Treatment and control variables include education, infrastructure, foreign direct investment (FDI), and remittances. Fixed effects include unit, year, and country-specific trends. Mistakes that happened often were peculiar to the country or sector</w:t>
      </w:r>
      <w:r w:rsidR="1BA2026D" w:rsidRPr="639A34EC">
        <w:rPr>
          <w:rFonts w:ascii="Times New Roman" w:eastAsia="Times New Roman" w:hAnsi="Times New Roman" w:cs="Times New Roman"/>
          <w:lang w:val="en-GB"/>
        </w:rPr>
        <w:t>.</w:t>
      </w:r>
    </w:p>
    <w:p w14:paraId="6E04267E" w14:textId="3952CC40" w:rsidR="1BA2026D" w:rsidRDefault="1BA2026D" w:rsidP="639A34EC">
      <w:pPr>
        <w:widowControl w:val="0"/>
        <w:spacing w:before="120" w:after="120" w:line="360" w:lineRule="auto"/>
        <w:jc w:val="both"/>
        <w:rPr>
          <w:rFonts w:ascii="Times New Roman" w:eastAsia="Times New Roman" w:hAnsi="Times New Roman" w:cs="Times New Roman"/>
          <w:color w:val="000000" w:themeColor="text1"/>
          <w:lang w:val="en-GB"/>
        </w:rPr>
      </w:pPr>
      <w:r w:rsidRPr="639A34EC">
        <w:rPr>
          <w:rStyle w:val="Strong"/>
          <w:rFonts w:ascii="Times New Roman" w:eastAsia="Times New Roman" w:hAnsi="Times New Roman" w:cs="Times New Roman"/>
          <w:color w:val="000000" w:themeColor="text1"/>
          <w:lang w:val="en-GB"/>
        </w:rPr>
        <w:t>Identification:</w:t>
      </w:r>
      <w:r w:rsidRPr="639A34EC">
        <w:rPr>
          <w:rFonts w:ascii="Times New Roman" w:eastAsia="Times New Roman" w:hAnsi="Times New Roman" w:cs="Times New Roman"/>
          <w:color w:val="000000" w:themeColor="text1"/>
          <w:lang w:val="en-GB"/>
        </w:rPr>
        <w:t xml:space="preserve"> Parallel trends tested via event studies.</w:t>
      </w:r>
    </w:p>
    <w:p w14:paraId="23C735A3" w14:textId="731A85DB" w:rsidR="70AFB431" w:rsidRDefault="70AFB431"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 xml:space="preserve">Instrumental </w:t>
      </w:r>
      <w:r w:rsidR="4F129C52" w:rsidRPr="639A34EC">
        <w:rPr>
          <w:rStyle w:val="Strong"/>
          <w:rFonts w:ascii="Times New Roman" w:eastAsia="Times New Roman" w:hAnsi="Times New Roman" w:cs="Times New Roman"/>
          <w:color w:val="000000" w:themeColor="text1"/>
          <w:lang w:val="en-GB"/>
        </w:rPr>
        <w:t>variables:</w:t>
      </w:r>
      <w:r w:rsidRPr="639A34EC">
        <w:rPr>
          <w:rStyle w:val="Strong"/>
          <w:rFonts w:ascii="Times New Roman" w:eastAsia="Times New Roman" w:hAnsi="Times New Roman" w:cs="Times New Roman"/>
          <w:color w:val="000000" w:themeColor="text1"/>
          <w:lang w:val="en-GB"/>
        </w:rPr>
        <w:t xml:space="preserve"> </w:t>
      </w:r>
      <w:r w:rsidR="531E703F" w:rsidRPr="639A34EC">
        <w:rPr>
          <w:rFonts w:ascii="Times New Roman" w:eastAsia="Times New Roman" w:hAnsi="Times New Roman" w:cs="Times New Roman"/>
          <w:lang w:val="en-GB"/>
        </w:rPr>
        <w:t>Event studies can be utilized to examine analogous tendencies.       Instrumental variables: To fix tariff endogeneity, employ WTO binding rates or liberalization in nations that are like China, which is a member of the WTO. Use propensity score matching to compare districts that have been liberalized to those that have not.</w:t>
      </w:r>
    </w:p>
    <w:p w14:paraId="3D1B6A72" w14:textId="6A63B208" w:rsidR="531E703F" w:rsidRDefault="531E703F"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Data:</w:t>
      </w:r>
      <w:r w:rsidRPr="639A34EC">
        <w:rPr>
          <w:rFonts w:ascii="Times New Roman" w:eastAsia="Times New Roman" w:hAnsi="Times New Roman" w:cs="Times New Roman"/>
          <w:lang w:val="en-GB"/>
        </w:rPr>
        <w:t xml:space="preserve"> yearly panel for eight countries from 1990 to 2023; household surveys every five years from 1993 to 2023. Analysis at the sub-national level of India, Pakistan, and Bangladesh (640, 140, and 64 districts). Chained equations were employed to fill in the blanks.</w:t>
      </w:r>
    </w:p>
    <w:p w14:paraId="4D08A354" w14:textId="587A1275" w:rsidR="62057A46" w:rsidRDefault="5AB7A832" w:rsidP="639A34EC">
      <w:pPr>
        <w:widowControl w:val="0"/>
        <w:spacing w:before="120" w:after="120" w:line="360" w:lineRule="auto"/>
        <w:jc w:val="both"/>
        <w:rPr>
          <w:rFonts w:ascii="Times New Roman" w:eastAsia="Times New Roman" w:hAnsi="Times New Roman" w:cs="Times New Roman"/>
          <w:color w:val="000000" w:themeColor="text1"/>
          <w:lang w:val="en-GB"/>
        </w:rPr>
      </w:pPr>
      <w:r w:rsidRPr="639A34EC">
        <w:rPr>
          <w:rFonts w:ascii="Times New Roman" w:eastAsia="Times New Roman" w:hAnsi="Times New Roman" w:cs="Times New Roman"/>
          <w:color w:val="000000" w:themeColor="text1"/>
          <w:lang w:val="en-GB"/>
        </w:rPr>
        <w:t>3.2 Qualitative Approach</w:t>
      </w:r>
    </w:p>
    <w:p w14:paraId="15CD9063" w14:textId="621C3169" w:rsidR="417EA666" w:rsidRDefault="417EA666"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India (Gujarat, Tamil Nadu) and Bangladesh (Savar, Gazipur) make ready-made clothing (RMG). We did semi-structured interviews with 60 people: 20 policymakers (from trade ministries and EPBs), 20 exporters, and 20 workers (10 formal and 10 informal). Think about what people enjoy and don't like, how they deal with problems, and where the rules don't work. We looked at WTO notifications, trade policy in other countries, and talks in Parliament. When you compare theme coding to countable data in NVivo.</w:t>
      </w:r>
    </w:p>
    <w:p w14:paraId="2F6AA575" w14:textId="005BD41A" w:rsidR="75D9B916" w:rsidRDefault="75D9B916" w:rsidP="639A34EC">
      <w:pPr>
        <w:pStyle w:val="Heading3"/>
        <w:keepNext w:val="0"/>
        <w:keepLines w:val="0"/>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639A34EC">
        <w:rPr>
          <w:rFonts w:ascii="Times New Roman" w:eastAsia="Times New Roman" w:hAnsi="Times New Roman" w:cs="Times New Roman"/>
          <w:color w:val="000000" w:themeColor="text1"/>
          <w:sz w:val="24"/>
          <w:szCs w:val="24"/>
          <w:lang w:val="en-GB"/>
        </w:rPr>
        <w:t>3.3 Ethical and Practical Considerations</w:t>
      </w:r>
    </w:p>
    <w:p w14:paraId="77E36F00" w14:textId="55B21B92" w:rsidR="75D9B916" w:rsidRDefault="75D9B916"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 Request for permission from the IRB. Take the promise of safety. Research in Bengali, Hindi, and Tamil as native languages. Travel, typing, and counting cost $18,000.</w:t>
      </w:r>
    </w:p>
    <w:p w14:paraId="360A243C" w14:textId="5F31C0A3" w:rsidR="75D9B916" w:rsidRDefault="75D9B916" w:rsidP="639A34EC">
      <w:pPr>
        <w:widowControl w:val="0"/>
        <w:spacing w:before="120" w:after="120" w:line="360" w:lineRule="auto"/>
        <w:jc w:val="both"/>
        <w:rPr>
          <w:rFonts w:ascii="Times New Roman" w:eastAsia="Times New Roman" w:hAnsi="Times New Roman" w:cs="Times New Roman"/>
          <w:b/>
          <w:bCs/>
          <w:color w:val="000000" w:themeColor="text1"/>
          <w:sz w:val="28"/>
          <w:szCs w:val="28"/>
          <w:lang w:val="en-GB"/>
        </w:rPr>
      </w:pPr>
      <w:r w:rsidRPr="639A34EC">
        <w:rPr>
          <w:rFonts w:ascii="Times New Roman" w:eastAsia="Times New Roman" w:hAnsi="Times New Roman" w:cs="Times New Roman"/>
          <w:b/>
          <w:bCs/>
          <w:color w:val="000000" w:themeColor="text1"/>
          <w:sz w:val="28"/>
          <w:szCs w:val="28"/>
          <w:lang w:val="en-GB"/>
        </w:rPr>
        <w:t>4. Expected Findings</w:t>
      </w:r>
    </w:p>
    <w:p w14:paraId="2EF8E3AE" w14:textId="14F3935C" w:rsidR="47496EB1" w:rsidRDefault="47496EB1"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The literature suggests that trade liberalization may augment overall growth (through exports/FDI) while exacerbating inequality and sectoral displacement. </w:t>
      </w:r>
      <w:r w:rsidR="5CE82F38" w:rsidRPr="639A34EC">
        <w:rPr>
          <w:rFonts w:ascii="Times New Roman" w:eastAsia="Times New Roman" w:hAnsi="Times New Roman" w:cs="Times New Roman"/>
          <w:lang w:val="en-GB"/>
        </w:rPr>
        <w:t>I</w:t>
      </w:r>
      <w:r w:rsidRPr="639A34EC">
        <w:rPr>
          <w:rFonts w:ascii="Times New Roman" w:eastAsia="Times New Roman" w:hAnsi="Times New Roman" w:cs="Times New Roman"/>
          <w:lang w:val="en-GB"/>
        </w:rPr>
        <w:t xml:space="preserve">n South Asia: </w:t>
      </w:r>
    </w:p>
    <w:p w14:paraId="0979F5FA" w14:textId="75D1EA41" w:rsidR="47496EB1" w:rsidRDefault="47496EB1"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b/>
          <w:bCs/>
          <w:lang w:val="en-GB"/>
        </w:rPr>
        <w:t>Growth:</w:t>
      </w:r>
      <w:r w:rsidRPr="639A34EC">
        <w:rPr>
          <w:rFonts w:ascii="Times New Roman" w:eastAsia="Times New Roman" w:hAnsi="Times New Roman" w:cs="Times New Roman"/>
          <w:lang w:val="en-GB"/>
        </w:rPr>
        <w:t xml:space="preserve"> The GDP goes up by 1–2% each year, and the countries that export a lot, like Bangladesh, have the fastest growth. </w:t>
      </w:r>
    </w:p>
    <w:p w14:paraId="5016C25D" w14:textId="0D1D7120" w:rsidR="47496EB1" w:rsidRDefault="47496EB1"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b/>
          <w:bCs/>
          <w:lang w:val="en-GB"/>
        </w:rPr>
        <w:t xml:space="preserve">Inequality and poverty: </w:t>
      </w:r>
      <w:r w:rsidRPr="639A34EC">
        <w:rPr>
          <w:rFonts w:ascii="Times New Roman" w:eastAsia="Times New Roman" w:hAnsi="Times New Roman" w:cs="Times New Roman"/>
          <w:lang w:val="en-GB"/>
        </w:rPr>
        <w:t xml:space="preserve">The Gini index went up by 0.02 to 0.05 points at first, with a difference between rural and urban areas.  If social safety nets are put in place, it is possible to reduce poverty in the long term. </w:t>
      </w:r>
    </w:p>
    <w:p w14:paraId="25351A6B" w14:textId="4F9AE173" w:rsidR="47496EB1" w:rsidRDefault="47496EB1"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b/>
          <w:bCs/>
          <w:lang w:val="en-GB"/>
        </w:rPr>
        <w:t xml:space="preserve">Jobs: </w:t>
      </w:r>
      <w:r w:rsidRPr="639A34EC">
        <w:rPr>
          <w:rFonts w:ascii="Times New Roman" w:eastAsia="Times New Roman" w:hAnsi="Times New Roman" w:cs="Times New Roman"/>
          <w:lang w:val="en-GB"/>
        </w:rPr>
        <w:t xml:space="preserve">There are net gains in services and exports, but losses in agriculture and industry. The informal sector is taking up the slack. </w:t>
      </w:r>
    </w:p>
    <w:p w14:paraId="7F9601D0" w14:textId="2A25C263" w:rsidR="47496EB1" w:rsidRDefault="20E6B80B"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I</w:t>
      </w:r>
      <w:r w:rsidR="47496EB1" w:rsidRPr="639A34EC">
        <w:rPr>
          <w:rFonts w:ascii="Times New Roman" w:eastAsia="Times New Roman" w:hAnsi="Times New Roman" w:cs="Times New Roman"/>
          <w:lang w:val="en-GB"/>
        </w:rPr>
        <w:t>ndia (gains in manufacturing), Pakistan (textile volatility), and smaller countries (sensitivity to shocks in terms of trade) are all examples of this. The findings will stress conditionalities that work for investing in people and infrastructure.</w:t>
      </w:r>
    </w:p>
    <w:p w14:paraId="2A510BFE" w14:textId="33C1F11D" w:rsidR="2629A8EC" w:rsidRDefault="2629A8EC" w:rsidP="639A34EC">
      <w:pPr>
        <w:pStyle w:val="Heading2"/>
        <w:keepNext w:val="0"/>
        <w:keepLines w:val="0"/>
        <w:widowControl w:val="0"/>
        <w:spacing w:before="120" w:after="120" w:line="360" w:lineRule="auto"/>
        <w:jc w:val="both"/>
        <w:rPr>
          <w:rFonts w:ascii="Times New Roman" w:eastAsia="Times New Roman" w:hAnsi="Times New Roman" w:cs="Times New Roman"/>
          <w:b/>
          <w:bCs/>
          <w:color w:val="000000" w:themeColor="text1"/>
          <w:sz w:val="28"/>
          <w:szCs w:val="28"/>
          <w:lang w:val="en-GB"/>
        </w:rPr>
      </w:pPr>
      <w:r w:rsidRPr="639A34EC">
        <w:rPr>
          <w:rFonts w:ascii="Times New Roman" w:eastAsia="Times New Roman" w:hAnsi="Times New Roman" w:cs="Times New Roman"/>
          <w:b/>
          <w:bCs/>
          <w:color w:val="000000" w:themeColor="text1"/>
          <w:sz w:val="28"/>
          <w:szCs w:val="28"/>
          <w:lang w:val="en-GB"/>
        </w:rPr>
        <w:t>5. Limitations</w:t>
      </w:r>
    </w:p>
    <w:p w14:paraId="2BBD7AE3" w14:textId="25B1E152" w:rsidR="2208CEC6" w:rsidRDefault="2208CEC6"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Endogeneity:</w:t>
      </w:r>
      <w:r w:rsidRPr="639A34EC">
        <w:rPr>
          <w:rFonts w:ascii="Times New Roman" w:eastAsia="Times New Roman" w:hAnsi="Times New Roman" w:cs="Times New Roman"/>
          <w:color w:val="000000" w:themeColor="text1"/>
          <w:lang w:val="en-GB"/>
        </w:rPr>
        <w:t xml:space="preserve"> </w:t>
      </w:r>
      <w:r w:rsidRPr="639A34EC">
        <w:rPr>
          <w:rFonts w:ascii="Times New Roman" w:eastAsia="Times New Roman" w:hAnsi="Times New Roman" w:cs="Times New Roman"/>
          <w:lang w:val="en-GB"/>
        </w:rPr>
        <w:t xml:space="preserve">Growth could cause change, which is called endogeneity. IV and fixed affects made it less.   </w:t>
      </w:r>
    </w:p>
    <w:p w14:paraId="19880860" w14:textId="703D0343" w:rsidR="2208CEC6" w:rsidRDefault="0159CDC4" w:rsidP="639A34EC">
      <w:pPr>
        <w:widowControl w:val="0"/>
        <w:spacing w:before="120" w:after="120" w:line="360" w:lineRule="auto"/>
        <w:jc w:val="both"/>
        <w:rPr>
          <w:rFonts w:ascii="Times New Roman" w:eastAsia="Times New Roman" w:hAnsi="Times New Roman" w:cs="Times New Roman"/>
          <w:lang w:val="en-GB"/>
        </w:rPr>
      </w:pPr>
      <w:r w:rsidRPr="6AA9A784">
        <w:rPr>
          <w:rStyle w:val="Strong"/>
          <w:rFonts w:ascii="Times New Roman" w:eastAsia="Times New Roman" w:hAnsi="Times New Roman" w:cs="Times New Roman"/>
          <w:color w:val="000000" w:themeColor="text1"/>
          <w:lang w:val="en-GB"/>
        </w:rPr>
        <w:t>Data gaps:</w:t>
      </w:r>
      <w:r w:rsidRPr="6AA9A784">
        <w:rPr>
          <w:rFonts w:ascii="Times New Roman" w:eastAsia="Times New Roman" w:hAnsi="Times New Roman" w:cs="Times New Roman"/>
          <w:color w:val="000000" w:themeColor="text1"/>
          <w:lang w:val="en-GB"/>
        </w:rPr>
        <w:t xml:space="preserve"> </w:t>
      </w:r>
      <w:r w:rsidR="2208CEC6" w:rsidRPr="6AA9A784">
        <w:rPr>
          <w:rFonts w:ascii="Times New Roman" w:eastAsia="Times New Roman" w:hAnsi="Times New Roman" w:cs="Times New Roman"/>
          <w:lang w:val="en-GB"/>
        </w:rPr>
        <w:t xml:space="preserve">Bhutan has few data points, and Afghanistan won't have any until after 2021. </w:t>
      </w:r>
      <w:r w:rsidR="38602393" w:rsidRPr="6AA9A784">
        <w:rPr>
          <w:rFonts w:ascii="Times New Roman" w:eastAsia="Times New Roman" w:hAnsi="Times New Roman" w:cs="Times New Roman"/>
          <w:lang w:val="en-GB"/>
        </w:rPr>
        <w:t>Care must be taken when</w:t>
      </w:r>
      <w:r w:rsidR="2208CEC6" w:rsidRPr="6AA9A784">
        <w:rPr>
          <w:rFonts w:ascii="Times New Roman" w:eastAsia="Times New Roman" w:hAnsi="Times New Roman" w:cs="Times New Roman"/>
          <w:lang w:val="en-GB"/>
        </w:rPr>
        <w:t xml:space="preserve"> us</w:t>
      </w:r>
      <w:r w:rsidR="37F71857" w:rsidRPr="6AA9A784">
        <w:rPr>
          <w:rFonts w:ascii="Times New Roman" w:eastAsia="Times New Roman" w:hAnsi="Times New Roman" w:cs="Times New Roman"/>
          <w:lang w:val="en-GB"/>
        </w:rPr>
        <w:t>ing</w:t>
      </w:r>
      <w:r w:rsidR="2208CEC6" w:rsidRPr="6AA9A784">
        <w:rPr>
          <w:rFonts w:ascii="Times New Roman" w:eastAsia="Times New Roman" w:hAnsi="Times New Roman" w:cs="Times New Roman"/>
          <w:lang w:val="en-GB"/>
        </w:rPr>
        <w:t xml:space="preserve"> imputation.     </w:t>
      </w:r>
    </w:p>
    <w:p w14:paraId="2EEF39BF" w14:textId="5CBFA586" w:rsidR="0871BCB4" w:rsidRDefault="0871BCB4"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External shocks:</w:t>
      </w:r>
      <w:r w:rsidR="2208CEC6" w:rsidRPr="639A34EC">
        <w:rPr>
          <w:rFonts w:ascii="Times New Roman" w:eastAsia="Times New Roman" w:hAnsi="Times New Roman" w:cs="Times New Roman"/>
          <w:lang w:val="en-GB"/>
        </w:rPr>
        <w:t xml:space="preserve"> The Asian crisis of 1997, the Great Financial Crisis of 2008, and the COVID-19 pandemic of 2022 were all shocks that came from outside the country.      Trade is being hurt by the war in Ukraine. </w:t>
      </w:r>
    </w:p>
    <w:p w14:paraId="57B38C03" w14:textId="575ED06A" w:rsidR="2208CEC6" w:rsidRDefault="2208CEC6" w:rsidP="639A34EC">
      <w:pPr>
        <w:widowControl w:val="0"/>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b/>
          <w:bCs/>
          <w:lang w:val="en-GB"/>
        </w:rPr>
        <w:t>Generalizability</w:t>
      </w:r>
      <w:r w:rsidRPr="639A34EC">
        <w:rPr>
          <w:rFonts w:ascii="Times New Roman" w:eastAsia="Times New Roman" w:hAnsi="Times New Roman" w:cs="Times New Roman"/>
          <w:lang w:val="en-GB"/>
        </w:rPr>
        <w:t xml:space="preserve">: It's hard to say what's true for everyone because some groups, like SAARC, only exist in South Asia. </w:t>
      </w:r>
    </w:p>
    <w:p w14:paraId="289287CC" w14:textId="72B96A46" w:rsidR="102DDC67" w:rsidRDefault="102DDC67"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Qualitative bias:</w:t>
      </w:r>
      <w:r w:rsidR="2208CEC6" w:rsidRPr="639A34EC">
        <w:rPr>
          <w:rFonts w:ascii="Times New Roman" w:eastAsia="Times New Roman" w:hAnsi="Times New Roman" w:cs="Times New Roman"/>
          <w:lang w:val="en-GB"/>
        </w:rPr>
        <w:t xml:space="preserve"> When interviewing exporters, people who are biased are more likely to </w:t>
      </w:r>
      <w:r w:rsidR="5F1E7727" w:rsidRPr="639A34EC">
        <w:rPr>
          <w:rFonts w:ascii="Times New Roman" w:eastAsia="Times New Roman" w:hAnsi="Times New Roman" w:cs="Times New Roman"/>
          <w:lang w:val="en-GB"/>
        </w:rPr>
        <w:t>favour</w:t>
      </w:r>
      <w:r w:rsidR="2208CEC6" w:rsidRPr="639A34EC">
        <w:rPr>
          <w:rFonts w:ascii="Times New Roman" w:eastAsia="Times New Roman" w:hAnsi="Times New Roman" w:cs="Times New Roman"/>
          <w:lang w:val="en-GB"/>
        </w:rPr>
        <w:t xml:space="preserve"> winners than exporters.</w:t>
      </w:r>
      <w:r w:rsidR="6B54C116" w:rsidRPr="639A34EC">
        <w:rPr>
          <w:rFonts w:ascii="Times New Roman" w:eastAsia="Times New Roman" w:hAnsi="Times New Roman" w:cs="Times New Roman"/>
          <w:lang w:val="en-GB"/>
        </w:rPr>
        <w:t xml:space="preserve"> </w:t>
      </w:r>
      <w:r w:rsidR="2208CEC6" w:rsidRPr="639A34EC">
        <w:rPr>
          <w:rFonts w:ascii="Times New Roman" w:eastAsia="Times New Roman" w:hAnsi="Times New Roman" w:cs="Times New Roman"/>
          <w:lang w:val="en-GB"/>
        </w:rPr>
        <w:t xml:space="preserve">Taking workers' opinions into account.     </w:t>
      </w:r>
    </w:p>
    <w:p w14:paraId="304594A9" w14:textId="1477A8EB" w:rsidR="729B2B38" w:rsidRDefault="729B2B38" w:rsidP="639A34EC">
      <w:pPr>
        <w:widowControl w:val="0"/>
        <w:spacing w:before="120" w:after="120" w:line="360" w:lineRule="auto"/>
        <w:jc w:val="both"/>
        <w:rPr>
          <w:rFonts w:ascii="Times New Roman" w:eastAsia="Times New Roman" w:hAnsi="Times New Roman" w:cs="Times New Roman"/>
          <w:lang w:val="en-GB"/>
        </w:rPr>
      </w:pPr>
      <w:r w:rsidRPr="639A34EC">
        <w:rPr>
          <w:rStyle w:val="Strong"/>
          <w:rFonts w:ascii="Times New Roman" w:eastAsia="Times New Roman" w:hAnsi="Times New Roman" w:cs="Times New Roman"/>
          <w:color w:val="000000" w:themeColor="text1"/>
          <w:lang w:val="en-GB"/>
        </w:rPr>
        <w:t>Measurement:</w:t>
      </w:r>
      <w:r w:rsidR="2208CEC6" w:rsidRPr="639A34EC">
        <w:rPr>
          <w:rFonts w:ascii="Times New Roman" w:eastAsia="Times New Roman" w:hAnsi="Times New Roman" w:cs="Times New Roman"/>
          <w:lang w:val="en-GB"/>
        </w:rPr>
        <w:t xml:space="preserve"> It's possible that tariff data won't show NTBs (SPS, TBT). The WTO also lets people know about things.</w:t>
      </w:r>
    </w:p>
    <w:p w14:paraId="3499007B" w14:textId="2453071E" w:rsidR="4AE1A394" w:rsidRDefault="4AE1A394" w:rsidP="639A34EC">
      <w:pPr>
        <w:pStyle w:val="Heading2"/>
        <w:keepNext w:val="0"/>
        <w:keepLines w:val="0"/>
        <w:widowControl w:val="0"/>
        <w:spacing w:before="120" w:after="120" w:line="360" w:lineRule="auto"/>
        <w:jc w:val="both"/>
        <w:rPr>
          <w:rFonts w:ascii="Times New Roman" w:eastAsia="Times New Roman" w:hAnsi="Times New Roman" w:cs="Times New Roman"/>
          <w:b/>
          <w:bCs/>
          <w:color w:val="auto"/>
          <w:sz w:val="28"/>
          <w:szCs w:val="28"/>
          <w:lang w:val="en-GB"/>
        </w:rPr>
      </w:pPr>
      <w:r w:rsidRPr="639A34EC">
        <w:rPr>
          <w:rFonts w:ascii="Times New Roman" w:eastAsia="Times New Roman" w:hAnsi="Times New Roman" w:cs="Times New Roman"/>
          <w:b/>
          <w:bCs/>
          <w:color w:val="auto"/>
          <w:sz w:val="28"/>
          <w:szCs w:val="28"/>
          <w:lang w:val="en-GB"/>
        </w:rPr>
        <w:t xml:space="preserve">6. Timeframe </w:t>
      </w:r>
    </w:p>
    <w:p w14:paraId="54F91150" w14:textId="7E5C5B3F" w:rsidR="4AE1A394" w:rsidRDefault="4AE1A394" w:rsidP="639A34EC">
      <w:pPr>
        <w:pStyle w:val="ListParagraph"/>
        <w:widowControl w:val="0"/>
        <w:numPr>
          <w:ilvl w:val="0"/>
          <w:numId w:val="3"/>
        </w:numPr>
        <w:spacing w:before="120" w:after="120" w:line="360" w:lineRule="auto"/>
        <w:jc w:val="both"/>
        <w:rPr>
          <w:rFonts w:ascii="Times New Roman" w:eastAsia="Times New Roman" w:hAnsi="Times New Roman" w:cs="Times New Roman"/>
          <w:color w:val="000000" w:themeColor="text1"/>
          <w:lang w:val="en-GB"/>
        </w:rPr>
      </w:pPr>
      <w:r w:rsidRPr="639A34EC">
        <w:rPr>
          <w:rStyle w:val="Strong"/>
          <w:rFonts w:ascii="Times New Roman" w:eastAsia="Times New Roman" w:hAnsi="Times New Roman" w:cs="Times New Roman"/>
          <w:color w:val="000000" w:themeColor="text1"/>
          <w:lang w:val="en-GB"/>
        </w:rPr>
        <w:t>Months 1–3 (Jan–Mar 2026):</w:t>
      </w:r>
      <w:r w:rsidRPr="639A34EC">
        <w:rPr>
          <w:rFonts w:ascii="Times New Roman" w:eastAsia="Times New Roman" w:hAnsi="Times New Roman" w:cs="Times New Roman"/>
          <w:color w:val="000000" w:themeColor="text1"/>
          <w:lang w:val="en-GB"/>
        </w:rPr>
        <w:t xml:space="preserve"> Finalize literature, secure data access, ethics approval.</w:t>
      </w:r>
    </w:p>
    <w:p w14:paraId="695F6511" w14:textId="5BE94F9C" w:rsidR="4AE1A394" w:rsidRDefault="4AE1A394" w:rsidP="639A34EC">
      <w:pPr>
        <w:pStyle w:val="ListParagraph"/>
        <w:widowControl w:val="0"/>
        <w:numPr>
          <w:ilvl w:val="0"/>
          <w:numId w:val="3"/>
        </w:numPr>
        <w:spacing w:before="120" w:after="120" w:line="360" w:lineRule="auto"/>
        <w:jc w:val="both"/>
        <w:rPr>
          <w:rFonts w:ascii="Times New Roman" w:eastAsia="Times New Roman" w:hAnsi="Times New Roman" w:cs="Times New Roman"/>
          <w:color w:val="000000" w:themeColor="text1"/>
          <w:lang w:val="en-GB"/>
        </w:rPr>
      </w:pPr>
      <w:r w:rsidRPr="639A34EC">
        <w:rPr>
          <w:rStyle w:val="Strong"/>
          <w:rFonts w:ascii="Times New Roman" w:eastAsia="Times New Roman" w:hAnsi="Times New Roman" w:cs="Times New Roman"/>
          <w:color w:val="000000" w:themeColor="text1"/>
          <w:lang w:val="en-GB"/>
        </w:rPr>
        <w:t>Months 4–7 (Apr–Jul):</w:t>
      </w:r>
      <w:r w:rsidRPr="639A34EC">
        <w:rPr>
          <w:rFonts w:ascii="Times New Roman" w:eastAsia="Times New Roman" w:hAnsi="Times New Roman" w:cs="Times New Roman"/>
          <w:color w:val="000000" w:themeColor="text1"/>
          <w:lang w:val="en-GB"/>
        </w:rPr>
        <w:t xml:space="preserve"> Clean datasets, estimate baseline models.</w:t>
      </w:r>
    </w:p>
    <w:p w14:paraId="6805AE7E" w14:textId="0CEC42A7" w:rsidR="4AE1A394" w:rsidRDefault="4AE1A394" w:rsidP="639A34EC">
      <w:pPr>
        <w:pStyle w:val="ListParagraph"/>
        <w:widowControl w:val="0"/>
        <w:numPr>
          <w:ilvl w:val="0"/>
          <w:numId w:val="3"/>
        </w:numPr>
        <w:spacing w:before="120" w:after="120" w:line="360" w:lineRule="auto"/>
        <w:jc w:val="both"/>
        <w:rPr>
          <w:rFonts w:ascii="Times New Roman" w:eastAsia="Times New Roman" w:hAnsi="Times New Roman" w:cs="Times New Roman"/>
          <w:color w:val="000000" w:themeColor="text1"/>
          <w:lang w:val="en-GB"/>
        </w:rPr>
      </w:pPr>
      <w:r w:rsidRPr="639A34EC">
        <w:rPr>
          <w:rStyle w:val="Strong"/>
          <w:rFonts w:ascii="Times New Roman" w:eastAsia="Times New Roman" w:hAnsi="Times New Roman" w:cs="Times New Roman"/>
          <w:color w:val="000000" w:themeColor="text1"/>
          <w:lang w:val="en-GB"/>
        </w:rPr>
        <w:t>Months 8–9 (Aug–Sep):</w:t>
      </w:r>
      <w:r w:rsidRPr="639A34EC">
        <w:rPr>
          <w:rFonts w:ascii="Times New Roman" w:eastAsia="Times New Roman" w:hAnsi="Times New Roman" w:cs="Times New Roman"/>
          <w:color w:val="000000" w:themeColor="text1"/>
          <w:lang w:val="en-GB"/>
        </w:rPr>
        <w:t xml:space="preserve"> Fieldwork in Bangladesh and India.</w:t>
      </w:r>
    </w:p>
    <w:p w14:paraId="122714F6" w14:textId="5AB918AB" w:rsidR="4AE1A394" w:rsidRDefault="4AE1A394" w:rsidP="639A34EC">
      <w:pPr>
        <w:pStyle w:val="ListParagraph"/>
        <w:widowControl w:val="0"/>
        <w:numPr>
          <w:ilvl w:val="0"/>
          <w:numId w:val="3"/>
        </w:numPr>
        <w:spacing w:before="120" w:after="120" w:line="360" w:lineRule="auto"/>
        <w:jc w:val="both"/>
        <w:rPr>
          <w:rFonts w:ascii="Times New Roman" w:eastAsia="Times New Roman" w:hAnsi="Times New Roman" w:cs="Times New Roman"/>
          <w:color w:val="000000" w:themeColor="text1"/>
          <w:lang w:val="en-GB"/>
        </w:rPr>
      </w:pPr>
      <w:r w:rsidRPr="639A34EC">
        <w:rPr>
          <w:rStyle w:val="Strong"/>
          <w:rFonts w:ascii="Times New Roman" w:eastAsia="Times New Roman" w:hAnsi="Times New Roman" w:cs="Times New Roman"/>
          <w:color w:val="000000" w:themeColor="text1"/>
          <w:lang w:val="en-GB"/>
        </w:rPr>
        <w:t>Months 10–11 (Oct–Nov):</w:t>
      </w:r>
      <w:r w:rsidRPr="639A34EC">
        <w:rPr>
          <w:rFonts w:ascii="Times New Roman" w:eastAsia="Times New Roman" w:hAnsi="Times New Roman" w:cs="Times New Roman"/>
          <w:color w:val="000000" w:themeColor="text1"/>
          <w:lang w:val="en-GB"/>
        </w:rPr>
        <w:t xml:space="preserve"> Qualitative coding, integrate with econometrics.</w:t>
      </w:r>
    </w:p>
    <w:p w14:paraId="589D6D00" w14:textId="6A7DD694" w:rsidR="4AE1A394" w:rsidRDefault="4AE1A394" w:rsidP="639A34EC">
      <w:pPr>
        <w:pStyle w:val="ListParagraph"/>
        <w:widowControl w:val="0"/>
        <w:numPr>
          <w:ilvl w:val="0"/>
          <w:numId w:val="3"/>
        </w:numPr>
        <w:spacing w:before="120" w:after="120" w:line="360" w:lineRule="auto"/>
        <w:jc w:val="both"/>
        <w:rPr>
          <w:rFonts w:ascii="Times New Roman" w:eastAsia="Times New Roman" w:hAnsi="Times New Roman" w:cs="Times New Roman"/>
          <w:color w:val="000000" w:themeColor="text1"/>
          <w:lang w:val="en-GB"/>
        </w:rPr>
      </w:pPr>
      <w:r w:rsidRPr="639A34EC">
        <w:rPr>
          <w:rStyle w:val="Strong"/>
          <w:rFonts w:ascii="Times New Roman" w:eastAsia="Times New Roman" w:hAnsi="Times New Roman" w:cs="Times New Roman"/>
          <w:color w:val="000000" w:themeColor="text1"/>
          <w:lang w:val="en-GB"/>
        </w:rPr>
        <w:t>Month 12 (Dec):</w:t>
      </w:r>
      <w:r w:rsidRPr="639A34EC">
        <w:rPr>
          <w:rFonts w:ascii="Times New Roman" w:eastAsia="Times New Roman" w:hAnsi="Times New Roman" w:cs="Times New Roman"/>
          <w:color w:val="000000" w:themeColor="text1"/>
          <w:lang w:val="en-GB"/>
        </w:rPr>
        <w:t xml:space="preserve"> Draft chapters.</w:t>
      </w:r>
    </w:p>
    <w:p w14:paraId="5983DC46" w14:textId="4691BC88" w:rsidR="4AE1A394" w:rsidRDefault="4AE1A394" w:rsidP="639A34EC">
      <w:pPr>
        <w:pStyle w:val="ListParagraph"/>
        <w:widowControl w:val="0"/>
        <w:numPr>
          <w:ilvl w:val="0"/>
          <w:numId w:val="3"/>
        </w:numPr>
        <w:spacing w:before="120" w:after="120" w:line="360" w:lineRule="auto"/>
        <w:jc w:val="both"/>
        <w:rPr>
          <w:rFonts w:ascii="Times New Roman" w:eastAsia="Times New Roman" w:hAnsi="Times New Roman" w:cs="Times New Roman"/>
          <w:color w:val="000000" w:themeColor="text1"/>
          <w:lang w:val="en-GB"/>
        </w:rPr>
      </w:pPr>
      <w:r w:rsidRPr="639A34EC">
        <w:rPr>
          <w:rStyle w:val="Strong"/>
          <w:rFonts w:ascii="Times New Roman" w:eastAsia="Times New Roman" w:hAnsi="Times New Roman" w:cs="Times New Roman"/>
          <w:color w:val="000000" w:themeColor="text1"/>
          <w:lang w:val="en-GB"/>
        </w:rPr>
        <w:t>Month 13 (Jan 2027):</w:t>
      </w:r>
      <w:r w:rsidRPr="639A34EC">
        <w:rPr>
          <w:rFonts w:ascii="Times New Roman" w:eastAsia="Times New Roman" w:hAnsi="Times New Roman" w:cs="Times New Roman"/>
          <w:color w:val="000000" w:themeColor="text1"/>
          <w:lang w:val="en-GB"/>
        </w:rPr>
        <w:t xml:space="preserve"> Revise, submit, prepare defense.</w:t>
      </w:r>
    </w:p>
    <w:p w14:paraId="02683514" w14:textId="11566435" w:rsidR="4AE1A394" w:rsidRDefault="4AE1A394" w:rsidP="639A34EC">
      <w:pPr>
        <w:pStyle w:val="break-words"/>
        <w:widowControl w:val="0"/>
        <w:spacing w:before="120" w:beforeAutospacing="0" w:after="120" w:afterAutospacing="0" w:line="360" w:lineRule="auto"/>
        <w:jc w:val="both"/>
        <w:rPr>
          <w:rFonts w:ascii="Times New Roman" w:eastAsia="Times New Roman" w:hAnsi="Times New Roman" w:cs="Times New Roman"/>
          <w:color w:val="000000" w:themeColor="text1"/>
          <w:lang w:val="en-GB"/>
        </w:rPr>
      </w:pPr>
      <w:r w:rsidRPr="639A34EC">
        <w:rPr>
          <w:rFonts w:ascii="Times New Roman" w:eastAsia="Times New Roman" w:hAnsi="Times New Roman" w:cs="Times New Roman"/>
          <w:color w:val="000000" w:themeColor="text1"/>
          <w:lang w:val="en-GB"/>
        </w:rPr>
        <w:t xml:space="preserve">Total: </w:t>
      </w:r>
      <w:r w:rsidRPr="639A34EC">
        <w:rPr>
          <w:rStyle w:val="Strong"/>
          <w:rFonts w:ascii="Times New Roman" w:eastAsia="Times New Roman" w:hAnsi="Times New Roman" w:cs="Times New Roman"/>
          <w:color w:val="000000" w:themeColor="text1"/>
          <w:lang w:val="en-GB"/>
        </w:rPr>
        <w:t>13 months</w:t>
      </w:r>
      <w:r w:rsidRPr="639A34EC">
        <w:rPr>
          <w:rFonts w:ascii="Times New Roman" w:eastAsia="Times New Roman" w:hAnsi="Times New Roman" w:cs="Times New Roman"/>
          <w:color w:val="000000" w:themeColor="text1"/>
          <w:lang w:val="en-GB"/>
        </w:rPr>
        <w:t>.</w:t>
      </w:r>
    </w:p>
    <w:p w14:paraId="1A287C3C" w14:textId="5CA70F92" w:rsidR="4AE1A394" w:rsidRDefault="4AE1A394" w:rsidP="639A34EC">
      <w:pPr>
        <w:pStyle w:val="break-words"/>
        <w:widowControl w:val="0"/>
        <w:spacing w:before="120" w:beforeAutospacing="0" w:after="120" w:afterAutospacing="0" w:line="360" w:lineRule="auto"/>
        <w:jc w:val="both"/>
        <w:rPr>
          <w:rFonts w:ascii="Times New Roman" w:eastAsia="Times New Roman" w:hAnsi="Times New Roman" w:cs="Times New Roman"/>
          <w:b/>
          <w:bCs/>
          <w:sz w:val="28"/>
          <w:szCs w:val="28"/>
          <w:lang w:val="en-GB"/>
        </w:rPr>
      </w:pPr>
    </w:p>
    <w:p w14:paraId="4D943958" w14:textId="26BBE782" w:rsidR="4AE1A394" w:rsidRDefault="4AE1A394" w:rsidP="639A34EC">
      <w:pPr>
        <w:pStyle w:val="break-words"/>
        <w:widowControl w:val="0"/>
        <w:spacing w:before="120" w:beforeAutospacing="0" w:after="120" w:afterAutospacing="0" w:line="360" w:lineRule="auto"/>
        <w:jc w:val="both"/>
        <w:rPr>
          <w:rFonts w:ascii="Times New Roman" w:eastAsia="Times New Roman" w:hAnsi="Times New Roman" w:cs="Times New Roman"/>
          <w:b/>
          <w:bCs/>
          <w:sz w:val="28"/>
          <w:szCs w:val="28"/>
          <w:lang w:val="en-GB"/>
        </w:rPr>
      </w:pPr>
    </w:p>
    <w:p w14:paraId="461730DE" w14:textId="33CC0E55" w:rsidR="4AE1A394" w:rsidRDefault="4AE1A394" w:rsidP="639A34EC">
      <w:pPr>
        <w:pStyle w:val="break-words"/>
        <w:widowControl w:val="0"/>
        <w:spacing w:before="120" w:beforeAutospacing="0" w:after="120" w:afterAutospacing="0" w:line="360" w:lineRule="auto"/>
        <w:jc w:val="both"/>
        <w:rPr>
          <w:rFonts w:ascii="Times New Roman" w:eastAsia="Times New Roman" w:hAnsi="Times New Roman" w:cs="Times New Roman"/>
          <w:b/>
          <w:bCs/>
          <w:sz w:val="28"/>
          <w:szCs w:val="28"/>
          <w:lang w:val="en-GB"/>
        </w:rPr>
      </w:pPr>
    </w:p>
    <w:p w14:paraId="4C686314" w14:textId="09BE40CB" w:rsidR="4AE1A394" w:rsidRDefault="4AE1A394" w:rsidP="639A34EC">
      <w:pPr>
        <w:pStyle w:val="break-words"/>
        <w:widowControl w:val="0"/>
        <w:spacing w:before="120" w:beforeAutospacing="0" w:after="120" w:afterAutospacing="0" w:line="360" w:lineRule="auto"/>
        <w:jc w:val="both"/>
        <w:rPr>
          <w:rFonts w:ascii="Times New Roman" w:eastAsia="Times New Roman" w:hAnsi="Times New Roman" w:cs="Times New Roman"/>
          <w:color w:val="000000" w:themeColor="text1"/>
          <w:lang w:val="en-GB"/>
        </w:rPr>
      </w:pPr>
      <w:r w:rsidRPr="639A34EC">
        <w:rPr>
          <w:rFonts w:ascii="Times New Roman" w:eastAsia="Times New Roman" w:hAnsi="Times New Roman" w:cs="Times New Roman"/>
          <w:b/>
          <w:bCs/>
          <w:sz w:val="28"/>
          <w:szCs w:val="28"/>
          <w:lang w:val="en-GB"/>
        </w:rPr>
        <w:t>7. Conclusion</w:t>
      </w:r>
    </w:p>
    <w:p w14:paraId="42BFA5A2" w14:textId="4A930A4C" w:rsidR="4AE1A394" w:rsidRDefault="4AE1A394" w:rsidP="639A34EC">
      <w:pPr>
        <w:widowControl w:val="0"/>
        <w:spacing w:before="120" w:after="120" w:line="360" w:lineRule="auto"/>
        <w:jc w:val="both"/>
        <w:rPr>
          <w:rFonts w:ascii="Times New Roman" w:eastAsia="Times New Roman" w:hAnsi="Times New Roman" w:cs="Times New Roman"/>
          <w:color w:val="0F4761" w:themeColor="accent1" w:themeShade="BF"/>
          <w:lang w:val="en-GB"/>
        </w:rPr>
      </w:pPr>
      <w:r w:rsidRPr="639A34EC">
        <w:rPr>
          <w:rFonts w:ascii="Times New Roman" w:eastAsia="Times New Roman" w:hAnsi="Times New Roman" w:cs="Times New Roman"/>
          <w:lang w:val="en-GB"/>
        </w:rPr>
        <w:t>To sum up, this dissertation looks at the effects of trade reform in South Asia in different ways. Looking at the general benefits in light of differences between regions. People who have been affected by globalization and strict econometric analysis are used to find ways to make it easy for everyone to get to. Building social safety nets, investing in skills, and working together in areas are some of the changes that need to happen in a certain order. The results will help decide what the government should do and how countries should work together. They will also back projects that are based on facts and will help everyone grow fairly in a world that is becoming more connected</w:t>
      </w:r>
      <w:r w:rsidRPr="639A34EC">
        <w:rPr>
          <w:rFonts w:ascii="Times New Roman" w:eastAsia="Times New Roman" w:hAnsi="Times New Roman" w:cs="Times New Roman"/>
          <w:color w:val="0F4761" w:themeColor="accent1" w:themeShade="BF"/>
          <w:lang w:val="en-GB"/>
        </w:rPr>
        <w:t>.</w:t>
      </w:r>
    </w:p>
    <w:p w14:paraId="2966A083" w14:textId="296F678C" w:rsidR="5860B476" w:rsidRDefault="5860B476" w:rsidP="639A34EC">
      <w:pPr>
        <w:pStyle w:val="Heading2"/>
        <w:keepNext w:val="0"/>
        <w:keepLines w:val="0"/>
        <w:widowControl w:val="0"/>
        <w:spacing w:before="120" w:after="120" w:line="360" w:lineRule="auto"/>
        <w:jc w:val="both"/>
        <w:rPr>
          <w:rFonts w:ascii="Times New Roman" w:eastAsia="Times New Roman" w:hAnsi="Times New Roman" w:cs="Times New Roman"/>
          <w:b/>
          <w:bCs/>
          <w:color w:val="000000" w:themeColor="text1"/>
          <w:sz w:val="28"/>
          <w:szCs w:val="28"/>
          <w:lang w:val="en-GB"/>
        </w:rPr>
      </w:pPr>
      <w:r w:rsidRPr="639A34EC">
        <w:rPr>
          <w:rFonts w:ascii="Times New Roman" w:eastAsia="Times New Roman" w:hAnsi="Times New Roman" w:cs="Times New Roman"/>
          <w:b/>
          <w:bCs/>
          <w:color w:val="000000" w:themeColor="text1"/>
          <w:sz w:val="28"/>
          <w:szCs w:val="28"/>
          <w:lang w:val="en-GB"/>
        </w:rPr>
        <w:t>8. References</w:t>
      </w:r>
    </w:p>
    <w:p w14:paraId="38F91ECA" w14:textId="385721C1" w:rsidR="1440EF56" w:rsidRDefault="1440EF56" w:rsidP="639A34EC">
      <w:pPr>
        <w:pStyle w:val="ListParagraph"/>
        <w:widowControl w:val="0"/>
        <w:numPr>
          <w:ilvl w:val="0"/>
          <w:numId w:val="1"/>
        </w:numPr>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Ghose, A.K., 2016. </w:t>
      </w:r>
      <w:r w:rsidRPr="639A34EC">
        <w:rPr>
          <w:rFonts w:ascii="Times New Roman" w:eastAsia="Times New Roman" w:hAnsi="Times New Roman" w:cs="Times New Roman"/>
          <w:i/>
          <w:iCs/>
          <w:lang w:val="en-GB"/>
        </w:rPr>
        <w:t>India Employment Report 2016</w:t>
      </w:r>
      <w:r w:rsidRPr="639A34EC">
        <w:rPr>
          <w:rFonts w:ascii="Times New Roman" w:eastAsia="Times New Roman" w:hAnsi="Times New Roman" w:cs="Times New Roman"/>
          <w:lang w:val="en-GB"/>
        </w:rPr>
        <w:t>. Oxford University Press.</w:t>
      </w:r>
    </w:p>
    <w:p w14:paraId="5DF20225" w14:textId="38EAF9F7" w:rsidR="1440EF56" w:rsidRDefault="1440EF56" w:rsidP="639A34EC">
      <w:pPr>
        <w:pStyle w:val="ListParagraph"/>
        <w:widowControl w:val="0"/>
        <w:numPr>
          <w:ilvl w:val="0"/>
          <w:numId w:val="1"/>
        </w:numPr>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Ricardo, D., 1817. </w:t>
      </w:r>
      <w:r w:rsidRPr="639A34EC">
        <w:rPr>
          <w:rFonts w:ascii="Times New Roman" w:eastAsia="Times New Roman" w:hAnsi="Times New Roman" w:cs="Times New Roman"/>
          <w:i/>
          <w:iCs/>
          <w:lang w:val="en-GB"/>
        </w:rPr>
        <w:t>On the Principles of Political Economy and Taxation</w:t>
      </w:r>
      <w:r w:rsidRPr="639A34EC">
        <w:rPr>
          <w:rFonts w:ascii="Times New Roman" w:eastAsia="Times New Roman" w:hAnsi="Times New Roman" w:cs="Times New Roman"/>
          <w:lang w:val="en-GB"/>
        </w:rPr>
        <w:t>.</w:t>
      </w:r>
    </w:p>
    <w:p w14:paraId="127AEB8D" w14:textId="070D9618" w:rsidR="1440EF56" w:rsidRDefault="1440EF56" w:rsidP="639A34EC">
      <w:pPr>
        <w:pStyle w:val="ListParagraph"/>
        <w:widowControl w:val="0"/>
        <w:numPr>
          <w:ilvl w:val="0"/>
          <w:numId w:val="4"/>
        </w:numPr>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Autor, D.H., Dorn, D. and Hanson, G.H., 2013. The China shock: Learning from labor-market adjustment to large changes in trade. </w:t>
      </w:r>
      <w:r w:rsidRPr="639A34EC">
        <w:rPr>
          <w:rFonts w:ascii="Times New Roman" w:eastAsia="Times New Roman" w:hAnsi="Times New Roman" w:cs="Times New Roman"/>
          <w:i/>
          <w:iCs/>
          <w:lang w:val="en-GB"/>
        </w:rPr>
        <w:t>Annual Review of Economics</w:t>
      </w:r>
      <w:r w:rsidRPr="639A34EC">
        <w:rPr>
          <w:rFonts w:ascii="Times New Roman" w:eastAsia="Times New Roman" w:hAnsi="Times New Roman" w:cs="Times New Roman"/>
          <w:lang w:val="en-GB"/>
        </w:rPr>
        <w:t>, 5(1), pp. 205-240.</w:t>
      </w:r>
    </w:p>
    <w:p w14:paraId="1BBE03EB" w14:textId="366622C8" w:rsidR="1440EF56" w:rsidRDefault="1440EF56" w:rsidP="639A34EC">
      <w:pPr>
        <w:pStyle w:val="ListParagraph"/>
        <w:widowControl w:val="0"/>
        <w:numPr>
          <w:ilvl w:val="0"/>
          <w:numId w:val="4"/>
        </w:numPr>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Goldberg, P.K., Khandelwal, A.K., Pavcnik, N. and Topalova, P., 2010. Imported intermediate inputs and domestic product growth: Evidence from India. </w:t>
      </w:r>
      <w:r w:rsidRPr="639A34EC">
        <w:rPr>
          <w:rFonts w:ascii="Times New Roman" w:eastAsia="Times New Roman" w:hAnsi="Times New Roman" w:cs="Times New Roman"/>
          <w:i/>
          <w:iCs/>
          <w:lang w:val="en-GB"/>
        </w:rPr>
        <w:t>Quarterly Journal of Economics</w:t>
      </w:r>
      <w:r w:rsidRPr="639A34EC">
        <w:rPr>
          <w:rFonts w:ascii="Times New Roman" w:eastAsia="Times New Roman" w:hAnsi="Times New Roman" w:cs="Times New Roman"/>
          <w:lang w:val="en-GB"/>
        </w:rPr>
        <w:t>, 125(4), pp. 1727-1767.</w:t>
      </w:r>
    </w:p>
    <w:p w14:paraId="71F3DCB6" w14:textId="7FEFDE70" w:rsidR="1440EF56" w:rsidRDefault="1440EF56" w:rsidP="639A34EC">
      <w:pPr>
        <w:pStyle w:val="ListParagraph"/>
        <w:widowControl w:val="0"/>
        <w:numPr>
          <w:ilvl w:val="0"/>
          <w:numId w:val="4"/>
        </w:numPr>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Hasan, R., Mitra, D. and Ulubasoglu, M., 2012. Trade liberalization and labor demand in Pakistan. </w:t>
      </w:r>
      <w:r w:rsidRPr="639A34EC">
        <w:rPr>
          <w:rFonts w:ascii="Times New Roman" w:eastAsia="Times New Roman" w:hAnsi="Times New Roman" w:cs="Times New Roman"/>
          <w:i/>
          <w:iCs/>
          <w:lang w:val="en-GB"/>
        </w:rPr>
        <w:t>Journal of Development Economics</w:t>
      </w:r>
      <w:r w:rsidRPr="639A34EC">
        <w:rPr>
          <w:rFonts w:ascii="Times New Roman" w:eastAsia="Times New Roman" w:hAnsi="Times New Roman" w:cs="Times New Roman"/>
          <w:lang w:val="en-GB"/>
        </w:rPr>
        <w:t>.</w:t>
      </w:r>
    </w:p>
    <w:p w14:paraId="0AD901FA" w14:textId="6011CE79" w:rsidR="1440EF56" w:rsidRDefault="1440EF56" w:rsidP="639A34EC">
      <w:pPr>
        <w:pStyle w:val="ListParagraph"/>
        <w:widowControl w:val="0"/>
        <w:numPr>
          <w:ilvl w:val="0"/>
          <w:numId w:val="4"/>
        </w:numPr>
        <w:spacing w:before="120" w:after="120" w:line="360" w:lineRule="auto"/>
        <w:jc w:val="both"/>
        <w:rPr>
          <w:rFonts w:ascii="Times New Roman" w:eastAsia="Times New Roman" w:hAnsi="Times New Roman" w:cs="Times New Roman"/>
          <w:lang w:val="en-GB"/>
        </w:rPr>
      </w:pPr>
      <w:r w:rsidRPr="639A34EC">
        <w:rPr>
          <w:rFonts w:ascii="Times New Roman" w:eastAsia="Times New Roman" w:hAnsi="Times New Roman" w:cs="Times New Roman"/>
          <w:lang w:val="en-GB"/>
        </w:rPr>
        <w:t xml:space="preserve">Krishna, P. and Mitra, D., 1998. Trade liberalization, market discipline and productivity growth: New evidence from India. </w:t>
      </w:r>
      <w:r w:rsidRPr="639A34EC">
        <w:rPr>
          <w:rFonts w:ascii="Times New Roman" w:eastAsia="Times New Roman" w:hAnsi="Times New Roman" w:cs="Times New Roman"/>
          <w:i/>
          <w:iCs/>
          <w:lang w:val="en-GB"/>
        </w:rPr>
        <w:t>Journal of Development Economics</w:t>
      </w:r>
      <w:r w:rsidRPr="639A34EC">
        <w:rPr>
          <w:rFonts w:ascii="Times New Roman" w:eastAsia="Times New Roman" w:hAnsi="Times New Roman" w:cs="Times New Roman"/>
          <w:lang w:val="en-GB"/>
        </w:rPr>
        <w:t>, 56(2), pp. 447-462.</w:t>
      </w:r>
    </w:p>
    <w:p w14:paraId="510A31C8" w14:textId="4D10C86E" w:rsidR="1440EF56" w:rsidRDefault="1440EF56" w:rsidP="639A34EC">
      <w:pPr>
        <w:pStyle w:val="ListParagraph"/>
        <w:widowControl w:val="0"/>
        <w:numPr>
          <w:ilvl w:val="0"/>
          <w:numId w:val="4"/>
        </w:numPr>
        <w:spacing w:before="120" w:after="120" w:line="360" w:lineRule="auto"/>
        <w:jc w:val="both"/>
        <w:rPr>
          <w:rFonts w:ascii="Aptos Display" w:eastAsia="Aptos Display" w:hAnsi="Aptos Display" w:cs="Aptos Display"/>
          <w:lang w:val="en-GB"/>
        </w:rPr>
      </w:pPr>
      <w:r w:rsidRPr="639A34EC">
        <w:rPr>
          <w:rFonts w:ascii="Aptos Display" w:eastAsia="Aptos Display" w:hAnsi="Aptos Display" w:cs="Aptos Display"/>
          <w:lang w:val="en-GB"/>
        </w:rPr>
        <w:t xml:space="preserve">Rodriguez, F. and Rodrik, D., 2001. Trade policy and economic growth: A skeptic's guide to the cross-national evidence. </w:t>
      </w:r>
      <w:r w:rsidRPr="639A34EC">
        <w:rPr>
          <w:rFonts w:ascii="Aptos Display" w:eastAsia="Aptos Display" w:hAnsi="Aptos Display" w:cs="Aptos Display"/>
          <w:i/>
          <w:iCs/>
          <w:lang w:val="en-GB"/>
        </w:rPr>
        <w:t>NBER Macroeconomics Annual</w:t>
      </w:r>
      <w:r w:rsidRPr="639A34EC">
        <w:rPr>
          <w:rFonts w:ascii="Aptos Display" w:eastAsia="Aptos Display" w:hAnsi="Aptos Display" w:cs="Aptos Display"/>
          <w:lang w:val="en-GB"/>
        </w:rPr>
        <w:t>, 15, pp. 261-325.</w:t>
      </w:r>
    </w:p>
    <w:p w14:paraId="384F7440" w14:textId="09852520" w:rsidR="1440EF56" w:rsidRDefault="1440EF56" w:rsidP="639A34EC">
      <w:pPr>
        <w:pStyle w:val="ListParagraph"/>
        <w:widowControl w:val="0"/>
        <w:numPr>
          <w:ilvl w:val="0"/>
          <w:numId w:val="4"/>
        </w:numPr>
        <w:spacing w:before="120" w:after="120" w:line="360" w:lineRule="auto"/>
        <w:jc w:val="both"/>
        <w:rPr>
          <w:rFonts w:ascii="Aptos Display" w:eastAsia="Aptos Display" w:hAnsi="Aptos Display" w:cs="Aptos Display"/>
          <w:lang w:val="en-GB"/>
        </w:rPr>
      </w:pPr>
      <w:r w:rsidRPr="639A34EC">
        <w:rPr>
          <w:rFonts w:ascii="Aptos Display" w:eastAsia="Aptos Display" w:hAnsi="Aptos Display" w:cs="Aptos Display"/>
          <w:lang w:val="en-GB"/>
        </w:rPr>
        <w:t xml:space="preserve">Romer, P.M., 1990. Endogenous technological change. </w:t>
      </w:r>
      <w:r w:rsidRPr="639A34EC">
        <w:rPr>
          <w:rFonts w:ascii="Aptos Display" w:eastAsia="Aptos Display" w:hAnsi="Aptos Display" w:cs="Aptos Display"/>
          <w:i/>
          <w:iCs/>
          <w:lang w:val="en-GB"/>
        </w:rPr>
        <w:t>Journal of Political Economy</w:t>
      </w:r>
      <w:r w:rsidRPr="639A34EC">
        <w:rPr>
          <w:rFonts w:ascii="Aptos Display" w:eastAsia="Aptos Display" w:hAnsi="Aptos Display" w:cs="Aptos Display"/>
          <w:lang w:val="en-GB"/>
        </w:rPr>
        <w:t>, 98(5), pp. S71-S102.</w:t>
      </w:r>
    </w:p>
    <w:p w14:paraId="177A4B23" w14:textId="6DDE2BB6" w:rsidR="1440EF56" w:rsidRDefault="1440EF56" w:rsidP="639A34EC">
      <w:pPr>
        <w:pStyle w:val="ListParagraph"/>
        <w:widowControl w:val="0"/>
        <w:numPr>
          <w:ilvl w:val="0"/>
          <w:numId w:val="4"/>
        </w:numPr>
        <w:spacing w:before="120" w:after="120" w:line="360" w:lineRule="auto"/>
        <w:jc w:val="both"/>
        <w:rPr>
          <w:rFonts w:ascii="Aptos Display" w:eastAsia="Aptos Display" w:hAnsi="Aptos Display" w:cs="Aptos Display"/>
          <w:lang w:val="en-GB"/>
        </w:rPr>
      </w:pPr>
      <w:r w:rsidRPr="639A34EC">
        <w:rPr>
          <w:rFonts w:ascii="Aptos Display" w:eastAsia="Aptos Display" w:hAnsi="Aptos Display" w:cs="Aptos Display"/>
          <w:lang w:val="en-GB"/>
        </w:rPr>
        <w:t xml:space="preserve">Sachs, J.D. and Warner, A., 1995. Economic reform and the process of global integration. </w:t>
      </w:r>
      <w:r w:rsidRPr="639A34EC">
        <w:rPr>
          <w:rFonts w:ascii="Aptos Display" w:eastAsia="Aptos Display" w:hAnsi="Aptos Display" w:cs="Aptos Display"/>
          <w:i/>
          <w:iCs/>
          <w:lang w:val="en-GB"/>
        </w:rPr>
        <w:t>Brookings Papers on Economic Activity</w:t>
      </w:r>
      <w:r w:rsidRPr="639A34EC">
        <w:rPr>
          <w:rFonts w:ascii="Aptos Display" w:eastAsia="Aptos Display" w:hAnsi="Aptos Display" w:cs="Aptos Display"/>
          <w:lang w:val="en-GB"/>
        </w:rPr>
        <w:t>, 1995(1), pp. 1-118.</w:t>
      </w:r>
    </w:p>
    <w:p w14:paraId="25B61432" w14:textId="29C40553" w:rsidR="1440EF56" w:rsidRDefault="1440EF56" w:rsidP="639A34EC">
      <w:pPr>
        <w:pStyle w:val="ListParagraph"/>
        <w:widowControl w:val="0"/>
        <w:numPr>
          <w:ilvl w:val="0"/>
          <w:numId w:val="4"/>
        </w:numPr>
        <w:spacing w:before="120" w:after="120" w:line="360" w:lineRule="auto"/>
        <w:jc w:val="both"/>
        <w:rPr>
          <w:rFonts w:ascii="Aptos Display" w:eastAsia="Aptos Display" w:hAnsi="Aptos Display" w:cs="Aptos Display"/>
          <w:lang w:val="en-GB"/>
        </w:rPr>
      </w:pPr>
      <w:r w:rsidRPr="639A34EC">
        <w:rPr>
          <w:rFonts w:ascii="Aptos Display" w:eastAsia="Aptos Display" w:hAnsi="Aptos Display" w:cs="Aptos Display"/>
          <w:lang w:val="en-GB"/>
        </w:rPr>
        <w:t xml:space="preserve">Topalova, P., 2010. Factor immobility and regional impacts of trade liberalization: Evidence on poverty from India. </w:t>
      </w:r>
      <w:r w:rsidRPr="639A34EC">
        <w:rPr>
          <w:rFonts w:ascii="Aptos Display" w:eastAsia="Aptos Display" w:hAnsi="Aptos Display" w:cs="Aptos Display"/>
          <w:i/>
          <w:iCs/>
          <w:lang w:val="en-GB"/>
        </w:rPr>
        <w:t>American Economic Journal: Applied Economics</w:t>
      </w:r>
      <w:r w:rsidRPr="639A34EC">
        <w:rPr>
          <w:rFonts w:ascii="Aptos Display" w:eastAsia="Aptos Display" w:hAnsi="Aptos Display" w:cs="Aptos Display"/>
          <w:lang w:val="en-GB"/>
        </w:rPr>
        <w:t>, 2(4), pp. 1-41.</w:t>
      </w:r>
    </w:p>
    <w:p w14:paraId="58C2666D" w14:textId="634C377A" w:rsidR="1440EF56" w:rsidRDefault="1440EF56" w:rsidP="639A34EC">
      <w:pPr>
        <w:pStyle w:val="ListParagraph"/>
        <w:widowControl w:val="0"/>
        <w:numPr>
          <w:ilvl w:val="0"/>
          <w:numId w:val="4"/>
        </w:numPr>
        <w:spacing w:before="120" w:after="120" w:line="360" w:lineRule="auto"/>
        <w:jc w:val="both"/>
        <w:rPr>
          <w:rFonts w:ascii="Aptos Display" w:eastAsia="Aptos Display" w:hAnsi="Aptos Display" w:cs="Aptos Display"/>
          <w:lang w:val="en-GB"/>
        </w:rPr>
      </w:pPr>
      <w:r w:rsidRPr="639A34EC">
        <w:rPr>
          <w:rFonts w:ascii="Aptos Display" w:eastAsia="Aptos Display" w:hAnsi="Aptos Display" w:cs="Aptos Display"/>
          <w:lang w:val="en-GB"/>
        </w:rPr>
        <w:t xml:space="preserve">Winters, L.A., McCulloch, N. and McKay, A., 2004. Trade liberalization and poverty: The evidence so far. </w:t>
      </w:r>
      <w:r w:rsidRPr="639A34EC">
        <w:rPr>
          <w:rFonts w:ascii="Aptos Display" w:eastAsia="Aptos Display" w:hAnsi="Aptos Display" w:cs="Aptos Display"/>
          <w:i/>
          <w:iCs/>
          <w:lang w:val="en-GB"/>
        </w:rPr>
        <w:t>Journal of Economic Literature</w:t>
      </w:r>
      <w:r w:rsidRPr="639A34EC">
        <w:rPr>
          <w:rFonts w:ascii="Aptos Display" w:eastAsia="Aptos Display" w:hAnsi="Aptos Display" w:cs="Aptos Display"/>
          <w:lang w:val="en-GB"/>
        </w:rPr>
        <w:t>, 42(1), pp. 72-115.</w:t>
      </w:r>
    </w:p>
    <w:p w14:paraId="49A310A7" w14:textId="657278ED" w:rsidR="62057A46" w:rsidRDefault="62057A46" w:rsidP="639A34EC">
      <w:pPr>
        <w:widowControl w:val="0"/>
        <w:spacing w:before="120" w:after="120" w:line="360" w:lineRule="auto"/>
        <w:jc w:val="both"/>
        <w:rPr>
          <w:rFonts w:ascii="Aptos Display" w:eastAsia="Aptos Display" w:hAnsi="Aptos Display" w:cs="Aptos Display"/>
          <w:lang w:val="en-GB"/>
        </w:rPr>
      </w:pPr>
    </w:p>
    <w:sectPr w:rsidR="62057A46">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3A711" w14:textId="77777777" w:rsidR="00B97AC3" w:rsidRDefault="00B97AC3">
      <w:pPr>
        <w:spacing w:after="0" w:line="240" w:lineRule="auto"/>
      </w:pPr>
      <w:r>
        <w:separator/>
      </w:r>
    </w:p>
  </w:endnote>
  <w:endnote w:type="continuationSeparator" w:id="0">
    <w:p w14:paraId="1E2DD578" w14:textId="77777777" w:rsidR="00B97AC3" w:rsidRDefault="00B97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9A34EC" w14:paraId="37A9046C" w14:textId="77777777" w:rsidTr="639A34EC">
      <w:trPr>
        <w:trHeight w:val="300"/>
      </w:trPr>
      <w:tc>
        <w:tcPr>
          <w:tcW w:w="3120" w:type="dxa"/>
        </w:tcPr>
        <w:p w14:paraId="6F1393E8" w14:textId="18DFAF81" w:rsidR="639A34EC" w:rsidRDefault="639A34EC" w:rsidP="639A34EC">
          <w:pPr>
            <w:pStyle w:val="Header"/>
            <w:ind w:left="-115"/>
          </w:pPr>
        </w:p>
      </w:tc>
      <w:tc>
        <w:tcPr>
          <w:tcW w:w="3120" w:type="dxa"/>
        </w:tcPr>
        <w:p w14:paraId="140519AC" w14:textId="445B3F12" w:rsidR="639A34EC" w:rsidRDefault="639A34EC" w:rsidP="639A34EC">
          <w:pPr>
            <w:pStyle w:val="Header"/>
            <w:jc w:val="center"/>
          </w:pPr>
        </w:p>
      </w:tc>
      <w:tc>
        <w:tcPr>
          <w:tcW w:w="3120" w:type="dxa"/>
        </w:tcPr>
        <w:p w14:paraId="6A35A5B3" w14:textId="2EF12A8C" w:rsidR="639A34EC" w:rsidRDefault="639A34EC" w:rsidP="639A34EC">
          <w:pPr>
            <w:pStyle w:val="Header"/>
            <w:ind w:right="-115"/>
            <w:jc w:val="right"/>
          </w:pPr>
          <w:r>
            <w:fldChar w:fldCharType="begin"/>
          </w:r>
          <w:r>
            <w:instrText>PAGE</w:instrText>
          </w:r>
          <w:r>
            <w:fldChar w:fldCharType="separate"/>
          </w:r>
          <w:r>
            <w:fldChar w:fldCharType="end"/>
          </w:r>
        </w:p>
      </w:tc>
    </w:tr>
  </w:tbl>
  <w:p w14:paraId="507F8763" w14:textId="5D6F2D94" w:rsidR="639A34EC" w:rsidRDefault="639A34EC" w:rsidP="639A3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2B2A7" w14:textId="77777777" w:rsidR="00B97AC3" w:rsidRDefault="00B97AC3">
      <w:pPr>
        <w:spacing w:after="0" w:line="240" w:lineRule="auto"/>
      </w:pPr>
      <w:r>
        <w:separator/>
      </w:r>
    </w:p>
  </w:footnote>
  <w:footnote w:type="continuationSeparator" w:id="0">
    <w:p w14:paraId="4FC25611" w14:textId="77777777" w:rsidR="00B97AC3" w:rsidRDefault="00B97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9A34EC" w14:paraId="60E91E4E" w14:textId="77777777" w:rsidTr="639A34EC">
      <w:trPr>
        <w:trHeight w:val="300"/>
      </w:trPr>
      <w:tc>
        <w:tcPr>
          <w:tcW w:w="3120" w:type="dxa"/>
        </w:tcPr>
        <w:p w14:paraId="11C5F5D0" w14:textId="18C0E0D4" w:rsidR="639A34EC" w:rsidRDefault="639A34EC" w:rsidP="639A34EC">
          <w:pPr>
            <w:pStyle w:val="Header"/>
            <w:ind w:left="-115"/>
          </w:pPr>
        </w:p>
      </w:tc>
      <w:tc>
        <w:tcPr>
          <w:tcW w:w="3120" w:type="dxa"/>
        </w:tcPr>
        <w:p w14:paraId="47D407B9" w14:textId="220C9DCE" w:rsidR="639A34EC" w:rsidRDefault="639A34EC" w:rsidP="639A34EC">
          <w:pPr>
            <w:pStyle w:val="Header"/>
            <w:jc w:val="center"/>
          </w:pPr>
        </w:p>
      </w:tc>
      <w:tc>
        <w:tcPr>
          <w:tcW w:w="3120" w:type="dxa"/>
        </w:tcPr>
        <w:p w14:paraId="0D2BBA6C" w14:textId="520D0E8B" w:rsidR="639A34EC" w:rsidRDefault="639A34EC" w:rsidP="639A34EC">
          <w:pPr>
            <w:pStyle w:val="Header"/>
            <w:ind w:right="-115"/>
            <w:jc w:val="right"/>
          </w:pPr>
        </w:p>
      </w:tc>
    </w:tr>
  </w:tbl>
  <w:p w14:paraId="2DF782D5" w14:textId="2D69082B" w:rsidR="639A34EC" w:rsidRDefault="639A34EC" w:rsidP="639A34E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3JV503bp" int2:invalidationBookmarkName="" int2:hashCode="Ls+SSA/SDNFm/T" int2:id="8KO8BjTc">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B1E5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61CAB5"/>
    <w:multiLevelType w:val="hybridMultilevel"/>
    <w:tmpl w:val="FFFFFFFF"/>
    <w:lvl w:ilvl="0" w:tplc="D3C85322">
      <w:start w:val="1"/>
      <w:numFmt w:val="bullet"/>
      <w:lvlText w:val=""/>
      <w:lvlJc w:val="left"/>
      <w:pPr>
        <w:ind w:left="720" w:hanging="360"/>
      </w:pPr>
      <w:rPr>
        <w:rFonts w:ascii="Symbol" w:hAnsi="Symbol" w:hint="default"/>
      </w:rPr>
    </w:lvl>
    <w:lvl w:ilvl="1" w:tplc="C94E47C8">
      <w:start w:val="1"/>
      <w:numFmt w:val="bullet"/>
      <w:lvlText w:val="o"/>
      <w:lvlJc w:val="left"/>
      <w:pPr>
        <w:ind w:left="1440" w:hanging="360"/>
      </w:pPr>
      <w:rPr>
        <w:rFonts w:ascii="Courier New" w:hAnsi="Courier New" w:hint="default"/>
      </w:rPr>
    </w:lvl>
    <w:lvl w:ilvl="2" w:tplc="10FC08FE">
      <w:start w:val="1"/>
      <w:numFmt w:val="bullet"/>
      <w:lvlText w:val=""/>
      <w:lvlJc w:val="left"/>
      <w:pPr>
        <w:ind w:left="2160" w:hanging="360"/>
      </w:pPr>
      <w:rPr>
        <w:rFonts w:ascii="Wingdings" w:hAnsi="Wingdings" w:hint="default"/>
      </w:rPr>
    </w:lvl>
    <w:lvl w:ilvl="3" w:tplc="4F4479EA">
      <w:start w:val="1"/>
      <w:numFmt w:val="bullet"/>
      <w:lvlText w:val=""/>
      <w:lvlJc w:val="left"/>
      <w:pPr>
        <w:ind w:left="2880" w:hanging="360"/>
      </w:pPr>
      <w:rPr>
        <w:rFonts w:ascii="Symbol" w:hAnsi="Symbol" w:hint="default"/>
      </w:rPr>
    </w:lvl>
    <w:lvl w:ilvl="4" w:tplc="A664F59C">
      <w:start w:val="1"/>
      <w:numFmt w:val="bullet"/>
      <w:lvlText w:val="o"/>
      <w:lvlJc w:val="left"/>
      <w:pPr>
        <w:ind w:left="3600" w:hanging="360"/>
      </w:pPr>
      <w:rPr>
        <w:rFonts w:ascii="Courier New" w:hAnsi="Courier New" w:hint="default"/>
      </w:rPr>
    </w:lvl>
    <w:lvl w:ilvl="5" w:tplc="173CCBA2">
      <w:start w:val="1"/>
      <w:numFmt w:val="bullet"/>
      <w:lvlText w:val=""/>
      <w:lvlJc w:val="left"/>
      <w:pPr>
        <w:ind w:left="4320" w:hanging="360"/>
      </w:pPr>
      <w:rPr>
        <w:rFonts w:ascii="Wingdings" w:hAnsi="Wingdings" w:hint="default"/>
      </w:rPr>
    </w:lvl>
    <w:lvl w:ilvl="6" w:tplc="AFA2661A">
      <w:start w:val="1"/>
      <w:numFmt w:val="bullet"/>
      <w:lvlText w:val=""/>
      <w:lvlJc w:val="left"/>
      <w:pPr>
        <w:ind w:left="5040" w:hanging="360"/>
      </w:pPr>
      <w:rPr>
        <w:rFonts w:ascii="Symbol" w:hAnsi="Symbol" w:hint="default"/>
      </w:rPr>
    </w:lvl>
    <w:lvl w:ilvl="7" w:tplc="4EEC3460">
      <w:start w:val="1"/>
      <w:numFmt w:val="bullet"/>
      <w:lvlText w:val="o"/>
      <w:lvlJc w:val="left"/>
      <w:pPr>
        <w:ind w:left="5760" w:hanging="360"/>
      </w:pPr>
      <w:rPr>
        <w:rFonts w:ascii="Courier New" w:hAnsi="Courier New" w:hint="default"/>
      </w:rPr>
    </w:lvl>
    <w:lvl w:ilvl="8" w:tplc="D526B4EC">
      <w:start w:val="1"/>
      <w:numFmt w:val="bullet"/>
      <w:lvlText w:val=""/>
      <w:lvlJc w:val="left"/>
      <w:pPr>
        <w:ind w:left="6480" w:hanging="360"/>
      </w:pPr>
      <w:rPr>
        <w:rFonts w:ascii="Wingdings" w:hAnsi="Wingdings" w:hint="default"/>
      </w:rPr>
    </w:lvl>
  </w:abstractNum>
  <w:abstractNum w:abstractNumId="2" w15:restartNumberingAfterBreak="0">
    <w:nsid w:val="31485E46"/>
    <w:multiLevelType w:val="hybridMultilevel"/>
    <w:tmpl w:val="363636E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BF20B1"/>
    <w:multiLevelType w:val="hybridMultilevel"/>
    <w:tmpl w:val="FFFFFFFF"/>
    <w:lvl w:ilvl="0" w:tplc="EFA057D0">
      <w:start w:val="1"/>
      <w:numFmt w:val="bullet"/>
      <w:lvlText w:val=""/>
      <w:lvlJc w:val="left"/>
      <w:pPr>
        <w:ind w:left="720" w:hanging="360"/>
      </w:pPr>
      <w:rPr>
        <w:rFonts w:ascii="Symbol" w:hAnsi="Symbol" w:hint="default"/>
      </w:rPr>
    </w:lvl>
    <w:lvl w:ilvl="1" w:tplc="283E3166">
      <w:start w:val="1"/>
      <w:numFmt w:val="bullet"/>
      <w:lvlText w:val="o"/>
      <w:lvlJc w:val="left"/>
      <w:pPr>
        <w:ind w:left="1440" w:hanging="360"/>
      </w:pPr>
      <w:rPr>
        <w:rFonts w:ascii="Courier New" w:hAnsi="Courier New" w:hint="default"/>
      </w:rPr>
    </w:lvl>
    <w:lvl w:ilvl="2" w:tplc="8CE21B56">
      <w:start w:val="1"/>
      <w:numFmt w:val="bullet"/>
      <w:lvlText w:val=""/>
      <w:lvlJc w:val="left"/>
      <w:pPr>
        <w:ind w:left="2160" w:hanging="360"/>
      </w:pPr>
      <w:rPr>
        <w:rFonts w:ascii="Wingdings" w:hAnsi="Wingdings" w:hint="default"/>
      </w:rPr>
    </w:lvl>
    <w:lvl w:ilvl="3" w:tplc="FD286E24">
      <w:start w:val="1"/>
      <w:numFmt w:val="bullet"/>
      <w:lvlText w:val=""/>
      <w:lvlJc w:val="left"/>
      <w:pPr>
        <w:ind w:left="2880" w:hanging="360"/>
      </w:pPr>
      <w:rPr>
        <w:rFonts w:ascii="Symbol" w:hAnsi="Symbol" w:hint="default"/>
      </w:rPr>
    </w:lvl>
    <w:lvl w:ilvl="4" w:tplc="DDE8AD40">
      <w:start w:val="1"/>
      <w:numFmt w:val="bullet"/>
      <w:lvlText w:val="o"/>
      <w:lvlJc w:val="left"/>
      <w:pPr>
        <w:ind w:left="3600" w:hanging="360"/>
      </w:pPr>
      <w:rPr>
        <w:rFonts w:ascii="Courier New" w:hAnsi="Courier New" w:hint="default"/>
      </w:rPr>
    </w:lvl>
    <w:lvl w:ilvl="5" w:tplc="04D0E132">
      <w:start w:val="1"/>
      <w:numFmt w:val="bullet"/>
      <w:lvlText w:val=""/>
      <w:lvlJc w:val="left"/>
      <w:pPr>
        <w:ind w:left="4320" w:hanging="360"/>
      </w:pPr>
      <w:rPr>
        <w:rFonts w:ascii="Wingdings" w:hAnsi="Wingdings" w:hint="default"/>
      </w:rPr>
    </w:lvl>
    <w:lvl w:ilvl="6" w:tplc="C5306DFA">
      <w:start w:val="1"/>
      <w:numFmt w:val="bullet"/>
      <w:lvlText w:val=""/>
      <w:lvlJc w:val="left"/>
      <w:pPr>
        <w:ind w:left="5040" w:hanging="360"/>
      </w:pPr>
      <w:rPr>
        <w:rFonts w:ascii="Symbol" w:hAnsi="Symbol" w:hint="default"/>
      </w:rPr>
    </w:lvl>
    <w:lvl w:ilvl="7" w:tplc="8C7009F8">
      <w:start w:val="1"/>
      <w:numFmt w:val="bullet"/>
      <w:lvlText w:val="o"/>
      <w:lvlJc w:val="left"/>
      <w:pPr>
        <w:ind w:left="5760" w:hanging="360"/>
      </w:pPr>
      <w:rPr>
        <w:rFonts w:ascii="Courier New" w:hAnsi="Courier New" w:hint="default"/>
      </w:rPr>
    </w:lvl>
    <w:lvl w:ilvl="8" w:tplc="AC4EE254">
      <w:start w:val="1"/>
      <w:numFmt w:val="bullet"/>
      <w:lvlText w:val=""/>
      <w:lvlJc w:val="left"/>
      <w:pPr>
        <w:ind w:left="6480" w:hanging="360"/>
      </w:pPr>
      <w:rPr>
        <w:rFonts w:ascii="Wingdings" w:hAnsi="Wingdings" w:hint="default"/>
      </w:rPr>
    </w:lvl>
  </w:abstractNum>
  <w:abstractNum w:abstractNumId="4" w15:restartNumberingAfterBreak="0">
    <w:nsid w:val="7CDCB675"/>
    <w:multiLevelType w:val="hybridMultilevel"/>
    <w:tmpl w:val="FFFFFFFF"/>
    <w:lvl w:ilvl="0" w:tplc="F4562408">
      <w:start w:val="1"/>
      <w:numFmt w:val="bullet"/>
      <w:lvlText w:val=""/>
      <w:lvlJc w:val="left"/>
      <w:pPr>
        <w:ind w:left="720" w:hanging="360"/>
      </w:pPr>
      <w:rPr>
        <w:rFonts w:ascii="Symbol" w:hAnsi="Symbol" w:hint="default"/>
      </w:rPr>
    </w:lvl>
    <w:lvl w:ilvl="1" w:tplc="C65C4250">
      <w:start w:val="1"/>
      <w:numFmt w:val="bullet"/>
      <w:lvlText w:val="o"/>
      <w:lvlJc w:val="left"/>
      <w:pPr>
        <w:ind w:left="1440" w:hanging="360"/>
      </w:pPr>
      <w:rPr>
        <w:rFonts w:ascii="Courier New" w:hAnsi="Courier New" w:hint="default"/>
      </w:rPr>
    </w:lvl>
    <w:lvl w:ilvl="2" w:tplc="806E7626">
      <w:start w:val="1"/>
      <w:numFmt w:val="bullet"/>
      <w:lvlText w:val=""/>
      <w:lvlJc w:val="left"/>
      <w:pPr>
        <w:ind w:left="2160" w:hanging="360"/>
      </w:pPr>
      <w:rPr>
        <w:rFonts w:ascii="Wingdings" w:hAnsi="Wingdings" w:hint="default"/>
      </w:rPr>
    </w:lvl>
    <w:lvl w:ilvl="3" w:tplc="0CBA7900">
      <w:start w:val="1"/>
      <w:numFmt w:val="bullet"/>
      <w:lvlText w:val=""/>
      <w:lvlJc w:val="left"/>
      <w:pPr>
        <w:ind w:left="2880" w:hanging="360"/>
      </w:pPr>
      <w:rPr>
        <w:rFonts w:ascii="Symbol" w:hAnsi="Symbol" w:hint="default"/>
      </w:rPr>
    </w:lvl>
    <w:lvl w:ilvl="4" w:tplc="5554D822">
      <w:start w:val="1"/>
      <w:numFmt w:val="bullet"/>
      <w:lvlText w:val="o"/>
      <w:lvlJc w:val="left"/>
      <w:pPr>
        <w:ind w:left="3600" w:hanging="360"/>
      </w:pPr>
      <w:rPr>
        <w:rFonts w:ascii="Courier New" w:hAnsi="Courier New" w:hint="default"/>
      </w:rPr>
    </w:lvl>
    <w:lvl w:ilvl="5" w:tplc="452ABA50">
      <w:start w:val="1"/>
      <w:numFmt w:val="bullet"/>
      <w:lvlText w:val=""/>
      <w:lvlJc w:val="left"/>
      <w:pPr>
        <w:ind w:left="4320" w:hanging="360"/>
      </w:pPr>
      <w:rPr>
        <w:rFonts w:ascii="Wingdings" w:hAnsi="Wingdings" w:hint="default"/>
      </w:rPr>
    </w:lvl>
    <w:lvl w:ilvl="6" w:tplc="3BCA0D56">
      <w:start w:val="1"/>
      <w:numFmt w:val="bullet"/>
      <w:lvlText w:val=""/>
      <w:lvlJc w:val="left"/>
      <w:pPr>
        <w:ind w:left="5040" w:hanging="360"/>
      </w:pPr>
      <w:rPr>
        <w:rFonts w:ascii="Symbol" w:hAnsi="Symbol" w:hint="default"/>
      </w:rPr>
    </w:lvl>
    <w:lvl w:ilvl="7" w:tplc="E0FCD5CC">
      <w:start w:val="1"/>
      <w:numFmt w:val="bullet"/>
      <w:lvlText w:val="o"/>
      <w:lvlJc w:val="left"/>
      <w:pPr>
        <w:ind w:left="5760" w:hanging="360"/>
      </w:pPr>
      <w:rPr>
        <w:rFonts w:ascii="Courier New" w:hAnsi="Courier New" w:hint="default"/>
      </w:rPr>
    </w:lvl>
    <w:lvl w:ilvl="8" w:tplc="708ADE68">
      <w:start w:val="1"/>
      <w:numFmt w:val="bullet"/>
      <w:lvlText w:val=""/>
      <w:lvlJc w:val="left"/>
      <w:pPr>
        <w:ind w:left="6480" w:hanging="360"/>
      </w:pPr>
      <w:rPr>
        <w:rFonts w:ascii="Wingdings" w:hAnsi="Wingdings" w:hint="default"/>
      </w:rPr>
    </w:lvl>
  </w:abstractNum>
  <w:abstractNum w:abstractNumId="5" w15:restartNumberingAfterBreak="0">
    <w:nsid w:val="7D79FB30"/>
    <w:multiLevelType w:val="hybridMultilevel"/>
    <w:tmpl w:val="FFFFFFFF"/>
    <w:lvl w:ilvl="0" w:tplc="D2B02202">
      <w:start w:val="1"/>
      <w:numFmt w:val="bullet"/>
      <w:lvlText w:val=""/>
      <w:lvlJc w:val="left"/>
      <w:pPr>
        <w:ind w:left="720" w:hanging="360"/>
      </w:pPr>
      <w:rPr>
        <w:rFonts w:ascii="Symbol" w:hAnsi="Symbol" w:hint="default"/>
      </w:rPr>
    </w:lvl>
    <w:lvl w:ilvl="1" w:tplc="FA7E4168">
      <w:start w:val="1"/>
      <w:numFmt w:val="bullet"/>
      <w:lvlText w:val="o"/>
      <w:lvlJc w:val="left"/>
      <w:pPr>
        <w:ind w:left="1440" w:hanging="360"/>
      </w:pPr>
      <w:rPr>
        <w:rFonts w:ascii="Courier New" w:hAnsi="Courier New" w:hint="default"/>
      </w:rPr>
    </w:lvl>
    <w:lvl w:ilvl="2" w:tplc="C23851F6">
      <w:start w:val="1"/>
      <w:numFmt w:val="bullet"/>
      <w:lvlText w:val=""/>
      <w:lvlJc w:val="left"/>
      <w:pPr>
        <w:ind w:left="2160" w:hanging="360"/>
      </w:pPr>
      <w:rPr>
        <w:rFonts w:ascii="Wingdings" w:hAnsi="Wingdings" w:hint="default"/>
      </w:rPr>
    </w:lvl>
    <w:lvl w:ilvl="3" w:tplc="DE40DE0E">
      <w:start w:val="1"/>
      <w:numFmt w:val="bullet"/>
      <w:lvlText w:val=""/>
      <w:lvlJc w:val="left"/>
      <w:pPr>
        <w:ind w:left="2880" w:hanging="360"/>
      </w:pPr>
      <w:rPr>
        <w:rFonts w:ascii="Symbol" w:hAnsi="Symbol" w:hint="default"/>
      </w:rPr>
    </w:lvl>
    <w:lvl w:ilvl="4" w:tplc="843C6B16">
      <w:start w:val="1"/>
      <w:numFmt w:val="bullet"/>
      <w:lvlText w:val="o"/>
      <w:lvlJc w:val="left"/>
      <w:pPr>
        <w:ind w:left="3600" w:hanging="360"/>
      </w:pPr>
      <w:rPr>
        <w:rFonts w:ascii="Courier New" w:hAnsi="Courier New" w:hint="default"/>
      </w:rPr>
    </w:lvl>
    <w:lvl w:ilvl="5" w:tplc="CAC217FC">
      <w:start w:val="1"/>
      <w:numFmt w:val="bullet"/>
      <w:lvlText w:val=""/>
      <w:lvlJc w:val="left"/>
      <w:pPr>
        <w:ind w:left="4320" w:hanging="360"/>
      </w:pPr>
      <w:rPr>
        <w:rFonts w:ascii="Wingdings" w:hAnsi="Wingdings" w:hint="default"/>
      </w:rPr>
    </w:lvl>
    <w:lvl w:ilvl="6" w:tplc="7668D164">
      <w:start w:val="1"/>
      <w:numFmt w:val="bullet"/>
      <w:lvlText w:val=""/>
      <w:lvlJc w:val="left"/>
      <w:pPr>
        <w:ind w:left="5040" w:hanging="360"/>
      </w:pPr>
      <w:rPr>
        <w:rFonts w:ascii="Symbol" w:hAnsi="Symbol" w:hint="default"/>
      </w:rPr>
    </w:lvl>
    <w:lvl w:ilvl="7" w:tplc="5E9629BC">
      <w:start w:val="1"/>
      <w:numFmt w:val="bullet"/>
      <w:lvlText w:val="o"/>
      <w:lvlJc w:val="left"/>
      <w:pPr>
        <w:ind w:left="5760" w:hanging="360"/>
      </w:pPr>
      <w:rPr>
        <w:rFonts w:ascii="Courier New" w:hAnsi="Courier New" w:hint="default"/>
      </w:rPr>
    </w:lvl>
    <w:lvl w:ilvl="8" w:tplc="7AE66BFC">
      <w:start w:val="1"/>
      <w:numFmt w:val="bullet"/>
      <w:lvlText w:val=""/>
      <w:lvlJc w:val="left"/>
      <w:pPr>
        <w:ind w:left="6480" w:hanging="360"/>
      </w:pPr>
      <w:rPr>
        <w:rFonts w:ascii="Wingdings" w:hAnsi="Wingdings" w:hint="default"/>
      </w:rPr>
    </w:lvl>
  </w:abstractNum>
  <w:num w:numId="1" w16cid:durableId="417602571">
    <w:abstractNumId w:val="4"/>
  </w:num>
  <w:num w:numId="2" w16cid:durableId="1937321431">
    <w:abstractNumId w:val="3"/>
  </w:num>
  <w:num w:numId="3" w16cid:durableId="120348486">
    <w:abstractNumId w:val="0"/>
  </w:num>
  <w:num w:numId="4" w16cid:durableId="1792937311">
    <w:abstractNumId w:val="5"/>
  </w:num>
  <w:num w:numId="5" w16cid:durableId="1563365530">
    <w:abstractNumId w:val="1"/>
  </w:num>
  <w:num w:numId="6" w16cid:durableId="1840347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AD0D49"/>
    <w:rsid w:val="00080BD6"/>
    <w:rsid w:val="000A4433"/>
    <w:rsid w:val="000D22CB"/>
    <w:rsid w:val="000F68F7"/>
    <w:rsid w:val="00155178"/>
    <w:rsid w:val="001633FC"/>
    <w:rsid w:val="001E2E70"/>
    <w:rsid w:val="00226173"/>
    <w:rsid w:val="002A0325"/>
    <w:rsid w:val="00310BC7"/>
    <w:rsid w:val="00345EFC"/>
    <w:rsid w:val="003850E0"/>
    <w:rsid w:val="003C0B86"/>
    <w:rsid w:val="00420BDC"/>
    <w:rsid w:val="0047261F"/>
    <w:rsid w:val="004B194F"/>
    <w:rsid w:val="005C5A33"/>
    <w:rsid w:val="00600ACF"/>
    <w:rsid w:val="0060780D"/>
    <w:rsid w:val="00717D5F"/>
    <w:rsid w:val="00717EC8"/>
    <w:rsid w:val="00744B2C"/>
    <w:rsid w:val="007E1D6A"/>
    <w:rsid w:val="008075C6"/>
    <w:rsid w:val="00831A6C"/>
    <w:rsid w:val="00850CBA"/>
    <w:rsid w:val="008738F8"/>
    <w:rsid w:val="008D7F8C"/>
    <w:rsid w:val="0094698D"/>
    <w:rsid w:val="009F3D1E"/>
    <w:rsid w:val="00A23381"/>
    <w:rsid w:val="00B03CAF"/>
    <w:rsid w:val="00B97AC3"/>
    <w:rsid w:val="00BC7E56"/>
    <w:rsid w:val="00C029A1"/>
    <w:rsid w:val="00CB6D17"/>
    <w:rsid w:val="00DB4A47"/>
    <w:rsid w:val="00E279BE"/>
    <w:rsid w:val="00E343E0"/>
    <w:rsid w:val="00E54013"/>
    <w:rsid w:val="00E62C38"/>
    <w:rsid w:val="0154B69B"/>
    <w:rsid w:val="0159CDC4"/>
    <w:rsid w:val="01FFC46F"/>
    <w:rsid w:val="02EFDB4A"/>
    <w:rsid w:val="03F5747D"/>
    <w:rsid w:val="03F9B4CA"/>
    <w:rsid w:val="05362A62"/>
    <w:rsid w:val="066C3C5F"/>
    <w:rsid w:val="0710365E"/>
    <w:rsid w:val="077E8124"/>
    <w:rsid w:val="0871BCB4"/>
    <w:rsid w:val="0A1BE5AE"/>
    <w:rsid w:val="0BBA7FE1"/>
    <w:rsid w:val="0C41E6F7"/>
    <w:rsid w:val="0CFBD629"/>
    <w:rsid w:val="0D9B05B6"/>
    <w:rsid w:val="0D9F9B93"/>
    <w:rsid w:val="0DF00AD3"/>
    <w:rsid w:val="0F23041F"/>
    <w:rsid w:val="0FAFF63C"/>
    <w:rsid w:val="102DDC67"/>
    <w:rsid w:val="1134576F"/>
    <w:rsid w:val="114D423E"/>
    <w:rsid w:val="143FA7CF"/>
    <w:rsid w:val="1440EF56"/>
    <w:rsid w:val="147CB0FA"/>
    <w:rsid w:val="14C93116"/>
    <w:rsid w:val="15AD9263"/>
    <w:rsid w:val="166470B0"/>
    <w:rsid w:val="1771333F"/>
    <w:rsid w:val="178F5A9C"/>
    <w:rsid w:val="1806F379"/>
    <w:rsid w:val="19405AEF"/>
    <w:rsid w:val="19648055"/>
    <w:rsid w:val="1ACB917A"/>
    <w:rsid w:val="1BA2026D"/>
    <w:rsid w:val="1BB11F90"/>
    <w:rsid w:val="1BF06CE5"/>
    <w:rsid w:val="1C2EFD48"/>
    <w:rsid w:val="1C74842D"/>
    <w:rsid w:val="1C8ED857"/>
    <w:rsid w:val="1D352124"/>
    <w:rsid w:val="1EC67FC6"/>
    <w:rsid w:val="1F46D5B3"/>
    <w:rsid w:val="1FF22CDE"/>
    <w:rsid w:val="20E6B80B"/>
    <w:rsid w:val="216FD111"/>
    <w:rsid w:val="21E265D4"/>
    <w:rsid w:val="2208CEC6"/>
    <w:rsid w:val="22D262A8"/>
    <w:rsid w:val="2335B11E"/>
    <w:rsid w:val="23F11E2C"/>
    <w:rsid w:val="2629A8EC"/>
    <w:rsid w:val="2631AB53"/>
    <w:rsid w:val="26328152"/>
    <w:rsid w:val="265856D0"/>
    <w:rsid w:val="269E7383"/>
    <w:rsid w:val="2890DBBF"/>
    <w:rsid w:val="2B66BD2A"/>
    <w:rsid w:val="2CAA0483"/>
    <w:rsid w:val="2D3C594B"/>
    <w:rsid w:val="2D49D016"/>
    <w:rsid w:val="2D6763FC"/>
    <w:rsid w:val="2D7611CA"/>
    <w:rsid w:val="2D8D8EAC"/>
    <w:rsid w:val="2DAC1A0E"/>
    <w:rsid w:val="2DD9B08F"/>
    <w:rsid w:val="2EBF2106"/>
    <w:rsid w:val="314C6DE8"/>
    <w:rsid w:val="31D5FFAA"/>
    <w:rsid w:val="32CB52DC"/>
    <w:rsid w:val="33DE93DA"/>
    <w:rsid w:val="364FE174"/>
    <w:rsid w:val="37F71857"/>
    <w:rsid w:val="38602393"/>
    <w:rsid w:val="38DE05F3"/>
    <w:rsid w:val="38EF7106"/>
    <w:rsid w:val="39E7CF5B"/>
    <w:rsid w:val="3A083313"/>
    <w:rsid w:val="3AAC27A2"/>
    <w:rsid w:val="3AD7F0CD"/>
    <w:rsid w:val="3B3B4BF2"/>
    <w:rsid w:val="3BC5D2D3"/>
    <w:rsid w:val="3E5F5A18"/>
    <w:rsid w:val="3F3DA78C"/>
    <w:rsid w:val="3FCA97E9"/>
    <w:rsid w:val="3FD032AF"/>
    <w:rsid w:val="40912F3F"/>
    <w:rsid w:val="417EA666"/>
    <w:rsid w:val="434BC6F4"/>
    <w:rsid w:val="43FC541F"/>
    <w:rsid w:val="47216FF5"/>
    <w:rsid w:val="47496EB1"/>
    <w:rsid w:val="4762AA6C"/>
    <w:rsid w:val="48122BDE"/>
    <w:rsid w:val="4899D7A1"/>
    <w:rsid w:val="49D05837"/>
    <w:rsid w:val="4AE1A394"/>
    <w:rsid w:val="4F129C52"/>
    <w:rsid w:val="503B3758"/>
    <w:rsid w:val="51341092"/>
    <w:rsid w:val="516913F9"/>
    <w:rsid w:val="529F9F36"/>
    <w:rsid w:val="52D2B4A7"/>
    <w:rsid w:val="531E703F"/>
    <w:rsid w:val="555CB8AE"/>
    <w:rsid w:val="569E0C6B"/>
    <w:rsid w:val="56AC6B84"/>
    <w:rsid w:val="57C83ACC"/>
    <w:rsid w:val="5860B476"/>
    <w:rsid w:val="58D43898"/>
    <w:rsid w:val="5A66FAA4"/>
    <w:rsid w:val="5AB7A832"/>
    <w:rsid w:val="5CE4B704"/>
    <w:rsid w:val="5CE82F38"/>
    <w:rsid w:val="5E47C21C"/>
    <w:rsid w:val="5F1E7727"/>
    <w:rsid w:val="6042D808"/>
    <w:rsid w:val="60589E3F"/>
    <w:rsid w:val="605F3F1B"/>
    <w:rsid w:val="60C4E908"/>
    <w:rsid w:val="61CC0860"/>
    <w:rsid w:val="62057A46"/>
    <w:rsid w:val="639A34EC"/>
    <w:rsid w:val="64825957"/>
    <w:rsid w:val="649EA583"/>
    <w:rsid w:val="65AC8603"/>
    <w:rsid w:val="67AC12CC"/>
    <w:rsid w:val="6845E819"/>
    <w:rsid w:val="68AD0D49"/>
    <w:rsid w:val="6A658BD4"/>
    <w:rsid w:val="6AA9A784"/>
    <w:rsid w:val="6B54C116"/>
    <w:rsid w:val="6BA0E0C5"/>
    <w:rsid w:val="6BF00E28"/>
    <w:rsid w:val="6C20841A"/>
    <w:rsid w:val="6C54674D"/>
    <w:rsid w:val="6DF6FC05"/>
    <w:rsid w:val="6E59D80E"/>
    <w:rsid w:val="6E60DF35"/>
    <w:rsid w:val="6F96DAC8"/>
    <w:rsid w:val="70AFB431"/>
    <w:rsid w:val="70B2C973"/>
    <w:rsid w:val="70B91A44"/>
    <w:rsid w:val="70D1FB6E"/>
    <w:rsid w:val="716743B9"/>
    <w:rsid w:val="729B2B38"/>
    <w:rsid w:val="73059587"/>
    <w:rsid w:val="74DE91C9"/>
    <w:rsid w:val="74FC5037"/>
    <w:rsid w:val="7562685E"/>
    <w:rsid w:val="75D9B916"/>
    <w:rsid w:val="76C9BB9C"/>
    <w:rsid w:val="783C79EF"/>
    <w:rsid w:val="79B1B041"/>
    <w:rsid w:val="7A289399"/>
    <w:rsid w:val="7B860F5D"/>
    <w:rsid w:val="7BC2772A"/>
    <w:rsid w:val="7D02B3B0"/>
    <w:rsid w:val="7D091FAE"/>
    <w:rsid w:val="7D5455D6"/>
    <w:rsid w:val="7E2EBE4F"/>
  </w:rsids>
  <m:mathPr>
    <m:mathFont m:val="Cambria Math"/>
    <m:brkBin m:val="before"/>
    <m:brkBinSub m:val="--"/>
    <m:smallFrac m:val="0"/>
    <m:dispDef/>
    <m:lMargin m:val="0"/>
    <m:rMargin m:val="0"/>
    <m:defJc m:val="centerGroup"/>
    <m:wrapIndent m:val="1440"/>
    <m:intLim m:val="subSup"/>
    <m:naryLim m:val="undOvr"/>
  </m:mathPr>
  <w:themeFontLang w:eastAsia="c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D0D49"/>
  <w15:chartTrackingRefBased/>
  <w15:docId w15:val="{33C6B22D-EAD5-1345-A381-2862495A4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D7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7F8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reak-words">
    <w:name w:val="break-words"/>
    <w:basedOn w:val="Normal"/>
    <w:uiPriority w:val="1"/>
    <w:rsid w:val="143FA7CF"/>
    <w:pPr>
      <w:spacing w:beforeAutospacing="1" w:afterAutospacing="1" w:line="240" w:lineRule="auto"/>
    </w:pPr>
  </w:style>
  <w:style w:type="character" w:styleId="Strong">
    <w:name w:val="Strong"/>
    <w:basedOn w:val="DefaultParagraphFont"/>
    <w:uiPriority w:val="22"/>
    <w:qFormat/>
    <w:rsid w:val="143FA7CF"/>
    <w:rPr>
      <w:b/>
      <w:bCs/>
    </w:rPr>
  </w:style>
  <w:style w:type="character" w:customStyle="1" w:styleId="Heading2Char">
    <w:name w:val="Heading 2 Char"/>
    <w:basedOn w:val="DefaultParagraphFont"/>
    <w:link w:val="Heading2"/>
    <w:uiPriority w:val="9"/>
    <w:rsid w:val="008D7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7F8C"/>
    <w:rPr>
      <w:rFonts w:eastAsiaTheme="majorEastAsia" w:cstheme="majorBidi"/>
      <w:color w:val="0F4761" w:themeColor="accent1" w:themeShade="BF"/>
      <w:sz w:val="28"/>
      <w:szCs w:val="28"/>
    </w:rPr>
  </w:style>
  <w:style w:type="paragraph" w:styleId="ListParagraph">
    <w:name w:val="List Paragraph"/>
    <w:basedOn w:val="Normal"/>
    <w:uiPriority w:val="34"/>
    <w:qFormat/>
    <w:rsid w:val="008D7F8C"/>
    <w:pPr>
      <w:ind w:left="720"/>
      <w:contextualSpacing/>
    </w:pPr>
  </w:style>
  <w:style w:type="paragraph" w:customStyle="1" w:styleId="whitespace-pre-wrap">
    <w:name w:val="whitespace-pre-wrap"/>
    <w:basedOn w:val="Normal"/>
    <w:uiPriority w:val="1"/>
    <w:rsid w:val="008D7F8C"/>
    <w:pPr>
      <w:spacing w:beforeAutospacing="1" w:afterAutospacing="1" w:line="240" w:lineRule="auto"/>
    </w:pPr>
  </w:style>
  <w:style w:type="paragraph" w:styleId="Header">
    <w:name w:val="header"/>
    <w:basedOn w:val="Normal"/>
    <w:uiPriority w:val="99"/>
    <w:unhideWhenUsed/>
    <w:rsid w:val="639A34EC"/>
    <w:pPr>
      <w:tabs>
        <w:tab w:val="center" w:pos="4680"/>
        <w:tab w:val="right" w:pos="9360"/>
      </w:tabs>
      <w:spacing w:after="0" w:line="240" w:lineRule="auto"/>
    </w:pPr>
  </w:style>
  <w:style w:type="paragraph" w:styleId="Footer">
    <w:name w:val="footer"/>
    <w:basedOn w:val="Normal"/>
    <w:uiPriority w:val="99"/>
    <w:unhideWhenUsed/>
    <w:rsid w:val="639A34E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2082</Words>
  <Characters>11874</Characters>
  <Application>Microsoft Office Word</Application>
  <DocSecurity>0</DocSecurity>
  <Lines>98</Lines>
  <Paragraphs>27</Paragraphs>
  <ScaleCrop>false</ScaleCrop>
  <Company/>
  <LinksUpToDate>false</LinksUpToDate>
  <CharactersWithSpaces>13929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Nafeesa Sabiyah</dc:creator>
  <cp:keywords/>
  <dc:description/>
  <cp:lastModifiedBy>Nafeesa Sabiyah</cp:lastModifiedBy>
  <cp:revision>2</cp:revision>
  <dcterms:created xsi:type="dcterms:W3CDTF">2025-11-07T16:19:00Z</dcterms:created>
  <dcterms:modified xsi:type="dcterms:W3CDTF">2025-11-07T16:19:00Z</dcterms:modified>
</cp:coreProperties>
</file>