
<file path=[Content_Types].xml><?xml version="1.0" encoding="utf-8"?>
<Types xmlns="http://schemas.openxmlformats.org/package/2006/content-types">
  <Default Extension="jpeg" ContentType="image/jpeg"/>
  <Default Extension="jpg" ContentType="image/pn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590CBF3" w14:textId="77777777" w:rsidR="00575E31" w:rsidRDefault="00575E31" w:rsidP="00F35A5C">
      <w:pPr>
        <w:spacing w:line="360" w:lineRule="auto"/>
        <w:jc w:val="center"/>
        <w:rPr>
          <w:rFonts w:ascii="Times New Roman" w:hAnsi="Times New Roman" w:cs="Times New Roman"/>
          <w:b/>
          <w:bCs/>
          <w:sz w:val="32"/>
          <w:szCs w:val="32"/>
          <w:lang w:val="en-US"/>
        </w:rPr>
      </w:pPr>
    </w:p>
    <w:p w14:paraId="2EED0CB5" w14:textId="77777777" w:rsidR="00575E31" w:rsidRDefault="00575E31" w:rsidP="00F35A5C">
      <w:pPr>
        <w:spacing w:line="360" w:lineRule="auto"/>
        <w:jc w:val="center"/>
        <w:rPr>
          <w:rFonts w:ascii="Times New Roman" w:hAnsi="Times New Roman" w:cs="Times New Roman"/>
          <w:b/>
          <w:bCs/>
          <w:sz w:val="32"/>
          <w:szCs w:val="32"/>
          <w:lang w:val="en-US"/>
        </w:rPr>
      </w:pPr>
      <w:r>
        <w:rPr>
          <w:rFonts w:ascii="Times New Roman" w:hAnsi="Times New Roman" w:cs="Times New Roman"/>
          <w:noProof/>
          <w:sz w:val="24"/>
          <w:szCs w:val="24"/>
        </w:rPr>
        <w:drawing>
          <wp:inline distT="0" distB="0" distL="0" distR="0" wp14:anchorId="6FBFCDC0" wp14:editId="2C4535E3">
            <wp:extent cx="3449955" cy="1379855"/>
            <wp:effectExtent l="152400" t="152400" r="302895" b="296545"/>
            <wp:docPr id="13657675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5767572" name="Picture 1"/>
                    <pic:cNvPicPr>
                      <a:picLocks noChangeAspect="1"/>
                    </pic:cNvPicPr>
                  </pic:nvPicPr>
                  <pic:blipFill>
                    <a:blip r:embed="rId8">
                      <a:extLst>
                        <a:ext uri="{28A0092B-C50C-407E-A947-70E740481C1C}">
                          <a14:useLocalDpi xmlns:a14="http://schemas.microsoft.com/office/drawing/2010/main" val="0"/>
                        </a:ext>
                      </a:extLst>
                    </a:blip>
                    <a:stretch>
                      <a:fillRect/>
                    </a:stretch>
                  </pic:blipFill>
                  <pic:spPr>
                    <a:xfrm>
                      <a:off x="0" y="0"/>
                      <a:ext cx="3479933" cy="1391973"/>
                    </a:xfrm>
                    <a:prstGeom prst="rect">
                      <a:avLst/>
                    </a:prstGeom>
                    <a:ln>
                      <a:noFill/>
                    </a:ln>
                    <a:effectLst>
                      <a:outerShdw blurRad="292100" dist="139700" dir="2700000" algn="tl" rotWithShape="0">
                        <a:srgbClr val="333333">
                          <a:alpha val="65000"/>
                        </a:srgbClr>
                      </a:outerShdw>
                    </a:effectLst>
                  </pic:spPr>
                </pic:pic>
              </a:graphicData>
            </a:graphic>
          </wp:inline>
        </w:drawing>
      </w:r>
    </w:p>
    <w:p w14:paraId="570D5704" w14:textId="77777777" w:rsidR="003447B2" w:rsidRPr="003447B2" w:rsidRDefault="003447B2" w:rsidP="00575E31">
      <w:pPr>
        <w:spacing w:line="360" w:lineRule="auto"/>
        <w:jc w:val="center"/>
        <w:rPr>
          <w:rFonts w:ascii="Times New Roman" w:hAnsi="Times New Roman" w:cs="Times New Roman"/>
          <w:b/>
          <w:bCs/>
          <w:sz w:val="36"/>
          <w:szCs w:val="36"/>
          <w:u w:val="single"/>
          <w:lang w:val="en-US"/>
        </w:rPr>
      </w:pPr>
      <w:r w:rsidRPr="003447B2">
        <w:rPr>
          <w:rFonts w:ascii="Times New Roman" w:hAnsi="Times New Roman" w:cs="Times New Roman"/>
          <w:b/>
          <w:bCs/>
          <w:sz w:val="36"/>
          <w:szCs w:val="36"/>
          <w:u w:val="single"/>
          <w:lang w:val="en-US"/>
        </w:rPr>
        <w:t>University of Wales Trinity Saint David</w:t>
      </w:r>
      <w:r w:rsidR="00575E31" w:rsidRPr="00C11D0C">
        <w:rPr>
          <w:rFonts w:ascii="Times New Roman" w:hAnsi="Times New Roman" w:cs="Times New Roman"/>
          <w:b/>
          <w:bCs/>
          <w:sz w:val="36"/>
          <w:szCs w:val="36"/>
          <w:u w:val="single"/>
          <w:lang w:val="en-US"/>
        </w:rPr>
        <w:t xml:space="preserve">, </w:t>
      </w:r>
      <w:r w:rsidRPr="003447B2">
        <w:rPr>
          <w:rFonts w:ascii="Times New Roman" w:hAnsi="Times New Roman" w:cs="Times New Roman"/>
          <w:b/>
          <w:bCs/>
          <w:sz w:val="36"/>
          <w:szCs w:val="36"/>
          <w:u w:val="single"/>
          <w:lang w:val="en-US"/>
        </w:rPr>
        <w:t>London Campus</w:t>
      </w:r>
    </w:p>
    <w:p w14:paraId="35D0176F" w14:textId="77777777" w:rsidR="003447B2" w:rsidRDefault="003447B2" w:rsidP="00F35A5C">
      <w:pPr>
        <w:spacing w:line="360" w:lineRule="auto"/>
        <w:jc w:val="center"/>
        <w:rPr>
          <w:rFonts w:ascii="Times New Roman" w:hAnsi="Times New Roman" w:cs="Times New Roman"/>
          <w:sz w:val="28"/>
          <w:szCs w:val="28"/>
          <w:lang w:val="en-US"/>
        </w:rPr>
      </w:pPr>
    </w:p>
    <w:p w14:paraId="3ED25B07" w14:textId="77777777" w:rsidR="004D207A" w:rsidRPr="004D207A" w:rsidRDefault="004D207A" w:rsidP="004D207A">
      <w:pPr>
        <w:spacing w:line="360" w:lineRule="auto"/>
        <w:jc w:val="center"/>
        <w:rPr>
          <w:rFonts w:ascii="Times New Roman" w:hAnsi="Times New Roman" w:cs="Times New Roman"/>
          <w:b/>
          <w:bCs/>
          <w:sz w:val="28"/>
          <w:szCs w:val="28"/>
          <w:u w:val="single"/>
          <w:lang w:val="en-US"/>
        </w:rPr>
      </w:pPr>
      <w:r w:rsidRPr="004D207A">
        <w:rPr>
          <w:rFonts w:ascii="Times New Roman" w:hAnsi="Times New Roman" w:cs="Times New Roman"/>
          <w:b/>
          <w:bCs/>
          <w:sz w:val="28"/>
          <w:szCs w:val="28"/>
          <w:u w:val="single"/>
          <w:lang w:val="en-US"/>
        </w:rPr>
        <w:t>Assignment Title: Critical Analysis of the Macro Marketing Environment and Strategic Responses of Pioneering and Follower Firms</w:t>
      </w:r>
    </w:p>
    <w:p w14:paraId="4C9D04EA" w14:textId="77777777" w:rsidR="004D207A" w:rsidRPr="003447B2" w:rsidRDefault="004D207A" w:rsidP="00F35A5C">
      <w:pPr>
        <w:spacing w:line="360" w:lineRule="auto"/>
        <w:jc w:val="center"/>
        <w:rPr>
          <w:rFonts w:ascii="Times New Roman" w:hAnsi="Times New Roman" w:cs="Times New Roman"/>
          <w:sz w:val="28"/>
          <w:szCs w:val="28"/>
          <w:lang w:val="en-US"/>
        </w:rPr>
      </w:pPr>
    </w:p>
    <w:p w14:paraId="0B1FD525" w14:textId="77777777" w:rsidR="003447B2" w:rsidRPr="003447B2" w:rsidRDefault="003447B2" w:rsidP="00F35A5C">
      <w:pPr>
        <w:spacing w:line="360" w:lineRule="auto"/>
        <w:jc w:val="center"/>
        <w:rPr>
          <w:rFonts w:ascii="Times New Roman" w:hAnsi="Times New Roman" w:cs="Times New Roman"/>
          <w:b/>
          <w:bCs/>
          <w:sz w:val="28"/>
          <w:szCs w:val="28"/>
          <w:lang w:val="en-US"/>
        </w:rPr>
      </w:pPr>
      <w:r w:rsidRPr="003447B2">
        <w:rPr>
          <w:rFonts w:ascii="Times New Roman" w:hAnsi="Times New Roman" w:cs="Times New Roman"/>
          <w:b/>
          <w:bCs/>
          <w:sz w:val="28"/>
          <w:szCs w:val="28"/>
          <w:lang w:val="en-US"/>
        </w:rPr>
        <w:t>Module Name:</w:t>
      </w:r>
      <w:r w:rsidR="00F35A5C" w:rsidRPr="00575E31">
        <w:rPr>
          <w:rFonts w:ascii="Times New Roman" w:hAnsi="Times New Roman" w:cs="Times New Roman"/>
          <w:b/>
          <w:bCs/>
          <w:sz w:val="28"/>
          <w:szCs w:val="28"/>
          <w:lang w:val="en-US"/>
        </w:rPr>
        <w:t xml:space="preserve"> </w:t>
      </w:r>
      <w:r w:rsidRPr="003447B2">
        <w:rPr>
          <w:rFonts w:ascii="Times New Roman" w:hAnsi="Times New Roman" w:cs="Times New Roman"/>
          <w:b/>
          <w:bCs/>
          <w:sz w:val="28"/>
          <w:szCs w:val="28"/>
          <w:lang w:val="en-US"/>
        </w:rPr>
        <w:t>Marketing Management</w:t>
      </w:r>
    </w:p>
    <w:p w14:paraId="5F409B6B" w14:textId="77777777" w:rsidR="003447B2" w:rsidRPr="003447B2" w:rsidRDefault="003447B2" w:rsidP="00F35A5C">
      <w:pPr>
        <w:spacing w:line="360" w:lineRule="auto"/>
        <w:jc w:val="center"/>
        <w:rPr>
          <w:rFonts w:ascii="Times New Roman" w:hAnsi="Times New Roman" w:cs="Times New Roman"/>
          <w:b/>
          <w:bCs/>
          <w:sz w:val="28"/>
          <w:szCs w:val="28"/>
          <w:lang w:val="en-US"/>
        </w:rPr>
      </w:pPr>
      <w:r w:rsidRPr="003447B2">
        <w:rPr>
          <w:rFonts w:ascii="Times New Roman" w:hAnsi="Times New Roman" w:cs="Times New Roman"/>
          <w:b/>
          <w:bCs/>
          <w:sz w:val="28"/>
          <w:szCs w:val="28"/>
          <w:lang w:val="en-US"/>
        </w:rPr>
        <w:t>Module Code:</w:t>
      </w:r>
      <w:r w:rsidR="00F35A5C" w:rsidRPr="00575E31">
        <w:rPr>
          <w:rFonts w:ascii="Times New Roman" w:hAnsi="Times New Roman" w:cs="Times New Roman"/>
          <w:b/>
          <w:bCs/>
          <w:sz w:val="28"/>
          <w:szCs w:val="28"/>
          <w:lang w:val="en-US"/>
        </w:rPr>
        <w:t xml:space="preserve"> </w:t>
      </w:r>
      <w:r w:rsidRPr="003447B2">
        <w:rPr>
          <w:rFonts w:ascii="Times New Roman" w:hAnsi="Times New Roman" w:cs="Times New Roman"/>
          <w:b/>
          <w:bCs/>
          <w:sz w:val="28"/>
          <w:szCs w:val="28"/>
          <w:lang w:val="en-US"/>
        </w:rPr>
        <w:t>LCMB7024</w:t>
      </w:r>
    </w:p>
    <w:p w14:paraId="3C2E2706" w14:textId="77777777" w:rsidR="003447B2" w:rsidRPr="003447B2" w:rsidRDefault="003447B2" w:rsidP="004D207A">
      <w:pPr>
        <w:spacing w:line="360" w:lineRule="auto"/>
        <w:rPr>
          <w:rFonts w:ascii="Times New Roman" w:hAnsi="Times New Roman" w:cs="Times New Roman"/>
          <w:sz w:val="28"/>
          <w:szCs w:val="28"/>
          <w:lang w:val="en-US"/>
        </w:rPr>
      </w:pPr>
    </w:p>
    <w:p w14:paraId="519BF06A" w14:textId="77777777" w:rsidR="00575E31" w:rsidRDefault="003447B2" w:rsidP="00F35A5C">
      <w:pPr>
        <w:spacing w:line="360" w:lineRule="auto"/>
        <w:jc w:val="center"/>
        <w:rPr>
          <w:rFonts w:ascii="Times New Roman" w:hAnsi="Times New Roman" w:cs="Times New Roman"/>
          <w:b/>
          <w:bCs/>
          <w:sz w:val="28"/>
          <w:szCs w:val="28"/>
          <w:lang w:val="en-US"/>
        </w:rPr>
      </w:pPr>
      <w:r w:rsidRPr="003447B2">
        <w:rPr>
          <w:rFonts w:ascii="Times New Roman" w:hAnsi="Times New Roman" w:cs="Times New Roman"/>
          <w:b/>
          <w:bCs/>
          <w:sz w:val="28"/>
          <w:szCs w:val="28"/>
          <w:lang w:val="en-US"/>
        </w:rPr>
        <w:t>Submitted By:</w:t>
      </w:r>
      <w:r w:rsidR="00F35A5C" w:rsidRPr="00575E31">
        <w:rPr>
          <w:rFonts w:ascii="Times New Roman" w:hAnsi="Times New Roman" w:cs="Times New Roman"/>
          <w:b/>
          <w:bCs/>
          <w:sz w:val="28"/>
          <w:szCs w:val="28"/>
          <w:lang w:val="en-US"/>
        </w:rPr>
        <w:t xml:space="preserve"> </w:t>
      </w:r>
      <w:r w:rsidR="00575E31" w:rsidRPr="00575E31">
        <w:rPr>
          <w:rFonts w:ascii="Times New Roman" w:hAnsi="Times New Roman" w:cs="Times New Roman"/>
          <w:b/>
          <w:bCs/>
          <w:sz w:val="28"/>
          <w:szCs w:val="28"/>
          <w:lang w:val="en-US"/>
        </w:rPr>
        <w:t xml:space="preserve">Syed Mujtaba Ali Bukhari </w:t>
      </w:r>
    </w:p>
    <w:p w14:paraId="6662E72D" w14:textId="77777777" w:rsidR="003447B2" w:rsidRPr="003447B2" w:rsidRDefault="00575E31" w:rsidP="00F35A5C">
      <w:pPr>
        <w:spacing w:line="360" w:lineRule="auto"/>
        <w:jc w:val="center"/>
        <w:rPr>
          <w:rFonts w:ascii="Times New Roman" w:hAnsi="Times New Roman" w:cs="Times New Roman"/>
          <w:b/>
          <w:bCs/>
          <w:sz w:val="28"/>
          <w:szCs w:val="28"/>
          <w:lang w:val="en-US"/>
        </w:rPr>
      </w:pPr>
      <w:r w:rsidRPr="00575E31">
        <w:rPr>
          <w:rFonts w:ascii="Times New Roman" w:hAnsi="Times New Roman" w:cs="Times New Roman"/>
          <w:b/>
          <w:bCs/>
          <w:sz w:val="28"/>
          <w:szCs w:val="28"/>
          <w:lang w:val="en-US"/>
        </w:rPr>
        <w:t>Student ID:</w:t>
      </w:r>
      <w:r>
        <w:rPr>
          <w:rFonts w:ascii="Times New Roman" w:hAnsi="Times New Roman" w:cs="Times New Roman"/>
          <w:b/>
          <w:bCs/>
          <w:sz w:val="28"/>
          <w:szCs w:val="28"/>
          <w:lang w:val="en-US"/>
        </w:rPr>
        <w:t xml:space="preserve"> </w:t>
      </w:r>
      <w:r w:rsidRPr="00575E31">
        <w:rPr>
          <w:rFonts w:ascii="Times New Roman" w:hAnsi="Times New Roman" w:cs="Times New Roman"/>
          <w:b/>
          <w:bCs/>
          <w:sz w:val="28"/>
          <w:szCs w:val="28"/>
          <w:lang w:val="en-US"/>
        </w:rPr>
        <w:t>2434997</w:t>
      </w:r>
    </w:p>
    <w:p w14:paraId="7B4B8CED" w14:textId="476A536F" w:rsidR="003447B2" w:rsidRPr="003447B2" w:rsidRDefault="003447B2" w:rsidP="00F35A5C">
      <w:pPr>
        <w:spacing w:line="360" w:lineRule="auto"/>
        <w:jc w:val="center"/>
        <w:rPr>
          <w:rFonts w:ascii="Times New Roman" w:hAnsi="Times New Roman" w:cs="Times New Roman"/>
          <w:b/>
          <w:bCs/>
          <w:sz w:val="28"/>
          <w:szCs w:val="28"/>
          <w:lang w:val="en-US"/>
        </w:rPr>
      </w:pPr>
      <w:r w:rsidRPr="003447B2">
        <w:rPr>
          <w:rFonts w:ascii="Times New Roman" w:hAnsi="Times New Roman" w:cs="Times New Roman"/>
          <w:b/>
          <w:bCs/>
          <w:sz w:val="28"/>
          <w:szCs w:val="28"/>
          <w:lang w:val="en-US"/>
        </w:rPr>
        <w:t>Submitted To:</w:t>
      </w:r>
      <w:r w:rsidR="00F35A5C" w:rsidRPr="00575E31">
        <w:rPr>
          <w:rFonts w:ascii="Times New Roman" w:hAnsi="Times New Roman" w:cs="Times New Roman"/>
          <w:b/>
          <w:bCs/>
          <w:sz w:val="28"/>
          <w:szCs w:val="28"/>
          <w:lang w:val="en-US"/>
        </w:rPr>
        <w:t xml:space="preserve"> </w:t>
      </w:r>
      <w:r w:rsidR="000250DD" w:rsidRPr="000250DD">
        <w:rPr>
          <w:rFonts w:ascii="Times New Roman" w:hAnsi="Times New Roman" w:cs="Times New Roman"/>
          <w:b/>
          <w:bCs/>
          <w:sz w:val="28"/>
          <w:szCs w:val="28"/>
          <w:lang w:val="en-US"/>
        </w:rPr>
        <w:t xml:space="preserve">Dr Tushara </w:t>
      </w:r>
      <w:proofErr w:type="spellStart"/>
      <w:r w:rsidR="000250DD" w:rsidRPr="000250DD">
        <w:rPr>
          <w:rFonts w:ascii="Times New Roman" w:hAnsi="Times New Roman" w:cs="Times New Roman"/>
          <w:b/>
          <w:bCs/>
          <w:sz w:val="28"/>
          <w:szCs w:val="28"/>
          <w:lang w:val="en-US"/>
        </w:rPr>
        <w:t>Balendran</w:t>
      </w:r>
      <w:proofErr w:type="spellEnd"/>
    </w:p>
    <w:p w14:paraId="1C6A494D" w14:textId="77777777" w:rsidR="003447B2" w:rsidRPr="003447B2" w:rsidRDefault="003447B2" w:rsidP="00F35A5C">
      <w:pPr>
        <w:spacing w:line="360" w:lineRule="auto"/>
        <w:jc w:val="center"/>
        <w:rPr>
          <w:rFonts w:ascii="Times New Roman" w:hAnsi="Times New Roman" w:cs="Times New Roman"/>
          <w:sz w:val="28"/>
          <w:szCs w:val="28"/>
          <w:lang w:val="en-US"/>
        </w:rPr>
      </w:pPr>
    </w:p>
    <w:p w14:paraId="348AC359" w14:textId="744F8939" w:rsidR="003447B2" w:rsidRPr="003447B2" w:rsidRDefault="003447B2" w:rsidP="00F35A5C">
      <w:pPr>
        <w:spacing w:line="360" w:lineRule="auto"/>
        <w:jc w:val="center"/>
        <w:rPr>
          <w:rFonts w:ascii="Times New Roman" w:hAnsi="Times New Roman" w:cs="Times New Roman"/>
          <w:b/>
          <w:bCs/>
          <w:sz w:val="28"/>
          <w:szCs w:val="28"/>
          <w:lang w:val="en-US"/>
        </w:rPr>
      </w:pPr>
      <w:r w:rsidRPr="003447B2">
        <w:rPr>
          <w:rFonts w:ascii="Times New Roman" w:hAnsi="Times New Roman" w:cs="Times New Roman"/>
          <w:b/>
          <w:bCs/>
          <w:sz w:val="28"/>
          <w:szCs w:val="28"/>
          <w:lang w:val="en-US"/>
        </w:rPr>
        <w:t>Word Count:</w:t>
      </w:r>
      <w:r w:rsidR="00DE37CA">
        <w:rPr>
          <w:rFonts w:ascii="Times New Roman" w:hAnsi="Times New Roman" w:cs="Times New Roman"/>
          <w:b/>
          <w:bCs/>
          <w:sz w:val="28"/>
          <w:szCs w:val="28"/>
          <w:lang w:val="en-US"/>
        </w:rPr>
        <w:t>26</w:t>
      </w:r>
      <w:r w:rsidR="004C712F">
        <w:rPr>
          <w:rFonts w:ascii="Times New Roman" w:hAnsi="Times New Roman" w:cs="Times New Roman"/>
          <w:b/>
          <w:bCs/>
          <w:sz w:val="28"/>
          <w:szCs w:val="28"/>
          <w:lang w:val="en-US"/>
        </w:rPr>
        <w:t>33</w:t>
      </w:r>
    </w:p>
    <w:p w14:paraId="4A7505E6" w14:textId="77777777" w:rsidR="003447B2" w:rsidRPr="003447B2" w:rsidRDefault="003447B2" w:rsidP="00F35A5C">
      <w:pPr>
        <w:spacing w:line="360" w:lineRule="auto"/>
        <w:jc w:val="center"/>
        <w:rPr>
          <w:rFonts w:ascii="Times New Roman" w:hAnsi="Times New Roman" w:cs="Times New Roman"/>
          <w:sz w:val="28"/>
          <w:szCs w:val="28"/>
          <w:lang w:val="en-US"/>
        </w:rPr>
      </w:pPr>
    </w:p>
    <w:p w14:paraId="067016DC" w14:textId="77777777" w:rsidR="003447B2" w:rsidRPr="003447B2" w:rsidRDefault="003447B2" w:rsidP="00F35A5C">
      <w:pPr>
        <w:spacing w:line="360" w:lineRule="auto"/>
        <w:jc w:val="center"/>
        <w:rPr>
          <w:rFonts w:ascii="Times New Roman" w:hAnsi="Times New Roman" w:cs="Times New Roman"/>
          <w:b/>
          <w:bCs/>
          <w:sz w:val="28"/>
          <w:szCs w:val="28"/>
          <w:lang w:val="en-US"/>
        </w:rPr>
      </w:pPr>
      <w:r w:rsidRPr="003447B2">
        <w:rPr>
          <w:rFonts w:ascii="Times New Roman" w:hAnsi="Times New Roman" w:cs="Times New Roman"/>
          <w:b/>
          <w:bCs/>
          <w:sz w:val="28"/>
          <w:szCs w:val="28"/>
          <w:lang w:val="en-US"/>
        </w:rPr>
        <w:t>Date of Submission:</w:t>
      </w:r>
    </w:p>
    <w:p w14:paraId="1529A248" w14:textId="0B0FDE06" w:rsidR="00D759A0" w:rsidRPr="00C11D0C" w:rsidRDefault="00DB32F5" w:rsidP="00C11D0C">
      <w:pPr>
        <w:spacing w:line="360" w:lineRule="auto"/>
        <w:jc w:val="center"/>
        <w:rPr>
          <w:rFonts w:ascii="Times New Roman" w:hAnsi="Times New Roman" w:cs="Times New Roman"/>
          <w:sz w:val="28"/>
          <w:szCs w:val="28"/>
          <w:lang w:val="en-US"/>
        </w:rPr>
      </w:pPr>
      <w:r>
        <w:rPr>
          <w:rFonts w:ascii="Times New Roman" w:hAnsi="Times New Roman" w:cs="Times New Roman"/>
          <w:b/>
          <w:bCs/>
          <w:sz w:val="28"/>
          <w:szCs w:val="28"/>
          <w:lang w:val="en-US"/>
        </w:rPr>
        <w:t>21</w:t>
      </w:r>
      <w:r w:rsidR="003447B2" w:rsidRPr="003447B2">
        <w:rPr>
          <w:rFonts w:ascii="Times New Roman" w:hAnsi="Times New Roman" w:cs="Times New Roman"/>
          <w:b/>
          <w:bCs/>
          <w:sz w:val="28"/>
          <w:szCs w:val="28"/>
          <w:lang w:val="en-US"/>
        </w:rPr>
        <w:t xml:space="preserve"> November</w:t>
      </w:r>
      <w:r w:rsidR="00575E31">
        <w:rPr>
          <w:rFonts w:ascii="Times New Roman" w:hAnsi="Times New Roman" w:cs="Times New Roman"/>
          <w:b/>
          <w:bCs/>
          <w:sz w:val="28"/>
          <w:szCs w:val="28"/>
          <w:lang w:val="en-US"/>
        </w:rPr>
        <w:t xml:space="preserve">, </w:t>
      </w:r>
      <w:r w:rsidR="003447B2" w:rsidRPr="003447B2">
        <w:rPr>
          <w:rFonts w:ascii="Times New Roman" w:hAnsi="Times New Roman" w:cs="Times New Roman"/>
          <w:b/>
          <w:bCs/>
          <w:sz w:val="28"/>
          <w:szCs w:val="28"/>
          <w:lang w:val="en-US"/>
        </w:rPr>
        <w:t>2025</w:t>
      </w:r>
    </w:p>
    <w:sdt>
      <w:sdtPr>
        <w:rPr>
          <w:rFonts w:ascii="Times New Roman" w:hAnsi="Times New Roman" w:cs="Times New Roman"/>
          <w:color w:val="auto"/>
        </w:rPr>
        <w:id w:val="-1305921300"/>
        <w:docPartObj>
          <w:docPartGallery w:val="Table of Contents"/>
          <w:docPartUnique/>
        </w:docPartObj>
      </w:sdtPr>
      <w:sdtEndPr>
        <w:rPr>
          <w:b/>
          <w:bCs/>
          <w:noProof/>
        </w:rPr>
      </w:sdtEndPr>
      <w:sdtContent>
        <w:p w14:paraId="79436C02" w14:textId="77777777" w:rsidR="00D759A0" w:rsidRPr="00575E31" w:rsidRDefault="00D759A0" w:rsidP="00D759A0">
          <w:pPr>
            <w:pStyle w:val="TOCHeading"/>
            <w:spacing w:line="360" w:lineRule="auto"/>
            <w:rPr>
              <w:rFonts w:ascii="Times New Roman" w:hAnsi="Times New Roman" w:cs="Times New Roman"/>
              <w:b/>
              <w:bCs/>
              <w:color w:val="auto"/>
            </w:rPr>
          </w:pPr>
          <w:r w:rsidRPr="00575E31">
            <w:rPr>
              <w:rFonts w:ascii="Times New Roman" w:hAnsi="Times New Roman" w:cs="Times New Roman"/>
              <w:b/>
              <w:bCs/>
              <w:color w:val="auto"/>
            </w:rPr>
            <w:t>Table of Contents</w:t>
          </w:r>
        </w:p>
        <w:p w14:paraId="2A939059" w14:textId="77777777" w:rsidR="00D759A0" w:rsidRPr="00575E31" w:rsidRDefault="00D759A0" w:rsidP="00D759A0">
          <w:pPr>
            <w:pStyle w:val="TOC1"/>
            <w:tabs>
              <w:tab w:val="right" w:leader="dot" w:pos="9016"/>
            </w:tabs>
            <w:spacing w:line="360" w:lineRule="auto"/>
            <w:rPr>
              <w:rFonts w:ascii="Times New Roman" w:hAnsi="Times New Roman" w:cs="Times New Roman"/>
              <w:noProof/>
              <w:sz w:val="24"/>
              <w:szCs w:val="24"/>
            </w:rPr>
          </w:pPr>
          <w:r w:rsidRPr="00575E31">
            <w:rPr>
              <w:rFonts w:ascii="Times New Roman" w:hAnsi="Times New Roman" w:cs="Times New Roman"/>
              <w:sz w:val="24"/>
              <w:szCs w:val="24"/>
            </w:rPr>
            <w:fldChar w:fldCharType="begin"/>
          </w:r>
          <w:r w:rsidRPr="00575E31">
            <w:rPr>
              <w:rFonts w:ascii="Times New Roman" w:hAnsi="Times New Roman" w:cs="Times New Roman"/>
              <w:sz w:val="24"/>
              <w:szCs w:val="24"/>
            </w:rPr>
            <w:instrText xml:space="preserve"> TOC \o "1-3" \h \z \u </w:instrText>
          </w:r>
          <w:r w:rsidRPr="00575E31">
            <w:rPr>
              <w:rFonts w:ascii="Times New Roman" w:hAnsi="Times New Roman" w:cs="Times New Roman"/>
              <w:sz w:val="24"/>
              <w:szCs w:val="24"/>
            </w:rPr>
            <w:fldChar w:fldCharType="separate"/>
          </w:r>
          <w:hyperlink w:anchor="_Toc214247310" w:history="1">
            <w:r w:rsidRPr="00575E31">
              <w:rPr>
                <w:rStyle w:val="Hyperlink"/>
                <w:rFonts w:ascii="Times New Roman" w:hAnsi="Times New Roman" w:cs="Times New Roman"/>
                <w:noProof/>
                <w:color w:val="auto"/>
                <w:sz w:val="24"/>
                <w:szCs w:val="24"/>
              </w:rPr>
              <w:t>Introduction</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_Toc214247310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2</w:t>
            </w:r>
            <w:r w:rsidRPr="00575E31">
              <w:rPr>
                <w:rFonts w:ascii="Times New Roman" w:hAnsi="Times New Roman" w:cs="Times New Roman"/>
                <w:noProof/>
                <w:webHidden/>
                <w:sz w:val="24"/>
                <w:szCs w:val="24"/>
              </w:rPr>
              <w:fldChar w:fldCharType="end"/>
            </w:r>
          </w:hyperlink>
        </w:p>
        <w:p w14:paraId="7A15777A" w14:textId="77777777" w:rsidR="00D759A0" w:rsidRPr="00575E31" w:rsidRDefault="00D759A0" w:rsidP="00D759A0">
          <w:pPr>
            <w:pStyle w:val="TOC1"/>
            <w:tabs>
              <w:tab w:val="right" w:leader="dot" w:pos="9016"/>
            </w:tabs>
            <w:spacing w:line="360" w:lineRule="auto"/>
            <w:rPr>
              <w:rFonts w:ascii="Times New Roman" w:hAnsi="Times New Roman" w:cs="Times New Roman"/>
              <w:noProof/>
              <w:sz w:val="24"/>
              <w:szCs w:val="24"/>
            </w:rPr>
          </w:pPr>
          <w:hyperlink w:anchor="_Toc214247311" w:history="1">
            <w:r w:rsidRPr="00575E31">
              <w:rPr>
                <w:rStyle w:val="Hyperlink"/>
                <w:rFonts w:ascii="Times New Roman" w:hAnsi="Times New Roman" w:cs="Times New Roman"/>
                <w:noProof/>
                <w:color w:val="auto"/>
                <w:sz w:val="24"/>
                <w:szCs w:val="24"/>
              </w:rPr>
              <w:t>2. Critical Analysis Of The Macro Marketing Environment</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_Toc214247311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3</w:t>
            </w:r>
            <w:r w:rsidRPr="00575E31">
              <w:rPr>
                <w:rFonts w:ascii="Times New Roman" w:hAnsi="Times New Roman" w:cs="Times New Roman"/>
                <w:noProof/>
                <w:webHidden/>
                <w:sz w:val="24"/>
                <w:szCs w:val="24"/>
              </w:rPr>
              <w:fldChar w:fldCharType="end"/>
            </w:r>
          </w:hyperlink>
        </w:p>
        <w:p w14:paraId="249578A9" w14:textId="77777777" w:rsidR="00D759A0" w:rsidRPr="00575E31" w:rsidRDefault="00D759A0" w:rsidP="00D759A0">
          <w:pPr>
            <w:pStyle w:val="TOC2"/>
            <w:tabs>
              <w:tab w:val="right" w:leader="dot" w:pos="9016"/>
            </w:tabs>
            <w:spacing w:line="360" w:lineRule="auto"/>
            <w:rPr>
              <w:rFonts w:ascii="Times New Roman" w:hAnsi="Times New Roman" w:cs="Times New Roman"/>
              <w:noProof/>
              <w:sz w:val="24"/>
              <w:szCs w:val="24"/>
            </w:rPr>
          </w:pPr>
          <w:hyperlink w:anchor="_Toc214247312" w:history="1">
            <w:r w:rsidRPr="00575E31">
              <w:rPr>
                <w:rStyle w:val="Hyperlink"/>
                <w:rFonts w:ascii="Times New Roman" w:hAnsi="Times New Roman" w:cs="Times New Roman"/>
                <w:noProof/>
                <w:color w:val="auto"/>
                <w:sz w:val="24"/>
                <w:szCs w:val="24"/>
                <w:lang w:val="en-US"/>
              </w:rPr>
              <w:t>2.1 Overview of the Macro Marketing Environment</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_Toc214247312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3</w:t>
            </w:r>
            <w:r w:rsidRPr="00575E31">
              <w:rPr>
                <w:rFonts w:ascii="Times New Roman" w:hAnsi="Times New Roman" w:cs="Times New Roman"/>
                <w:noProof/>
                <w:webHidden/>
                <w:sz w:val="24"/>
                <w:szCs w:val="24"/>
              </w:rPr>
              <w:fldChar w:fldCharType="end"/>
            </w:r>
          </w:hyperlink>
        </w:p>
        <w:p w14:paraId="1542B042" w14:textId="77777777" w:rsidR="00D759A0" w:rsidRPr="00575E31" w:rsidRDefault="00D759A0" w:rsidP="00D759A0">
          <w:pPr>
            <w:pStyle w:val="TOC2"/>
            <w:tabs>
              <w:tab w:val="right" w:leader="dot" w:pos="9016"/>
            </w:tabs>
            <w:spacing w:line="360" w:lineRule="auto"/>
            <w:rPr>
              <w:rFonts w:ascii="Times New Roman" w:hAnsi="Times New Roman" w:cs="Times New Roman"/>
              <w:noProof/>
              <w:sz w:val="24"/>
              <w:szCs w:val="24"/>
            </w:rPr>
          </w:pPr>
          <w:hyperlink w:anchor="_Toc214247313" w:history="1">
            <w:r w:rsidRPr="00575E31">
              <w:rPr>
                <w:rStyle w:val="Hyperlink"/>
                <w:rFonts w:ascii="Times New Roman" w:hAnsi="Times New Roman" w:cs="Times New Roman"/>
                <w:noProof/>
                <w:color w:val="auto"/>
                <w:sz w:val="24"/>
                <w:szCs w:val="24"/>
                <w:lang w:val="en-US"/>
              </w:rPr>
              <w:t>2.2 Selection and Justification of Two Macro Actors</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_Toc214247313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4</w:t>
            </w:r>
            <w:r w:rsidRPr="00575E31">
              <w:rPr>
                <w:rFonts w:ascii="Times New Roman" w:hAnsi="Times New Roman" w:cs="Times New Roman"/>
                <w:noProof/>
                <w:webHidden/>
                <w:sz w:val="24"/>
                <w:szCs w:val="24"/>
              </w:rPr>
              <w:fldChar w:fldCharType="end"/>
            </w:r>
          </w:hyperlink>
        </w:p>
        <w:p w14:paraId="3A7084AE" w14:textId="77777777" w:rsidR="00D759A0" w:rsidRPr="00575E31" w:rsidRDefault="00D759A0" w:rsidP="00D759A0">
          <w:pPr>
            <w:pStyle w:val="TOC2"/>
            <w:tabs>
              <w:tab w:val="right" w:leader="dot" w:pos="9016"/>
            </w:tabs>
            <w:spacing w:line="360" w:lineRule="auto"/>
            <w:rPr>
              <w:rFonts w:ascii="Times New Roman" w:hAnsi="Times New Roman" w:cs="Times New Roman"/>
              <w:noProof/>
              <w:sz w:val="24"/>
              <w:szCs w:val="24"/>
            </w:rPr>
          </w:pPr>
          <w:hyperlink w:anchor="_Toc214247314" w:history="1">
            <w:r w:rsidRPr="00575E31">
              <w:rPr>
                <w:rStyle w:val="Hyperlink"/>
                <w:rFonts w:ascii="Times New Roman" w:hAnsi="Times New Roman" w:cs="Times New Roman"/>
                <w:noProof/>
                <w:color w:val="auto"/>
                <w:sz w:val="24"/>
                <w:szCs w:val="24"/>
              </w:rPr>
              <w:t>2.3 Critical Analysis of Each Actor</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_Toc214247314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4</w:t>
            </w:r>
            <w:r w:rsidRPr="00575E31">
              <w:rPr>
                <w:rFonts w:ascii="Times New Roman" w:hAnsi="Times New Roman" w:cs="Times New Roman"/>
                <w:noProof/>
                <w:webHidden/>
                <w:sz w:val="24"/>
                <w:szCs w:val="24"/>
              </w:rPr>
              <w:fldChar w:fldCharType="end"/>
            </w:r>
          </w:hyperlink>
        </w:p>
        <w:p w14:paraId="099EE39A" w14:textId="77777777" w:rsidR="00D759A0" w:rsidRPr="00575E31" w:rsidRDefault="00D759A0" w:rsidP="00D759A0">
          <w:pPr>
            <w:pStyle w:val="TOC3"/>
            <w:tabs>
              <w:tab w:val="right" w:leader="dot" w:pos="9016"/>
            </w:tabs>
            <w:spacing w:line="360" w:lineRule="auto"/>
            <w:rPr>
              <w:rFonts w:ascii="Times New Roman" w:hAnsi="Times New Roman" w:cs="Times New Roman"/>
              <w:noProof/>
              <w:sz w:val="24"/>
              <w:szCs w:val="24"/>
            </w:rPr>
          </w:pPr>
          <w:hyperlink w:anchor="_Toc214247315" w:history="1">
            <w:r w:rsidRPr="00575E31">
              <w:rPr>
                <w:rStyle w:val="Hyperlink"/>
                <w:rFonts w:ascii="Times New Roman" w:hAnsi="Times New Roman" w:cs="Times New Roman"/>
                <w:noProof/>
                <w:color w:val="auto"/>
                <w:sz w:val="24"/>
                <w:szCs w:val="24"/>
                <w:lang w:val="en-US"/>
              </w:rPr>
              <w:t>2.3.1 Technological Actor Analysis</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_Toc214247315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4</w:t>
            </w:r>
            <w:r w:rsidRPr="00575E31">
              <w:rPr>
                <w:rFonts w:ascii="Times New Roman" w:hAnsi="Times New Roman" w:cs="Times New Roman"/>
                <w:noProof/>
                <w:webHidden/>
                <w:sz w:val="24"/>
                <w:szCs w:val="24"/>
              </w:rPr>
              <w:fldChar w:fldCharType="end"/>
            </w:r>
          </w:hyperlink>
        </w:p>
        <w:p w14:paraId="2F8E3D00" w14:textId="77777777" w:rsidR="00D759A0" w:rsidRPr="00575E31" w:rsidRDefault="00D759A0" w:rsidP="00D759A0">
          <w:pPr>
            <w:pStyle w:val="TOC3"/>
            <w:tabs>
              <w:tab w:val="right" w:leader="dot" w:pos="9016"/>
            </w:tabs>
            <w:spacing w:line="360" w:lineRule="auto"/>
            <w:rPr>
              <w:rFonts w:ascii="Times New Roman" w:hAnsi="Times New Roman" w:cs="Times New Roman"/>
              <w:noProof/>
              <w:sz w:val="24"/>
              <w:szCs w:val="24"/>
            </w:rPr>
          </w:pPr>
          <w:hyperlink w:anchor="_Toc214247316" w:history="1">
            <w:r w:rsidRPr="00575E31">
              <w:rPr>
                <w:rStyle w:val="Hyperlink"/>
                <w:rFonts w:ascii="Times New Roman" w:hAnsi="Times New Roman" w:cs="Times New Roman"/>
                <w:noProof/>
                <w:color w:val="auto"/>
                <w:sz w:val="24"/>
                <w:szCs w:val="24"/>
                <w:lang w:val="en-US"/>
              </w:rPr>
              <w:t>2.3.2 Environmental and Regulatory Actor Analysis</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_Toc214247316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7</w:t>
            </w:r>
            <w:r w:rsidRPr="00575E31">
              <w:rPr>
                <w:rFonts w:ascii="Times New Roman" w:hAnsi="Times New Roman" w:cs="Times New Roman"/>
                <w:noProof/>
                <w:webHidden/>
                <w:sz w:val="24"/>
                <w:szCs w:val="24"/>
              </w:rPr>
              <w:fldChar w:fldCharType="end"/>
            </w:r>
          </w:hyperlink>
        </w:p>
        <w:p w14:paraId="7EC6E95C" w14:textId="77777777" w:rsidR="00D759A0" w:rsidRPr="00575E31" w:rsidRDefault="00D759A0" w:rsidP="00D759A0">
          <w:pPr>
            <w:pStyle w:val="TOC1"/>
            <w:tabs>
              <w:tab w:val="right" w:leader="dot" w:pos="9016"/>
            </w:tabs>
            <w:spacing w:line="360" w:lineRule="auto"/>
            <w:rPr>
              <w:rFonts w:ascii="Times New Roman" w:hAnsi="Times New Roman" w:cs="Times New Roman"/>
              <w:noProof/>
              <w:sz w:val="24"/>
              <w:szCs w:val="24"/>
            </w:rPr>
          </w:pPr>
          <w:hyperlink w:anchor="_Toc214247317" w:history="1">
            <w:r w:rsidRPr="00575E31">
              <w:rPr>
                <w:rStyle w:val="Hyperlink"/>
                <w:rFonts w:ascii="Times New Roman" w:hAnsi="Times New Roman" w:cs="Times New Roman"/>
                <w:noProof/>
                <w:color w:val="auto"/>
                <w:sz w:val="24"/>
                <w:szCs w:val="24"/>
                <w:lang w:val="en-US"/>
              </w:rPr>
              <w:t>3. Strategic Responses Of Pioneering &amp; Follower Firms</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_Toc214247317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9</w:t>
            </w:r>
            <w:r w:rsidRPr="00575E31">
              <w:rPr>
                <w:rFonts w:ascii="Times New Roman" w:hAnsi="Times New Roman" w:cs="Times New Roman"/>
                <w:noProof/>
                <w:webHidden/>
                <w:sz w:val="24"/>
                <w:szCs w:val="24"/>
              </w:rPr>
              <w:fldChar w:fldCharType="end"/>
            </w:r>
          </w:hyperlink>
        </w:p>
        <w:p w14:paraId="2FF36FC0" w14:textId="77777777" w:rsidR="00D759A0" w:rsidRPr="00575E31" w:rsidRDefault="00D759A0" w:rsidP="00D759A0">
          <w:pPr>
            <w:pStyle w:val="TOC2"/>
            <w:tabs>
              <w:tab w:val="right" w:leader="dot" w:pos="9016"/>
            </w:tabs>
            <w:spacing w:line="360" w:lineRule="auto"/>
            <w:rPr>
              <w:rFonts w:ascii="Times New Roman" w:hAnsi="Times New Roman" w:cs="Times New Roman"/>
              <w:noProof/>
              <w:sz w:val="24"/>
              <w:szCs w:val="24"/>
            </w:rPr>
          </w:pPr>
          <w:hyperlink w:anchor="_Toc214247318" w:history="1">
            <w:r w:rsidRPr="00575E31">
              <w:rPr>
                <w:rStyle w:val="Hyperlink"/>
                <w:rFonts w:ascii="Times New Roman" w:hAnsi="Times New Roman" w:cs="Times New Roman"/>
                <w:noProof/>
                <w:color w:val="auto"/>
                <w:sz w:val="24"/>
                <w:szCs w:val="24"/>
                <w:lang w:val="en-US"/>
              </w:rPr>
              <w:t>3.1 Strategic Responses of Pioneering Organisations: Tesla</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_Toc214247318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9</w:t>
            </w:r>
            <w:r w:rsidRPr="00575E31">
              <w:rPr>
                <w:rFonts w:ascii="Times New Roman" w:hAnsi="Times New Roman" w:cs="Times New Roman"/>
                <w:noProof/>
                <w:webHidden/>
                <w:sz w:val="24"/>
                <w:szCs w:val="24"/>
              </w:rPr>
              <w:fldChar w:fldCharType="end"/>
            </w:r>
          </w:hyperlink>
        </w:p>
        <w:p w14:paraId="2912E002" w14:textId="77777777" w:rsidR="00D759A0" w:rsidRPr="00575E31" w:rsidRDefault="00D759A0" w:rsidP="00D759A0">
          <w:pPr>
            <w:pStyle w:val="TOC3"/>
            <w:tabs>
              <w:tab w:val="right" w:leader="dot" w:pos="9016"/>
            </w:tabs>
            <w:spacing w:line="360" w:lineRule="auto"/>
            <w:rPr>
              <w:rFonts w:ascii="Times New Roman" w:hAnsi="Times New Roman" w:cs="Times New Roman"/>
              <w:noProof/>
              <w:sz w:val="24"/>
              <w:szCs w:val="24"/>
            </w:rPr>
          </w:pPr>
          <w:hyperlink w:anchor="_Toc214247319" w:history="1">
            <w:r w:rsidRPr="00575E31">
              <w:rPr>
                <w:rStyle w:val="Hyperlink"/>
                <w:rFonts w:ascii="Times New Roman" w:hAnsi="Times New Roman" w:cs="Times New Roman"/>
                <w:noProof/>
                <w:color w:val="auto"/>
                <w:sz w:val="24"/>
                <w:szCs w:val="24"/>
                <w:lang w:val="en-US"/>
              </w:rPr>
              <w:t>3.1.1 Ansoff Matrix: Strategic Growth Pathways</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_Toc214247319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9</w:t>
            </w:r>
            <w:r w:rsidRPr="00575E31">
              <w:rPr>
                <w:rFonts w:ascii="Times New Roman" w:hAnsi="Times New Roman" w:cs="Times New Roman"/>
                <w:noProof/>
                <w:webHidden/>
                <w:sz w:val="24"/>
                <w:szCs w:val="24"/>
              </w:rPr>
              <w:fldChar w:fldCharType="end"/>
            </w:r>
          </w:hyperlink>
        </w:p>
        <w:p w14:paraId="54287C99" w14:textId="77777777" w:rsidR="00D759A0" w:rsidRPr="00575E31" w:rsidRDefault="00D759A0" w:rsidP="00D759A0">
          <w:pPr>
            <w:pStyle w:val="TOC3"/>
            <w:tabs>
              <w:tab w:val="right" w:leader="dot" w:pos="9016"/>
            </w:tabs>
            <w:spacing w:line="360" w:lineRule="auto"/>
            <w:rPr>
              <w:rFonts w:ascii="Times New Roman" w:hAnsi="Times New Roman" w:cs="Times New Roman"/>
              <w:noProof/>
              <w:sz w:val="24"/>
              <w:szCs w:val="24"/>
            </w:rPr>
          </w:pPr>
          <w:hyperlink w:anchor="_Toc214247320" w:history="1">
            <w:r w:rsidRPr="00575E31">
              <w:rPr>
                <w:rStyle w:val="Hyperlink"/>
                <w:rFonts w:ascii="Times New Roman" w:hAnsi="Times New Roman" w:cs="Times New Roman"/>
                <w:noProof/>
                <w:color w:val="auto"/>
                <w:sz w:val="24"/>
                <w:szCs w:val="24"/>
                <w:lang w:val="en-US"/>
              </w:rPr>
              <w:t>3.1.2 Porter’s Generic Strategy: Differentiation and Cost Leadership</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_Toc214247320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10</w:t>
            </w:r>
            <w:r w:rsidRPr="00575E31">
              <w:rPr>
                <w:rFonts w:ascii="Times New Roman" w:hAnsi="Times New Roman" w:cs="Times New Roman"/>
                <w:noProof/>
                <w:webHidden/>
                <w:sz w:val="24"/>
                <w:szCs w:val="24"/>
              </w:rPr>
              <w:fldChar w:fldCharType="end"/>
            </w:r>
          </w:hyperlink>
        </w:p>
        <w:p w14:paraId="3040EB8D" w14:textId="77777777" w:rsidR="00D759A0" w:rsidRPr="00575E31" w:rsidRDefault="00D759A0" w:rsidP="00D759A0">
          <w:pPr>
            <w:pStyle w:val="TOC3"/>
            <w:tabs>
              <w:tab w:val="right" w:leader="dot" w:pos="9016"/>
            </w:tabs>
            <w:spacing w:line="360" w:lineRule="auto"/>
            <w:rPr>
              <w:rFonts w:ascii="Times New Roman" w:hAnsi="Times New Roman" w:cs="Times New Roman"/>
              <w:noProof/>
              <w:sz w:val="24"/>
              <w:szCs w:val="24"/>
            </w:rPr>
          </w:pPr>
          <w:hyperlink w:anchor="_Toc214247321" w:history="1">
            <w:r w:rsidRPr="00575E31">
              <w:rPr>
                <w:rStyle w:val="Hyperlink"/>
                <w:rFonts w:ascii="Times New Roman" w:hAnsi="Times New Roman" w:cs="Times New Roman"/>
                <w:noProof/>
                <w:color w:val="auto"/>
                <w:sz w:val="24"/>
                <w:szCs w:val="24"/>
                <w:lang w:val="en-US"/>
              </w:rPr>
              <w:t>3.1.3 First-Mover Advantage: Network Effects and the Experience Curve</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_Toc214247321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10</w:t>
            </w:r>
            <w:r w:rsidRPr="00575E31">
              <w:rPr>
                <w:rFonts w:ascii="Times New Roman" w:hAnsi="Times New Roman" w:cs="Times New Roman"/>
                <w:noProof/>
                <w:webHidden/>
                <w:sz w:val="24"/>
                <w:szCs w:val="24"/>
              </w:rPr>
              <w:fldChar w:fldCharType="end"/>
            </w:r>
          </w:hyperlink>
        </w:p>
        <w:p w14:paraId="45993E43" w14:textId="77777777" w:rsidR="00D759A0" w:rsidRPr="00575E31" w:rsidRDefault="00D759A0" w:rsidP="00D759A0">
          <w:pPr>
            <w:pStyle w:val="TOC3"/>
            <w:tabs>
              <w:tab w:val="right" w:leader="dot" w:pos="9016"/>
            </w:tabs>
            <w:spacing w:line="360" w:lineRule="auto"/>
            <w:rPr>
              <w:rFonts w:ascii="Times New Roman" w:hAnsi="Times New Roman" w:cs="Times New Roman"/>
              <w:noProof/>
              <w:sz w:val="24"/>
              <w:szCs w:val="24"/>
            </w:rPr>
          </w:pPr>
          <w:hyperlink w:anchor="_Toc214247322" w:history="1">
            <w:r w:rsidRPr="00575E31">
              <w:rPr>
                <w:rStyle w:val="Hyperlink"/>
                <w:rFonts w:ascii="Times New Roman" w:hAnsi="Times New Roman" w:cs="Times New Roman"/>
                <w:noProof/>
                <w:color w:val="auto"/>
                <w:sz w:val="24"/>
                <w:szCs w:val="24"/>
                <w:lang w:val="en-US"/>
              </w:rPr>
              <w:t>3.1.4 Critical Evaluation of Tesla’s Strategic Position</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_Toc214247322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10</w:t>
            </w:r>
            <w:r w:rsidRPr="00575E31">
              <w:rPr>
                <w:rFonts w:ascii="Times New Roman" w:hAnsi="Times New Roman" w:cs="Times New Roman"/>
                <w:noProof/>
                <w:webHidden/>
                <w:sz w:val="24"/>
                <w:szCs w:val="24"/>
              </w:rPr>
              <w:fldChar w:fldCharType="end"/>
            </w:r>
          </w:hyperlink>
        </w:p>
        <w:p w14:paraId="22F67977" w14:textId="77777777" w:rsidR="00D759A0" w:rsidRPr="00575E31" w:rsidRDefault="00D759A0" w:rsidP="00D759A0">
          <w:pPr>
            <w:pStyle w:val="TOC2"/>
            <w:tabs>
              <w:tab w:val="right" w:leader="dot" w:pos="9016"/>
            </w:tabs>
            <w:spacing w:line="360" w:lineRule="auto"/>
            <w:rPr>
              <w:rFonts w:ascii="Times New Roman" w:hAnsi="Times New Roman" w:cs="Times New Roman"/>
              <w:noProof/>
              <w:sz w:val="24"/>
              <w:szCs w:val="24"/>
            </w:rPr>
          </w:pPr>
          <w:hyperlink w:anchor="_Toc214247323" w:history="1">
            <w:r w:rsidRPr="00575E31">
              <w:rPr>
                <w:rStyle w:val="Hyperlink"/>
                <w:rFonts w:ascii="Times New Roman" w:hAnsi="Times New Roman" w:cs="Times New Roman"/>
                <w:noProof/>
                <w:color w:val="auto"/>
                <w:sz w:val="24"/>
                <w:szCs w:val="24"/>
                <w:lang w:val="en-US"/>
              </w:rPr>
              <w:t>3.2 Strategic Responses of Follower Organisations: Volkswagen</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_Toc214247323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11</w:t>
            </w:r>
            <w:r w:rsidRPr="00575E31">
              <w:rPr>
                <w:rFonts w:ascii="Times New Roman" w:hAnsi="Times New Roman" w:cs="Times New Roman"/>
                <w:noProof/>
                <w:webHidden/>
                <w:sz w:val="24"/>
                <w:szCs w:val="24"/>
              </w:rPr>
              <w:fldChar w:fldCharType="end"/>
            </w:r>
          </w:hyperlink>
        </w:p>
        <w:p w14:paraId="649E9E00" w14:textId="77777777" w:rsidR="00D759A0" w:rsidRPr="00575E31" w:rsidRDefault="00D759A0" w:rsidP="00D759A0">
          <w:pPr>
            <w:pStyle w:val="TOC3"/>
            <w:tabs>
              <w:tab w:val="right" w:leader="dot" w:pos="9016"/>
            </w:tabs>
            <w:spacing w:line="360" w:lineRule="auto"/>
            <w:rPr>
              <w:rFonts w:ascii="Times New Roman" w:hAnsi="Times New Roman" w:cs="Times New Roman"/>
              <w:noProof/>
              <w:sz w:val="24"/>
              <w:szCs w:val="24"/>
            </w:rPr>
          </w:pPr>
          <w:hyperlink w:anchor="_Toc214247324" w:history="1">
            <w:r w:rsidRPr="00575E31">
              <w:rPr>
                <w:rStyle w:val="Hyperlink"/>
                <w:rFonts w:ascii="Times New Roman" w:hAnsi="Times New Roman" w:cs="Times New Roman"/>
                <w:noProof/>
                <w:color w:val="auto"/>
                <w:sz w:val="24"/>
                <w:szCs w:val="24"/>
                <w:lang w:val="en-US"/>
              </w:rPr>
              <w:t>3.2.1 Ansoff Matrix: Volkswagen’s Electrification Trajectory</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_Toc214247324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11</w:t>
            </w:r>
            <w:r w:rsidRPr="00575E31">
              <w:rPr>
                <w:rFonts w:ascii="Times New Roman" w:hAnsi="Times New Roman" w:cs="Times New Roman"/>
                <w:noProof/>
                <w:webHidden/>
                <w:sz w:val="24"/>
                <w:szCs w:val="24"/>
              </w:rPr>
              <w:fldChar w:fldCharType="end"/>
            </w:r>
          </w:hyperlink>
        </w:p>
        <w:p w14:paraId="342042B0" w14:textId="77777777" w:rsidR="00D759A0" w:rsidRPr="00575E31" w:rsidRDefault="00D759A0" w:rsidP="00D759A0">
          <w:pPr>
            <w:pStyle w:val="TOC3"/>
            <w:tabs>
              <w:tab w:val="right" w:leader="dot" w:pos="9016"/>
            </w:tabs>
            <w:spacing w:line="360" w:lineRule="auto"/>
            <w:rPr>
              <w:rFonts w:ascii="Times New Roman" w:hAnsi="Times New Roman" w:cs="Times New Roman"/>
              <w:noProof/>
              <w:sz w:val="24"/>
              <w:szCs w:val="24"/>
            </w:rPr>
          </w:pPr>
          <w:hyperlink w:anchor="_Toc214247325" w:history="1">
            <w:r w:rsidRPr="00575E31">
              <w:rPr>
                <w:rStyle w:val="Hyperlink"/>
                <w:rFonts w:ascii="Times New Roman" w:hAnsi="Times New Roman" w:cs="Times New Roman"/>
                <w:noProof/>
                <w:color w:val="auto"/>
                <w:sz w:val="24"/>
                <w:szCs w:val="24"/>
                <w:lang w:val="en-US"/>
              </w:rPr>
              <w:t>3.2.2 Porter’s Generic Strategy: Broad Differentiation with Execution Gaps</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_Toc214247325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11</w:t>
            </w:r>
            <w:r w:rsidRPr="00575E31">
              <w:rPr>
                <w:rFonts w:ascii="Times New Roman" w:hAnsi="Times New Roman" w:cs="Times New Roman"/>
                <w:noProof/>
                <w:webHidden/>
                <w:sz w:val="24"/>
                <w:szCs w:val="24"/>
              </w:rPr>
              <w:fldChar w:fldCharType="end"/>
            </w:r>
          </w:hyperlink>
        </w:p>
        <w:p w14:paraId="54AB27DD" w14:textId="77777777" w:rsidR="00D759A0" w:rsidRPr="00575E31" w:rsidRDefault="00D759A0" w:rsidP="00D759A0">
          <w:pPr>
            <w:pStyle w:val="TOC3"/>
            <w:tabs>
              <w:tab w:val="right" w:leader="dot" w:pos="9016"/>
            </w:tabs>
            <w:spacing w:line="360" w:lineRule="auto"/>
            <w:rPr>
              <w:rFonts w:ascii="Times New Roman" w:hAnsi="Times New Roman" w:cs="Times New Roman"/>
              <w:noProof/>
              <w:sz w:val="24"/>
              <w:szCs w:val="24"/>
            </w:rPr>
          </w:pPr>
          <w:hyperlink w:anchor="_Toc214247326" w:history="1">
            <w:r w:rsidRPr="00575E31">
              <w:rPr>
                <w:rStyle w:val="Hyperlink"/>
                <w:rFonts w:ascii="Times New Roman" w:hAnsi="Times New Roman" w:cs="Times New Roman"/>
                <w:noProof/>
                <w:color w:val="auto"/>
                <w:sz w:val="24"/>
                <w:szCs w:val="24"/>
                <w:lang w:val="en-US"/>
              </w:rPr>
              <w:t>3.2.3 Follower Strategy Theory: Structural Advantages and Constraints</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_Toc214247326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11</w:t>
            </w:r>
            <w:r w:rsidRPr="00575E31">
              <w:rPr>
                <w:rFonts w:ascii="Times New Roman" w:hAnsi="Times New Roman" w:cs="Times New Roman"/>
                <w:noProof/>
                <w:webHidden/>
                <w:sz w:val="24"/>
                <w:szCs w:val="24"/>
              </w:rPr>
              <w:fldChar w:fldCharType="end"/>
            </w:r>
          </w:hyperlink>
        </w:p>
        <w:p w14:paraId="45251F87" w14:textId="77777777" w:rsidR="00D759A0" w:rsidRPr="00575E31" w:rsidRDefault="00D759A0" w:rsidP="00D759A0">
          <w:pPr>
            <w:pStyle w:val="TOC3"/>
            <w:tabs>
              <w:tab w:val="right" w:leader="dot" w:pos="9016"/>
            </w:tabs>
            <w:spacing w:line="360" w:lineRule="auto"/>
            <w:rPr>
              <w:rFonts w:ascii="Times New Roman" w:hAnsi="Times New Roman" w:cs="Times New Roman"/>
              <w:noProof/>
              <w:sz w:val="24"/>
              <w:szCs w:val="24"/>
            </w:rPr>
          </w:pPr>
          <w:hyperlink w:anchor="_Toc214247327" w:history="1">
            <w:r w:rsidRPr="00575E31">
              <w:rPr>
                <w:rStyle w:val="Hyperlink"/>
                <w:rFonts w:ascii="Times New Roman" w:hAnsi="Times New Roman" w:cs="Times New Roman"/>
                <w:noProof/>
                <w:color w:val="auto"/>
                <w:sz w:val="24"/>
                <w:szCs w:val="24"/>
                <w:lang w:val="en-US"/>
              </w:rPr>
              <w:t>3.2.4 Critical Evaluation of Volkswagen’s Strategic Position</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_Toc214247327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12</w:t>
            </w:r>
            <w:r w:rsidRPr="00575E31">
              <w:rPr>
                <w:rFonts w:ascii="Times New Roman" w:hAnsi="Times New Roman" w:cs="Times New Roman"/>
                <w:noProof/>
                <w:webHidden/>
                <w:sz w:val="24"/>
                <w:szCs w:val="24"/>
              </w:rPr>
              <w:fldChar w:fldCharType="end"/>
            </w:r>
          </w:hyperlink>
        </w:p>
        <w:p w14:paraId="3C375A81" w14:textId="77777777" w:rsidR="00D759A0" w:rsidRPr="00575E31" w:rsidRDefault="00D759A0" w:rsidP="00D759A0">
          <w:pPr>
            <w:pStyle w:val="TOC1"/>
            <w:tabs>
              <w:tab w:val="right" w:leader="dot" w:pos="9016"/>
            </w:tabs>
            <w:spacing w:line="360" w:lineRule="auto"/>
            <w:rPr>
              <w:rFonts w:ascii="Times New Roman" w:hAnsi="Times New Roman" w:cs="Times New Roman"/>
              <w:noProof/>
              <w:sz w:val="24"/>
              <w:szCs w:val="24"/>
            </w:rPr>
          </w:pPr>
          <w:hyperlink w:anchor="_Toc214247328" w:history="1">
            <w:r w:rsidRPr="00575E31">
              <w:rPr>
                <w:rStyle w:val="Hyperlink"/>
                <w:rFonts w:ascii="Times New Roman" w:hAnsi="Times New Roman" w:cs="Times New Roman"/>
                <w:noProof/>
                <w:color w:val="auto"/>
                <w:sz w:val="24"/>
                <w:szCs w:val="24"/>
                <w:lang w:val="en-US"/>
              </w:rPr>
              <w:t>4. Conclusion</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_Toc214247328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13</w:t>
            </w:r>
            <w:r w:rsidRPr="00575E31">
              <w:rPr>
                <w:rFonts w:ascii="Times New Roman" w:hAnsi="Times New Roman" w:cs="Times New Roman"/>
                <w:noProof/>
                <w:webHidden/>
                <w:sz w:val="24"/>
                <w:szCs w:val="24"/>
              </w:rPr>
              <w:fldChar w:fldCharType="end"/>
            </w:r>
          </w:hyperlink>
        </w:p>
        <w:p w14:paraId="3297E640" w14:textId="77777777" w:rsidR="00D759A0" w:rsidRPr="00575E31" w:rsidRDefault="00D759A0" w:rsidP="00D759A0">
          <w:pPr>
            <w:pStyle w:val="TOC1"/>
            <w:tabs>
              <w:tab w:val="right" w:leader="dot" w:pos="9016"/>
            </w:tabs>
            <w:spacing w:line="360" w:lineRule="auto"/>
            <w:rPr>
              <w:rFonts w:ascii="Times New Roman" w:hAnsi="Times New Roman" w:cs="Times New Roman"/>
              <w:noProof/>
              <w:sz w:val="24"/>
              <w:szCs w:val="24"/>
            </w:rPr>
          </w:pPr>
          <w:hyperlink w:anchor="_Toc214247329" w:history="1">
            <w:r w:rsidRPr="00575E31">
              <w:rPr>
                <w:rStyle w:val="Hyperlink"/>
                <w:rFonts w:ascii="Times New Roman" w:hAnsi="Times New Roman" w:cs="Times New Roman"/>
                <w:noProof/>
                <w:color w:val="auto"/>
                <w:sz w:val="24"/>
                <w:szCs w:val="24"/>
                <w:lang w:val="en-US"/>
              </w:rPr>
              <w:t>Reference List</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_Toc214247329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14</w:t>
            </w:r>
            <w:r w:rsidRPr="00575E31">
              <w:rPr>
                <w:rFonts w:ascii="Times New Roman" w:hAnsi="Times New Roman" w:cs="Times New Roman"/>
                <w:noProof/>
                <w:webHidden/>
                <w:sz w:val="24"/>
                <w:szCs w:val="24"/>
              </w:rPr>
              <w:fldChar w:fldCharType="end"/>
            </w:r>
          </w:hyperlink>
        </w:p>
        <w:p w14:paraId="0868E17F" w14:textId="77777777" w:rsidR="00D759A0" w:rsidRPr="00575E31" w:rsidRDefault="00D759A0" w:rsidP="00D759A0">
          <w:pPr>
            <w:pStyle w:val="TOCHeading"/>
            <w:spacing w:line="360" w:lineRule="auto"/>
            <w:rPr>
              <w:rFonts w:ascii="Times New Roman" w:hAnsi="Times New Roman" w:cs="Times New Roman"/>
              <w:b/>
              <w:bCs/>
              <w:noProof/>
              <w:color w:val="auto"/>
            </w:rPr>
          </w:pPr>
          <w:r w:rsidRPr="00575E31">
            <w:rPr>
              <w:rFonts w:ascii="Times New Roman" w:hAnsi="Times New Roman" w:cs="Times New Roman"/>
              <w:b/>
              <w:bCs/>
              <w:noProof/>
              <w:color w:val="auto"/>
              <w:sz w:val="24"/>
              <w:szCs w:val="24"/>
            </w:rPr>
            <w:fldChar w:fldCharType="end"/>
          </w:r>
        </w:p>
      </w:sdtContent>
    </w:sdt>
    <w:p w14:paraId="3A9F7A1D" w14:textId="77777777" w:rsidR="00D759A0" w:rsidRPr="00575E31" w:rsidRDefault="00D759A0" w:rsidP="00D759A0">
      <w:pPr>
        <w:pStyle w:val="TOCHeading"/>
        <w:spacing w:line="360" w:lineRule="auto"/>
        <w:rPr>
          <w:rFonts w:ascii="Times New Roman" w:hAnsi="Times New Roman" w:cs="Times New Roman"/>
          <w:b/>
          <w:bCs/>
          <w:color w:val="auto"/>
        </w:rPr>
      </w:pPr>
      <w:r w:rsidRPr="00575E31">
        <w:rPr>
          <w:rFonts w:ascii="Times New Roman" w:hAnsi="Times New Roman" w:cs="Times New Roman"/>
          <w:b/>
          <w:bCs/>
          <w:color w:val="auto"/>
        </w:rPr>
        <w:t xml:space="preserve">Table of Tables </w:t>
      </w:r>
    </w:p>
    <w:p w14:paraId="131C6E20" w14:textId="77777777" w:rsidR="00D759A0" w:rsidRPr="00575E31" w:rsidRDefault="00D759A0" w:rsidP="00575E31">
      <w:pPr>
        <w:pStyle w:val="TableofFigures"/>
        <w:tabs>
          <w:tab w:val="right" w:leader="dot" w:pos="9016"/>
        </w:tabs>
        <w:spacing w:line="360" w:lineRule="auto"/>
        <w:rPr>
          <w:rFonts w:ascii="Times New Roman" w:hAnsi="Times New Roman" w:cs="Times New Roman"/>
          <w:noProof/>
          <w:sz w:val="24"/>
          <w:szCs w:val="24"/>
        </w:rPr>
      </w:pPr>
      <w:r w:rsidRPr="00575E31">
        <w:rPr>
          <w:rFonts w:ascii="Times New Roman" w:hAnsi="Times New Roman" w:cs="Times New Roman"/>
          <w:sz w:val="24"/>
          <w:szCs w:val="24"/>
          <w:lang w:val="en-US"/>
        </w:rPr>
        <w:fldChar w:fldCharType="begin"/>
      </w:r>
      <w:r w:rsidRPr="00575E31">
        <w:rPr>
          <w:rFonts w:ascii="Times New Roman" w:hAnsi="Times New Roman" w:cs="Times New Roman"/>
          <w:sz w:val="24"/>
          <w:szCs w:val="24"/>
          <w:lang w:val="en-US"/>
        </w:rPr>
        <w:instrText xml:space="preserve"> TOC \h \z \c "Table" </w:instrText>
      </w:r>
      <w:r w:rsidRPr="00575E31">
        <w:rPr>
          <w:rFonts w:ascii="Times New Roman" w:hAnsi="Times New Roman" w:cs="Times New Roman"/>
          <w:sz w:val="24"/>
          <w:szCs w:val="24"/>
          <w:lang w:val="en-US"/>
        </w:rPr>
        <w:fldChar w:fldCharType="separate"/>
      </w:r>
      <w:hyperlink w:anchor="_Toc214247360" w:history="1">
        <w:r w:rsidRPr="00575E31">
          <w:rPr>
            <w:rStyle w:val="Hyperlink"/>
            <w:rFonts w:ascii="Times New Roman" w:hAnsi="Times New Roman" w:cs="Times New Roman"/>
            <w:noProof/>
            <w:color w:val="auto"/>
            <w:sz w:val="24"/>
            <w:szCs w:val="24"/>
          </w:rPr>
          <w:t>Table 1: Comparative Impact of Technological and Environmental/Regulatory Actors on Tesla and Volkswagen</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_Toc214247360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9</w:t>
        </w:r>
        <w:r w:rsidRPr="00575E31">
          <w:rPr>
            <w:rFonts w:ascii="Times New Roman" w:hAnsi="Times New Roman" w:cs="Times New Roman"/>
            <w:noProof/>
            <w:webHidden/>
            <w:sz w:val="24"/>
            <w:szCs w:val="24"/>
          </w:rPr>
          <w:fldChar w:fldCharType="end"/>
        </w:r>
      </w:hyperlink>
    </w:p>
    <w:p w14:paraId="44B96EF5" w14:textId="77777777" w:rsidR="00D759A0" w:rsidRPr="00575E31" w:rsidRDefault="00D759A0" w:rsidP="00575E31">
      <w:pPr>
        <w:pStyle w:val="TableofFigures"/>
        <w:tabs>
          <w:tab w:val="right" w:leader="dot" w:pos="9016"/>
        </w:tabs>
        <w:spacing w:line="360" w:lineRule="auto"/>
        <w:rPr>
          <w:rFonts w:ascii="Times New Roman" w:hAnsi="Times New Roman" w:cs="Times New Roman"/>
          <w:noProof/>
          <w:sz w:val="24"/>
          <w:szCs w:val="24"/>
        </w:rPr>
      </w:pPr>
      <w:hyperlink w:anchor="_Toc214247361" w:history="1">
        <w:r w:rsidRPr="00575E31">
          <w:rPr>
            <w:rStyle w:val="Hyperlink"/>
            <w:rFonts w:ascii="Times New Roman" w:hAnsi="Times New Roman" w:cs="Times New Roman"/>
            <w:noProof/>
            <w:color w:val="auto"/>
            <w:sz w:val="24"/>
            <w:szCs w:val="24"/>
          </w:rPr>
          <w:t>Table 2: Application of Ansoff’s Growth Matrix: Tesla vs Volkswagen</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_Toc214247361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13</w:t>
        </w:r>
        <w:r w:rsidRPr="00575E31">
          <w:rPr>
            <w:rFonts w:ascii="Times New Roman" w:hAnsi="Times New Roman" w:cs="Times New Roman"/>
            <w:noProof/>
            <w:webHidden/>
            <w:sz w:val="24"/>
            <w:szCs w:val="24"/>
          </w:rPr>
          <w:fldChar w:fldCharType="end"/>
        </w:r>
      </w:hyperlink>
    </w:p>
    <w:p w14:paraId="18E282B9" w14:textId="77777777" w:rsidR="00D759A0" w:rsidRPr="00575E31" w:rsidRDefault="00D759A0" w:rsidP="00575E31">
      <w:pPr>
        <w:pStyle w:val="TableofFigures"/>
        <w:tabs>
          <w:tab w:val="right" w:leader="dot" w:pos="9016"/>
        </w:tabs>
        <w:spacing w:line="360" w:lineRule="auto"/>
        <w:rPr>
          <w:rFonts w:ascii="Times New Roman" w:hAnsi="Times New Roman" w:cs="Times New Roman"/>
          <w:noProof/>
          <w:sz w:val="24"/>
          <w:szCs w:val="24"/>
        </w:rPr>
      </w:pPr>
      <w:hyperlink w:anchor="_Toc214247362" w:history="1">
        <w:r w:rsidRPr="00575E31">
          <w:rPr>
            <w:rStyle w:val="Hyperlink"/>
            <w:rFonts w:ascii="Times New Roman" w:hAnsi="Times New Roman" w:cs="Times New Roman"/>
            <w:noProof/>
            <w:color w:val="auto"/>
            <w:sz w:val="24"/>
            <w:szCs w:val="24"/>
          </w:rPr>
          <w:t>Table 3: Comparative Competitive Strategies of Tesla and Volkswagen Using Porter’s Framework</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_Toc214247362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13</w:t>
        </w:r>
        <w:r w:rsidRPr="00575E31">
          <w:rPr>
            <w:rFonts w:ascii="Times New Roman" w:hAnsi="Times New Roman" w:cs="Times New Roman"/>
            <w:noProof/>
            <w:webHidden/>
            <w:sz w:val="24"/>
            <w:szCs w:val="24"/>
          </w:rPr>
          <w:fldChar w:fldCharType="end"/>
        </w:r>
      </w:hyperlink>
    </w:p>
    <w:p w14:paraId="44BDC541" w14:textId="77777777" w:rsidR="00575E31" w:rsidRPr="00575E31" w:rsidRDefault="00D759A0" w:rsidP="00575E31">
      <w:pPr>
        <w:pStyle w:val="TOCHeading"/>
        <w:spacing w:line="360" w:lineRule="auto"/>
        <w:rPr>
          <w:rFonts w:ascii="Times New Roman" w:hAnsi="Times New Roman" w:cs="Times New Roman"/>
          <w:b/>
          <w:bCs/>
          <w:color w:val="auto"/>
        </w:rPr>
      </w:pPr>
      <w:r w:rsidRPr="00575E31">
        <w:rPr>
          <w:rFonts w:ascii="Times New Roman" w:hAnsi="Times New Roman" w:cs="Times New Roman"/>
          <w:color w:val="auto"/>
          <w:sz w:val="24"/>
          <w:szCs w:val="24"/>
        </w:rPr>
        <w:fldChar w:fldCharType="end"/>
      </w:r>
      <w:r w:rsidR="00575E31" w:rsidRPr="00575E31">
        <w:rPr>
          <w:rFonts w:ascii="Times New Roman" w:hAnsi="Times New Roman" w:cs="Times New Roman"/>
          <w:b/>
          <w:bCs/>
          <w:color w:val="auto"/>
        </w:rPr>
        <w:t>Table of Figures</w:t>
      </w:r>
      <w:r w:rsidR="00575E31" w:rsidRPr="00575E31">
        <w:rPr>
          <w:rFonts w:ascii="Times New Roman" w:hAnsi="Times New Roman" w:cs="Times New Roman"/>
          <w:color w:val="auto"/>
          <w:sz w:val="24"/>
          <w:szCs w:val="24"/>
        </w:rPr>
        <w:fldChar w:fldCharType="begin"/>
      </w:r>
      <w:r w:rsidR="00575E31" w:rsidRPr="00575E31">
        <w:rPr>
          <w:rFonts w:ascii="Times New Roman" w:hAnsi="Times New Roman" w:cs="Times New Roman"/>
          <w:color w:val="auto"/>
          <w:sz w:val="24"/>
          <w:szCs w:val="24"/>
        </w:rPr>
        <w:instrText xml:space="preserve"> TOC \h \z \c "Figure" </w:instrText>
      </w:r>
      <w:r w:rsidR="00575E31" w:rsidRPr="00575E31">
        <w:rPr>
          <w:rFonts w:ascii="Times New Roman" w:hAnsi="Times New Roman" w:cs="Times New Roman"/>
          <w:color w:val="auto"/>
          <w:sz w:val="24"/>
          <w:szCs w:val="24"/>
        </w:rPr>
        <w:fldChar w:fldCharType="separate"/>
      </w:r>
    </w:p>
    <w:p w14:paraId="3F45247B" w14:textId="77777777" w:rsidR="00575E31" w:rsidRPr="00575E31" w:rsidRDefault="00575E31" w:rsidP="00575E31">
      <w:pPr>
        <w:pStyle w:val="TableofFigures"/>
        <w:tabs>
          <w:tab w:val="right" w:leader="dot" w:pos="9016"/>
        </w:tabs>
        <w:spacing w:line="360" w:lineRule="auto"/>
        <w:rPr>
          <w:rFonts w:ascii="Times New Roman" w:eastAsiaTheme="minorEastAsia" w:hAnsi="Times New Roman" w:cs="Times New Roman"/>
          <w:noProof/>
          <w:sz w:val="24"/>
          <w:szCs w:val="24"/>
          <w:lang w:val="en-US"/>
        </w:rPr>
      </w:pPr>
      <w:hyperlink w:anchor="_Toc214247400" w:history="1">
        <w:r w:rsidRPr="00575E31">
          <w:rPr>
            <w:rStyle w:val="Hyperlink"/>
            <w:rFonts w:ascii="Times New Roman" w:hAnsi="Times New Roman" w:cs="Times New Roman"/>
            <w:noProof/>
            <w:color w:val="auto"/>
            <w:sz w:val="24"/>
            <w:szCs w:val="24"/>
          </w:rPr>
          <w:t>Figure 1: Global Electric Vehicle Sales by Region, 2018–2024; Source: BloombergNEF and Jato Dynamics (2024). Global EV Outlook</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_Toc214247400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5</w:t>
        </w:r>
        <w:r w:rsidRPr="00575E31">
          <w:rPr>
            <w:rFonts w:ascii="Times New Roman" w:hAnsi="Times New Roman" w:cs="Times New Roman"/>
            <w:noProof/>
            <w:webHidden/>
            <w:sz w:val="24"/>
            <w:szCs w:val="24"/>
          </w:rPr>
          <w:fldChar w:fldCharType="end"/>
        </w:r>
      </w:hyperlink>
    </w:p>
    <w:p w14:paraId="5A9562AA" w14:textId="77777777" w:rsidR="00575E31" w:rsidRPr="00575E31" w:rsidRDefault="00575E31" w:rsidP="00575E31">
      <w:pPr>
        <w:pStyle w:val="TableofFigures"/>
        <w:tabs>
          <w:tab w:val="right" w:leader="dot" w:pos="9016"/>
        </w:tabs>
        <w:spacing w:line="360" w:lineRule="auto"/>
        <w:rPr>
          <w:rFonts w:ascii="Times New Roman" w:eastAsiaTheme="minorEastAsia" w:hAnsi="Times New Roman" w:cs="Times New Roman"/>
          <w:noProof/>
          <w:sz w:val="24"/>
          <w:szCs w:val="24"/>
          <w:lang w:val="en-US"/>
        </w:rPr>
      </w:pPr>
      <w:hyperlink w:anchor="_Toc214247401" w:history="1">
        <w:r w:rsidRPr="00575E31">
          <w:rPr>
            <w:rStyle w:val="Hyperlink"/>
            <w:rFonts w:ascii="Times New Roman" w:hAnsi="Times New Roman" w:cs="Times New Roman"/>
            <w:noProof/>
            <w:color w:val="auto"/>
            <w:sz w:val="24"/>
            <w:szCs w:val="24"/>
          </w:rPr>
          <w:t>Figure 2: Lithium-Ion Battery Pack and Cell Price Trends, 2013–2024; Source: BloombergNEF (2024). Battery Price Survey</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_Toc214247401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6</w:t>
        </w:r>
        <w:r w:rsidRPr="00575E31">
          <w:rPr>
            <w:rFonts w:ascii="Times New Roman" w:hAnsi="Times New Roman" w:cs="Times New Roman"/>
            <w:noProof/>
            <w:webHidden/>
            <w:sz w:val="24"/>
            <w:szCs w:val="24"/>
          </w:rPr>
          <w:fldChar w:fldCharType="end"/>
        </w:r>
      </w:hyperlink>
    </w:p>
    <w:p w14:paraId="2FF707C0" w14:textId="77777777" w:rsidR="00575E31" w:rsidRPr="00575E31" w:rsidRDefault="00575E31" w:rsidP="00575E31">
      <w:pPr>
        <w:pStyle w:val="TableofFigures"/>
        <w:tabs>
          <w:tab w:val="right" w:leader="dot" w:pos="9016"/>
        </w:tabs>
        <w:spacing w:line="360" w:lineRule="auto"/>
        <w:rPr>
          <w:rFonts w:ascii="Times New Roman" w:eastAsiaTheme="minorEastAsia" w:hAnsi="Times New Roman" w:cs="Times New Roman"/>
          <w:noProof/>
          <w:sz w:val="24"/>
          <w:szCs w:val="24"/>
          <w:lang w:val="en-US"/>
        </w:rPr>
      </w:pPr>
      <w:hyperlink w:anchor="_Toc214247402" w:history="1">
        <w:r w:rsidRPr="00575E31">
          <w:rPr>
            <w:rStyle w:val="Hyperlink"/>
            <w:rFonts w:ascii="Times New Roman" w:hAnsi="Times New Roman" w:cs="Times New Roman"/>
            <w:noProof/>
            <w:color w:val="auto"/>
            <w:sz w:val="24"/>
            <w:szCs w:val="24"/>
          </w:rPr>
          <w:t>Figure 3: Global Weighted Average Lithium-Ion Cell Price Decline, 2014–2024; Source: Benchmark Mineral Intelligence (2024).</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_Toc214247402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7</w:t>
        </w:r>
        <w:r w:rsidRPr="00575E31">
          <w:rPr>
            <w:rFonts w:ascii="Times New Roman" w:hAnsi="Times New Roman" w:cs="Times New Roman"/>
            <w:noProof/>
            <w:webHidden/>
            <w:sz w:val="24"/>
            <w:szCs w:val="24"/>
          </w:rPr>
          <w:fldChar w:fldCharType="end"/>
        </w:r>
      </w:hyperlink>
    </w:p>
    <w:p w14:paraId="32F10B1F" w14:textId="77777777" w:rsidR="00575E31" w:rsidRPr="00575E31" w:rsidRDefault="00575E31" w:rsidP="00575E31">
      <w:pPr>
        <w:pStyle w:val="TableofFigures"/>
        <w:tabs>
          <w:tab w:val="right" w:leader="dot" w:pos="9016"/>
        </w:tabs>
        <w:spacing w:line="360" w:lineRule="auto"/>
        <w:rPr>
          <w:rFonts w:ascii="Times New Roman" w:eastAsiaTheme="minorEastAsia" w:hAnsi="Times New Roman" w:cs="Times New Roman"/>
          <w:noProof/>
          <w:sz w:val="24"/>
          <w:szCs w:val="24"/>
          <w:lang w:val="en-US"/>
        </w:rPr>
      </w:pPr>
      <w:hyperlink w:anchor="_Toc214247403" w:history="1">
        <w:r w:rsidRPr="00575E31">
          <w:rPr>
            <w:rStyle w:val="Hyperlink"/>
            <w:rFonts w:ascii="Times New Roman" w:hAnsi="Times New Roman" w:cs="Times New Roman"/>
            <w:noProof/>
            <w:color w:val="auto"/>
            <w:sz w:val="24"/>
            <w:szCs w:val="24"/>
          </w:rPr>
          <w:t>Figure 4: Tesla Deliveries vs Volkswagen BEV Sales, Q1 2020–Q3 2021; Source: InsideEVs (2021).</w:t>
        </w:r>
        <w:r w:rsidRPr="00575E31">
          <w:rPr>
            <w:rFonts w:ascii="Times New Roman" w:hAnsi="Times New Roman" w:cs="Times New Roman"/>
            <w:noProof/>
            <w:webHidden/>
            <w:sz w:val="24"/>
            <w:szCs w:val="24"/>
          </w:rPr>
          <w:tab/>
        </w:r>
        <w:r w:rsidRPr="00575E31">
          <w:rPr>
            <w:rFonts w:ascii="Times New Roman" w:hAnsi="Times New Roman" w:cs="Times New Roman"/>
            <w:noProof/>
            <w:webHidden/>
            <w:sz w:val="24"/>
            <w:szCs w:val="24"/>
          </w:rPr>
          <w:fldChar w:fldCharType="begin"/>
        </w:r>
        <w:r w:rsidRPr="00575E31">
          <w:rPr>
            <w:rFonts w:ascii="Times New Roman" w:hAnsi="Times New Roman" w:cs="Times New Roman"/>
            <w:noProof/>
            <w:webHidden/>
            <w:sz w:val="24"/>
            <w:szCs w:val="24"/>
          </w:rPr>
          <w:instrText xml:space="preserve"> PAGEREF _Toc214247403 \h </w:instrText>
        </w:r>
        <w:r w:rsidRPr="00575E31">
          <w:rPr>
            <w:rFonts w:ascii="Times New Roman" w:hAnsi="Times New Roman" w:cs="Times New Roman"/>
            <w:noProof/>
            <w:webHidden/>
            <w:sz w:val="24"/>
            <w:szCs w:val="24"/>
          </w:rPr>
        </w:r>
        <w:r w:rsidRPr="00575E31">
          <w:rPr>
            <w:rFonts w:ascii="Times New Roman" w:hAnsi="Times New Roman" w:cs="Times New Roman"/>
            <w:noProof/>
            <w:webHidden/>
            <w:sz w:val="24"/>
            <w:szCs w:val="24"/>
          </w:rPr>
          <w:fldChar w:fldCharType="separate"/>
        </w:r>
        <w:r w:rsidRPr="00575E31">
          <w:rPr>
            <w:rFonts w:ascii="Times New Roman" w:hAnsi="Times New Roman" w:cs="Times New Roman"/>
            <w:noProof/>
            <w:webHidden/>
            <w:sz w:val="24"/>
            <w:szCs w:val="24"/>
          </w:rPr>
          <w:t>8</w:t>
        </w:r>
        <w:r w:rsidRPr="00575E31">
          <w:rPr>
            <w:rFonts w:ascii="Times New Roman" w:hAnsi="Times New Roman" w:cs="Times New Roman"/>
            <w:noProof/>
            <w:webHidden/>
            <w:sz w:val="24"/>
            <w:szCs w:val="24"/>
          </w:rPr>
          <w:fldChar w:fldCharType="end"/>
        </w:r>
      </w:hyperlink>
    </w:p>
    <w:p w14:paraId="64446AD8" w14:textId="77777777" w:rsidR="00D759A0" w:rsidRPr="00575E31" w:rsidRDefault="00575E31" w:rsidP="003447B2">
      <w:pPr>
        <w:spacing w:line="360" w:lineRule="auto"/>
        <w:jc w:val="both"/>
        <w:rPr>
          <w:rFonts w:ascii="Times New Roman" w:hAnsi="Times New Roman" w:cs="Times New Roman"/>
          <w:sz w:val="24"/>
          <w:szCs w:val="24"/>
          <w:lang w:val="en-US"/>
        </w:rPr>
      </w:pPr>
      <w:r w:rsidRPr="00575E31">
        <w:rPr>
          <w:rFonts w:ascii="Times New Roman" w:hAnsi="Times New Roman" w:cs="Times New Roman"/>
          <w:sz w:val="24"/>
          <w:szCs w:val="24"/>
          <w:lang w:val="en-US"/>
        </w:rPr>
        <w:fldChar w:fldCharType="end"/>
      </w:r>
    </w:p>
    <w:p w14:paraId="2FC3BE5B" w14:textId="77777777" w:rsidR="00575E31" w:rsidRDefault="00575E31" w:rsidP="003447B2">
      <w:pPr>
        <w:pStyle w:val="Title"/>
        <w:rPr>
          <w:rFonts w:cs="Times New Roman"/>
        </w:rPr>
        <w:sectPr w:rsidR="00575E31" w:rsidSect="00575E31">
          <w:headerReference w:type="default" r:id="rId9"/>
          <w:pgSz w:w="11906" w:h="16838" w:code="9"/>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docGrid w:linePitch="360"/>
        </w:sectPr>
      </w:pPr>
    </w:p>
    <w:p w14:paraId="036A7364" w14:textId="77777777" w:rsidR="00564B48" w:rsidRPr="00575E31" w:rsidRDefault="003447B2" w:rsidP="003447B2">
      <w:pPr>
        <w:pStyle w:val="Title"/>
        <w:rPr>
          <w:rFonts w:cs="Times New Roman"/>
        </w:rPr>
      </w:pPr>
      <w:r w:rsidRPr="00575E31">
        <w:rPr>
          <w:rFonts w:cs="Times New Roman"/>
        </w:rPr>
        <w:lastRenderedPageBreak/>
        <w:t>Critical Analysis of the Macro Marketing Environment and Strategic Responses of Pioneering and Follower Firms</w:t>
      </w:r>
    </w:p>
    <w:p w14:paraId="25D97E00" w14:textId="77777777" w:rsidR="0089230D" w:rsidRPr="00575E31" w:rsidRDefault="003447B2" w:rsidP="003447B2">
      <w:pPr>
        <w:pStyle w:val="Heading1"/>
        <w:rPr>
          <w:rFonts w:cs="Times New Roman"/>
        </w:rPr>
      </w:pPr>
      <w:bookmarkStart w:id="0" w:name="_Toc214247310"/>
      <w:r w:rsidRPr="00575E31">
        <w:rPr>
          <w:rFonts w:cs="Times New Roman"/>
        </w:rPr>
        <w:t>Introduction</w:t>
      </w:r>
      <w:bookmarkEnd w:id="0"/>
    </w:p>
    <w:p w14:paraId="49FEA92B" w14:textId="5001B0A3" w:rsidR="00F73285" w:rsidRPr="00F73285" w:rsidRDefault="00F73285" w:rsidP="00F73285">
      <w:pPr>
        <w:spacing w:line="360" w:lineRule="auto"/>
        <w:jc w:val="both"/>
        <w:rPr>
          <w:rFonts w:ascii="Times New Roman" w:hAnsi="Times New Roman" w:cs="Times New Roman"/>
          <w:sz w:val="24"/>
          <w:szCs w:val="24"/>
          <w:lang w:val="en-US"/>
        </w:rPr>
      </w:pPr>
      <w:r w:rsidRPr="00F73285">
        <w:rPr>
          <w:rFonts w:ascii="Times New Roman" w:hAnsi="Times New Roman" w:cs="Times New Roman"/>
          <w:sz w:val="24"/>
          <w:szCs w:val="24"/>
          <w:lang w:val="en-US"/>
        </w:rPr>
        <w:t xml:space="preserve">The macro-marketing environment is crucial in the determination of </w:t>
      </w:r>
      <w:proofErr w:type="spellStart"/>
      <w:r w:rsidRPr="00F73285">
        <w:rPr>
          <w:rFonts w:ascii="Times New Roman" w:hAnsi="Times New Roman" w:cs="Times New Roman"/>
          <w:sz w:val="24"/>
          <w:szCs w:val="24"/>
          <w:lang w:val="en-US"/>
        </w:rPr>
        <w:t>organisational</w:t>
      </w:r>
      <w:proofErr w:type="spellEnd"/>
      <w:r w:rsidRPr="00F73285">
        <w:rPr>
          <w:rFonts w:ascii="Times New Roman" w:hAnsi="Times New Roman" w:cs="Times New Roman"/>
          <w:sz w:val="24"/>
          <w:szCs w:val="24"/>
          <w:lang w:val="en-US"/>
        </w:rPr>
        <w:t xml:space="preserve"> competitiveness</w:t>
      </w:r>
      <w:r>
        <w:rPr>
          <w:rFonts w:ascii="Times New Roman" w:hAnsi="Times New Roman" w:cs="Times New Roman"/>
          <w:sz w:val="24"/>
          <w:szCs w:val="24"/>
          <w:lang w:val="en-US"/>
        </w:rPr>
        <w:t>,</w:t>
      </w:r>
      <w:r w:rsidRPr="00F73285">
        <w:rPr>
          <w:rFonts w:ascii="Times New Roman" w:hAnsi="Times New Roman" w:cs="Times New Roman"/>
          <w:sz w:val="24"/>
          <w:szCs w:val="24"/>
          <w:lang w:val="en-US"/>
        </w:rPr>
        <w:t xml:space="preserve"> especially in industries with high technological change rates and </w:t>
      </w:r>
      <w:r>
        <w:rPr>
          <w:rFonts w:ascii="Times New Roman" w:hAnsi="Times New Roman" w:cs="Times New Roman"/>
          <w:sz w:val="24"/>
          <w:szCs w:val="24"/>
          <w:lang w:val="en-US"/>
        </w:rPr>
        <w:t xml:space="preserve">a </w:t>
      </w:r>
      <w:r w:rsidRPr="00F73285">
        <w:rPr>
          <w:rFonts w:ascii="Times New Roman" w:hAnsi="Times New Roman" w:cs="Times New Roman"/>
          <w:sz w:val="24"/>
          <w:szCs w:val="24"/>
          <w:lang w:val="en-US"/>
        </w:rPr>
        <w:t xml:space="preserve">harsh regulatory environment. The global electric vehicle (EV) industry is a classic example of such volatility with rapidly increasing rates of innovation, falling battery prices and robust momentum of </w:t>
      </w:r>
      <w:r>
        <w:rPr>
          <w:rFonts w:ascii="Times New Roman" w:hAnsi="Times New Roman" w:cs="Times New Roman"/>
          <w:sz w:val="24"/>
          <w:szCs w:val="24"/>
          <w:lang w:val="en-US"/>
        </w:rPr>
        <w:t>policy-changing</w:t>
      </w:r>
      <w:r w:rsidRPr="00F73285">
        <w:rPr>
          <w:rFonts w:ascii="Times New Roman" w:hAnsi="Times New Roman" w:cs="Times New Roman"/>
          <w:sz w:val="24"/>
          <w:szCs w:val="24"/>
          <w:lang w:val="en-US"/>
        </w:rPr>
        <w:t xml:space="preserve"> market structures. </w:t>
      </w:r>
      <w:proofErr w:type="spellStart"/>
      <w:r w:rsidRPr="00F73285">
        <w:rPr>
          <w:rFonts w:ascii="Times New Roman" w:hAnsi="Times New Roman" w:cs="Times New Roman"/>
          <w:sz w:val="24"/>
          <w:szCs w:val="24"/>
          <w:lang w:val="en-US"/>
        </w:rPr>
        <w:t>BloombergNEF</w:t>
      </w:r>
      <w:proofErr w:type="spellEnd"/>
      <w:r w:rsidRPr="00F73285">
        <w:rPr>
          <w:rFonts w:ascii="Times New Roman" w:hAnsi="Times New Roman" w:cs="Times New Roman"/>
          <w:sz w:val="24"/>
          <w:szCs w:val="24"/>
          <w:lang w:val="en-US"/>
        </w:rPr>
        <w:t xml:space="preserve"> (2024) reports that the global EV sales were also </w:t>
      </w:r>
      <w:r>
        <w:rPr>
          <w:rFonts w:ascii="Times New Roman" w:hAnsi="Times New Roman" w:cs="Times New Roman"/>
          <w:sz w:val="24"/>
          <w:szCs w:val="24"/>
          <w:lang w:val="en-US"/>
        </w:rPr>
        <w:t>at</w:t>
      </w:r>
      <w:r w:rsidRPr="00F73285">
        <w:rPr>
          <w:rFonts w:ascii="Times New Roman" w:hAnsi="Times New Roman" w:cs="Times New Roman"/>
          <w:sz w:val="24"/>
          <w:szCs w:val="24"/>
          <w:lang w:val="en-US"/>
        </w:rPr>
        <w:t xml:space="preserve"> new record levels as battery pack prices </w:t>
      </w:r>
      <w:r>
        <w:rPr>
          <w:rFonts w:ascii="Times New Roman" w:hAnsi="Times New Roman" w:cs="Times New Roman"/>
          <w:sz w:val="24"/>
          <w:szCs w:val="24"/>
          <w:lang w:val="en-US"/>
        </w:rPr>
        <w:t>continued</w:t>
      </w:r>
      <w:r w:rsidRPr="00F73285">
        <w:rPr>
          <w:rFonts w:ascii="Times New Roman" w:hAnsi="Times New Roman" w:cs="Times New Roman"/>
          <w:sz w:val="24"/>
          <w:szCs w:val="24"/>
          <w:lang w:val="en-US"/>
        </w:rPr>
        <w:t xml:space="preserve"> </w:t>
      </w:r>
      <w:r>
        <w:rPr>
          <w:rFonts w:ascii="Times New Roman" w:hAnsi="Times New Roman" w:cs="Times New Roman"/>
          <w:sz w:val="24"/>
          <w:szCs w:val="24"/>
          <w:lang w:val="en-US"/>
        </w:rPr>
        <w:t>to decrease</w:t>
      </w:r>
      <w:r w:rsidRPr="00F73285">
        <w:rPr>
          <w:rFonts w:ascii="Times New Roman" w:hAnsi="Times New Roman" w:cs="Times New Roman"/>
          <w:sz w:val="24"/>
          <w:szCs w:val="24"/>
          <w:lang w:val="en-US"/>
        </w:rPr>
        <w:t>, which put additional pressure on both established and new manufacturers. These forces increase the prominence of environmental scanning in marketing management since companies need to foresee external changes that directly affect product creation, market positioning and growth paths in the long run (Kotler and Keller, 2016).</w:t>
      </w:r>
    </w:p>
    <w:p w14:paraId="49ACB8B4" w14:textId="46C24A8E" w:rsidR="00F73285" w:rsidRPr="00F73285" w:rsidRDefault="00F73285" w:rsidP="00F73285">
      <w:pPr>
        <w:spacing w:line="360" w:lineRule="auto"/>
        <w:jc w:val="both"/>
        <w:rPr>
          <w:rFonts w:ascii="Times New Roman" w:hAnsi="Times New Roman" w:cs="Times New Roman"/>
          <w:sz w:val="24"/>
          <w:szCs w:val="24"/>
          <w:lang w:val="en-US"/>
        </w:rPr>
      </w:pPr>
      <w:r w:rsidRPr="00F73285">
        <w:rPr>
          <w:rFonts w:ascii="Times New Roman" w:hAnsi="Times New Roman" w:cs="Times New Roman"/>
          <w:sz w:val="24"/>
          <w:szCs w:val="24"/>
          <w:lang w:val="en-US"/>
        </w:rPr>
        <w:t xml:space="preserve">The report critically evaluates two key macro-environmental forces, technological forces and environmental/regulatory forces, because of the disproportionate influence they have on the competitiveness of the EV sector and its strategic development. The innovation in battery chemistry, software and charging infrastructure </w:t>
      </w:r>
      <w:r>
        <w:rPr>
          <w:rFonts w:ascii="Times New Roman" w:hAnsi="Times New Roman" w:cs="Times New Roman"/>
          <w:sz w:val="24"/>
          <w:szCs w:val="24"/>
          <w:lang w:val="en-US"/>
        </w:rPr>
        <w:t>has</w:t>
      </w:r>
      <w:r w:rsidRPr="00F73285">
        <w:rPr>
          <w:rFonts w:ascii="Times New Roman" w:hAnsi="Times New Roman" w:cs="Times New Roman"/>
          <w:sz w:val="24"/>
          <w:szCs w:val="24"/>
          <w:lang w:val="en-US"/>
        </w:rPr>
        <w:t xml:space="preserve"> completely changed the competitive advantage, and to enhance the market viability, environmental regulation and emission requirements</w:t>
      </w:r>
      <w:r>
        <w:rPr>
          <w:rFonts w:ascii="Times New Roman" w:hAnsi="Times New Roman" w:cs="Times New Roman"/>
          <w:sz w:val="24"/>
          <w:szCs w:val="24"/>
          <w:lang w:val="en-US"/>
        </w:rPr>
        <w:t>,</w:t>
      </w:r>
      <w:r w:rsidRPr="00F73285">
        <w:rPr>
          <w:rFonts w:ascii="Times New Roman" w:hAnsi="Times New Roman" w:cs="Times New Roman"/>
          <w:sz w:val="24"/>
          <w:szCs w:val="24"/>
          <w:lang w:val="en-US"/>
        </w:rPr>
        <w:t xml:space="preserve"> and government incentives are becoming a determinant (International Energy Agency, 2024). In order to assess these dynamics, Tesla is considered a pioneering organisation and Volkswagen Group a follower. Innovation-led scaling and vertical integration have also strengthened Tesla as an early-mover based on first-mover advantage theory (Lieberman and Montgomery, 1988). Wolfe, on the other hand, is a legacy company that is currently experiencing a complicated strategic shift caused by regulatory and technological forces.</w:t>
      </w:r>
    </w:p>
    <w:p w14:paraId="48A59117" w14:textId="04FDB780" w:rsidR="0089230D" w:rsidRPr="0089230D" w:rsidRDefault="00F73285" w:rsidP="00F73285">
      <w:pPr>
        <w:spacing w:line="360" w:lineRule="auto"/>
        <w:jc w:val="both"/>
        <w:rPr>
          <w:rFonts w:ascii="Times New Roman" w:hAnsi="Times New Roman" w:cs="Times New Roman"/>
          <w:sz w:val="24"/>
          <w:szCs w:val="24"/>
          <w:lang w:val="en-US"/>
        </w:rPr>
      </w:pPr>
      <w:r w:rsidRPr="00F73285">
        <w:rPr>
          <w:rFonts w:ascii="Times New Roman" w:hAnsi="Times New Roman" w:cs="Times New Roman"/>
          <w:sz w:val="24"/>
          <w:szCs w:val="24"/>
          <w:lang w:val="en-US"/>
        </w:rPr>
        <w:t>The report will cover two sections: Task 1 will examine how the chosen macro actors generate opportunities and threats, whereas Task 2 will assess how Tesla and Volkswagen react strategically using models like the Growth Matrix by Ansoff and the Generic Strategies by Porter</w:t>
      </w:r>
      <w:r w:rsidR="0089230D" w:rsidRPr="0089230D">
        <w:rPr>
          <w:rFonts w:ascii="Times New Roman" w:hAnsi="Times New Roman" w:cs="Times New Roman"/>
          <w:sz w:val="24"/>
          <w:szCs w:val="24"/>
          <w:lang w:val="en-US"/>
        </w:rPr>
        <w:t>.</w:t>
      </w:r>
    </w:p>
    <w:p w14:paraId="12BBF24E" w14:textId="77777777" w:rsidR="000A02A2" w:rsidRPr="00575E31" w:rsidRDefault="003447B2" w:rsidP="003447B2">
      <w:pPr>
        <w:pStyle w:val="Heading1"/>
        <w:rPr>
          <w:rFonts w:cs="Times New Roman"/>
          <w:lang w:val="en-US"/>
        </w:rPr>
      </w:pPr>
      <w:bookmarkStart w:id="1" w:name="_Toc214247311"/>
      <w:r w:rsidRPr="00575E31">
        <w:rPr>
          <w:rFonts w:cs="Times New Roman"/>
        </w:rPr>
        <w:lastRenderedPageBreak/>
        <w:t xml:space="preserve">2. Critical Analysis </w:t>
      </w:r>
      <w:proofErr w:type="gramStart"/>
      <w:r w:rsidRPr="00575E31">
        <w:rPr>
          <w:rFonts w:cs="Times New Roman"/>
        </w:rPr>
        <w:t>Of</w:t>
      </w:r>
      <w:proofErr w:type="gramEnd"/>
      <w:r w:rsidRPr="00575E31">
        <w:rPr>
          <w:rFonts w:cs="Times New Roman"/>
        </w:rPr>
        <w:t xml:space="preserve"> </w:t>
      </w:r>
      <w:proofErr w:type="gramStart"/>
      <w:r w:rsidRPr="00575E31">
        <w:rPr>
          <w:rFonts w:cs="Times New Roman"/>
        </w:rPr>
        <w:t>The</w:t>
      </w:r>
      <w:proofErr w:type="gramEnd"/>
      <w:r w:rsidRPr="00575E31">
        <w:rPr>
          <w:rFonts w:cs="Times New Roman"/>
        </w:rPr>
        <w:t xml:space="preserve"> Macro Marketing Environment</w:t>
      </w:r>
      <w:bookmarkEnd w:id="1"/>
    </w:p>
    <w:p w14:paraId="4F4B50BC" w14:textId="77777777" w:rsidR="0089230D" w:rsidRPr="00575E31" w:rsidRDefault="0089230D" w:rsidP="003447B2">
      <w:pPr>
        <w:pStyle w:val="Heading2"/>
        <w:rPr>
          <w:rFonts w:cs="Times New Roman"/>
          <w:color w:val="auto"/>
          <w:lang w:val="en-US"/>
        </w:rPr>
      </w:pPr>
      <w:bookmarkStart w:id="2" w:name="_Toc214247312"/>
      <w:r w:rsidRPr="00575E31">
        <w:rPr>
          <w:rFonts w:cs="Times New Roman"/>
          <w:color w:val="auto"/>
          <w:lang w:val="en-US"/>
        </w:rPr>
        <w:t>2.1 Overview of the Macro Marketing Environment</w:t>
      </w:r>
      <w:bookmarkEnd w:id="2"/>
    </w:p>
    <w:p w14:paraId="5E31D8F4" w14:textId="77777777" w:rsidR="005237D3" w:rsidRPr="005237D3" w:rsidRDefault="005237D3" w:rsidP="005237D3">
      <w:pPr>
        <w:spacing w:line="360" w:lineRule="auto"/>
        <w:jc w:val="both"/>
        <w:rPr>
          <w:rFonts w:ascii="Times New Roman" w:hAnsi="Times New Roman" w:cs="Times New Roman"/>
          <w:sz w:val="24"/>
          <w:szCs w:val="24"/>
          <w:lang w:val="en-US"/>
        </w:rPr>
      </w:pPr>
      <w:r w:rsidRPr="005237D3">
        <w:rPr>
          <w:rFonts w:ascii="Times New Roman" w:hAnsi="Times New Roman" w:cs="Times New Roman"/>
          <w:sz w:val="24"/>
          <w:szCs w:val="24"/>
          <w:lang w:val="en-US"/>
        </w:rPr>
        <w:t>The macro marketing environment consists of external, uncontrollable factors such as political, economic, social, technological, environmental and legal (PESTEL) that influence strategic choices and competition at the industry level (Kotler and Keller, 2016). With a high rate of change, e.g. electric vehicles (EVs), these forces have disproportional influence as they dictate regulatory constraints, influence the trajectory of innovation and the consumer expectations. The recent industry statistics demonstrate the magnitude and rate of such a change: EV sales in the world have been increasing at a steady pace in China, Europe and the United States, which is indicative of a rapid diffusion of clean technologies and increasing competition in the market (</w:t>
      </w:r>
      <w:proofErr w:type="spellStart"/>
      <w:r w:rsidRPr="005237D3">
        <w:rPr>
          <w:rFonts w:ascii="Times New Roman" w:hAnsi="Times New Roman" w:cs="Times New Roman"/>
          <w:sz w:val="24"/>
          <w:szCs w:val="24"/>
          <w:lang w:val="en-US"/>
        </w:rPr>
        <w:t>BloombergNEF</w:t>
      </w:r>
      <w:proofErr w:type="spellEnd"/>
      <w:r w:rsidRPr="005237D3">
        <w:rPr>
          <w:rFonts w:ascii="Times New Roman" w:hAnsi="Times New Roman" w:cs="Times New Roman"/>
          <w:sz w:val="24"/>
          <w:szCs w:val="24"/>
          <w:lang w:val="en-US"/>
        </w:rPr>
        <w:t>, 2024). Figure 1: Global EV Sales 2018-2024 shows a clear acceleration, although the annual sales growth has been caused by a declining battery price, governmental incentives and stricter emissions regulations.</w:t>
      </w:r>
    </w:p>
    <w:p w14:paraId="1B5156ED" w14:textId="3E20FB0F" w:rsidR="0089230D" w:rsidRPr="00575E31" w:rsidRDefault="005237D3" w:rsidP="005237D3">
      <w:pPr>
        <w:spacing w:line="360" w:lineRule="auto"/>
        <w:jc w:val="both"/>
        <w:rPr>
          <w:rFonts w:ascii="Times New Roman" w:hAnsi="Times New Roman" w:cs="Times New Roman"/>
          <w:sz w:val="24"/>
          <w:szCs w:val="24"/>
          <w:lang w:val="en-US"/>
        </w:rPr>
      </w:pPr>
      <w:r w:rsidRPr="005237D3">
        <w:rPr>
          <w:rFonts w:ascii="Times New Roman" w:hAnsi="Times New Roman" w:cs="Times New Roman"/>
          <w:sz w:val="24"/>
          <w:szCs w:val="24"/>
          <w:lang w:val="en-US"/>
        </w:rPr>
        <w:t xml:space="preserve">In this environment, strategic marketing considerations will be dominated by technological and environmental/regulatory forces. The development of technologies in the field of battery performance, software and charging infrastructure integration intensifies the pressure of innovation and cost-competitiveness among manufacturers. Simultaneously, the industry structures undergo a direct transformation by environmental and legal pressures, especially the EU emissions regulations, country legislation on EV and international commitments to </w:t>
      </w:r>
      <w:proofErr w:type="spellStart"/>
      <w:r w:rsidRPr="005237D3">
        <w:rPr>
          <w:rFonts w:ascii="Times New Roman" w:hAnsi="Times New Roman" w:cs="Times New Roman"/>
          <w:sz w:val="24"/>
          <w:szCs w:val="24"/>
          <w:lang w:val="en-US"/>
        </w:rPr>
        <w:t>decarbonisation</w:t>
      </w:r>
      <w:proofErr w:type="spellEnd"/>
      <w:r w:rsidRPr="005237D3">
        <w:rPr>
          <w:rFonts w:ascii="Times New Roman" w:hAnsi="Times New Roman" w:cs="Times New Roman"/>
          <w:sz w:val="24"/>
          <w:szCs w:val="24"/>
          <w:lang w:val="en-US"/>
        </w:rPr>
        <w:t xml:space="preserve">, which </w:t>
      </w:r>
      <w:proofErr w:type="spellStart"/>
      <w:r w:rsidRPr="005237D3">
        <w:rPr>
          <w:rFonts w:ascii="Times New Roman" w:hAnsi="Times New Roman" w:cs="Times New Roman"/>
          <w:sz w:val="24"/>
          <w:szCs w:val="24"/>
          <w:lang w:val="en-US"/>
        </w:rPr>
        <w:t>favour</w:t>
      </w:r>
      <w:proofErr w:type="spellEnd"/>
      <w:r w:rsidRPr="005237D3">
        <w:rPr>
          <w:rFonts w:ascii="Times New Roman" w:hAnsi="Times New Roman" w:cs="Times New Roman"/>
          <w:sz w:val="24"/>
          <w:szCs w:val="24"/>
          <w:lang w:val="en-US"/>
        </w:rPr>
        <w:t xml:space="preserve"> companies that can swiftly electrify (International Energy Agency, 2024). Collectively, these external forces lead to a topography in which competitive advantage hinges more and more on the skill of firms to read, foresee and adjust to macro-level changes, and environmental scanning is a key element of strategic marketing management</w:t>
      </w:r>
      <w:r w:rsidR="0089230D" w:rsidRPr="0089230D">
        <w:rPr>
          <w:rFonts w:ascii="Times New Roman" w:hAnsi="Times New Roman" w:cs="Times New Roman"/>
          <w:sz w:val="24"/>
          <w:szCs w:val="24"/>
          <w:lang w:val="en-US"/>
        </w:rPr>
        <w:t>.</w:t>
      </w:r>
    </w:p>
    <w:p w14:paraId="1A807893" w14:textId="77777777" w:rsidR="00477F99" w:rsidRPr="00575E31" w:rsidRDefault="00477F99" w:rsidP="003447B2">
      <w:pPr>
        <w:spacing w:line="360" w:lineRule="auto"/>
        <w:jc w:val="both"/>
        <w:rPr>
          <w:rFonts w:ascii="Times New Roman" w:hAnsi="Times New Roman" w:cs="Times New Roman"/>
          <w:sz w:val="24"/>
          <w:szCs w:val="24"/>
          <w:lang w:val="en-US"/>
        </w:rPr>
      </w:pPr>
    </w:p>
    <w:p w14:paraId="4D9E54E7" w14:textId="77777777" w:rsidR="00477F99" w:rsidRPr="00575E31" w:rsidRDefault="00F35A5C" w:rsidP="00477F99">
      <w:pPr>
        <w:keepNext/>
        <w:spacing w:line="360" w:lineRule="auto"/>
        <w:jc w:val="center"/>
        <w:rPr>
          <w:rFonts w:ascii="Times New Roman" w:hAnsi="Times New Roman" w:cs="Times New Roman"/>
        </w:rPr>
      </w:pPr>
      <w:r w:rsidRPr="00575E31">
        <w:rPr>
          <w:rFonts w:ascii="Times New Roman" w:hAnsi="Times New Roman" w:cs="Times New Roman"/>
          <w:noProof/>
          <w:sz w:val="24"/>
          <w:szCs w:val="24"/>
          <w:lang w:val="en-US"/>
        </w:rPr>
        <w:lastRenderedPageBreak/>
        <w:drawing>
          <wp:inline distT="0" distB="0" distL="0" distR="0" wp14:anchorId="30A147D3" wp14:editId="364D4909">
            <wp:extent cx="5797424" cy="2700915"/>
            <wp:effectExtent l="19050" t="19050" r="13335" b="23495"/>
            <wp:docPr id="23539604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5396042" name="Picture 235396042"/>
                    <pic:cNvPicPr/>
                  </pic:nvPicPr>
                  <pic:blipFill>
                    <a:blip r:embed="rId10">
                      <a:extLst>
                        <a:ext uri="{28A0092B-C50C-407E-A947-70E740481C1C}">
                          <a14:useLocalDpi xmlns:a14="http://schemas.microsoft.com/office/drawing/2010/main" val="0"/>
                        </a:ext>
                      </a:extLst>
                    </a:blip>
                    <a:stretch>
                      <a:fillRect/>
                    </a:stretch>
                  </pic:blipFill>
                  <pic:spPr>
                    <a:xfrm>
                      <a:off x="0" y="0"/>
                      <a:ext cx="5850561" cy="2725670"/>
                    </a:xfrm>
                    <a:prstGeom prst="rect">
                      <a:avLst/>
                    </a:prstGeom>
                    <a:ln>
                      <a:solidFill>
                        <a:schemeClr val="tx1"/>
                      </a:solidFill>
                    </a:ln>
                  </pic:spPr>
                </pic:pic>
              </a:graphicData>
            </a:graphic>
          </wp:inline>
        </w:drawing>
      </w:r>
    </w:p>
    <w:p w14:paraId="1F9CBE91" w14:textId="4F8ED4C6" w:rsidR="009836C3" w:rsidRPr="009836C3" w:rsidRDefault="009836C3" w:rsidP="009836C3">
      <w:pPr>
        <w:spacing w:line="240" w:lineRule="auto"/>
        <w:rPr>
          <w:rFonts w:ascii="Times New Roman" w:hAnsi="Times New Roman" w:cs="Times New Roman"/>
          <w:sz w:val="20"/>
          <w:szCs w:val="20"/>
          <w:lang w:val="en-US"/>
        </w:rPr>
      </w:pPr>
      <w:bookmarkStart w:id="3" w:name="_Toc214247400"/>
      <w:r w:rsidRPr="009836C3">
        <w:rPr>
          <w:rFonts w:ascii="Times New Roman" w:hAnsi="Times New Roman" w:cs="Times New Roman"/>
          <w:b/>
          <w:bCs/>
          <w:i/>
          <w:iCs/>
          <w:sz w:val="20"/>
          <w:szCs w:val="20"/>
          <w:lang w:val="en-US"/>
        </w:rPr>
        <w:t>Note:</w:t>
      </w:r>
      <w:r>
        <w:rPr>
          <w:rFonts w:ascii="Times New Roman" w:hAnsi="Times New Roman" w:cs="Times New Roman"/>
          <w:i/>
          <w:iCs/>
          <w:sz w:val="20"/>
          <w:szCs w:val="20"/>
          <w:lang w:val="en-US"/>
        </w:rPr>
        <w:t xml:space="preserve"> </w:t>
      </w:r>
      <w:r w:rsidRPr="005237D3">
        <w:rPr>
          <w:rFonts w:ascii="Times New Roman" w:hAnsi="Times New Roman" w:cs="Times New Roman"/>
          <w:i/>
          <w:iCs/>
          <w:sz w:val="20"/>
          <w:szCs w:val="20"/>
          <w:lang w:val="en-US"/>
        </w:rPr>
        <w:t>This figure shows the high rate of adoption of EVs in major parts of the world, China, Europe, North America, and the Rest of the World, which underscores the growing technology and regulatory force that is increasing competitive intensity in the EV world</w:t>
      </w:r>
      <w:r w:rsidRPr="001C38C4">
        <w:rPr>
          <w:rFonts w:ascii="Times New Roman" w:hAnsi="Times New Roman" w:cs="Times New Roman"/>
          <w:i/>
          <w:iCs/>
          <w:sz w:val="20"/>
          <w:szCs w:val="20"/>
          <w:lang w:val="en-US"/>
        </w:rPr>
        <w:t>.</w:t>
      </w:r>
    </w:p>
    <w:p w14:paraId="4E2BEFEB" w14:textId="53AFF026" w:rsidR="00564B48" w:rsidRPr="00575E31" w:rsidRDefault="00477F99" w:rsidP="00477F99">
      <w:pPr>
        <w:pStyle w:val="Caption"/>
        <w:jc w:val="center"/>
        <w:rPr>
          <w:rFonts w:ascii="Times New Roman" w:hAnsi="Times New Roman" w:cs="Times New Roman"/>
          <w:b/>
          <w:bCs/>
          <w:color w:val="auto"/>
          <w:sz w:val="28"/>
          <w:szCs w:val="28"/>
          <w:lang w:val="en-US"/>
        </w:rPr>
      </w:pPr>
      <w:r w:rsidRPr="00575E31">
        <w:rPr>
          <w:rFonts w:ascii="Times New Roman" w:hAnsi="Times New Roman" w:cs="Times New Roman"/>
          <w:b/>
          <w:bCs/>
          <w:color w:val="auto"/>
          <w:sz w:val="20"/>
          <w:szCs w:val="20"/>
        </w:rPr>
        <w:t xml:space="preserve">Figure </w:t>
      </w:r>
      <w:r w:rsidRPr="00575E31">
        <w:rPr>
          <w:rFonts w:ascii="Times New Roman" w:hAnsi="Times New Roman" w:cs="Times New Roman"/>
          <w:b/>
          <w:bCs/>
          <w:color w:val="auto"/>
          <w:sz w:val="20"/>
          <w:szCs w:val="20"/>
        </w:rPr>
        <w:fldChar w:fldCharType="begin"/>
      </w:r>
      <w:r w:rsidRPr="00575E31">
        <w:rPr>
          <w:rFonts w:ascii="Times New Roman" w:hAnsi="Times New Roman" w:cs="Times New Roman"/>
          <w:b/>
          <w:bCs/>
          <w:color w:val="auto"/>
          <w:sz w:val="20"/>
          <w:szCs w:val="20"/>
        </w:rPr>
        <w:instrText xml:space="preserve"> SEQ Figure \* ARABIC </w:instrText>
      </w:r>
      <w:r w:rsidRPr="00575E31">
        <w:rPr>
          <w:rFonts w:ascii="Times New Roman" w:hAnsi="Times New Roman" w:cs="Times New Roman"/>
          <w:b/>
          <w:bCs/>
          <w:color w:val="auto"/>
          <w:sz w:val="20"/>
          <w:szCs w:val="20"/>
        </w:rPr>
        <w:fldChar w:fldCharType="separate"/>
      </w:r>
      <w:r w:rsidR="00D759A0" w:rsidRPr="00575E31">
        <w:rPr>
          <w:rFonts w:ascii="Times New Roman" w:hAnsi="Times New Roman" w:cs="Times New Roman"/>
          <w:b/>
          <w:bCs/>
          <w:noProof/>
          <w:color w:val="auto"/>
          <w:sz w:val="20"/>
          <w:szCs w:val="20"/>
        </w:rPr>
        <w:t>1</w:t>
      </w:r>
      <w:r w:rsidRPr="00575E31">
        <w:rPr>
          <w:rFonts w:ascii="Times New Roman" w:hAnsi="Times New Roman" w:cs="Times New Roman"/>
          <w:b/>
          <w:bCs/>
          <w:color w:val="auto"/>
          <w:sz w:val="20"/>
          <w:szCs w:val="20"/>
        </w:rPr>
        <w:fldChar w:fldCharType="end"/>
      </w:r>
      <w:r w:rsidRPr="00575E31">
        <w:rPr>
          <w:rFonts w:ascii="Times New Roman" w:hAnsi="Times New Roman" w:cs="Times New Roman"/>
          <w:b/>
          <w:bCs/>
          <w:color w:val="auto"/>
          <w:sz w:val="20"/>
          <w:szCs w:val="20"/>
        </w:rPr>
        <w:t xml:space="preserve">: Global Electric Vehicle Sales by Region, 2018–2024; Source: </w:t>
      </w:r>
      <w:proofErr w:type="spellStart"/>
      <w:r w:rsidRPr="00575E31">
        <w:rPr>
          <w:rFonts w:ascii="Times New Roman" w:hAnsi="Times New Roman" w:cs="Times New Roman"/>
          <w:b/>
          <w:bCs/>
          <w:color w:val="auto"/>
          <w:sz w:val="20"/>
          <w:szCs w:val="20"/>
        </w:rPr>
        <w:t>BloombergNEF</w:t>
      </w:r>
      <w:proofErr w:type="spellEnd"/>
      <w:r w:rsidRPr="00575E31">
        <w:rPr>
          <w:rFonts w:ascii="Times New Roman" w:hAnsi="Times New Roman" w:cs="Times New Roman"/>
          <w:b/>
          <w:bCs/>
          <w:color w:val="auto"/>
          <w:sz w:val="20"/>
          <w:szCs w:val="20"/>
        </w:rPr>
        <w:t xml:space="preserve"> and Jato Dynamics (2024). Global EV Outlook</w:t>
      </w:r>
      <w:bookmarkEnd w:id="3"/>
    </w:p>
    <w:p w14:paraId="3F841778" w14:textId="77777777" w:rsidR="0089230D" w:rsidRPr="00575E31" w:rsidRDefault="0089230D" w:rsidP="003447B2">
      <w:pPr>
        <w:pStyle w:val="Heading2"/>
        <w:rPr>
          <w:rFonts w:cs="Times New Roman"/>
          <w:color w:val="auto"/>
          <w:lang w:val="en-US"/>
        </w:rPr>
      </w:pPr>
      <w:bookmarkStart w:id="4" w:name="_Toc214247313"/>
      <w:r w:rsidRPr="00575E31">
        <w:rPr>
          <w:rFonts w:cs="Times New Roman"/>
          <w:color w:val="auto"/>
          <w:lang w:val="en-US"/>
        </w:rPr>
        <w:t>2.2 Selection and Justification of Two Macro Actors</w:t>
      </w:r>
      <w:bookmarkEnd w:id="4"/>
    </w:p>
    <w:p w14:paraId="4985365A" w14:textId="04484398" w:rsidR="0089230D" w:rsidRPr="00575E31" w:rsidRDefault="00D35FA8" w:rsidP="003447B2">
      <w:pPr>
        <w:spacing w:line="360" w:lineRule="auto"/>
        <w:jc w:val="both"/>
        <w:rPr>
          <w:rFonts w:ascii="Times New Roman" w:hAnsi="Times New Roman" w:cs="Times New Roman"/>
          <w:sz w:val="24"/>
          <w:szCs w:val="24"/>
          <w:lang w:val="en-US"/>
        </w:rPr>
      </w:pPr>
      <w:r w:rsidRPr="00D35FA8">
        <w:rPr>
          <w:rFonts w:ascii="Times New Roman" w:hAnsi="Times New Roman" w:cs="Times New Roman"/>
          <w:sz w:val="24"/>
          <w:szCs w:val="24"/>
          <w:lang w:val="en-US"/>
        </w:rPr>
        <w:t xml:space="preserve">The technological and environmental/ legal actors are the </w:t>
      </w:r>
      <w:proofErr w:type="spellStart"/>
      <w:r w:rsidRPr="00D35FA8">
        <w:rPr>
          <w:rFonts w:ascii="Times New Roman" w:hAnsi="Times New Roman" w:cs="Times New Roman"/>
          <w:sz w:val="24"/>
          <w:szCs w:val="24"/>
          <w:lang w:val="en-US"/>
        </w:rPr>
        <w:t>centre</w:t>
      </w:r>
      <w:proofErr w:type="spellEnd"/>
      <w:r w:rsidRPr="00D35FA8">
        <w:rPr>
          <w:rFonts w:ascii="Times New Roman" w:hAnsi="Times New Roman" w:cs="Times New Roman"/>
          <w:sz w:val="24"/>
          <w:szCs w:val="24"/>
          <w:lang w:val="en-US"/>
        </w:rPr>
        <w:t xml:space="preserve"> of the analysis because of their influential and transformative effect on the global EV industry. Cost structures, performance capabilities and competitive differentiation are a direct result of technological forces, such as the ability of battery innovation, autonomous driving, manufacturing automation and charging infrastructure (</w:t>
      </w:r>
      <w:proofErr w:type="spellStart"/>
      <w:r w:rsidRPr="00D35FA8">
        <w:rPr>
          <w:rFonts w:ascii="Times New Roman" w:hAnsi="Times New Roman" w:cs="Times New Roman"/>
          <w:sz w:val="24"/>
          <w:szCs w:val="24"/>
          <w:lang w:val="en-US"/>
        </w:rPr>
        <w:t>BloombergNEF</w:t>
      </w:r>
      <w:proofErr w:type="spellEnd"/>
      <w:r w:rsidRPr="00D35FA8">
        <w:rPr>
          <w:rFonts w:ascii="Times New Roman" w:hAnsi="Times New Roman" w:cs="Times New Roman"/>
          <w:sz w:val="24"/>
          <w:szCs w:val="24"/>
          <w:lang w:val="en-US"/>
        </w:rPr>
        <w:t xml:space="preserve">, 2024). </w:t>
      </w:r>
      <w:r w:rsidR="00AE65C2" w:rsidRPr="00AE65C2">
        <w:rPr>
          <w:rFonts w:ascii="Times New Roman" w:hAnsi="Times New Roman" w:cs="Times New Roman"/>
          <w:sz w:val="24"/>
          <w:szCs w:val="24"/>
          <w:lang w:val="en-US"/>
        </w:rPr>
        <w:t xml:space="preserve">Meanwhile, the pressure to adhere to environmental and legal standards such as emissions regulations, bans on ICEs and sustainability mandates is extremely high, and companies are going electrified more quickly (International Energy Agency, 2024). The combination of all these actors causes significant strategic pressure in terms of market viability, priority of investment and </w:t>
      </w:r>
      <w:proofErr w:type="gramStart"/>
      <w:r w:rsidR="00AE65C2" w:rsidRPr="00AE65C2">
        <w:rPr>
          <w:rFonts w:ascii="Times New Roman" w:hAnsi="Times New Roman" w:cs="Times New Roman"/>
          <w:sz w:val="24"/>
          <w:szCs w:val="24"/>
          <w:lang w:val="en-US"/>
        </w:rPr>
        <w:t>long term</w:t>
      </w:r>
      <w:proofErr w:type="gramEnd"/>
      <w:r w:rsidR="00AE65C2" w:rsidRPr="00AE65C2">
        <w:rPr>
          <w:rFonts w:ascii="Times New Roman" w:hAnsi="Times New Roman" w:cs="Times New Roman"/>
          <w:sz w:val="24"/>
          <w:szCs w:val="24"/>
          <w:lang w:val="en-US"/>
        </w:rPr>
        <w:t xml:space="preserve"> competitive advantage.</w:t>
      </w:r>
    </w:p>
    <w:p w14:paraId="1682F9C8" w14:textId="77777777" w:rsidR="00564B48" w:rsidRPr="00575E31" w:rsidRDefault="00564B48" w:rsidP="003447B2">
      <w:pPr>
        <w:pStyle w:val="Heading2"/>
        <w:rPr>
          <w:rFonts w:cs="Times New Roman"/>
          <w:color w:val="auto"/>
          <w:lang w:val="en-US"/>
        </w:rPr>
      </w:pPr>
      <w:bookmarkStart w:id="5" w:name="_Toc214247314"/>
      <w:r w:rsidRPr="00575E31">
        <w:rPr>
          <w:rFonts w:cs="Times New Roman"/>
          <w:color w:val="auto"/>
        </w:rPr>
        <w:t>2.3 Critical Analysis of Each Actor</w:t>
      </w:r>
      <w:bookmarkEnd w:id="5"/>
    </w:p>
    <w:p w14:paraId="39B53464" w14:textId="77777777" w:rsidR="0089230D" w:rsidRPr="00575E31" w:rsidRDefault="0089230D" w:rsidP="003447B2">
      <w:pPr>
        <w:pStyle w:val="Heading3"/>
        <w:rPr>
          <w:rFonts w:cs="Times New Roman"/>
          <w:lang w:val="en-US"/>
        </w:rPr>
      </w:pPr>
      <w:bookmarkStart w:id="6" w:name="_Toc214247315"/>
      <w:r w:rsidRPr="00575E31">
        <w:rPr>
          <w:rFonts w:cs="Times New Roman"/>
          <w:lang w:val="en-US"/>
        </w:rPr>
        <w:t>2.3</w:t>
      </w:r>
      <w:r w:rsidR="00564B48" w:rsidRPr="00575E31">
        <w:rPr>
          <w:rFonts w:cs="Times New Roman"/>
          <w:lang w:val="en-US"/>
        </w:rPr>
        <w:t>.1</w:t>
      </w:r>
      <w:r w:rsidRPr="00575E31">
        <w:rPr>
          <w:rFonts w:cs="Times New Roman"/>
          <w:lang w:val="en-US"/>
        </w:rPr>
        <w:t xml:space="preserve"> Technological Actor Analysis</w:t>
      </w:r>
      <w:bookmarkEnd w:id="6"/>
    </w:p>
    <w:p w14:paraId="77A7A5C9" w14:textId="3F32F5E2" w:rsidR="0089230D" w:rsidRPr="00575E31" w:rsidRDefault="00AE65C2" w:rsidP="003447B2">
      <w:pPr>
        <w:spacing w:line="360" w:lineRule="auto"/>
        <w:jc w:val="both"/>
        <w:rPr>
          <w:rFonts w:ascii="Times New Roman" w:hAnsi="Times New Roman" w:cs="Times New Roman"/>
          <w:sz w:val="24"/>
          <w:szCs w:val="24"/>
          <w:lang w:val="en-US"/>
        </w:rPr>
      </w:pPr>
      <w:r w:rsidRPr="00AE65C2">
        <w:rPr>
          <w:rFonts w:ascii="Times New Roman" w:hAnsi="Times New Roman" w:cs="Times New Roman"/>
          <w:sz w:val="24"/>
          <w:szCs w:val="24"/>
          <w:lang w:val="en-US"/>
        </w:rPr>
        <w:t>The technological forces that are influencing the cost structure, potential and long-term market positioning are the strongest cause of competitive asymmetry in the global EV industry</w:t>
      </w:r>
      <w:r w:rsidR="00D35FA8" w:rsidRPr="00D35FA8">
        <w:rPr>
          <w:rFonts w:ascii="Times New Roman" w:hAnsi="Times New Roman" w:cs="Times New Roman"/>
          <w:sz w:val="24"/>
          <w:szCs w:val="24"/>
          <w:lang w:val="en-US"/>
        </w:rPr>
        <w:t>. Figure 2: Battery Pack and Cell Prices (</w:t>
      </w:r>
      <w:proofErr w:type="spellStart"/>
      <w:r w:rsidR="00D35FA8" w:rsidRPr="00D35FA8">
        <w:rPr>
          <w:rFonts w:ascii="Times New Roman" w:hAnsi="Times New Roman" w:cs="Times New Roman"/>
          <w:sz w:val="24"/>
          <w:szCs w:val="24"/>
          <w:lang w:val="en-US"/>
        </w:rPr>
        <w:t>BloombergNEF</w:t>
      </w:r>
      <w:proofErr w:type="spellEnd"/>
      <w:r w:rsidR="00D35FA8" w:rsidRPr="00D35FA8">
        <w:rPr>
          <w:rFonts w:ascii="Times New Roman" w:hAnsi="Times New Roman" w:cs="Times New Roman"/>
          <w:sz w:val="24"/>
          <w:szCs w:val="24"/>
          <w:lang w:val="en-US"/>
        </w:rPr>
        <w:t xml:space="preserve">, 2024) </w:t>
      </w:r>
      <w:r w:rsidR="00E30830" w:rsidRPr="00D35FA8">
        <w:rPr>
          <w:rFonts w:ascii="Times New Roman" w:hAnsi="Times New Roman" w:cs="Times New Roman"/>
          <w:sz w:val="24"/>
          <w:szCs w:val="24"/>
          <w:lang w:val="en-US"/>
        </w:rPr>
        <w:t>demonstrate</w:t>
      </w:r>
      <w:r w:rsidR="00D35FA8" w:rsidRPr="00D35FA8">
        <w:rPr>
          <w:rFonts w:ascii="Times New Roman" w:hAnsi="Times New Roman" w:cs="Times New Roman"/>
          <w:sz w:val="24"/>
          <w:szCs w:val="24"/>
          <w:lang w:val="en-US"/>
        </w:rPr>
        <w:t xml:space="preserve"> that the cost of lithium-</w:t>
      </w:r>
      <w:r w:rsidR="00D35FA8" w:rsidRPr="00D35FA8">
        <w:rPr>
          <w:rFonts w:ascii="Times New Roman" w:hAnsi="Times New Roman" w:cs="Times New Roman"/>
          <w:sz w:val="24"/>
          <w:szCs w:val="24"/>
          <w:lang w:val="en-US"/>
        </w:rPr>
        <w:lastRenderedPageBreak/>
        <w:t>ion batteries is steadily decreasing since 2013, which is also supported by Figure 3: Global Lithium-Ion Cell Price Decline (Benchmark Mineral Intelligence, 2024). The decline in battery costs lowers the cost of production by a big margin, allowing economies of scale and hastening the uptake of EVs in the mass market. In the case of innovative companies like Tesla, these declines and enhance true first-mover benefits by reducing marginal costs and strengthening economies of scale attained through vertically integrated battery manufacturing and self-protecting cell technology (Lieberman and Montgomery, 1988)</w:t>
      </w:r>
      <w:r w:rsidR="0089230D" w:rsidRPr="0089230D">
        <w:rPr>
          <w:rFonts w:ascii="Times New Roman" w:hAnsi="Times New Roman" w:cs="Times New Roman"/>
          <w:sz w:val="24"/>
          <w:szCs w:val="24"/>
          <w:lang w:val="en-US"/>
        </w:rPr>
        <w:t>.</w:t>
      </w:r>
    </w:p>
    <w:p w14:paraId="758FF877" w14:textId="77777777" w:rsidR="00477F99" w:rsidRPr="00575E31" w:rsidRDefault="00477F99" w:rsidP="00477F99">
      <w:pPr>
        <w:keepNext/>
        <w:spacing w:line="360" w:lineRule="auto"/>
        <w:jc w:val="both"/>
        <w:rPr>
          <w:rFonts w:ascii="Times New Roman" w:hAnsi="Times New Roman" w:cs="Times New Roman"/>
        </w:rPr>
      </w:pPr>
      <w:r w:rsidRPr="00575E31">
        <w:rPr>
          <w:rFonts w:ascii="Times New Roman" w:hAnsi="Times New Roman" w:cs="Times New Roman"/>
          <w:noProof/>
          <w:sz w:val="24"/>
          <w:szCs w:val="24"/>
          <w:lang w:val="en-US"/>
        </w:rPr>
        <w:drawing>
          <wp:inline distT="0" distB="0" distL="0" distR="0" wp14:anchorId="4DF7C0E0" wp14:editId="34AF2CB7">
            <wp:extent cx="5603919" cy="3044096"/>
            <wp:effectExtent l="19050" t="19050" r="15875" b="23495"/>
            <wp:docPr id="11871525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715253" name="Picture 118715253"/>
                    <pic:cNvPicPr/>
                  </pic:nvPicPr>
                  <pic:blipFill>
                    <a:blip r:embed="rId11">
                      <a:extLst>
                        <a:ext uri="{28A0092B-C50C-407E-A947-70E740481C1C}">
                          <a14:useLocalDpi xmlns:a14="http://schemas.microsoft.com/office/drawing/2010/main" val="0"/>
                        </a:ext>
                      </a:extLst>
                    </a:blip>
                    <a:stretch>
                      <a:fillRect/>
                    </a:stretch>
                  </pic:blipFill>
                  <pic:spPr>
                    <a:xfrm>
                      <a:off x="0" y="0"/>
                      <a:ext cx="5607088" cy="3045817"/>
                    </a:xfrm>
                    <a:prstGeom prst="rect">
                      <a:avLst/>
                    </a:prstGeom>
                    <a:ln>
                      <a:solidFill>
                        <a:schemeClr val="tx1"/>
                      </a:solidFill>
                    </a:ln>
                  </pic:spPr>
                </pic:pic>
              </a:graphicData>
            </a:graphic>
          </wp:inline>
        </w:drawing>
      </w:r>
    </w:p>
    <w:p w14:paraId="2EEA4D1A" w14:textId="5BA5D33E" w:rsidR="009836C3" w:rsidRPr="009836C3" w:rsidRDefault="009836C3" w:rsidP="009836C3">
      <w:pPr>
        <w:spacing w:line="240" w:lineRule="auto"/>
        <w:rPr>
          <w:rFonts w:ascii="Times New Roman" w:hAnsi="Times New Roman" w:cs="Times New Roman"/>
          <w:sz w:val="20"/>
          <w:szCs w:val="20"/>
          <w:lang w:val="en-US"/>
        </w:rPr>
      </w:pPr>
      <w:bookmarkStart w:id="7" w:name="_Toc214247401"/>
      <w:r w:rsidRPr="009836C3">
        <w:rPr>
          <w:rFonts w:ascii="Times New Roman" w:hAnsi="Times New Roman" w:cs="Times New Roman"/>
          <w:b/>
          <w:bCs/>
          <w:i/>
          <w:iCs/>
          <w:sz w:val="20"/>
          <w:szCs w:val="20"/>
          <w:lang w:val="en-US"/>
        </w:rPr>
        <w:t>Note:</w:t>
      </w:r>
      <w:r>
        <w:rPr>
          <w:rFonts w:ascii="Times New Roman" w:hAnsi="Times New Roman" w:cs="Times New Roman"/>
          <w:i/>
          <w:iCs/>
          <w:sz w:val="20"/>
          <w:szCs w:val="20"/>
          <w:lang w:val="en-US"/>
        </w:rPr>
        <w:t xml:space="preserve"> </w:t>
      </w:r>
      <w:r w:rsidRPr="00D35FA8">
        <w:rPr>
          <w:rFonts w:ascii="Times New Roman" w:hAnsi="Times New Roman" w:cs="Times New Roman"/>
          <w:i/>
          <w:iCs/>
          <w:sz w:val="20"/>
          <w:szCs w:val="20"/>
          <w:lang w:val="en-US"/>
        </w:rPr>
        <w:t xml:space="preserve">The figure indicates that lithium-ion battery pack and cell prices </w:t>
      </w:r>
      <w:r>
        <w:rPr>
          <w:rFonts w:ascii="Times New Roman" w:hAnsi="Times New Roman" w:cs="Times New Roman"/>
          <w:i/>
          <w:iCs/>
          <w:sz w:val="20"/>
          <w:szCs w:val="20"/>
          <w:lang w:val="en-US"/>
        </w:rPr>
        <w:t>have been</w:t>
      </w:r>
      <w:r w:rsidRPr="00D35FA8">
        <w:rPr>
          <w:rFonts w:ascii="Times New Roman" w:hAnsi="Times New Roman" w:cs="Times New Roman"/>
          <w:i/>
          <w:iCs/>
          <w:sz w:val="20"/>
          <w:szCs w:val="20"/>
          <w:lang w:val="en-US"/>
        </w:rPr>
        <w:t xml:space="preserve"> steadily decreasing in the last decade, which confirms the reduction in costs of EV production due to technological progress and the competition of innovation between manufacturers</w:t>
      </w:r>
      <w:r w:rsidRPr="001C38C4">
        <w:rPr>
          <w:rFonts w:ascii="Times New Roman" w:hAnsi="Times New Roman" w:cs="Times New Roman"/>
          <w:i/>
          <w:iCs/>
          <w:sz w:val="20"/>
          <w:szCs w:val="20"/>
          <w:lang w:val="en-US"/>
        </w:rPr>
        <w:t>.</w:t>
      </w:r>
    </w:p>
    <w:p w14:paraId="2F3BF587" w14:textId="2F5D71FA" w:rsidR="001C38C4" w:rsidRPr="001C38C4" w:rsidRDefault="00477F99" w:rsidP="00477F99">
      <w:pPr>
        <w:pStyle w:val="Caption"/>
        <w:jc w:val="center"/>
        <w:rPr>
          <w:rFonts w:ascii="Times New Roman" w:hAnsi="Times New Roman" w:cs="Times New Roman"/>
          <w:b/>
          <w:bCs/>
          <w:color w:val="auto"/>
        </w:rPr>
      </w:pPr>
      <w:r w:rsidRPr="00575E31">
        <w:rPr>
          <w:rFonts w:ascii="Times New Roman" w:hAnsi="Times New Roman" w:cs="Times New Roman"/>
          <w:b/>
          <w:bCs/>
          <w:color w:val="auto"/>
          <w:sz w:val="20"/>
          <w:szCs w:val="20"/>
        </w:rPr>
        <w:t xml:space="preserve">Figure </w:t>
      </w:r>
      <w:r w:rsidRPr="00575E31">
        <w:rPr>
          <w:rFonts w:ascii="Times New Roman" w:hAnsi="Times New Roman" w:cs="Times New Roman"/>
          <w:b/>
          <w:bCs/>
          <w:color w:val="auto"/>
          <w:sz w:val="20"/>
          <w:szCs w:val="20"/>
        </w:rPr>
        <w:fldChar w:fldCharType="begin"/>
      </w:r>
      <w:r w:rsidRPr="00575E31">
        <w:rPr>
          <w:rFonts w:ascii="Times New Roman" w:hAnsi="Times New Roman" w:cs="Times New Roman"/>
          <w:b/>
          <w:bCs/>
          <w:color w:val="auto"/>
          <w:sz w:val="20"/>
          <w:szCs w:val="20"/>
        </w:rPr>
        <w:instrText xml:space="preserve"> SEQ Figure \* ARABIC </w:instrText>
      </w:r>
      <w:r w:rsidRPr="00575E31">
        <w:rPr>
          <w:rFonts w:ascii="Times New Roman" w:hAnsi="Times New Roman" w:cs="Times New Roman"/>
          <w:b/>
          <w:bCs/>
          <w:color w:val="auto"/>
          <w:sz w:val="20"/>
          <w:szCs w:val="20"/>
        </w:rPr>
        <w:fldChar w:fldCharType="separate"/>
      </w:r>
      <w:r w:rsidR="00D759A0" w:rsidRPr="00575E31">
        <w:rPr>
          <w:rFonts w:ascii="Times New Roman" w:hAnsi="Times New Roman" w:cs="Times New Roman"/>
          <w:b/>
          <w:bCs/>
          <w:noProof/>
          <w:color w:val="auto"/>
          <w:sz w:val="20"/>
          <w:szCs w:val="20"/>
        </w:rPr>
        <w:t>2</w:t>
      </w:r>
      <w:r w:rsidRPr="00575E31">
        <w:rPr>
          <w:rFonts w:ascii="Times New Roman" w:hAnsi="Times New Roman" w:cs="Times New Roman"/>
          <w:b/>
          <w:bCs/>
          <w:color w:val="auto"/>
          <w:sz w:val="20"/>
          <w:szCs w:val="20"/>
        </w:rPr>
        <w:fldChar w:fldCharType="end"/>
      </w:r>
      <w:r w:rsidRPr="00575E31">
        <w:rPr>
          <w:rFonts w:ascii="Times New Roman" w:hAnsi="Times New Roman" w:cs="Times New Roman"/>
          <w:b/>
          <w:bCs/>
          <w:color w:val="auto"/>
          <w:sz w:val="20"/>
          <w:szCs w:val="20"/>
        </w:rPr>
        <w:t xml:space="preserve">: Lithium-Ion Battery Pack and Cell Price Trends, 2013–2024; Source: </w:t>
      </w:r>
      <w:proofErr w:type="spellStart"/>
      <w:r w:rsidRPr="00575E31">
        <w:rPr>
          <w:rFonts w:ascii="Times New Roman" w:hAnsi="Times New Roman" w:cs="Times New Roman"/>
          <w:b/>
          <w:bCs/>
          <w:color w:val="auto"/>
          <w:sz w:val="20"/>
          <w:szCs w:val="20"/>
        </w:rPr>
        <w:t>BloombergNEF</w:t>
      </w:r>
      <w:proofErr w:type="spellEnd"/>
      <w:r w:rsidRPr="00575E31">
        <w:rPr>
          <w:rFonts w:ascii="Times New Roman" w:hAnsi="Times New Roman" w:cs="Times New Roman"/>
          <w:b/>
          <w:bCs/>
          <w:color w:val="auto"/>
          <w:sz w:val="20"/>
          <w:szCs w:val="20"/>
        </w:rPr>
        <w:t xml:space="preserve"> (2024). Battery Price Survey</w:t>
      </w:r>
      <w:bookmarkEnd w:id="7"/>
    </w:p>
    <w:p w14:paraId="5E6BE30E" w14:textId="54033ED0" w:rsidR="00D35FA8" w:rsidRPr="00D35FA8" w:rsidRDefault="00D35FA8" w:rsidP="00D35FA8">
      <w:pPr>
        <w:spacing w:line="360" w:lineRule="auto"/>
        <w:jc w:val="both"/>
        <w:rPr>
          <w:rFonts w:ascii="Times New Roman" w:hAnsi="Times New Roman" w:cs="Times New Roman"/>
          <w:sz w:val="24"/>
          <w:szCs w:val="24"/>
          <w:lang w:val="en-US"/>
        </w:rPr>
      </w:pPr>
      <w:r w:rsidRPr="00D35FA8">
        <w:rPr>
          <w:rFonts w:ascii="Times New Roman" w:hAnsi="Times New Roman" w:cs="Times New Roman"/>
          <w:sz w:val="24"/>
          <w:szCs w:val="24"/>
          <w:lang w:val="en-US"/>
        </w:rPr>
        <w:t>The investment in gigafactories, the 4680-cell architecture</w:t>
      </w:r>
      <w:r w:rsidR="00E30830">
        <w:rPr>
          <w:rFonts w:ascii="Times New Roman" w:hAnsi="Times New Roman" w:cs="Times New Roman"/>
          <w:sz w:val="24"/>
          <w:szCs w:val="24"/>
          <w:lang w:val="en-US"/>
        </w:rPr>
        <w:t>,</w:t>
      </w:r>
      <w:r w:rsidRPr="00D35FA8">
        <w:rPr>
          <w:rFonts w:ascii="Times New Roman" w:hAnsi="Times New Roman" w:cs="Times New Roman"/>
          <w:sz w:val="24"/>
          <w:szCs w:val="24"/>
          <w:lang w:val="en-US"/>
        </w:rPr>
        <w:t xml:space="preserve"> as well as in-house battery innovation, Tesla proves the way the technological leadership helps the cost leadership and differentiation approaches back. The software-based features of the company, including Full Self-Driving (FSD), over-the-air updates and sophisticated infotainment systems</w:t>
      </w:r>
      <w:r w:rsidR="009836C3">
        <w:rPr>
          <w:rFonts w:ascii="Times New Roman" w:hAnsi="Times New Roman" w:cs="Times New Roman"/>
          <w:sz w:val="24"/>
          <w:szCs w:val="24"/>
          <w:lang w:val="en-US"/>
        </w:rPr>
        <w:t>,</w:t>
      </w:r>
      <w:r w:rsidRPr="00D35FA8">
        <w:rPr>
          <w:rFonts w:ascii="Times New Roman" w:hAnsi="Times New Roman" w:cs="Times New Roman"/>
          <w:sz w:val="24"/>
          <w:szCs w:val="24"/>
          <w:lang w:val="en-US"/>
        </w:rPr>
        <w:t xml:space="preserve"> further strengthen the competitive company due to the ability to build on-going value post-vehicle ownership (Tesla, 2024). Furthermore, the Tesla network of Superchargers serves as a lock-in technology, establishing the dependency of the </w:t>
      </w:r>
      <w:r w:rsidR="00E30830">
        <w:rPr>
          <w:rFonts w:ascii="Times New Roman" w:hAnsi="Times New Roman" w:cs="Times New Roman"/>
          <w:sz w:val="24"/>
          <w:szCs w:val="24"/>
          <w:lang w:val="en-US"/>
        </w:rPr>
        <w:t>ecosystem</w:t>
      </w:r>
      <w:r w:rsidRPr="00D35FA8">
        <w:rPr>
          <w:rFonts w:ascii="Times New Roman" w:hAnsi="Times New Roman" w:cs="Times New Roman"/>
          <w:sz w:val="24"/>
          <w:szCs w:val="24"/>
          <w:lang w:val="en-US"/>
        </w:rPr>
        <w:t xml:space="preserve"> and lowering the perceived switching costs </w:t>
      </w:r>
      <w:r w:rsidR="00E30830">
        <w:rPr>
          <w:rFonts w:ascii="Times New Roman" w:hAnsi="Times New Roman" w:cs="Times New Roman"/>
          <w:sz w:val="24"/>
          <w:szCs w:val="24"/>
          <w:lang w:val="en-US"/>
        </w:rPr>
        <w:t>for</w:t>
      </w:r>
      <w:r w:rsidRPr="00D35FA8">
        <w:rPr>
          <w:rFonts w:ascii="Times New Roman" w:hAnsi="Times New Roman" w:cs="Times New Roman"/>
          <w:sz w:val="24"/>
          <w:szCs w:val="24"/>
          <w:lang w:val="en-US"/>
        </w:rPr>
        <w:t xml:space="preserve"> customers. This strengthens network effects and </w:t>
      </w:r>
      <w:r w:rsidR="00E30830">
        <w:rPr>
          <w:rFonts w:ascii="Times New Roman" w:hAnsi="Times New Roman" w:cs="Times New Roman"/>
          <w:sz w:val="24"/>
          <w:szCs w:val="24"/>
          <w:lang w:val="en-US"/>
        </w:rPr>
        <w:t>Tesla's</w:t>
      </w:r>
      <w:r w:rsidRPr="00D35FA8">
        <w:rPr>
          <w:rFonts w:ascii="Times New Roman" w:hAnsi="Times New Roman" w:cs="Times New Roman"/>
          <w:sz w:val="24"/>
          <w:szCs w:val="24"/>
          <w:lang w:val="en-US"/>
        </w:rPr>
        <w:t xml:space="preserve"> strategic moat further.</w:t>
      </w:r>
    </w:p>
    <w:p w14:paraId="4CCCD68F" w14:textId="50771C82" w:rsidR="0089230D" w:rsidRPr="00575E31" w:rsidRDefault="00D35FA8" w:rsidP="00D35FA8">
      <w:pPr>
        <w:spacing w:line="360" w:lineRule="auto"/>
        <w:jc w:val="both"/>
        <w:rPr>
          <w:rFonts w:ascii="Times New Roman" w:hAnsi="Times New Roman" w:cs="Times New Roman"/>
          <w:sz w:val="24"/>
          <w:szCs w:val="24"/>
          <w:lang w:val="en-US"/>
        </w:rPr>
      </w:pPr>
      <w:r w:rsidRPr="00D35FA8">
        <w:rPr>
          <w:rFonts w:ascii="Times New Roman" w:hAnsi="Times New Roman" w:cs="Times New Roman"/>
          <w:sz w:val="24"/>
          <w:szCs w:val="24"/>
          <w:lang w:val="en-US"/>
        </w:rPr>
        <w:lastRenderedPageBreak/>
        <w:t xml:space="preserve">However, Volkswagen has serious limitations as a follower. Despite significant investments in its MEB vehicle platform and collaboration with battery manufacturers like CATL and </w:t>
      </w:r>
      <w:proofErr w:type="spellStart"/>
      <w:r w:rsidRPr="00D35FA8">
        <w:rPr>
          <w:rFonts w:ascii="Times New Roman" w:hAnsi="Times New Roman" w:cs="Times New Roman"/>
          <w:sz w:val="24"/>
          <w:szCs w:val="24"/>
          <w:lang w:val="en-US"/>
        </w:rPr>
        <w:t>Northvolt</w:t>
      </w:r>
      <w:proofErr w:type="spellEnd"/>
      <w:r w:rsidRPr="00D35FA8">
        <w:rPr>
          <w:rFonts w:ascii="Times New Roman" w:hAnsi="Times New Roman" w:cs="Times New Roman"/>
          <w:sz w:val="24"/>
          <w:szCs w:val="24"/>
          <w:lang w:val="en-US"/>
        </w:rPr>
        <w:t>, the group is dependent on external battery manufacturers, which limits the rate of innovations, makes it susceptible to supply chain shocks and boosts production expenses compared to vertically integrated competitors (Volkswagen AG, 2024). Along with this, the software development delays that Volkswagen continues to experience, especially via its Cariad division, underline the lack of capability to keep up with Tesla in terms of technological turnover</w:t>
      </w:r>
      <w:r w:rsidR="0089230D" w:rsidRPr="0089230D">
        <w:rPr>
          <w:rFonts w:ascii="Times New Roman" w:hAnsi="Times New Roman" w:cs="Times New Roman"/>
          <w:sz w:val="24"/>
          <w:szCs w:val="24"/>
          <w:lang w:val="en-US"/>
        </w:rPr>
        <w:t>.</w:t>
      </w:r>
    </w:p>
    <w:p w14:paraId="694FFB5F" w14:textId="77777777" w:rsidR="00D759A0" w:rsidRPr="00575E31" w:rsidRDefault="00477F99" w:rsidP="00D759A0">
      <w:pPr>
        <w:keepNext/>
        <w:spacing w:line="360" w:lineRule="auto"/>
        <w:jc w:val="center"/>
        <w:rPr>
          <w:rFonts w:ascii="Times New Roman" w:hAnsi="Times New Roman" w:cs="Times New Roman"/>
        </w:rPr>
      </w:pPr>
      <w:r w:rsidRPr="00575E31">
        <w:rPr>
          <w:rFonts w:ascii="Times New Roman" w:hAnsi="Times New Roman" w:cs="Times New Roman"/>
          <w:noProof/>
          <w:sz w:val="24"/>
          <w:szCs w:val="24"/>
          <w:lang w:val="en-US"/>
        </w:rPr>
        <w:drawing>
          <wp:inline distT="0" distB="0" distL="0" distR="0" wp14:anchorId="3F532C11" wp14:editId="74CE5BDE">
            <wp:extent cx="4827182" cy="5003165"/>
            <wp:effectExtent l="0" t="0" r="0" b="6985"/>
            <wp:docPr id="692928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928407" name="Picture 69292840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4831200" cy="5007330"/>
                    </a:xfrm>
                    <a:prstGeom prst="rect">
                      <a:avLst/>
                    </a:prstGeom>
                  </pic:spPr>
                </pic:pic>
              </a:graphicData>
            </a:graphic>
          </wp:inline>
        </w:drawing>
      </w:r>
    </w:p>
    <w:p w14:paraId="0402BB20" w14:textId="204F7722" w:rsidR="009836C3" w:rsidRPr="009836C3" w:rsidRDefault="009836C3" w:rsidP="009836C3">
      <w:pPr>
        <w:spacing w:line="240" w:lineRule="auto"/>
        <w:rPr>
          <w:rFonts w:ascii="Times New Roman" w:hAnsi="Times New Roman" w:cs="Times New Roman"/>
          <w:sz w:val="20"/>
          <w:szCs w:val="20"/>
          <w:lang w:val="en-US"/>
        </w:rPr>
      </w:pPr>
      <w:bookmarkStart w:id="8" w:name="_Toc214247402"/>
      <w:r w:rsidRPr="009836C3">
        <w:rPr>
          <w:rFonts w:ascii="Times New Roman" w:hAnsi="Times New Roman" w:cs="Times New Roman"/>
          <w:b/>
          <w:bCs/>
          <w:i/>
          <w:iCs/>
          <w:sz w:val="20"/>
          <w:szCs w:val="20"/>
          <w:lang w:val="en-US"/>
        </w:rPr>
        <w:t>Note:</w:t>
      </w:r>
      <w:r>
        <w:rPr>
          <w:rFonts w:ascii="Times New Roman" w:hAnsi="Times New Roman" w:cs="Times New Roman"/>
          <w:i/>
          <w:iCs/>
          <w:sz w:val="20"/>
          <w:szCs w:val="20"/>
          <w:lang w:val="en-US"/>
        </w:rPr>
        <w:t xml:space="preserve"> </w:t>
      </w:r>
      <w:r w:rsidRPr="009836C3">
        <w:rPr>
          <w:rFonts w:ascii="Times New Roman" w:hAnsi="Times New Roman" w:cs="Times New Roman"/>
          <w:i/>
          <w:iCs/>
          <w:sz w:val="20"/>
          <w:szCs w:val="20"/>
          <w:lang w:val="en-US"/>
        </w:rPr>
        <w:t>This value represents the declining nature of world prices on lithium-ion cells, which validates the discussion of the way technological advances increase the scale efficiencies and strategic asymmetry between the first and the second mover companies.</w:t>
      </w:r>
    </w:p>
    <w:p w14:paraId="3C6B657F" w14:textId="57EEECE4" w:rsidR="00477F99" w:rsidRPr="00575E31" w:rsidRDefault="00D759A0" w:rsidP="00D759A0">
      <w:pPr>
        <w:pStyle w:val="Caption"/>
        <w:jc w:val="center"/>
        <w:rPr>
          <w:rFonts w:ascii="Times New Roman" w:hAnsi="Times New Roman" w:cs="Times New Roman"/>
          <w:b/>
          <w:bCs/>
          <w:color w:val="auto"/>
          <w:sz w:val="28"/>
          <w:szCs w:val="28"/>
          <w:lang w:val="en-US"/>
        </w:rPr>
      </w:pPr>
      <w:r w:rsidRPr="00575E31">
        <w:rPr>
          <w:rFonts w:ascii="Times New Roman" w:hAnsi="Times New Roman" w:cs="Times New Roman"/>
          <w:b/>
          <w:bCs/>
          <w:color w:val="auto"/>
          <w:sz w:val="20"/>
          <w:szCs w:val="20"/>
        </w:rPr>
        <w:t xml:space="preserve">Figure </w:t>
      </w:r>
      <w:r w:rsidRPr="00575E31">
        <w:rPr>
          <w:rFonts w:ascii="Times New Roman" w:hAnsi="Times New Roman" w:cs="Times New Roman"/>
          <w:b/>
          <w:bCs/>
          <w:color w:val="auto"/>
          <w:sz w:val="20"/>
          <w:szCs w:val="20"/>
        </w:rPr>
        <w:fldChar w:fldCharType="begin"/>
      </w:r>
      <w:r w:rsidRPr="00575E31">
        <w:rPr>
          <w:rFonts w:ascii="Times New Roman" w:hAnsi="Times New Roman" w:cs="Times New Roman"/>
          <w:b/>
          <w:bCs/>
          <w:color w:val="auto"/>
          <w:sz w:val="20"/>
          <w:szCs w:val="20"/>
        </w:rPr>
        <w:instrText xml:space="preserve"> SEQ Figure \* ARABIC </w:instrText>
      </w:r>
      <w:r w:rsidRPr="00575E31">
        <w:rPr>
          <w:rFonts w:ascii="Times New Roman" w:hAnsi="Times New Roman" w:cs="Times New Roman"/>
          <w:b/>
          <w:bCs/>
          <w:color w:val="auto"/>
          <w:sz w:val="20"/>
          <w:szCs w:val="20"/>
        </w:rPr>
        <w:fldChar w:fldCharType="separate"/>
      </w:r>
      <w:r w:rsidRPr="00575E31">
        <w:rPr>
          <w:rFonts w:ascii="Times New Roman" w:hAnsi="Times New Roman" w:cs="Times New Roman"/>
          <w:b/>
          <w:bCs/>
          <w:noProof/>
          <w:color w:val="auto"/>
          <w:sz w:val="20"/>
          <w:szCs w:val="20"/>
        </w:rPr>
        <w:t>3</w:t>
      </w:r>
      <w:r w:rsidRPr="00575E31">
        <w:rPr>
          <w:rFonts w:ascii="Times New Roman" w:hAnsi="Times New Roman" w:cs="Times New Roman"/>
          <w:b/>
          <w:bCs/>
          <w:color w:val="auto"/>
          <w:sz w:val="20"/>
          <w:szCs w:val="20"/>
        </w:rPr>
        <w:fldChar w:fldCharType="end"/>
      </w:r>
      <w:r w:rsidRPr="00575E31">
        <w:rPr>
          <w:rFonts w:ascii="Times New Roman" w:hAnsi="Times New Roman" w:cs="Times New Roman"/>
          <w:b/>
          <w:bCs/>
          <w:color w:val="auto"/>
          <w:sz w:val="20"/>
          <w:szCs w:val="20"/>
        </w:rPr>
        <w:t>: Global Weighted Average Lithium-Ion Cell Price Decline, 2014–2024; Source: Benchmark Mineral Intelligence (2024).</w:t>
      </w:r>
      <w:bookmarkEnd w:id="8"/>
    </w:p>
    <w:p w14:paraId="4466E5A2" w14:textId="18D5EEAA" w:rsidR="00D759A0" w:rsidRPr="00575E31" w:rsidRDefault="00D35FA8" w:rsidP="003447B2">
      <w:pPr>
        <w:spacing w:line="360" w:lineRule="auto"/>
        <w:jc w:val="both"/>
        <w:rPr>
          <w:rFonts w:ascii="Times New Roman" w:hAnsi="Times New Roman" w:cs="Times New Roman"/>
          <w:sz w:val="24"/>
          <w:szCs w:val="24"/>
          <w:lang w:val="en-US"/>
        </w:rPr>
      </w:pPr>
      <w:r w:rsidRPr="00D35FA8">
        <w:rPr>
          <w:rFonts w:ascii="Times New Roman" w:hAnsi="Times New Roman" w:cs="Times New Roman"/>
          <w:sz w:val="24"/>
          <w:szCs w:val="24"/>
          <w:lang w:val="en-US"/>
        </w:rPr>
        <w:t>The technological uncertainty also works against the follower firms since the pioneers gain learning advantages, perfect production efficiency</w:t>
      </w:r>
      <w:r w:rsidR="00E30830">
        <w:rPr>
          <w:rFonts w:ascii="Times New Roman" w:hAnsi="Times New Roman" w:cs="Times New Roman"/>
          <w:sz w:val="24"/>
          <w:szCs w:val="24"/>
          <w:lang w:val="en-US"/>
        </w:rPr>
        <w:t>,</w:t>
      </w:r>
      <w:r w:rsidRPr="00D35FA8">
        <w:rPr>
          <w:rFonts w:ascii="Times New Roman" w:hAnsi="Times New Roman" w:cs="Times New Roman"/>
          <w:sz w:val="24"/>
          <w:szCs w:val="24"/>
          <w:lang w:val="en-US"/>
        </w:rPr>
        <w:t xml:space="preserve"> and </w:t>
      </w:r>
      <w:proofErr w:type="spellStart"/>
      <w:r w:rsidRPr="00D35FA8">
        <w:rPr>
          <w:rFonts w:ascii="Times New Roman" w:hAnsi="Times New Roman" w:cs="Times New Roman"/>
          <w:sz w:val="24"/>
          <w:szCs w:val="24"/>
          <w:lang w:val="en-US"/>
        </w:rPr>
        <w:t>utilise</w:t>
      </w:r>
      <w:proofErr w:type="spellEnd"/>
      <w:r w:rsidRPr="00D35FA8">
        <w:rPr>
          <w:rFonts w:ascii="Times New Roman" w:hAnsi="Times New Roman" w:cs="Times New Roman"/>
          <w:sz w:val="24"/>
          <w:szCs w:val="24"/>
          <w:lang w:val="en-US"/>
        </w:rPr>
        <w:t xml:space="preserve"> the experience curve faster than </w:t>
      </w:r>
      <w:r w:rsidRPr="00D35FA8">
        <w:rPr>
          <w:rFonts w:ascii="Times New Roman" w:hAnsi="Times New Roman" w:cs="Times New Roman"/>
          <w:sz w:val="24"/>
          <w:szCs w:val="24"/>
          <w:lang w:val="en-US"/>
        </w:rPr>
        <w:lastRenderedPageBreak/>
        <w:t>the late entrants. Thus, technological forces push the strategic gap between Tesla and Volkswagen, strengthening the momentum of innovation in the pioneer and revealing the structural and ability-based constraints of the latter</w:t>
      </w:r>
      <w:r w:rsidR="0089230D" w:rsidRPr="0089230D">
        <w:rPr>
          <w:rFonts w:ascii="Times New Roman" w:hAnsi="Times New Roman" w:cs="Times New Roman"/>
          <w:sz w:val="24"/>
          <w:szCs w:val="24"/>
          <w:lang w:val="en-US"/>
        </w:rPr>
        <w:t>.</w:t>
      </w:r>
    </w:p>
    <w:p w14:paraId="3A844D7F" w14:textId="77777777" w:rsidR="00D759A0" w:rsidRPr="00575E31" w:rsidRDefault="00D759A0" w:rsidP="00D759A0">
      <w:pPr>
        <w:keepNext/>
        <w:spacing w:line="360" w:lineRule="auto"/>
        <w:jc w:val="center"/>
        <w:rPr>
          <w:rFonts w:ascii="Times New Roman" w:hAnsi="Times New Roman" w:cs="Times New Roman"/>
          <w:b/>
          <w:bCs/>
          <w:sz w:val="24"/>
          <w:szCs w:val="24"/>
        </w:rPr>
      </w:pPr>
      <w:r w:rsidRPr="00575E31">
        <w:rPr>
          <w:rFonts w:ascii="Times New Roman" w:hAnsi="Times New Roman" w:cs="Times New Roman"/>
          <w:b/>
          <w:bCs/>
          <w:noProof/>
          <w:sz w:val="28"/>
          <w:szCs w:val="28"/>
          <w:lang w:val="en-US"/>
        </w:rPr>
        <w:drawing>
          <wp:inline distT="0" distB="0" distL="0" distR="0" wp14:anchorId="2BA74FBB" wp14:editId="4CAA8AFB">
            <wp:extent cx="5730906" cy="3338623"/>
            <wp:effectExtent l="0" t="0" r="3175" b="0"/>
            <wp:docPr id="1313862404"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862404" name="Picture 1313862404"/>
                    <pic:cNvPicPr/>
                  </pic:nvPicPr>
                  <pic:blipFill>
                    <a:blip r:embed="rId13">
                      <a:extLst>
                        <a:ext uri="{28A0092B-C50C-407E-A947-70E740481C1C}">
                          <a14:useLocalDpi xmlns:a14="http://schemas.microsoft.com/office/drawing/2010/main" val="0"/>
                        </a:ext>
                      </a:extLst>
                    </a:blip>
                    <a:stretch>
                      <a:fillRect/>
                    </a:stretch>
                  </pic:blipFill>
                  <pic:spPr>
                    <a:xfrm>
                      <a:off x="0" y="0"/>
                      <a:ext cx="5750539" cy="3350060"/>
                    </a:xfrm>
                    <a:prstGeom prst="rect">
                      <a:avLst/>
                    </a:prstGeom>
                  </pic:spPr>
                </pic:pic>
              </a:graphicData>
            </a:graphic>
          </wp:inline>
        </w:drawing>
      </w:r>
    </w:p>
    <w:p w14:paraId="1FB1C38A" w14:textId="0A6C406D" w:rsidR="009836C3" w:rsidRPr="009836C3" w:rsidRDefault="009836C3" w:rsidP="009836C3">
      <w:pPr>
        <w:spacing w:line="360" w:lineRule="auto"/>
        <w:rPr>
          <w:rFonts w:ascii="Times New Roman" w:hAnsi="Times New Roman" w:cs="Times New Roman"/>
          <w:sz w:val="20"/>
          <w:szCs w:val="20"/>
          <w:lang w:val="en-US"/>
        </w:rPr>
      </w:pPr>
      <w:bookmarkStart w:id="9" w:name="_Toc214247403"/>
      <w:r w:rsidRPr="009836C3">
        <w:rPr>
          <w:rFonts w:ascii="Times New Roman" w:hAnsi="Times New Roman" w:cs="Times New Roman"/>
          <w:b/>
          <w:bCs/>
          <w:i/>
          <w:iCs/>
          <w:sz w:val="20"/>
          <w:szCs w:val="20"/>
          <w:lang w:val="en-US"/>
        </w:rPr>
        <w:t>Note:</w:t>
      </w:r>
      <w:r>
        <w:rPr>
          <w:rFonts w:ascii="Times New Roman" w:hAnsi="Times New Roman" w:cs="Times New Roman"/>
          <w:i/>
          <w:iCs/>
          <w:sz w:val="20"/>
          <w:szCs w:val="20"/>
          <w:lang w:val="en-US"/>
        </w:rPr>
        <w:t xml:space="preserve"> </w:t>
      </w:r>
      <w:r w:rsidRPr="009836C3">
        <w:rPr>
          <w:rFonts w:ascii="Times New Roman" w:hAnsi="Times New Roman" w:cs="Times New Roman"/>
          <w:i/>
          <w:iCs/>
          <w:sz w:val="20"/>
          <w:szCs w:val="20"/>
          <w:lang w:val="en-US"/>
        </w:rPr>
        <w:t>The figure compares the deliveries of Tesla and Volkswagen in the course of several quarters and illustrates the difference in performance of a leading company and a transitioning company concerning the reaction to the regulatory and technological changes.</w:t>
      </w:r>
    </w:p>
    <w:p w14:paraId="009DCC38" w14:textId="230F5EBA" w:rsidR="00D759A0" w:rsidRPr="00575E31" w:rsidRDefault="00D759A0" w:rsidP="00D759A0">
      <w:pPr>
        <w:pStyle w:val="Caption"/>
        <w:jc w:val="center"/>
        <w:rPr>
          <w:rFonts w:ascii="Times New Roman" w:hAnsi="Times New Roman" w:cs="Times New Roman"/>
          <w:b/>
          <w:bCs/>
          <w:i w:val="0"/>
          <w:iCs w:val="0"/>
          <w:color w:val="auto"/>
          <w:sz w:val="28"/>
          <w:szCs w:val="28"/>
          <w:lang w:val="en-US"/>
        </w:rPr>
      </w:pPr>
      <w:r w:rsidRPr="00575E31">
        <w:rPr>
          <w:rFonts w:ascii="Times New Roman" w:hAnsi="Times New Roman" w:cs="Times New Roman"/>
          <w:b/>
          <w:bCs/>
          <w:color w:val="auto"/>
          <w:sz w:val="20"/>
          <w:szCs w:val="20"/>
        </w:rPr>
        <w:t xml:space="preserve">Figure </w:t>
      </w:r>
      <w:r w:rsidRPr="00575E31">
        <w:rPr>
          <w:rFonts w:ascii="Times New Roman" w:hAnsi="Times New Roman" w:cs="Times New Roman"/>
          <w:b/>
          <w:bCs/>
          <w:color w:val="auto"/>
          <w:sz w:val="20"/>
          <w:szCs w:val="20"/>
        </w:rPr>
        <w:fldChar w:fldCharType="begin"/>
      </w:r>
      <w:r w:rsidRPr="00575E31">
        <w:rPr>
          <w:rFonts w:ascii="Times New Roman" w:hAnsi="Times New Roman" w:cs="Times New Roman"/>
          <w:b/>
          <w:bCs/>
          <w:color w:val="auto"/>
          <w:sz w:val="20"/>
          <w:szCs w:val="20"/>
        </w:rPr>
        <w:instrText xml:space="preserve"> SEQ Figure \* ARABIC </w:instrText>
      </w:r>
      <w:r w:rsidRPr="00575E31">
        <w:rPr>
          <w:rFonts w:ascii="Times New Roman" w:hAnsi="Times New Roman" w:cs="Times New Roman"/>
          <w:b/>
          <w:bCs/>
          <w:color w:val="auto"/>
          <w:sz w:val="20"/>
          <w:szCs w:val="20"/>
        </w:rPr>
        <w:fldChar w:fldCharType="separate"/>
      </w:r>
      <w:r w:rsidRPr="00575E31">
        <w:rPr>
          <w:rFonts w:ascii="Times New Roman" w:hAnsi="Times New Roman" w:cs="Times New Roman"/>
          <w:b/>
          <w:bCs/>
          <w:noProof/>
          <w:color w:val="auto"/>
          <w:sz w:val="20"/>
          <w:szCs w:val="20"/>
        </w:rPr>
        <w:t>4</w:t>
      </w:r>
      <w:r w:rsidRPr="00575E31">
        <w:rPr>
          <w:rFonts w:ascii="Times New Roman" w:hAnsi="Times New Roman" w:cs="Times New Roman"/>
          <w:b/>
          <w:bCs/>
          <w:color w:val="auto"/>
          <w:sz w:val="20"/>
          <w:szCs w:val="20"/>
        </w:rPr>
        <w:fldChar w:fldCharType="end"/>
      </w:r>
      <w:r w:rsidRPr="00575E31">
        <w:rPr>
          <w:rFonts w:ascii="Times New Roman" w:hAnsi="Times New Roman" w:cs="Times New Roman"/>
          <w:b/>
          <w:bCs/>
          <w:color w:val="auto"/>
          <w:sz w:val="20"/>
          <w:szCs w:val="20"/>
        </w:rPr>
        <w:t xml:space="preserve">: Tesla Deliveries vs Volkswagen BEV Sales, Q1 2020–Q3 2021; Source: </w:t>
      </w:r>
      <w:proofErr w:type="spellStart"/>
      <w:r w:rsidRPr="00575E31">
        <w:rPr>
          <w:rFonts w:ascii="Times New Roman" w:hAnsi="Times New Roman" w:cs="Times New Roman"/>
          <w:b/>
          <w:bCs/>
          <w:color w:val="auto"/>
          <w:sz w:val="20"/>
          <w:szCs w:val="20"/>
        </w:rPr>
        <w:t>InsideEVs</w:t>
      </w:r>
      <w:proofErr w:type="spellEnd"/>
      <w:r w:rsidRPr="00575E31">
        <w:rPr>
          <w:rFonts w:ascii="Times New Roman" w:hAnsi="Times New Roman" w:cs="Times New Roman"/>
          <w:b/>
          <w:bCs/>
          <w:color w:val="auto"/>
          <w:sz w:val="20"/>
          <w:szCs w:val="20"/>
        </w:rPr>
        <w:t xml:space="preserve"> (2021).</w:t>
      </w:r>
      <w:bookmarkEnd w:id="9"/>
    </w:p>
    <w:p w14:paraId="42C690B4" w14:textId="77777777" w:rsidR="0089230D" w:rsidRPr="00575E31" w:rsidRDefault="0089230D" w:rsidP="003447B2">
      <w:pPr>
        <w:pStyle w:val="Heading3"/>
        <w:rPr>
          <w:rFonts w:cs="Times New Roman"/>
          <w:lang w:val="en-US"/>
        </w:rPr>
      </w:pPr>
      <w:bookmarkStart w:id="10" w:name="_Toc214247316"/>
      <w:r w:rsidRPr="00575E31">
        <w:rPr>
          <w:rFonts w:cs="Times New Roman"/>
          <w:lang w:val="en-US"/>
        </w:rPr>
        <w:t>2.3</w:t>
      </w:r>
      <w:r w:rsidR="00564B48" w:rsidRPr="00575E31">
        <w:rPr>
          <w:rFonts w:cs="Times New Roman"/>
          <w:lang w:val="en-US"/>
        </w:rPr>
        <w:t>.2</w:t>
      </w:r>
      <w:r w:rsidRPr="00575E31">
        <w:rPr>
          <w:rFonts w:cs="Times New Roman"/>
          <w:lang w:val="en-US"/>
        </w:rPr>
        <w:t xml:space="preserve"> Environmental and Regulatory Actor Analysis</w:t>
      </w:r>
      <w:bookmarkEnd w:id="10"/>
    </w:p>
    <w:p w14:paraId="4ACE2077" w14:textId="786D6C05" w:rsidR="008859FB" w:rsidRPr="008859FB" w:rsidRDefault="008859FB" w:rsidP="008859FB">
      <w:pPr>
        <w:spacing w:line="360" w:lineRule="auto"/>
        <w:jc w:val="both"/>
        <w:rPr>
          <w:rFonts w:ascii="Times New Roman" w:hAnsi="Times New Roman" w:cs="Times New Roman"/>
          <w:sz w:val="24"/>
          <w:szCs w:val="24"/>
          <w:lang w:val="en-US"/>
        </w:rPr>
      </w:pPr>
      <w:r w:rsidRPr="008859FB">
        <w:rPr>
          <w:rFonts w:ascii="Times New Roman" w:hAnsi="Times New Roman" w:cs="Times New Roman"/>
          <w:sz w:val="24"/>
          <w:szCs w:val="24"/>
          <w:lang w:val="en-US"/>
        </w:rPr>
        <w:t xml:space="preserve">EV manufacturers are highly </w:t>
      </w:r>
      <w:proofErr w:type="spellStart"/>
      <w:r w:rsidRPr="008859FB">
        <w:rPr>
          <w:rFonts w:ascii="Times New Roman" w:hAnsi="Times New Roman" w:cs="Times New Roman"/>
          <w:sz w:val="24"/>
          <w:szCs w:val="24"/>
          <w:lang w:val="en-US"/>
        </w:rPr>
        <w:t>pressurised</w:t>
      </w:r>
      <w:proofErr w:type="spellEnd"/>
      <w:r w:rsidRPr="008859FB">
        <w:rPr>
          <w:rFonts w:ascii="Times New Roman" w:hAnsi="Times New Roman" w:cs="Times New Roman"/>
          <w:sz w:val="24"/>
          <w:szCs w:val="24"/>
          <w:lang w:val="en-US"/>
        </w:rPr>
        <w:t xml:space="preserve"> by environmental and regulatory forces that affect technology decisions, investment strategy and market exposure. Figure 1: Global EV Sales 2018-2024: The regulatory momentum</w:t>
      </w:r>
      <w:r w:rsidR="00E30830">
        <w:rPr>
          <w:rFonts w:ascii="Times New Roman" w:hAnsi="Times New Roman" w:cs="Times New Roman"/>
          <w:sz w:val="24"/>
          <w:szCs w:val="24"/>
          <w:lang w:val="en-US"/>
        </w:rPr>
        <w:t>,</w:t>
      </w:r>
      <w:r w:rsidRPr="008859FB">
        <w:rPr>
          <w:rFonts w:ascii="Times New Roman" w:hAnsi="Times New Roman" w:cs="Times New Roman"/>
          <w:sz w:val="24"/>
          <w:szCs w:val="24"/>
          <w:lang w:val="en-US"/>
        </w:rPr>
        <w:t xml:space="preserve"> especially in China, the EU</w:t>
      </w:r>
      <w:r w:rsidR="00E30830">
        <w:rPr>
          <w:rFonts w:ascii="Times New Roman" w:hAnsi="Times New Roman" w:cs="Times New Roman"/>
          <w:sz w:val="24"/>
          <w:szCs w:val="24"/>
          <w:lang w:val="en-US"/>
        </w:rPr>
        <w:t>,</w:t>
      </w:r>
      <w:r w:rsidRPr="008859FB">
        <w:rPr>
          <w:rFonts w:ascii="Times New Roman" w:hAnsi="Times New Roman" w:cs="Times New Roman"/>
          <w:sz w:val="24"/>
          <w:szCs w:val="24"/>
          <w:lang w:val="en-US"/>
        </w:rPr>
        <w:t xml:space="preserve"> and the United States</w:t>
      </w:r>
      <w:r w:rsidR="00E30830">
        <w:rPr>
          <w:rFonts w:ascii="Times New Roman" w:hAnsi="Times New Roman" w:cs="Times New Roman"/>
          <w:sz w:val="24"/>
          <w:szCs w:val="24"/>
          <w:lang w:val="en-US"/>
        </w:rPr>
        <w:t>,</w:t>
      </w:r>
      <w:r w:rsidRPr="008859FB">
        <w:rPr>
          <w:rFonts w:ascii="Times New Roman" w:hAnsi="Times New Roman" w:cs="Times New Roman"/>
          <w:sz w:val="24"/>
          <w:szCs w:val="24"/>
          <w:lang w:val="en-US"/>
        </w:rPr>
        <w:t xml:space="preserve"> has increased EV adoption and has provided competitive pressure across the automotive industry (</w:t>
      </w:r>
      <w:proofErr w:type="spellStart"/>
      <w:r w:rsidRPr="008859FB">
        <w:rPr>
          <w:rFonts w:ascii="Times New Roman" w:hAnsi="Times New Roman" w:cs="Times New Roman"/>
          <w:sz w:val="24"/>
          <w:szCs w:val="24"/>
          <w:lang w:val="en-US"/>
        </w:rPr>
        <w:t>BloombergNEF</w:t>
      </w:r>
      <w:proofErr w:type="spellEnd"/>
      <w:r w:rsidRPr="008859FB">
        <w:rPr>
          <w:rFonts w:ascii="Times New Roman" w:hAnsi="Times New Roman" w:cs="Times New Roman"/>
          <w:sz w:val="24"/>
          <w:szCs w:val="24"/>
          <w:lang w:val="en-US"/>
        </w:rPr>
        <w:t xml:space="preserve">, 2024). One of the most disruptive </w:t>
      </w:r>
      <w:r w:rsidR="00E30830">
        <w:rPr>
          <w:rFonts w:ascii="Times New Roman" w:hAnsi="Times New Roman" w:cs="Times New Roman"/>
          <w:sz w:val="24"/>
          <w:szCs w:val="24"/>
          <w:lang w:val="en-US"/>
        </w:rPr>
        <w:t>regulatory</w:t>
      </w:r>
      <w:r w:rsidRPr="008859FB">
        <w:rPr>
          <w:rFonts w:ascii="Times New Roman" w:hAnsi="Times New Roman" w:cs="Times New Roman"/>
          <w:sz w:val="24"/>
          <w:szCs w:val="24"/>
          <w:lang w:val="en-US"/>
        </w:rPr>
        <w:t xml:space="preserve"> policies in the past that is making the legacy manufacturers shift to a rapid electrification process, despite their technological preparedness, is the move by </w:t>
      </w:r>
      <w:r w:rsidR="00E30830">
        <w:rPr>
          <w:rFonts w:ascii="Times New Roman" w:hAnsi="Times New Roman" w:cs="Times New Roman"/>
          <w:sz w:val="24"/>
          <w:szCs w:val="24"/>
          <w:lang w:val="en-US"/>
        </w:rPr>
        <w:t xml:space="preserve">the </w:t>
      </w:r>
      <w:r w:rsidRPr="008859FB">
        <w:rPr>
          <w:rFonts w:ascii="Times New Roman" w:hAnsi="Times New Roman" w:cs="Times New Roman"/>
          <w:sz w:val="24"/>
          <w:szCs w:val="24"/>
          <w:lang w:val="en-US"/>
        </w:rPr>
        <w:t xml:space="preserve">European Union to prohibit the sale of new internal combustion engine (ICE) vehicles by 2035 (European Commission, 2023). The New Energy Vehicle (NEV) credit scheme in China is based on the production quotas produced by electric vehicles, where companies with more electric production credits are rewarded (International Energy Agency, 2024). Meanwhile, the U.S. Inflation Reduction Act (IRA) </w:t>
      </w:r>
      <w:r w:rsidRPr="008859FB">
        <w:rPr>
          <w:rFonts w:ascii="Times New Roman" w:hAnsi="Times New Roman" w:cs="Times New Roman"/>
          <w:sz w:val="24"/>
          <w:szCs w:val="24"/>
          <w:lang w:val="en-US"/>
        </w:rPr>
        <w:lastRenderedPageBreak/>
        <w:t xml:space="preserve">provides large tax credits on EVs that are assembled domestically and </w:t>
      </w:r>
      <w:proofErr w:type="spellStart"/>
      <w:r w:rsidRPr="008859FB">
        <w:rPr>
          <w:rFonts w:ascii="Times New Roman" w:hAnsi="Times New Roman" w:cs="Times New Roman"/>
          <w:sz w:val="24"/>
          <w:szCs w:val="24"/>
          <w:lang w:val="en-US"/>
        </w:rPr>
        <w:t>utilise</w:t>
      </w:r>
      <w:proofErr w:type="spellEnd"/>
      <w:r w:rsidRPr="008859FB">
        <w:rPr>
          <w:rFonts w:ascii="Times New Roman" w:hAnsi="Times New Roman" w:cs="Times New Roman"/>
          <w:sz w:val="24"/>
          <w:szCs w:val="24"/>
          <w:lang w:val="en-US"/>
        </w:rPr>
        <w:t xml:space="preserve"> local battery supply chains to redefine competitive advantage in terms of geographical production choices.</w:t>
      </w:r>
    </w:p>
    <w:p w14:paraId="60C04939" w14:textId="7BDE1D29" w:rsidR="008859FB" w:rsidRPr="008859FB" w:rsidRDefault="008859FB" w:rsidP="008859FB">
      <w:pPr>
        <w:spacing w:line="360" w:lineRule="auto"/>
        <w:jc w:val="both"/>
        <w:rPr>
          <w:rFonts w:ascii="Times New Roman" w:hAnsi="Times New Roman" w:cs="Times New Roman"/>
          <w:sz w:val="24"/>
          <w:szCs w:val="24"/>
          <w:lang w:val="en-US"/>
        </w:rPr>
      </w:pPr>
      <w:r w:rsidRPr="008859FB">
        <w:rPr>
          <w:rFonts w:ascii="Times New Roman" w:hAnsi="Times New Roman" w:cs="Times New Roman"/>
          <w:sz w:val="24"/>
          <w:szCs w:val="24"/>
          <w:lang w:val="en-US"/>
        </w:rPr>
        <w:t xml:space="preserve">The </w:t>
      </w:r>
      <w:proofErr w:type="spellStart"/>
      <w:r w:rsidRPr="008859FB">
        <w:rPr>
          <w:rFonts w:ascii="Times New Roman" w:hAnsi="Times New Roman" w:cs="Times New Roman"/>
          <w:sz w:val="24"/>
          <w:szCs w:val="24"/>
          <w:lang w:val="en-US"/>
        </w:rPr>
        <w:t>favourable</w:t>
      </w:r>
      <w:proofErr w:type="spellEnd"/>
      <w:r w:rsidRPr="008859FB">
        <w:rPr>
          <w:rFonts w:ascii="Times New Roman" w:hAnsi="Times New Roman" w:cs="Times New Roman"/>
          <w:sz w:val="24"/>
          <w:szCs w:val="24"/>
          <w:lang w:val="en-US"/>
        </w:rPr>
        <w:t xml:space="preserve"> effect of these regulatory changes is an unequal advantage to Tesla. Being a </w:t>
      </w:r>
      <w:r w:rsidR="00E30830">
        <w:rPr>
          <w:rFonts w:ascii="Times New Roman" w:hAnsi="Times New Roman" w:cs="Times New Roman"/>
          <w:sz w:val="24"/>
          <w:szCs w:val="24"/>
          <w:lang w:val="en-US"/>
        </w:rPr>
        <w:t>zero-tailpipe</w:t>
      </w:r>
      <w:r w:rsidRPr="008859FB">
        <w:rPr>
          <w:rFonts w:ascii="Times New Roman" w:hAnsi="Times New Roman" w:cs="Times New Roman"/>
          <w:sz w:val="24"/>
          <w:szCs w:val="24"/>
          <w:lang w:val="en-US"/>
        </w:rPr>
        <w:t xml:space="preserve"> (fully electric) manufacturer, Tesla is structurally endowed with environmental requirements, allowing it to reap regulatory benefits with little compliance cost. Moreover, Tesla collects substantial amounts of money, more than USD 1.7 billion in 2022, by selling regulatory carbon credits to older car manufacturers who cannot achieve their emission quotas (Tesla, 2024). These economic benefits are a self-reinforcing asset as they support more innovation and expansion.</w:t>
      </w:r>
    </w:p>
    <w:p w14:paraId="4BC6014C" w14:textId="658DDF4F" w:rsidR="008859FB" w:rsidRPr="008859FB" w:rsidRDefault="00E30830" w:rsidP="008859FB">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Volkswagen</w:t>
      </w:r>
      <w:r w:rsidR="008859FB" w:rsidRPr="008859FB">
        <w:rPr>
          <w:rFonts w:ascii="Times New Roman" w:hAnsi="Times New Roman" w:cs="Times New Roman"/>
          <w:sz w:val="24"/>
          <w:szCs w:val="24"/>
          <w:lang w:val="en-US"/>
        </w:rPr>
        <w:t xml:space="preserve">, on the contrary, has structural disadvantages. The company has huge sunk costs due to ICE manufacturing plants, long-term supplier agreements and hierarchical production systems that add complexity and cost to transitions. Already </w:t>
      </w:r>
      <w:r>
        <w:rPr>
          <w:rFonts w:ascii="Times New Roman" w:hAnsi="Times New Roman" w:cs="Times New Roman"/>
          <w:sz w:val="24"/>
          <w:szCs w:val="24"/>
          <w:lang w:val="en-US"/>
        </w:rPr>
        <w:t>having</w:t>
      </w:r>
      <w:r w:rsidR="008859FB" w:rsidRPr="008859FB">
        <w:rPr>
          <w:rFonts w:ascii="Times New Roman" w:hAnsi="Times New Roman" w:cs="Times New Roman"/>
          <w:sz w:val="24"/>
          <w:szCs w:val="24"/>
          <w:lang w:val="en-US"/>
        </w:rPr>
        <w:t xml:space="preserve"> requirements on EU fleet emissions and global carbon neutrality obligations </w:t>
      </w:r>
      <w:r>
        <w:rPr>
          <w:rFonts w:ascii="Times New Roman" w:hAnsi="Times New Roman" w:cs="Times New Roman"/>
          <w:sz w:val="24"/>
          <w:szCs w:val="24"/>
          <w:lang w:val="en-US"/>
        </w:rPr>
        <w:t>contributes</w:t>
      </w:r>
      <w:r w:rsidR="008859FB" w:rsidRPr="008859FB">
        <w:rPr>
          <w:rFonts w:ascii="Times New Roman" w:hAnsi="Times New Roman" w:cs="Times New Roman"/>
          <w:sz w:val="24"/>
          <w:szCs w:val="24"/>
          <w:lang w:val="en-US"/>
        </w:rPr>
        <w:t xml:space="preserve"> to the increase in operational costs and the reduction of strategic flexibility (Volkswagen AG, 2024). The regulatory response of Volkswagen, as a follower, is mostly more compliance than </w:t>
      </w:r>
      <w:r>
        <w:rPr>
          <w:rFonts w:ascii="Times New Roman" w:hAnsi="Times New Roman" w:cs="Times New Roman"/>
          <w:sz w:val="24"/>
          <w:szCs w:val="24"/>
          <w:lang w:val="en-US"/>
        </w:rPr>
        <w:t>innovation-driven</w:t>
      </w:r>
      <w:r w:rsidR="008859FB" w:rsidRPr="008859FB">
        <w:rPr>
          <w:rFonts w:ascii="Times New Roman" w:hAnsi="Times New Roman" w:cs="Times New Roman"/>
          <w:sz w:val="24"/>
          <w:szCs w:val="24"/>
          <w:lang w:val="en-US"/>
        </w:rPr>
        <w:t>, which are both indicators of gaps in capabilities and the legacy infrastructure.</w:t>
      </w:r>
    </w:p>
    <w:p w14:paraId="3AAE9B41" w14:textId="55234596" w:rsidR="0089230D" w:rsidRPr="00575E31" w:rsidRDefault="008859FB" w:rsidP="008859FB">
      <w:pPr>
        <w:spacing w:line="360" w:lineRule="auto"/>
        <w:jc w:val="both"/>
        <w:rPr>
          <w:rFonts w:ascii="Times New Roman" w:hAnsi="Times New Roman" w:cs="Times New Roman"/>
          <w:sz w:val="24"/>
          <w:szCs w:val="24"/>
          <w:lang w:val="en-US"/>
        </w:rPr>
      </w:pPr>
      <w:r w:rsidRPr="008859FB">
        <w:rPr>
          <w:rFonts w:ascii="Times New Roman" w:hAnsi="Times New Roman" w:cs="Times New Roman"/>
          <w:sz w:val="24"/>
          <w:szCs w:val="24"/>
          <w:lang w:val="en-US"/>
        </w:rPr>
        <w:t xml:space="preserve">All in all, the competitive advantage between the pioneer and follower firms is increased by environmental and regulatory pressures, which exacerbate the structural advantage of Tesla and </w:t>
      </w:r>
      <w:r w:rsidR="00E30830">
        <w:rPr>
          <w:rFonts w:ascii="Times New Roman" w:hAnsi="Times New Roman" w:cs="Times New Roman"/>
          <w:sz w:val="24"/>
          <w:szCs w:val="24"/>
          <w:lang w:val="en-US"/>
        </w:rPr>
        <w:t>limit</w:t>
      </w:r>
      <w:r w:rsidRPr="008859FB">
        <w:rPr>
          <w:rFonts w:ascii="Times New Roman" w:hAnsi="Times New Roman" w:cs="Times New Roman"/>
          <w:sz w:val="24"/>
          <w:szCs w:val="24"/>
          <w:lang w:val="en-US"/>
        </w:rPr>
        <w:t xml:space="preserve"> the strategic space of Volkswagen in a progressively narrowing regulatory environment</w:t>
      </w:r>
      <w:r w:rsidR="0089230D" w:rsidRPr="0089230D">
        <w:rPr>
          <w:rFonts w:ascii="Times New Roman" w:hAnsi="Times New Roman" w:cs="Times New Roman"/>
          <w:sz w:val="24"/>
          <w:szCs w:val="24"/>
          <w:lang w:val="en-US"/>
        </w:rPr>
        <w:t>.</w:t>
      </w:r>
    </w:p>
    <w:p w14:paraId="5786EF84" w14:textId="77777777" w:rsidR="009F4193" w:rsidRPr="009F4193" w:rsidRDefault="00D759A0" w:rsidP="00D759A0">
      <w:pPr>
        <w:pStyle w:val="Caption"/>
        <w:jc w:val="center"/>
        <w:rPr>
          <w:rFonts w:ascii="Times New Roman" w:hAnsi="Times New Roman" w:cs="Times New Roman"/>
          <w:b/>
          <w:bCs/>
          <w:color w:val="auto"/>
          <w:sz w:val="32"/>
          <w:szCs w:val="32"/>
          <w:lang w:val="en-US"/>
        </w:rPr>
      </w:pPr>
      <w:bookmarkStart w:id="11" w:name="_Toc214247360"/>
      <w:r w:rsidRPr="00575E31">
        <w:rPr>
          <w:rFonts w:ascii="Times New Roman" w:hAnsi="Times New Roman" w:cs="Times New Roman"/>
          <w:b/>
          <w:bCs/>
          <w:color w:val="auto"/>
          <w:sz w:val="22"/>
          <w:szCs w:val="22"/>
        </w:rPr>
        <w:t xml:space="preserve">Table </w:t>
      </w:r>
      <w:r w:rsidRPr="00575E31">
        <w:rPr>
          <w:rFonts w:ascii="Times New Roman" w:hAnsi="Times New Roman" w:cs="Times New Roman"/>
          <w:b/>
          <w:bCs/>
          <w:color w:val="auto"/>
          <w:sz w:val="22"/>
          <w:szCs w:val="22"/>
        </w:rPr>
        <w:fldChar w:fldCharType="begin"/>
      </w:r>
      <w:r w:rsidRPr="00575E31">
        <w:rPr>
          <w:rFonts w:ascii="Times New Roman" w:hAnsi="Times New Roman" w:cs="Times New Roman"/>
          <w:b/>
          <w:bCs/>
          <w:color w:val="auto"/>
          <w:sz w:val="22"/>
          <w:szCs w:val="22"/>
        </w:rPr>
        <w:instrText xml:space="preserve"> SEQ Table \* ARABIC </w:instrText>
      </w:r>
      <w:r w:rsidRPr="00575E31">
        <w:rPr>
          <w:rFonts w:ascii="Times New Roman" w:hAnsi="Times New Roman" w:cs="Times New Roman"/>
          <w:b/>
          <w:bCs/>
          <w:color w:val="auto"/>
          <w:sz w:val="22"/>
          <w:szCs w:val="22"/>
        </w:rPr>
        <w:fldChar w:fldCharType="separate"/>
      </w:r>
      <w:r w:rsidRPr="00575E31">
        <w:rPr>
          <w:rFonts w:ascii="Times New Roman" w:hAnsi="Times New Roman" w:cs="Times New Roman"/>
          <w:b/>
          <w:bCs/>
          <w:noProof/>
          <w:color w:val="auto"/>
          <w:sz w:val="22"/>
          <w:szCs w:val="22"/>
        </w:rPr>
        <w:t>1</w:t>
      </w:r>
      <w:r w:rsidRPr="00575E31">
        <w:rPr>
          <w:rFonts w:ascii="Times New Roman" w:hAnsi="Times New Roman" w:cs="Times New Roman"/>
          <w:b/>
          <w:bCs/>
          <w:color w:val="auto"/>
          <w:sz w:val="22"/>
          <w:szCs w:val="22"/>
        </w:rPr>
        <w:fldChar w:fldCharType="end"/>
      </w:r>
      <w:r w:rsidRPr="00575E31">
        <w:rPr>
          <w:rFonts w:ascii="Times New Roman" w:hAnsi="Times New Roman" w:cs="Times New Roman"/>
          <w:b/>
          <w:bCs/>
          <w:color w:val="auto"/>
          <w:sz w:val="22"/>
          <w:szCs w:val="22"/>
        </w:rPr>
        <w:t>: Comparative Impact of Technological and Environmental/Regulatory Actors on Tesla and Volkswagen</w:t>
      </w:r>
      <w:bookmarkEnd w:id="11"/>
    </w:p>
    <w:tbl>
      <w:tblPr>
        <w:tblStyle w:val="GridTable5Dark-Accent1"/>
        <w:tblW w:w="9265" w:type="dxa"/>
        <w:tblLook w:val="04A0" w:firstRow="1" w:lastRow="0" w:firstColumn="1" w:lastColumn="0" w:noHBand="0" w:noVBand="1"/>
      </w:tblPr>
      <w:tblGrid>
        <w:gridCol w:w="2227"/>
        <w:gridCol w:w="3438"/>
        <w:gridCol w:w="3600"/>
      </w:tblGrid>
      <w:tr w:rsidR="009F4193" w:rsidRPr="009F4193" w14:paraId="66BAAADD" w14:textId="77777777" w:rsidTr="00F35A5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E9F9229" w14:textId="77777777" w:rsidR="009F4193" w:rsidRPr="009F4193" w:rsidRDefault="009F4193" w:rsidP="00F35A5C">
            <w:pPr>
              <w:spacing w:after="160" w:line="360" w:lineRule="auto"/>
              <w:rPr>
                <w:rFonts w:ascii="Times New Roman" w:hAnsi="Times New Roman" w:cs="Times New Roman"/>
                <w:sz w:val="24"/>
                <w:szCs w:val="24"/>
                <w:lang w:val="en-US"/>
              </w:rPr>
            </w:pPr>
            <w:r w:rsidRPr="009F4193">
              <w:rPr>
                <w:rFonts w:ascii="Times New Roman" w:hAnsi="Times New Roman" w:cs="Times New Roman"/>
                <w:sz w:val="24"/>
                <w:szCs w:val="24"/>
                <w:lang w:val="en-US"/>
              </w:rPr>
              <w:t>Macro Actor</w:t>
            </w:r>
          </w:p>
        </w:tc>
        <w:tc>
          <w:tcPr>
            <w:tcW w:w="3438" w:type="dxa"/>
            <w:hideMark/>
          </w:tcPr>
          <w:p w14:paraId="7AB72EB8" w14:textId="77777777" w:rsidR="009F4193" w:rsidRPr="009F4193" w:rsidRDefault="009F4193" w:rsidP="00F35A5C">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9F4193">
              <w:rPr>
                <w:rFonts w:ascii="Times New Roman" w:hAnsi="Times New Roman" w:cs="Times New Roman"/>
                <w:sz w:val="24"/>
                <w:szCs w:val="24"/>
                <w:lang w:val="en-US"/>
              </w:rPr>
              <w:t>Tesla (Pioneer)</w:t>
            </w:r>
          </w:p>
        </w:tc>
        <w:tc>
          <w:tcPr>
            <w:tcW w:w="3600" w:type="dxa"/>
            <w:hideMark/>
          </w:tcPr>
          <w:p w14:paraId="6088448C" w14:textId="77777777" w:rsidR="009F4193" w:rsidRPr="009F4193" w:rsidRDefault="009F4193" w:rsidP="00F35A5C">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9F4193">
              <w:rPr>
                <w:rFonts w:ascii="Times New Roman" w:hAnsi="Times New Roman" w:cs="Times New Roman"/>
                <w:sz w:val="24"/>
                <w:szCs w:val="24"/>
                <w:lang w:val="en-US"/>
              </w:rPr>
              <w:t>Volkswagen (Follower)</w:t>
            </w:r>
          </w:p>
        </w:tc>
      </w:tr>
      <w:tr w:rsidR="009F4193" w:rsidRPr="009F4193" w14:paraId="11FD8E1A" w14:textId="77777777" w:rsidTr="00F35A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39D1BB" w14:textId="77777777" w:rsidR="009F4193" w:rsidRPr="009F4193" w:rsidRDefault="009F4193" w:rsidP="00F35A5C">
            <w:pPr>
              <w:spacing w:after="160" w:line="360" w:lineRule="auto"/>
              <w:rPr>
                <w:rFonts w:ascii="Times New Roman" w:hAnsi="Times New Roman" w:cs="Times New Roman"/>
                <w:lang w:val="en-US"/>
              </w:rPr>
            </w:pPr>
            <w:r w:rsidRPr="009F4193">
              <w:rPr>
                <w:rFonts w:ascii="Times New Roman" w:hAnsi="Times New Roman" w:cs="Times New Roman"/>
                <w:lang w:val="en-US"/>
              </w:rPr>
              <w:t>Technological (Battery, Software, Manufacturing)</w:t>
            </w:r>
          </w:p>
        </w:tc>
        <w:tc>
          <w:tcPr>
            <w:tcW w:w="3438" w:type="dxa"/>
            <w:hideMark/>
          </w:tcPr>
          <w:p w14:paraId="1F2FA690" w14:textId="77777777" w:rsidR="009F4193" w:rsidRPr="009F4193" w:rsidRDefault="009F4193"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9F4193">
              <w:rPr>
                <w:rFonts w:ascii="Times New Roman" w:hAnsi="Times New Roman" w:cs="Times New Roman"/>
                <w:lang w:val="en-US"/>
              </w:rPr>
              <w:t>Vertically integrated battery production; proprietary 4680 cells; advanced software (FSD); rapid innovation cycles; strong learning-curve effects</w:t>
            </w:r>
          </w:p>
        </w:tc>
        <w:tc>
          <w:tcPr>
            <w:tcW w:w="3600" w:type="dxa"/>
            <w:hideMark/>
          </w:tcPr>
          <w:p w14:paraId="02159B90" w14:textId="77777777" w:rsidR="009F4193" w:rsidRPr="009F4193" w:rsidRDefault="009F4193"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9F4193">
              <w:rPr>
                <w:rFonts w:ascii="Times New Roman" w:hAnsi="Times New Roman" w:cs="Times New Roman"/>
                <w:lang w:val="en-US"/>
              </w:rPr>
              <w:t>Depends on external battery suppliers; slower software development (Cariad delays); higher legacy manufacturing complexity; limited learning-curve benefits</w:t>
            </w:r>
          </w:p>
        </w:tc>
      </w:tr>
      <w:tr w:rsidR="009F4193" w:rsidRPr="009F4193" w14:paraId="43D7153E" w14:textId="77777777" w:rsidTr="00F35A5C">
        <w:tc>
          <w:tcPr>
            <w:cnfStyle w:val="001000000000" w:firstRow="0" w:lastRow="0" w:firstColumn="1" w:lastColumn="0" w:oddVBand="0" w:evenVBand="0" w:oddHBand="0" w:evenHBand="0" w:firstRowFirstColumn="0" w:firstRowLastColumn="0" w:lastRowFirstColumn="0" w:lastRowLastColumn="0"/>
            <w:tcW w:w="0" w:type="auto"/>
            <w:hideMark/>
          </w:tcPr>
          <w:p w14:paraId="4741240F" w14:textId="77777777" w:rsidR="009F4193" w:rsidRPr="009F4193" w:rsidRDefault="009F4193" w:rsidP="00F35A5C">
            <w:pPr>
              <w:spacing w:after="160" w:line="360" w:lineRule="auto"/>
              <w:rPr>
                <w:rFonts w:ascii="Times New Roman" w:hAnsi="Times New Roman" w:cs="Times New Roman"/>
                <w:lang w:val="en-US"/>
              </w:rPr>
            </w:pPr>
            <w:r w:rsidRPr="009F4193">
              <w:rPr>
                <w:rFonts w:ascii="Times New Roman" w:hAnsi="Times New Roman" w:cs="Times New Roman"/>
                <w:lang w:val="en-US"/>
              </w:rPr>
              <w:t>Charging Infrastructure</w:t>
            </w:r>
          </w:p>
        </w:tc>
        <w:tc>
          <w:tcPr>
            <w:tcW w:w="3438" w:type="dxa"/>
            <w:hideMark/>
          </w:tcPr>
          <w:p w14:paraId="29112F2A" w14:textId="77777777" w:rsidR="009F4193" w:rsidRPr="009F4193" w:rsidRDefault="009F4193" w:rsidP="00F35A5C">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9F4193">
              <w:rPr>
                <w:rFonts w:ascii="Times New Roman" w:hAnsi="Times New Roman" w:cs="Times New Roman"/>
                <w:lang w:val="en-US"/>
              </w:rPr>
              <w:t>Extensive Supercharger network creates ecosystem lock-in and network effects</w:t>
            </w:r>
          </w:p>
        </w:tc>
        <w:tc>
          <w:tcPr>
            <w:tcW w:w="3600" w:type="dxa"/>
            <w:hideMark/>
          </w:tcPr>
          <w:p w14:paraId="134B1E53" w14:textId="77777777" w:rsidR="009F4193" w:rsidRPr="009F4193" w:rsidRDefault="009F4193" w:rsidP="00F35A5C">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9F4193">
              <w:rPr>
                <w:rFonts w:ascii="Times New Roman" w:hAnsi="Times New Roman" w:cs="Times New Roman"/>
                <w:lang w:val="en-US"/>
              </w:rPr>
              <w:t>Relies on third-party charging networks; weaker ecosystem integration</w:t>
            </w:r>
          </w:p>
        </w:tc>
      </w:tr>
      <w:tr w:rsidR="009F4193" w:rsidRPr="009F4193" w14:paraId="27C55869" w14:textId="77777777" w:rsidTr="00F35A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D56C31E" w14:textId="77777777" w:rsidR="009F4193" w:rsidRPr="009F4193" w:rsidRDefault="009F4193" w:rsidP="00F35A5C">
            <w:pPr>
              <w:spacing w:after="160" w:line="360" w:lineRule="auto"/>
              <w:rPr>
                <w:rFonts w:ascii="Times New Roman" w:hAnsi="Times New Roman" w:cs="Times New Roman"/>
                <w:lang w:val="en-US"/>
              </w:rPr>
            </w:pPr>
            <w:r w:rsidRPr="009F4193">
              <w:rPr>
                <w:rFonts w:ascii="Times New Roman" w:hAnsi="Times New Roman" w:cs="Times New Roman"/>
                <w:lang w:val="en-US"/>
              </w:rPr>
              <w:lastRenderedPageBreak/>
              <w:t>Technological Cost Pressure</w:t>
            </w:r>
          </w:p>
        </w:tc>
        <w:tc>
          <w:tcPr>
            <w:tcW w:w="3438" w:type="dxa"/>
            <w:hideMark/>
          </w:tcPr>
          <w:p w14:paraId="74881655" w14:textId="77777777" w:rsidR="009F4193" w:rsidRPr="009F4193" w:rsidRDefault="009F4193"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9F4193">
              <w:rPr>
                <w:rFonts w:ascii="Times New Roman" w:hAnsi="Times New Roman" w:cs="Times New Roman"/>
                <w:lang w:val="en-US"/>
              </w:rPr>
              <w:t>Declining battery costs amplify scale advantages and margin flexibility</w:t>
            </w:r>
          </w:p>
        </w:tc>
        <w:tc>
          <w:tcPr>
            <w:tcW w:w="3600" w:type="dxa"/>
            <w:hideMark/>
          </w:tcPr>
          <w:p w14:paraId="23CDC32D" w14:textId="77777777" w:rsidR="009F4193" w:rsidRPr="009F4193" w:rsidRDefault="009F4193"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9F4193">
              <w:rPr>
                <w:rFonts w:ascii="Times New Roman" w:hAnsi="Times New Roman" w:cs="Times New Roman"/>
                <w:lang w:val="en-US"/>
              </w:rPr>
              <w:t>Higher production costs; limited cost competitiveness due to supplier dependence</w:t>
            </w:r>
          </w:p>
        </w:tc>
      </w:tr>
      <w:tr w:rsidR="009F4193" w:rsidRPr="009F4193" w14:paraId="2740A4B6" w14:textId="77777777" w:rsidTr="00F35A5C">
        <w:tc>
          <w:tcPr>
            <w:cnfStyle w:val="001000000000" w:firstRow="0" w:lastRow="0" w:firstColumn="1" w:lastColumn="0" w:oddVBand="0" w:evenVBand="0" w:oddHBand="0" w:evenHBand="0" w:firstRowFirstColumn="0" w:firstRowLastColumn="0" w:lastRowFirstColumn="0" w:lastRowLastColumn="0"/>
            <w:tcW w:w="0" w:type="auto"/>
            <w:hideMark/>
          </w:tcPr>
          <w:p w14:paraId="58DD7D6C" w14:textId="77777777" w:rsidR="009F4193" w:rsidRPr="009F4193" w:rsidRDefault="009F4193" w:rsidP="00F35A5C">
            <w:pPr>
              <w:spacing w:after="160" w:line="360" w:lineRule="auto"/>
              <w:rPr>
                <w:rFonts w:ascii="Times New Roman" w:hAnsi="Times New Roman" w:cs="Times New Roman"/>
                <w:lang w:val="en-US"/>
              </w:rPr>
            </w:pPr>
            <w:r w:rsidRPr="009F4193">
              <w:rPr>
                <w:rFonts w:ascii="Times New Roman" w:hAnsi="Times New Roman" w:cs="Times New Roman"/>
                <w:lang w:val="en-US"/>
              </w:rPr>
              <w:t>Environmental Regulations</w:t>
            </w:r>
          </w:p>
        </w:tc>
        <w:tc>
          <w:tcPr>
            <w:tcW w:w="3438" w:type="dxa"/>
            <w:hideMark/>
          </w:tcPr>
          <w:p w14:paraId="44218ACD" w14:textId="77777777" w:rsidR="009F4193" w:rsidRPr="009F4193" w:rsidRDefault="009F4193" w:rsidP="00F35A5C">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9F4193">
              <w:rPr>
                <w:rFonts w:ascii="Times New Roman" w:hAnsi="Times New Roman" w:cs="Times New Roman"/>
                <w:lang w:val="en-US"/>
              </w:rPr>
              <w:t>Zero-tailpipe emissions; benefits from regulatory credits; minimal compliance burden</w:t>
            </w:r>
          </w:p>
        </w:tc>
        <w:tc>
          <w:tcPr>
            <w:tcW w:w="3600" w:type="dxa"/>
            <w:hideMark/>
          </w:tcPr>
          <w:p w14:paraId="55D6A9E5" w14:textId="77777777" w:rsidR="009F4193" w:rsidRPr="009F4193" w:rsidRDefault="009F4193" w:rsidP="00F35A5C">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9F4193">
              <w:rPr>
                <w:rFonts w:ascii="Times New Roman" w:hAnsi="Times New Roman" w:cs="Times New Roman"/>
                <w:lang w:val="en-US"/>
              </w:rPr>
              <w:t>Significant compliance costs due to ICE legacy; strained by EU 2035 ban; restructuring required</w:t>
            </w:r>
          </w:p>
        </w:tc>
      </w:tr>
      <w:tr w:rsidR="009F4193" w:rsidRPr="009F4193" w14:paraId="10682EF2" w14:textId="77777777" w:rsidTr="00F35A5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5FBB0E2" w14:textId="77777777" w:rsidR="009F4193" w:rsidRPr="009F4193" w:rsidRDefault="009F4193" w:rsidP="00F35A5C">
            <w:pPr>
              <w:spacing w:after="160" w:line="360" w:lineRule="auto"/>
              <w:rPr>
                <w:rFonts w:ascii="Times New Roman" w:hAnsi="Times New Roman" w:cs="Times New Roman"/>
                <w:lang w:val="en-US"/>
              </w:rPr>
            </w:pPr>
            <w:r w:rsidRPr="009F4193">
              <w:rPr>
                <w:rFonts w:ascii="Times New Roman" w:hAnsi="Times New Roman" w:cs="Times New Roman"/>
                <w:lang w:val="en-US"/>
              </w:rPr>
              <w:t>US/China/EU Policy Alignment</w:t>
            </w:r>
          </w:p>
        </w:tc>
        <w:tc>
          <w:tcPr>
            <w:tcW w:w="3438" w:type="dxa"/>
            <w:hideMark/>
          </w:tcPr>
          <w:p w14:paraId="53BDB4FA" w14:textId="77777777" w:rsidR="009F4193" w:rsidRPr="009F4193" w:rsidRDefault="009F4193"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9F4193">
              <w:rPr>
                <w:rFonts w:ascii="Times New Roman" w:hAnsi="Times New Roman" w:cs="Times New Roman"/>
                <w:lang w:val="en-US"/>
              </w:rPr>
              <w:t>Strong alignment with NEV credits, IRA subsidies and EU carbon targets</w:t>
            </w:r>
          </w:p>
        </w:tc>
        <w:tc>
          <w:tcPr>
            <w:tcW w:w="3600" w:type="dxa"/>
            <w:hideMark/>
          </w:tcPr>
          <w:p w14:paraId="2FD4C3CC" w14:textId="77777777" w:rsidR="009F4193" w:rsidRPr="009F4193" w:rsidRDefault="009F4193"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9F4193">
              <w:rPr>
                <w:rFonts w:ascii="Times New Roman" w:hAnsi="Times New Roman" w:cs="Times New Roman"/>
                <w:lang w:val="en-US"/>
              </w:rPr>
              <w:t>Policy-driven transition, often reactive; regulatory pressure increases strategic constraints</w:t>
            </w:r>
          </w:p>
        </w:tc>
      </w:tr>
    </w:tbl>
    <w:p w14:paraId="42CE4091" w14:textId="724635C0" w:rsidR="009836C3" w:rsidRPr="009836C3" w:rsidRDefault="009836C3" w:rsidP="009836C3">
      <w:pPr>
        <w:spacing w:line="240" w:lineRule="auto"/>
        <w:rPr>
          <w:rFonts w:ascii="Times New Roman" w:hAnsi="Times New Roman" w:cs="Times New Roman"/>
          <w:sz w:val="20"/>
          <w:szCs w:val="20"/>
          <w:lang w:val="en-US"/>
        </w:rPr>
      </w:pPr>
      <w:r w:rsidRPr="009836C3">
        <w:rPr>
          <w:rFonts w:ascii="Times New Roman" w:hAnsi="Times New Roman" w:cs="Times New Roman"/>
          <w:b/>
          <w:bCs/>
          <w:i/>
          <w:iCs/>
          <w:sz w:val="20"/>
          <w:szCs w:val="20"/>
          <w:lang w:val="en-US"/>
        </w:rPr>
        <w:t>Note:</w:t>
      </w:r>
      <w:r>
        <w:rPr>
          <w:rFonts w:ascii="Times New Roman" w:hAnsi="Times New Roman" w:cs="Times New Roman"/>
          <w:i/>
          <w:iCs/>
          <w:sz w:val="20"/>
          <w:szCs w:val="20"/>
          <w:lang w:val="en-US"/>
        </w:rPr>
        <w:t xml:space="preserve"> </w:t>
      </w:r>
      <w:r w:rsidRPr="008859FB">
        <w:rPr>
          <w:rFonts w:ascii="Times New Roman" w:hAnsi="Times New Roman" w:cs="Times New Roman"/>
          <w:i/>
          <w:iCs/>
          <w:sz w:val="20"/>
          <w:szCs w:val="20"/>
        </w:rPr>
        <w:t>This table highlights the manner in which technological and environmental/regulatory macro forces cause asymmetric strategic pressure on Tesla and Volkswagen</w:t>
      </w:r>
      <w:r>
        <w:rPr>
          <w:rFonts w:ascii="Times New Roman" w:hAnsi="Times New Roman" w:cs="Times New Roman"/>
          <w:i/>
          <w:iCs/>
          <w:sz w:val="20"/>
          <w:szCs w:val="20"/>
        </w:rPr>
        <w:t>,</w:t>
      </w:r>
      <w:r w:rsidRPr="008859FB">
        <w:rPr>
          <w:rFonts w:ascii="Times New Roman" w:hAnsi="Times New Roman" w:cs="Times New Roman"/>
          <w:i/>
          <w:iCs/>
          <w:sz w:val="20"/>
          <w:szCs w:val="20"/>
        </w:rPr>
        <w:t xml:space="preserve"> strengthening the first-mover advantages of Tesla and </w:t>
      </w:r>
      <w:r>
        <w:rPr>
          <w:rFonts w:ascii="Times New Roman" w:hAnsi="Times New Roman" w:cs="Times New Roman"/>
          <w:i/>
          <w:iCs/>
          <w:sz w:val="20"/>
          <w:szCs w:val="20"/>
        </w:rPr>
        <w:t xml:space="preserve">the </w:t>
      </w:r>
      <w:r w:rsidRPr="008859FB">
        <w:rPr>
          <w:rFonts w:ascii="Times New Roman" w:hAnsi="Times New Roman" w:cs="Times New Roman"/>
          <w:i/>
          <w:iCs/>
          <w:sz w:val="20"/>
          <w:szCs w:val="20"/>
        </w:rPr>
        <w:t>capability gaps of Volkswagen</w:t>
      </w:r>
      <w:r>
        <w:rPr>
          <w:rFonts w:ascii="Times New Roman" w:hAnsi="Times New Roman" w:cs="Times New Roman"/>
          <w:i/>
          <w:iCs/>
          <w:sz w:val="20"/>
          <w:szCs w:val="20"/>
        </w:rPr>
        <w:t>.</w:t>
      </w:r>
    </w:p>
    <w:p w14:paraId="07DDB87C" w14:textId="5B3CB3E5" w:rsidR="009F4193" w:rsidRPr="00575E31" w:rsidRDefault="001C38C4" w:rsidP="003447B2">
      <w:pPr>
        <w:spacing w:line="360" w:lineRule="auto"/>
        <w:jc w:val="both"/>
        <w:rPr>
          <w:rFonts w:ascii="Times New Roman" w:hAnsi="Times New Roman" w:cs="Times New Roman"/>
          <w:i/>
          <w:iCs/>
          <w:sz w:val="20"/>
          <w:szCs w:val="20"/>
          <w:lang w:val="en-US"/>
        </w:rPr>
      </w:pPr>
      <w:r w:rsidRPr="00575E31">
        <w:rPr>
          <w:rFonts w:ascii="Times New Roman" w:hAnsi="Times New Roman" w:cs="Times New Roman"/>
          <w:b/>
          <w:bCs/>
          <w:i/>
          <w:iCs/>
          <w:sz w:val="20"/>
          <w:szCs w:val="20"/>
        </w:rPr>
        <w:t>Source:</w:t>
      </w:r>
      <w:r w:rsidRPr="00575E31">
        <w:rPr>
          <w:rFonts w:ascii="Times New Roman" w:hAnsi="Times New Roman" w:cs="Times New Roman"/>
          <w:i/>
          <w:iCs/>
          <w:sz w:val="20"/>
          <w:szCs w:val="20"/>
        </w:rPr>
        <w:t xml:space="preserve"> Compiled by the author based on data from </w:t>
      </w:r>
      <w:proofErr w:type="spellStart"/>
      <w:r w:rsidRPr="00575E31">
        <w:rPr>
          <w:rFonts w:ascii="Times New Roman" w:hAnsi="Times New Roman" w:cs="Times New Roman"/>
          <w:i/>
          <w:iCs/>
          <w:sz w:val="20"/>
          <w:szCs w:val="20"/>
        </w:rPr>
        <w:t>BloombergNEF</w:t>
      </w:r>
      <w:proofErr w:type="spellEnd"/>
      <w:r w:rsidRPr="00575E31">
        <w:rPr>
          <w:rFonts w:ascii="Times New Roman" w:hAnsi="Times New Roman" w:cs="Times New Roman"/>
          <w:i/>
          <w:iCs/>
          <w:sz w:val="20"/>
          <w:szCs w:val="20"/>
        </w:rPr>
        <w:t xml:space="preserve"> (2024), International Energy Agency (2024), Tesla Impact Report (2024) and Volkswagen AG Sustainability &amp; Strategy Reports (2024).</w:t>
      </w:r>
    </w:p>
    <w:p w14:paraId="3E35BC35" w14:textId="77777777" w:rsidR="009F4193" w:rsidRPr="009F4193" w:rsidRDefault="003447B2" w:rsidP="003447B2">
      <w:pPr>
        <w:pStyle w:val="Heading1"/>
        <w:rPr>
          <w:rFonts w:cs="Times New Roman"/>
          <w:lang w:val="en-US"/>
        </w:rPr>
      </w:pPr>
      <w:bookmarkStart w:id="12" w:name="_Toc214247317"/>
      <w:r w:rsidRPr="00575E31">
        <w:rPr>
          <w:rFonts w:cs="Times New Roman"/>
          <w:lang w:val="en-US"/>
        </w:rPr>
        <w:t xml:space="preserve">3. Strategic Responses </w:t>
      </w:r>
      <w:proofErr w:type="gramStart"/>
      <w:r w:rsidRPr="00575E31">
        <w:rPr>
          <w:rFonts w:cs="Times New Roman"/>
          <w:lang w:val="en-US"/>
        </w:rPr>
        <w:t>Of</w:t>
      </w:r>
      <w:proofErr w:type="gramEnd"/>
      <w:r w:rsidRPr="00575E31">
        <w:rPr>
          <w:rFonts w:cs="Times New Roman"/>
          <w:lang w:val="en-US"/>
        </w:rPr>
        <w:t xml:space="preserve"> Pioneering &amp; Follower Firms</w:t>
      </w:r>
      <w:bookmarkEnd w:id="12"/>
    </w:p>
    <w:p w14:paraId="2E821C90" w14:textId="77777777" w:rsidR="009F4193" w:rsidRPr="00575E31" w:rsidRDefault="009F4193" w:rsidP="003447B2">
      <w:pPr>
        <w:pStyle w:val="Heading2"/>
        <w:rPr>
          <w:rFonts w:cs="Times New Roman"/>
          <w:color w:val="auto"/>
          <w:lang w:val="en-US"/>
        </w:rPr>
      </w:pPr>
      <w:bookmarkStart w:id="13" w:name="_Toc214247318"/>
      <w:r w:rsidRPr="00575E31">
        <w:rPr>
          <w:rFonts w:cs="Times New Roman"/>
          <w:color w:val="auto"/>
          <w:lang w:val="en-US"/>
        </w:rPr>
        <w:t xml:space="preserve">3.1 Strategic Responses of Pioneering </w:t>
      </w:r>
      <w:proofErr w:type="spellStart"/>
      <w:r w:rsidRPr="00575E31">
        <w:rPr>
          <w:rFonts w:cs="Times New Roman"/>
          <w:color w:val="auto"/>
          <w:lang w:val="en-US"/>
        </w:rPr>
        <w:t>Organisations</w:t>
      </w:r>
      <w:proofErr w:type="spellEnd"/>
      <w:r w:rsidRPr="00575E31">
        <w:rPr>
          <w:rFonts w:cs="Times New Roman"/>
          <w:color w:val="auto"/>
          <w:lang w:val="en-US"/>
        </w:rPr>
        <w:t>: Tesla</w:t>
      </w:r>
      <w:bookmarkEnd w:id="13"/>
    </w:p>
    <w:p w14:paraId="508E9BF3" w14:textId="77777777" w:rsidR="009F4193" w:rsidRPr="00575E31" w:rsidRDefault="009F4193" w:rsidP="003447B2">
      <w:pPr>
        <w:pStyle w:val="Heading3"/>
        <w:rPr>
          <w:rFonts w:cs="Times New Roman"/>
          <w:lang w:val="en-US"/>
        </w:rPr>
      </w:pPr>
      <w:bookmarkStart w:id="14" w:name="_Toc214247319"/>
      <w:r w:rsidRPr="00575E31">
        <w:rPr>
          <w:rFonts w:cs="Times New Roman"/>
          <w:lang w:val="en-US"/>
        </w:rPr>
        <w:t>3.1.1 Ansoff Matrix: Strategic Growth Pathways</w:t>
      </w:r>
      <w:bookmarkEnd w:id="14"/>
    </w:p>
    <w:p w14:paraId="55A367D1" w14:textId="57DA27D3" w:rsidR="008859FB" w:rsidRPr="009F4193" w:rsidRDefault="008859FB" w:rsidP="003447B2">
      <w:pPr>
        <w:spacing w:line="360" w:lineRule="auto"/>
        <w:jc w:val="both"/>
        <w:rPr>
          <w:rFonts w:ascii="Times New Roman" w:hAnsi="Times New Roman" w:cs="Times New Roman"/>
          <w:sz w:val="24"/>
          <w:szCs w:val="24"/>
          <w:lang w:val="en-US"/>
        </w:rPr>
      </w:pPr>
      <w:r w:rsidRPr="008859FB">
        <w:rPr>
          <w:rFonts w:ascii="Times New Roman" w:hAnsi="Times New Roman" w:cs="Times New Roman"/>
          <w:sz w:val="24"/>
          <w:szCs w:val="24"/>
        </w:rPr>
        <w:t xml:space="preserve">The strategic responses of Tesla demonstrate the dynamic utilisation of the Growth Matrix Ansoff to maintain a pioneer role in the EV industry. Price adjustments, especially through price decreases in 2023-2024, have been employed by Tesla through </w:t>
      </w:r>
      <w:r w:rsidRPr="008859FB">
        <w:rPr>
          <w:rFonts w:ascii="Times New Roman" w:hAnsi="Times New Roman" w:cs="Times New Roman"/>
          <w:b/>
          <w:bCs/>
          <w:sz w:val="24"/>
          <w:szCs w:val="24"/>
        </w:rPr>
        <w:t>market penetration</w:t>
      </w:r>
      <w:r w:rsidRPr="008859FB">
        <w:rPr>
          <w:rFonts w:ascii="Times New Roman" w:hAnsi="Times New Roman" w:cs="Times New Roman"/>
          <w:sz w:val="24"/>
          <w:szCs w:val="24"/>
        </w:rPr>
        <w:t xml:space="preserve"> to boost sales volumes and safeguard the market share amid stiffer competition (Tesla, 2024). Regarding </w:t>
      </w:r>
      <w:r w:rsidRPr="008859FB">
        <w:rPr>
          <w:rFonts w:ascii="Times New Roman" w:hAnsi="Times New Roman" w:cs="Times New Roman"/>
          <w:b/>
          <w:bCs/>
          <w:sz w:val="24"/>
          <w:szCs w:val="24"/>
        </w:rPr>
        <w:t>product development</w:t>
      </w:r>
      <w:r w:rsidRPr="008859FB">
        <w:rPr>
          <w:rFonts w:ascii="Times New Roman" w:hAnsi="Times New Roman" w:cs="Times New Roman"/>
          <w:sz w:val="24"/>
          <w:szCs w:val="24"/>
        </w:rPr>
        <w:t xml:space="preserve">, Tesla released its </w:t>
      </w:r>
      <w:proofErr w:type="spellStart"/>
      <w:r w:rsidRPr="008859FB">
        <w:rPr>
          <w:rFonts w:ascii="Times New Roman" w:hAnsi="Times New Roman" w:cs="Times New Roman"/>
          <w:sz w:val="24"/>
          <w:szCs w:val="24"/>
        </w:rPr>
        <w:t>Cybertruck</w:t>
      </w:r>
      <w:proofErr w:type="spellEnd"/>
      <w:r w:rsidRPr="008859FB">
        <w:rPr>
          <w:rFonts w:ascii="Times New Roman" w:hAnsi="Times New Roman" w:cs="Times New Roman"/>
          <w:sz w:val="24"/>
          <w:szCs w:val="24"/>
        </w:rPr>
        <w:t>, made autonomous driving progress and continued building its planned Robotaxi platform</w:t>
      </w:r>
      <w:r>
        <w:rPr>
          <w:rFonts w:ascii="Times New Roman" w:hAnsi="Times New Roman" w:cs="Times New Roman"/>
          <w:sz w:val="24"/>
          <w:szCs w:val="24"/>
        </w:rPr>
        <w:t>,</w:t>
      </w:r>
      <w:r w:rsidRPr="008859FB">
        <w:rPr>
          <w:rFonts w:ascii="Times New Roman" w:hAnsi="Times New Roman" w:cs="Times New Roman"/>
          <w:sz w:val="24"/>
          <w:szCs w:val="24"/>
        </w:rPr>
        <w:t xml:space="preserve"> </w:t>
      </w:r>
      <w:r>
        <w:rPr>
          <w:rFonts w:ascii="Times New Roman" w:hAnsi="Times New Roman" w:cs="Times New Roman"/>
          <w:sz w:val="24"/>
          <w:szCs w:val="24"/>
        </w:rPr>
        <w:t>depicting</w:t>
      </w:r>
      <w:r w:rsidRPr="008859FB">
        <w:rPr>
          <w:rFonts w:ascii="Times New Roman" w:hAnsi="Times New Roman" w:cs="Times New Roman"/>
          <w:sz w:val="24"/>
          <w:szCs w:val="24"/>
        </w:rPr>
        <w:t xml:space="preserve"> unceasing innovation with the goal to broaden its technology horizon. </w:t>
      </w:r>
      <w:r w:rsidRPr="008859FB">
        <w:rPr>
          <w:rFonts w:ascii="Times New Roman" w:hAnsi="Times New Roman" w:cs="Times New Roman"/>
          <w:b/>
          <w:bCs/>
          <w:sz w:val="24"/>
          <w:szCs w:val="24"/>
        </w:rPr>
        <w:t>Market development</w:t>
      </w:r>
      <w:r w:rsidRPr="008859FB">
        <w:rPr>
          <w:rFonts w:ascii="Times New Roman" w:hAnsi="Times New Roman" w:cs="Times New Roman"/>
          <w:sz w:val="24"/>
          <w:szCs w:val="24"/>
        </w:rPr>
        <w:t xml:space="preserve"> can be observed in the aggressive growth of the company </w:t>
      </w:r>
      <w:r>
        <w:rPr>
          <w:rFonts w:ascii="Times New Roman" w:hAnsi="Times New Roman" w:cs="Times New Roman"/>
          <w:sz w:val="24"/>
          <w:szCs w:val="24"/>
        </w:rPr>
        <w:t>in</w:t>
      </w:r>
      <w:r w:rsidRPr="008859FB">
        <w:rPr>
          <w:rFonts w:ascii="Times New Roman" w:hAnsi="Times New Roman" w:cs="Times New Roman"/>
          <w:sz w:val="24"/>
          <w:szCs w:val="24"/>
        </w:rPr>
        <w:t xml:space="preserve"> China and Europe</w:t>
      </w:r>
      <w:r>
        <w:rPr>
          <w:rFonts w:ascii="Times New Roman" w:hAnsi="Times New Roman" w:cs="Times New Roman"/>
          <w:sz w:val="24"/>
          <w:szCs w:val="24"/>
        </w:rPr>
        <w:t>,</w:t>
      </w:r>
      <w:r w:rsidRPr="008859FB">
        <w:rPr>
          <w:rFonts w:ascii="Times New Roman" w:hAnsi="Times New Roman" w:cs="Times New Roman"/>
          <w:sz w:val="24"/>
          <w:szCs w:val="24"/>
        </w:rPr>
        <w:t xml:space="preserve"> where localisation of production in Gigafactory Shanghai and Berlin lowers logistics expenses and makes the two regions more competitive (International Energy Agency, 2024). </w:t>
      </w:r>
      <w:r>
        <w:rPr>
          <w:rFonts w:ascii="Times New Roman" w:hAnsi="Times New Roman" w:cs="Times New Roman"/>
          <w:sz w:val="24"/>
          <w:szCs w:val="24"/>
        </w:rPr>
        <w:t xml:space="preserve"> </w:t>
      </w:r>
      <w:r w:rsidRPr="008859FB">
        <w:rPr>
          <w:rFonts w:ascii="Times New Roman" w:hAnsi="Times New Roman" w:cs="Times New Roman"/>
          <w:sz w:val="24"/>
          <w:szCs w:val="24"/>
        </w:rPr>
        <w:t>Lastly, Tesla</w:t>
      </w:r>
      <w:r>
        <w:rPr>
          <w:rFonts w:ascii="Times New Roman" w:hAnsi="Times New Roman" w:cs="Times New Roman"/>
          <w:sz w:val="24"/>
          <w:szCs w:val="24"/>
        </w:rPr>
        <w:t>’s</w:t>
      </w:r>
      <w:r w:rsidRPr="008859FB">
        <w:rPr>
          <w:rFonts w:ascii="Times New Roman" w:hAnsi="Times New Roman" w:cs="Times New Roman"/>
          <w:b/>
          <w:bCs/>
          <w:sz w:val="24"/>
          <w:szCs w:val="24"/>
        </w:rPr>
        <w:t xml:space="preserve"> diversif</w:t>
      </w:r>
      <w:r>
        <w:rPr>
          <w:rFonts w:ascii="Times New Roman" w:hAnsi="Times New Roman" w:cs="Times New Roman"/>
          <w:b/>
          <w:bCs/>
          <w:sz w:val="24"/>
          <w:szCs w:val="24"/>
        </w:rPr>
        <w:t>ication</w:t>
      </w:r>
      <w:r w:rsidRPr="008859FB">
        <w:rPr>
          <w:rFonts w:ascii="Times New Roman" w:hAnsi="Times New Roman" w:cs="Times New Roman"/>
          <w:sz w:val="24"/>
          <w:szCs w:val="24"/>
        </w:rPr>
        <w:t xml:space="preserve"> in energy storage and solar solutions expands its value chain beyond vehicles and allows it to keep up with the global electrification trend, as well as consolidate on brands across multiple sectors (Tesla, 2024).</w:t>
      </w:r>
    </w:p>
    <w:p w14:paraId="7A4D4DDE" w14:textId="77777777" w:rsidR="009F4193" w:rsidRPr="00575E31" w:rsidRDefault="009F4193" w:rsidP="003447B2">
      <w:pPr>
        <w:pStyle w:val="Heading3"/>
        <w:rPr>
          <w:rFonts w:cs="Times New Roman"/>
          <w:lang w:val="en-US"/>
        </w:rPr>
      </w:pPr>
      <w:bookmarkStart w:id="15" w:name="_Toc214247320"/>
      <w:r w:rsidRPr="00575E31">
        <w:rPr>
          <w:rFonts w:cs="Times New Roman"/>
          <w:lang w:val="en-US"/>
        </w:rPr>
        <w:lastRenderedPageBreak/>
        <w:t>3.1.2 Porter’s Generic Strategy: Differentiation and Cost Leadership</w:t>
      </w:r>
      <w:bookmarkEnd w:id="15"/>
    </w:p>
    <w:p w14:paraId="02B13B3B" w14:textId="18F45CC3" w:rsidR="009F4193" w:rsidRPr="009F4193" w:rsidRDefault="008670EA" w:rsidP="003447B2">
      <w:pPr>
        <w:spacing w:line="360" w:lineRule="auto"/>
        <w:jc w:val="both"/>
        <w:rPr>
          <w:rFonts w:ascii="Times New Roman" w:hAnsi="Times New Roman" w:cs="Times New Roman"/>
          <w:sz w:val="24"/>
          <w:szCs w:val="24"/>
          <w:lang w:val="en-US"/>
        </w:rPr>
      </w:pPr>
      <w:r w:rsidRPr="008670EA">
        <w:rPr>
          <w:rFonts w:ascii="Times New Roman" w:hAnsi="Times New Roman" w:cs="Times New Roman"/>
          <w:sz w:val="24"/>
          <w:szCs w:val="24"/>
        </w:rPr>
        <w:t>Tesla simultaneously uses differentiation and cost leadership, which is supported by its technological strengths and scale economies. The differentiation is rooted in the superiority of Tesla software, over-the-air updates, superior infotainment and proprietary Autopilot/FSD technology, which produces a continuous value after a vehicle is purchased (</w:t>
      </w:r>
      <w:proofErr w:type="spellStart"/>
      <w:r w:rsidRPr="008670EA">
        <w:rPr>
          <w:rFonts w:ascii="Times New Roman" w:hAnsi="Times New Roman" w:cs="Times New Roman"/>
          <w:sz w:val="24"/>
          <w:szCs w:val="24"/>
        </w:rPr>
        <w:t>Karamitsios</w:t>
      </w:r>
      <w:proofErr w:type="spellEnd"/>
      <w:r w:rsidRPr="008670EA">
        <w:rPr>
          <w:rFonts w:ascii="Times New Roman" w:hAnsi="Times New Roman" w:cs="Times New Roman"/>
          <w:sz w:val="24"/>
          <w:szCs w:val="24"/>
        </w:rPr>
        <w:t xml:space="preserve">, 2013). The vertically integrated manufacturing, large-scale production, gigafactory, and the 4680-battery architecture make cost leadership possible and </w:t>
      </w:r>
      <w:r>
        <w:rPr>
          <w:rFonts w:ascii="Times New Roman" w:hAnsi="Times New Roman" w:cs="Times New Roman"/>
          <w:sz w:val="24"/>
          <w:szCs w:val="24"/>
        </w:rPr>
        <w:t>lower</w:t>
      </w:r>
      <w:r w:rsidRPr="008670EA">
        <w:rPr>
          <w:rFonts w:ascii="Times New Roman" w:hAnsi="Times New Roman" w:cs="Times New Roman"/>
          <w:sz w:val="24"/>
          <w:szCs w:val="24"/>
        </w:rPr>
        <w:t xml:space="preserve"> the cost per kilowatt-hour and </w:t>
      </w:r>
      <w:r>
        <w:rPr>
          <w:rFonts w:ascii="Times New Roman" w:hAnsi="Times New Roman" w:cs="Times New Roman"/>
          <w:sz w:val="24"/>
          <w:szCs w:val="24"/>
        </w:rPr>
        <w:t>enhance</w:t>
      </w:r>
      <w:r w:rsidRPr="008670EA">
        <w:rPr>
          <w:rFonts w:ascii="Times New Roman" w:hAnsi="Times New Roman" w:cs="Times New Roman"/>
          <w:sz w:val="24"/>
          <w:szCs w:val="24"/>
        </w:rPr>
        <w:t xml:space="preserve"> </w:t>
      </w:r>
      <w:r>
        <w:rPr>
          <w:rFonts w:ascii="Times New Roman" w:hAnsi="Times New Roman" w:cs="Times New Roman"/>
          <w:sz w:val="24"/>
          <w:szCs w:val="24"/>
        </w:rPr>
        <w:t>Tesla's</w:t>
      </w:r>
      <w:r w:rsidRPr="008670EA">
        <w:rPr>
          <w:rFonts w:ascii="Times New Roman" w:hAnsi="Times New Roman" w:cs="Times New Roman"/>
          <w:sz w:val="24"/>
          <w:szCs w:val="24"/>
        </w:rPr>
        <w:t xml:space="preserve"> ability to create competitive prices (</w:t>
      </w:r>
      <w:proofErr w:type="spellStart"/>
      <w:r w:rsidRPr="008670EA">
        <w:rPr>
          <w:rFonts w:ascii="Times New Roman" w:hAnsi="Times New Roman" w:cs="Times New Roman"/>
          <w:sz w:val="24"/>
          <w:szCs w:val="24"/>
        </w:rPr>
        <w:t>BloombergNEF</w:t>
      </w:r>
      <w:proofErr w:type="spellEnd"/>
      <w:r w:rsidRPr="008670EA">
        <w:rPr>
          <w:rFonts w:ascii="Times New Roman" w:hAnsi="Times New Roman" w:cs="Times New Roman"/>
          <w:sz w:val="24"/>
          <w:szCs w:val="24"/>
        </w:rPr>
        <w:t xml:space="preserve">, 2024). </w:t>
      </w:r>
      <w:r w:rsidR="00AE65C2" w:rsidRPr="00AE65C2">
        <w:rPr>
          <w:rFonts w:ascii="Times New Roman" w:hAnsi="Times New Roman" w:cs="Times New Roman"/>
          <w:sz w:val="24"/>
          <w:szCs w:val="24"/>
        </w:rPr>
        <w:t>This dual strategy offers flexibility because Tesla will be able to compete on the level of innovation and economy</w:t>
      </w:r>
      <w:r w:rsidR="009F4193" w:rsidRPr="009F4193">
        <w:rPr>
          <w:rFonts w:ascii="Times New Roman" w:hAnsi="Times New Roman" w:cs="Times New Roman"/>
          <w:sz w:val="24"/>
          <w:szCs w:val="24"/>
          <w:lang w:val="en-US"/>
        </w:rPr>
        <w:t>.</w:t>
      </w:r>
    </w:p>
    <w:p w14:paraId="643A0A64" w14:textId="77777777" w:rsidR="009F4193" w:rsidRPr="00575E31" w:rsidRDefault="009F4193" w:rsidP="003447B2">
      <w:pPr>
        <w:pStyle w:val="Heading3"/>
        <w:rPr>
          <w:rFonts w:cs="Times New Roman"/>
          <w:lang w:val="en-US"/>
        </w:rPr>
      </w:pPr>
      <w:bookmarkStart w:id="16" w:name="_Toc214247321"/>
      <w:r w:rsidRPr="00575E31">
        <w:rPr>
          <w:rFonts w:cs="Times New Roman"/>
          <w:lang w:val="en-US"/>
        </w:rPr>
        <w:t>3.1.3 First-Mover Advantage: Network Effects and the Experience Curve</w:t>
      </w:r>
      <w:bookmarkEnd w:id="16"/>
    </w:p>
    <w:p w14:paraId="21AD94DF" w14:textId="4B73B191" w:rsidR="009F4193" w:rsidRPr="009F4193" w:rsidRDefault="00AE65C2" w:rsidP="003447B2">
      <w:pPr>
        <w:spacing w:line="360" w:lineRule="auto"/>
        <w:jc w:val="both"/>
        <w:rPr>
          <w:rFonts w:ascii="Times New Roman" w:hAnsi="Times New Roman" w:cs="Times New Roman"/>
          <w:sz w:val="24"/>
          <w:szCs w:val="24"/>
          <w:lang w:val="en-US"/>
        </w:rPr>
      </w:pPr>
      <w:r w:rsidRPr="00AE65C2">
        <w:rPr>
          <w:rFonts w:ascii="Times New Roman" w:hAnsi="Times New Roman" w:cs="Times New Roman"/>
          <w:sz w:val="24"/>
          <w:szCs w:val="24"/>
          <w:lang w:val="en-US"/>
        </w:rPr>
        <w:t>The mechanisms of the first-mover advantage help Tesla in its pioneering position. The presence of gigafactories and in-house battery technology give it an accelerated experience curve downward unit-cost reduction, faster than in the case of the second-mover firms (Lieberman and Montgomery, 1988).</w:t>
      </w:r>
      <w:r>
        <w:rPr>
          <w:rFonts w:ascii="Times New Roman" w:hAnsi="Times New Roman" w:cs="Times New Roman"/>
          <w:sz w:val="24"/>
          <w:szCs w:val="24"/>
          <w:lang w:val="en-US"/>
        </w:rPr>
        <w:t xml:space="preserve"> </w:t>
      </w:r>
      <w:r w:rsidR="008670EA" w:rsidRPr="008670EA">
        <w:rPr>
          <w:rFonts w:ascii="Times New Roman" w:hAnsi="Times New Roman" w:cs="Times New Roman"/>
          <w:b/>
          <w:bCs/>
          <w:sz w:val="24"/>
          <w:szCs w:val="24"/>
          <w:lang w:val="en-US"/>
        </w:rPr>
        <w:t>Supercharger network</w:t>
      </w:r>
      <w:r w:rsidR="008670EA" w:rsidRPr="008670EA">
        <w:rPr>
          <w:rFonts w:ascii="Times New Roman" w:hAnsi="Times New Roman" w:cs="Times New Roman"/>
          <w:sz w:val="24"/>
          <w:szCs w:val="24"/>
          <w:lang w:val="en-US"/>
        </w:rPr>
        <w:t xml:space="preserve"> creates network effects by increasing convenience and providing customer lock-in to augment ecosystem dependence. All these strategic options increase the competitive advantage of Tesla over the long term</w:t>
      </w:r>
      <w:r w:rsidR="009F4193" w:rsidRPr="009F4193">
        <w:rPr>
          <w:rFonts w:ascii="Times New Roman" w:hAnsi="Times New Roman" w:cs="Times New Roman"/>
          <w:sz w:val="24"/>
          <w:szCs w:val="24"/>
          <w:lang w:val="en-US"/>
        </w:rPr>
        <w:t>.</w:t>
      </w:r>
    </w:p>
    <w:p w14:paraId="1B34E0C4" w14:textId="77777777" w:rsidR="009F4193" w:rsidRPr="00575E31" w:rsidRDefault="009F4193" w:rsidP="003447B2">
      <w:pPr>
        <w:pStyle w:val="Heading3"/>
        <w:rPr>
          <w:rFonts w:cs="Times New Roman"/>
          <w:lang w:val="en-US"/>
        </w:rPr>
      </w:pPr>
      <w:bookmarkStart w:id="17" w:name="_Toc214247322"/>
      <w:r w:rsidRPr="00575E31">
        <w:rPr>
          <w:rFonts w:cs="Times New Roman"/>
          <w:lang w:val="en-US"/>
        </w:rPr>
        <w:t>3.1.4 Critical Evaluation of Tesla’s Strategic Position</w:t>
      </w:r>
      <w:bookmarkEnd w:id="17"/>
    </w:p>
    <w:p w14:paraId="569F8A0E" w14:textId="3BB09068" w:rsidR="009F4193" w:rsidRPr="009F4193" w:rsidRDefault="008670EA" w:rsidP="003447B2">
      <w:pPr>
        <w:spacing w:line="360" w:lineRule="auto"/>
        <w:jc w:val="both"/>
        <w:rPr>
          <w:rFonts w:ascii="Times New Roman" w:hAnsi="Times New Roman" w:cs="Times New Roman"/>
          <w:sz w:val="24"/>
          <w:szCs w:val="24"/>
          <w:lang w:val="en-US"/>
        </w:rPr>
      </w:pPr>
      <w:r w:rsidRPr="008670EA">
        <w:rPr>
          <w:rFonts w:ascii="Times New Roman" w:hAnsi="Times New Roman" w:cs="Times New Roman"/>
          <w:sz w:val="24"/>
          <w:szCs w:val="24"/>
          <w:lang w:val="en-US"/>
        </w:rPr>
        <w:t xml:space="preserve">The pioneer advantage is not unassailable even at Tesla in spite of its strong strategic posture. Competition against Chinese manufacturers is increasing, and the scaling of traditional automakers is accelerating, as well as the growing regulatory oversight, </w:t>
      </w:r>
      <w:r w:rsidR="00E30830">
        <w:rPr>
          <w:rFonts w:ascii="Times New Roman" w:hAnsi="Times New Roman" w:cs="Times New Roman"/>
          <w:sz w:val="24"/>
          <w:szCs w:val="24"/>
          <w:lang w:val="en-US"/>
        </w:rPr>
        <w:t xml:space="preserve">which </w:t>
      </w:r>
      <w:r w:rsidRPr="008670EA">
        <w:rPr>
          <w:rFonts w:ascii="Times New Roman" w:hAnsi="Times New Roman" w:cs="Times New Roman"/>
          <w:sz w:val="24"/>
          <w:szCs w:val="24"/>
          <w:lang w:val="en-US"/>
        </w:rPr>
        <w:t>is a significant threat (IEA, 2024). Being dependent on high-volume production, Tesla is vulnerable to capacity limitations and variability of the supply chain, whereas regular price reductions may compromise margins and brand value. In addition, Tesla is exposed to a threat of competitive convergence as autonomous technologies grow in the industry, potentially reducing its differentiating advantage</w:t>
      </w:r>
      <w:r w:rsidR="009F4193" w:rsidRPr="009F4193">
        <w:rPr>
          <w:rFonts w:ascii="Times New Roman" w:hAnsi="Times New Roman" w:cs="Times New Roman"/>
          <w:sz w:val="24"/>
          <w:szCs w:val="24"/>
          <w:lang w:val="en-US"/>
        </w:rPr>
        <w:t>.</w:t>
      </w:r>
    </w:p>
    <w:p w14:paraId="41802689" w14:textId="77777777" w:rsidR="009F4193" w:rsidRPr="00575E31" w:rsidRDefault="009F4193" w:rsidP="00F35A5C">
      <w:pPr>
        <w:pStyle w:val="Heading2"/>
        <w:rPr>
          <w:rFonts w:cs="Times New Roman"/>
          <w:color w:val="auto"/>
          <w:lang w:val="en-US"/>
        </w:rPr>
      </w:pPr>
      <w:bookmarkStart w:id="18" w:name="_Toc214247323"/>
      <w:r w:rsidRPr="00575E31">
        <w:rPr>
          <w:rFonts w:cs="Times New Roman"/>
          <w:color w:val="auto"/>
          <w:lang w:val="en-US"/>
        </w:rPr>
        <w:lastRenderedPageBreak/>
        <w:t xml:space="preserve">3.2 Strategic Responses of Follower </w:t>
      </w:r>
      <w:proofErr w:type="spellStart"/>
      <w:r w:rsidRPr="00575E31">
        <w:rPr>
          <w:rFonts w:cs="Times New Roman"/>
          <w:color w:val="auto"/>
          <w:lang w:val="en-US"/>
        </w:rPr>
        <w:t>Organisations</w:t>
      </w:r>
      <w:proofErr w:type="spellEnd"/>
      <w:r w:rsidRPr="00575E31">
        <w:rPr>
          <w:rFonts w:cs="Times New Roman"/>
          <w:color w:val="auto"/>
          <w:lang w:val="en-US"/>
        </w:rPr>
        <w:t>: Volkswagen</w:t>
      </w:r>
      <w:bookmarkEnd w:id="18"/>
    </w:p>
    <w:p w14:paraId="6C531B60" w14:textId="77777777" w:rsidR="009F4193" w:rsidRPr="00575E31" w:rsidRDefault="009F4193" w:rsidP="00F35A5C">
      <w:pPr>
        <w:pStyle w:val="Heading3"/>
        <w:rPr>
          <w:rFonts w:cs="Times New Roman"/>
          <w:lang w:val="en-US"/>
        </w:rPr>
      </w:pPr>
      <w:bookmarkStart w:id="19" w:name="_Toc214247324"/>
      <w:r w:rsidRPr="00575E31">
        <w:rPr>
          <w:rFonts w:cs="Times New Roman"/>
          <w:lang w:val="en-US"/>
        </w:rPr>
        <w:t>3.2.1 Ansoff Matrix: Volkswagen’s Electrification Trajectory</w:t>
      </w:r>
      <w:bookmarkEnd w:id="19"/>
    </w:p>
    <w:p w14:paraId="34E3EA1C" w14:textId="096743B3" w:rsidR="005332F9" w:rsidRPr="009F4193" w:rsidRDefault="005332F9" w:rsidP="003447B2">
      <w:pPr>
        <w:spacing w:line="360" w:lineRule="auto"/>
        <w:jc w:val="both"/>
        <w:rPr>
          <w:rFonts w:ascii="Times New Roman" w:hAnsi="Times New Roman" w:cs="Times New Roman"/>
          <w:sz w:val="24"/>
          <w:szCs w:val="24"/>
          <w:lang w:val="en-US"/>
        </w:rPr>
      </w:pPr>
      <w:r w:rsidRPr="005332F9">
        <w:rPr>
          <w:rFonts w:ascii="Times New Roman" w:hAnsi="Times New Roman" w:cs="Times New Roman"/>
          <w:sz w:val="24"/>
          <w:szCs w:val="24"/>
        </w:rPr>
        <w:t xml:space="preserve">The Volkswagen strategic reactions to the EV transition can be viewed as the adaptation of the Growth Matrix of Ansoff based on the ID. series platform. By </w:t>
      </w:r>
      <w:r w:rsidRPr="009F4193">
        <w:rPr>
          <w:rFonts w:ascii="Times New Roman" w:hAnsi="Times New Roman" w:cs="Times New Roman"/>
          <w:b/>
          <w:bCs/>
          <w:sz w:val="24"/>
          <w:szCs w:val="24"/>
          <w:lang w:val="en-US"/>
        </w:rPr>
        <w:t>market penetration</w:t>
      </w:r>
      <w:r w:rsidRPr="005332F9">
        <w:rPr>
          <w:rFonts w:ascii="Times New Roman" w:hAnsi="Times New Roman" w:cs="Times New Roman"/>
          <w:sz w:val="24"/>
          <w:szCs w:val="24"/>
        </w:rPr>
        <w:t xml:space="preserve">, Volkswagen has launched the ID.3, ID.4 and ID.5 brands at competitive prices and with a mass-production strategy, hoping to reclaim market share once EV adoption </w:t>
      </w:r>
      <w:r>
        <w:rPr>
          <w:rFonts w:ascii="Times New Roman" w:hAnsi="Times New Roman" w:cs="Times New Roman"/>
          <w:sz w:val="24"/>
          <w:szCs w:val="24"/>
        </w:rPr>
        <w:t>picks</w:t>
      </w:r>
      <w:r w:rsidRPr="005332F9">
        <w:rPr>
          <w:rFonts w:ascii="Times New Roman" w:hAnsi="Times New Roman" w:cs="Times New Roman"/>
          <w:sz w:val="24"/>
          <w:szCs w:val="24"/>
        </w:rPr>
        <w:t xml:space="preserve"> up pace (Volkswagen AG, 2024). Its </w:t>
      </w:r>
      <w:r w:rsidRPr="005332F9">
        <w:rPr>
          <w:rFonts w:ascii="Times New Roman" w:hAnsi="Times New Roman" w:cs="Times New Roman"/>
          <w:b/>
          <w:bCs/>
          <w:sz w:val="24"/>
          <w:szCs w:val="24"/>
        </w:rPr>
        <w:t>market development</w:t>
      </w:r>
      <w:r w:rsidRPr="005332F9">
        <w:rPr>
          <w:rFonts w:ascii="Times New Roman" w:hAnsi="Times New Roman" w:cs="Times New Roman"/>
          <w:sz w:val="24"/>
          <w:szCs w:val="24"/>
        </w:rPr>
        <w:t xml:space="preserve"> plan focuses on China, </w:t>
      </w:r>
      <w:r>
        <w:rPr>
          <w:rFonts w:ascii="Times New Roman" w:hAnsi="Times New Roman" w:cs="Times New Roman"/>
          <w:sz w:val="24"/>
          <w:szCs w:val="24"/>
        </w:rPr>
        <w:t>with</w:t>
      </w:r>
      <w:r w:rsidRPr="005332F9">
        <w:rPr>
          <w:rFonts w:ascii="Times New Roman" w:hAnsi="Times New Roman" w:cs="Times New Roman"/>
          <w:sz w:val="24"/>
          <w:szCs w:val="24"/>
        </w:rPr>
        <w:t xml:space="preserve"> which the firm has joint ventures with SAIC and FAW to localise EV manufacturing and match with the New Energy Vehicle (NEV) credit system of China (International Energy Agency, 2024). The move towards </w:t>
      </w:r>
      <w:r w:rsidRPr="005332F9">
        <w:rPr>
          <w:rFonts w:ascii="Times New Roman" w:hAnsi="Times New Roman" w:cs="Times New Roman"/>
          <w:b/>
          <w:bCs/>
          <w:sz w:val="24"/>
          <w:szCs w:val="24"/>
        </w:rPr>
        <w:t>diversification</w:t>
      </w:r>
      <w:r w:rsidRPr="005332F9">
        <w:rPr>
          <w:rFonts w:ascii="Times New Roman" w:hAnsi="Times New Roman" w:cs="Times New Roman"/>
          <w:sz w:val="24"/>
          <w:szCs w:val="24"/>
        </w:rPr>
        <w:t xml:space="preserve"> by Volkswagen, especially through their software subsidiary Cariad and their intended battery gigafactories, </w:t>
      </w:r>
      <w:r>
        <w:rPr>
          <w:rFonts w:ascii="Times New Roman" w:hAnsi="Times New Roman" w:cs="Times New Roman"/>
          <w:sz w:val="24"/>
          <w:szCs w:val="24"/>
        </w:rPr>
        <w:t>is</w:t>
      </w:r>
      <w:r w:rsidRPr="005332F9">
        <w:rPr>
          <w:rFonts w:ascii="Times New Roman" w:hAnsi="Times New Roman" w:cs="Times New Roman"/>
          <w:sz w:val="24"/>
          <w:szCs w:val="24"/>
        </w:rPr>
        <w:t xml:space="preserve"> indicative of internalisation efforts to ensure they were not over-reliant on their suppliers (Lewin et al., 2025). Nevertheless, these diversification initiatives have not been effective due to the slow pace of execution and development.</w:t>
      </w:r>
    </w:p>
    <w:p w14:paraId="106B6BE2" w14:textId="77777777" w:rsidR="009F4193" w:rsidRPr="00575E31" w:rsidRDefault="009F4193" w:rsidP="00F35A5C">
      <w:pPr>
        <w:pStyle w:val="Heading3"/>
        <w:rPr>
          <w:rFonts w:cs="Times New Roman"/>
          <w:lang w:val="en-US"/>
        </w:rPr>
      </w:pPr>
      <w:bookmarkStart w:id="20" w:name="_Toc214247325"/>
      <w:r w:rsidRPr="00575E31">
        <w:rPr>
          <w:rFonts w:cs="Times New Roman"/>
          <w:lang w:val="en-US"/>
        </w:rPr>
        <w:t>3.2.2 Porter’s Generic Strategy: Broad Differentiation with Execution Gaps</w:t>
      </w:r>
      <w:bookmarkEnd w:id="20"/>
    </w:p>
    <w:p w14:paraId="041672E7" w14:textId="6C9A7953" w:rsidR="009F4193" w:rsidRPr="009F4193" w:rsidRDefault="005332F9" w:rsidP="003447B2">
      <w:pPr>
        <w:spacing w:line="360" w:lineRule="auto"/>
        <w:jc w:val="both"/>
        <w:rPr>
          <w:rFonts w:ascii="Times New Roman" w:hAnsi="Times New Roman" w:cs="Times New Roman"/>
          <w:sz w:val="24"/>
          <w:szCs w:val="24"/>
          <w:lang w:val="en-US"/>
        </w:rPr>
      </w:pPr>
      <w:r w:rsidRPr="005332F9">
        <w:rPr>
          <w:rFonts w:ascii="Times New Roman" w:hAnsi="Times New Roman" w:cs="Times New Roman"/>
          <w:sz w:val="24"/>
          <w:szCs w:val="24"/>
          <w:lang w:val="en-US"/>
        </w:rPr>
        <w:t xml:space="preserve">Volkswagen uses a </w:t>
      </w:r>
      <w:r w:rsidRPr="005332F9">
        <w:rPr>
          <w:rFonts w:ascii="Times New Roman" w:hAnsi="Times New Roman" w:cs="Times New Roman"/>
          <w:b/>
          <w:bCs/>
          <w:sz w:val="24"/>
          <w:szCs w:val="24"/>
          <w:lang w:val="en-US"/>
        </w:rPr>
        <w:t xml:space="preserve">broad differentiation </w:t>
      </w:r>
      <w:r w:rsidRPr="005332F9">
        <w:rPr>
          <w:rFonts w:ascii="Times New Roman" w:hAnsi="Times New Roman" w:cs="Times New Roman"/>
          <w:sz w:val="24"/>
          <w:szCs w:val="24"/>
          <w:lang w:val="en-US"/>
        </w:rPr>
        <w:t xml:space="preserve">strategy, trying to compete by quality engineering, brand name and product diversification. </w:t>
      </w:r>
      <w:r w:rsidR="004C712F" w:rsidRPr="004C712F">
        <w:rPr>
          <w:rFonts w:ascii="Times New Roman" w:hAnsi="Times New Roman" w:cs="Times New Roman"/>
          <w:sz w:val="24"/>
          <w:szCs w:val="24"/>
          <w:lang w:val="en-US"/>
        </w:rPr>
        <w:t>Nevertheless, the execution problems sabotage this positioning. The developing software of Volkswagen through Cariad has been halted many times, which resulted in models delays and costly recalls (Volkswagen AG, 2024). These setbacks hurt its differentiation argument and refer to its software-based strategy in comparison to Tesla (</w:t>
      </w:r>
      <w:proofErr w:type="spellStart"/>
      <w:r w:rsidR="004C712F" w:rsidRPr="004C712F">
        <w:rPr>
          <w:rFonts w:ascii="Times New Roman" w:hAnsi="Times New Roman" w:cs="Times New Roman"/>
          <w:sz w:val="24"/>
          <w:szCs w:val="24"/>
          <w:lang w:val="en-US"/>
        </w:rPr>
        <w:t>Karamitsios</w:t>
      </w:r>
      <w:proofErr w:type="spellEnd"/>
      <w:r w:rsidR="004C712F" w:rsidRPr="004C712F">
        <w:rPr>
          <w:rFonts w:ascii="Times New Roman" w:hAnsi="Times New Roman" w:cs="Times New Roman"/>
          <w:sz w:val="24"/>
          <w:szCs w:val="24"/>
          <w:lang w:val="en-US"/>
        </w:rPr>
        <w:t>, 2013). Furthermore, Volkswagen cannot compete on cost at the required level to make EVs profitable as it has to rely on external sources of batteries and increased costs of manufacturing</w:t>
      </w:r>
      <w:r w:rsidR="009F4193" w:rsidRPr="009F4193">
        <w:rPr>
          <w:rFonts w:ascii="Times New Roman" w:hAnsi="Times New Roman" w:cs="Times New Roman"/>
          <w:sz w:val="24"/>
          <w:szCs w:val="24"/>
          <w:lang w:val="en-US"/>
        </w:rPr>
        <w:t>.</w:t>
      </w:r>
    </w:p>
    <w:p w14:paraId="6C42CB6D" w14:textId="77777777" w:rsidR="009F4193" w:rsidRPr="00575E31" w:rsidRDefault="009F4193" w:rsidP="00F35A5C">
      <w:pPr>
        <w:pStyle w:val="Heading3"/>
        <w:rPr>
          <w:rFonts w:cs="Times New Roman"/>
          <w:lang w:val="en-US"/>
        </w:rPr>
      </w:pPr>
      <w:bookmarkStart w:id="21" w:name="_Toc214247326"/>
      <w:r w:rsidRPr="00575E31">
        <w:rPr>
          <w:rFonts w:cs="Times New Roman"/>
          <w:lang w:val="en-US"/>
        </w:rPr>
        <w:t>3.2.3 Follower Strategy Theory: Structural Advantages and Constraints</w:t>
      </w:r>
      <w:bookmarkEnd w:id="21"/>
    </w:p>
    <w:p w14:paraId="13C9FFFB" w14:textId="1559387A" w:rsidR="005332F9" w:rsidRPr="005332F9" w:rsidRDefault="004C712F" w:rsidP="005332F9">
      <w:pPr>
        <w:spacing w:line="360" w:lineRule="auto"/>
        <w:jc w:val="both"/>
        <w:rPr>
          <w:rFonts w:ascii="Times New Roman" w:hAnsi="Times New Roman" w:cs="Times New Roman"/>
          <w:sz w:val="24"/>
          <w:szCs w:val="24"/>
          <w:lang w:val="en-US"/>
        </w:rPr>
      </w:pPr>
      <w:r w:rsidRPr="004C712F">
        <w:rPr>
          <w:rFonts w:ascii="Times New Roman" w:hAnsi="Times New Roman" w:cs="Times New Roman"/>
          <w:sz w:val="24"/>
          <w:szCs w:val="24"/>
          <w:lang w:val="en-US"/>
        </w:rPr>
        <w:t>Volkswagen is a late-follower in terms of follower-strategy. Although it has a record of scale economies, global distribution channels and high manufacturing experience, structural inertia due to long-term dependency on ICE technologies acts as a counterbalance (Tellis and Golder, 1996).</w:t>
      </w:r>
      <w:r>
        <w:rPr>
          <w:rFonts w:ascii="Times New Roman" w:hAnsi="Times New Roman" w:cs="Times New Roman"/>
          <w:sz w:val="24"/>
          <w:szCs w:val="24"/>
          <w:lang w:val="en-US"/>
        </w:rPr>
        <w:t xml:space="preserve"> </w:t>
      </w:r>
      <w:r w:rsidR="005332F9" w:rsidRPr="005332F9">
        <w:rPr>
          <w:rFonts w:ascii="Times New Roman" w:hAnsi="Times New Roman" w:cs="Times New Roman"/>
          <w:sz w:val="24"/>
          <w:szCs w:val="24"/>
          <w:lang w:val="en-US"/>
        </w:rPr>
        <w:t xml:space="preserve">High intervention costs of ICE stations and contracts with suppliers raise transitory costs that limit strategic flexibility and promote the adoption of </w:t>
      </w:r>
      <w:r w:rsidR="005332F9">
        <w:rPr>
          <w:rFonts w:ascii="Times New Roman" w:hAnsi="Times New Roman" w:cs="Times New Roman"/>
          <w:sz w:val="24"/>
          <w:szCs w:val="24"/>
          <w:lang w:val="en-US"/>
        </w:rPr>
        <w:t>EVs</w:t>
      </w:r>
      <w:r w:rsidR="005332F9" w:rsidRPr="005332F9">
        <w:rPr>
          <w:rFonts w:ascii="Times New Roman" w:hAnsi="Times New Roman" w:cs="Times New Roman"/>
          <w:sz w:val="24"/>
          <w:szCs w:val="24"/>
          <w:lang w:val="en-US"/>
        </w:rPr>
        <w:t xml:space="preserve"> (Lewin et al., 2025). Whereas Tesla grows using vertical integration, Volkswagen has to refit old factories, which increases the cost of capital and causes operational disturbance.</w:t>
      </w:r>
    </w:p>
    <w:p w14:paraId="12CAC4C8" w14:textId="77777777" w:rsidR="009F4193" w:rsidRPr="00575E31" w:rsidRDefault="009F4193" w:rsidP="00F35A5C">
      <w:pPr>
        <w:pStyle w:val="Heading3"/>
        <w:rPr>
          <w:rFonts w:cs="Times New Roman"/>
          <w:lang w:val="en-US"/>
        </w:rPr>
      </w:pPr>
      <w:bookmarkStart w:id="22" w:name="_Toc214247327"/>
      <w:r w:rsidRPr="00575E31">
        <w:rPr>
          <w:rFonts w:cs="Times New Roman"/>
          <w:lang w:val="en-US"/>
        </w:rPr>
        <w:lastRenderedPageBreak/>
        <w:t>3.2.4 Critical Evaluation of Volkswagen’s Strategic Position</w:t>
      </w:r>
      <w:bookmarkEnd w:id="22"/>
    </w:p>
    <w:p w14:paraId="07EBD7F8" w14:textId="6CB972F1" w:rsidR="009F4193" w:rsidRPr="009F4193" w:rsidRDefault="005332F9" w:rsidP="003447B2">
      <w:pPr>
        <w:spacing w:line="360" w:lineRule="auto"/>
        <w:jc w:val="both"/>
        <w:rPr>
          <w:rFonts w:ascii="Times New Roman" w:hAnsi="Times New Roman" w:cs="Times New Roman"/>
          <w:sz w:val="24"/>
          <w:szCs w:val="24"/>
          <w:lang w:val="en-US"/>
        </w:rPr>
      </w:pPr>
      <w:r w:rsidRPr="005332F9">
        <w:rPr>
          <w:rFonts w:ascii="Times New Roman" w:hAnsi="Times New Roman" w:cs="Times New Roman"/>
          <w:sz w:val="24"/>
          <w:szCs w:val="24"/>
          <w:lang w:val="en-US"/>
        </w:rPr>
        <w:t>The strategic responses of Volkswagen are mostly reactive and not proactive</w:t>
      </w:r>
      <w:r>
        <w:rPr>
          <w:rFonts w:ascii="Times New Roman" w:hAnsi="Times New Roman" w:cs="Times New Roman"/>
          <w:sz w:val="24"/>
          <w:szCs w:val="24"/>
          <w:lang w:val="en-US"/>
        </w:rPr>
        <w:t>,</w:t>
      </w:r>
      <w:r w:rsidRPr="005332F9">
        <w:rPr>
          <w:rFonts w:ascii="Times New Roman" w:hAnsi="Times New Roman" w:cs="Times New Roman"/>
          <w:sz w:val="24"/>
          <w:szCs w:val="24"/>
          <w:lang w:val="en-US"/>
        </w:rPr>
        <w:t xml:space="preserve"> based on innovation. Despite this great stride, the ID. series has experienced inconsistencies in execution</w:t>
      </w:r>
      <w:r>
        <w:rPr>
          <w:rFonts w:ascii="Times New Roman" w:hAnsi="Times New Roman" w:cs="Times New Roman"/>
          <w:sz w:val="24"/>
          <w:szCs w:val="24"/>
          <w:lang w:val="en-US"/>
        </w:rPr>
        <w:t>,</w:t>
      </w:r>
      <w:r w:rsidRPr="005332F9">
        <w:rPr>
          <w:rFonts w:ascii="Times New Roman" w:hAnsi="Times New Roman" w:cs="Times New Roman"/>
          <w:sz w:val="24"/>
          <w:szCs w:val="24"/>
          <w:lang w:val="en-US"/>
        </w:rPr>
        <w:t xml:space="preserve"> especially in software integration, causing a strategic execution gap that has weakened its competitiveness. The strengths of Volkswagen in terms of </w:t>
      </w:r>
      <w:r>
        <w:rPr>
          <w:rFonts w:ascii="Times New Roman" w:hAnsi="Times New Roman" w:cs="Times New Roman"/>
          <w:sz w:val="24"/>
          <w:szCs w:val="24"/>
          <w:lang w:val="en-US"/>
        </w:rPr>
        <w:t>manufacturing</w:t>
      </w:r>
      <w:r w:rsidRPr="005332F9">
        <w:rPr>
          <w:rFonts w:ascii="Times New Roman" w:hAnsi="Times New Roman" w:cs="Times New Roman"/>
          <w:sz w:val="24"/>
          <w:szCs w:val="24"/>
          <w:lang w:val="en-US"/>
        </w:rPr>
        <w:t xml:space="preserve"> and scale are high</w:t>
      </w:r>
      <w:r w:rsidR="00DA6581">
        <w:rPr>
          <w:rFonts w:ascii="Times New Roman" w:hAnsi="Times New Roman" w:cs="Times New Roman"/>
          <w:sz w:val="24"/>
          <w:szCs w:val="24"/>
          <w:lang w:val="en-US"/>
        </w:rPr>
        <w:t>,</w:t>
      </w:r>
      <w:r w:rsidRPr="005332F9">
        <w:rPr>
          <w:rFonts w:ascii="Times New Roman" w:hAnsi="Times New Roman" w:cs="Times New Roman"/>
          <w:sz w:val="24"/>
          <w:szCs w:val="24"/>
          <w:lang w:val="en-US"/>
        </w:rPr>
        <w:t xml:space="preserve"> </w:t>
      </w:r>
      <w:r w:rsidR="00DA6581">
        <w:rPr>
          <w:rFonts w:ascii="Times New Roman" w:hAnsi="Times New Roman" w:cs="Times New Roman"/>
          <w:sz w:val="24"/>
          <w:szCs w:val="24"/>
          <w:lang w:val="en-US"/>
        </w:rPr>
        <w:t>but</w:t>
      </w:r>
      <w:r w:rsidRPr="005332F9">
        <w:rPr>
          <w:rFonts w:ascii="Times New Roman" w:hAnsi="Times New Roman" w:cs="Times New Roman"/>
          <w:sz w:val="24"/>
          <w:szCs w:val="24"/>
          <w:lang w:val="en-US"/>
        </w:rPr>
        <w:t xml:space="preserve"> not enough to counterbalance their technological disadvantage. With increasing regulatory pressures and the growth of technical complexity, Volkswagen is at risk of stagnation in its competitive performance until it develops capabilities faster and </w:t>
      </w:r>
      <w:proofErr w:type="spellStart"/>
      <w:r w:rsidRPr="005332F9">
        <w:rPr>
          <w:rFonts w:ascii="Times New Roman" w:hAnsi="Times New Roman" w:cs="Times New Roman"/>
          <w:sz w:val="24"/>
          <w:szCs w:val="24"/>
          <w:lang w:val="en-US"/>
        </w:rPr>
        <w:t>minimises</w:t>
      </w:r>
      <w:proofErr w:type="spellEnd"/>
      <w:r w:rsidRPr="005332F9">
        <w:rPr>
          <w:rFonts w:ascii="Times New Roman" w:hAnsi="Times New Roman" w:cs="Times New Roman"/>
          <w:sz w:val="24"/>
          <w:szCs w:val="24"/>
          <w:lang w:val="en-US"/>
        </w:rPr>
        <w:t xml:space="preserve"> structural inertia</w:t>
      </w:r>
      <w:r w:rsidR="009F4193" w:rsidRPr="009F4193">
        <w:rPr>
          <w:rFonts w:ascii="Times New Roman" w:hAnsi="Times New Roman" w:cs="Times New Roman"/>
          <w:sz w:val="24"/>
          <w:szCs w:val="24"/>
          <w:lang w:val="en-US"/>
        </w:rPr>
        <w:t>.</w:t>
      </w:r>
    </w:p>
    <w:p w14:paraId="7DC8F81E" w14:textId="77777777" w:rsidR="001C38C4" w:rsidRPr="001C38C4" w:rsidRDefault="00D759A0" w:rsidP="00D759A0">
      <w:pPr>
        <w:pStyle w:val="Caption"/>
        <w:jc w:val="center"/>
        <w:rPr>
          <w:rFonts w:ascii="Times New Roman" w:hAnsi="Times New Roman" w:cs="Times New Roman"/>
          <w:b/>
          <w:bCs/>
          <w:color w:val="auto"/>
          <w:sz w:val="36"/>
          <w:szCs w:val="36"/>
          <w:lang w:val="en-US"/>
        </w:rPr>
      </w:pPr>
      <w:bookmarkStart w:id="23" w:name="_Toc214247361"/>
      <w:r w:rsidRPr="00575E31">
        <w:rPr>
          <w:rFonts w:ascii="Times New Roman" w:hAnsi="Times New Roman" w:cs="Times New Roman"/>
          <w:b/>
          <w:bCs/>
          <w:color w:val="auto"/>
          <w:sz w:val="24"/>
          <w:szCs w:val="24"/>
        </w:rPr>
        <w:t xml:space="preserve">Table </w:t>
      </w:r>
      <w:r w:rsidRPr="00575E31">
        <w:rPr>
          <w:rFonts w:ascii="Times New Roman" w:hAnsi="Times New Roman" w:cs="Times New Roman"/>
          <w:b/>
          <w:bCs/>
          <w:color w:val="auto"/>
          <w:sz w:val="24"/>
          <w:szCs w:val="24"/>
        </w:rPr>
        <w:fldChar w:fldCharType="begin"/>
      </w:r>
      <w:r w:rsidRPr="00575E31">
        <w:rPr>
          <w:rFonts w:ascii="Times New Roman" w:hAnsi="Times New Roman" w:cs="Times New Roman"/>
          <w:b/>
          <w:bCs/>
          <w:color w:val="auto"/>
          <w:sz w:val="24"/>
          <w:szCs w:val="24"/>
        </w:rPr>
        <w:instrText xml:space="preserve"> SEQ Table \* ARABIC </w:instrText>
      </w:r>
      <w:r w:rsidRPr="00575E31">
        <w:rPr>
          <w:rFonts w:ascii="Times New Roman" w:hAnsi="Times New Roman" w:cs="Times New Roman"/>
          <w:b/>
          <w:bCs/>
          <w:color w:val="auto"/>
          <w:sz w:val="24"/>
          <w:szCs w:val="24"/>
        </w:rPr>
        <w:fldChar w:fldCharType="separate"/>
      </w:r>
      <w:r w:rsidRPr="00575E31">
        <w:rPr>
          <w:rFonts w:ascii="Times New Roman" w:hAnsi="Times New Roman" w:cs="Times New Roman"/>
          <w:b/>
          <w:bCs/>
          <w:noProof/>
          <w:color w:val="auto"/>
          <w:sz w:val="24"/>
          <w:szCs w:val="24"/>
        </w:rPr>
        <w:t>2</w:t>
      </w:r>
      <w:r w:rsidRPr="00575E31">
        <w:rPr>
          <w:rFonts w:ascii="Times New Roman" w:hAnsi="Times New Roman" w:cs="Times New Roman"/>
          <w:b/>
          <w:bCs/>
          <w:color w:val="auto"/>
          <w:sz w:val="24"/>
          <w:szCs w:val="24"/>
        </w:rPr>
        <w:fldChar w:fldCharType="end"/>
      </w:r>
      <w:r w:rsidRPr="00575E31">
        <w:rPr>
          <w:rFonts w:ascii="Times New Roman" w:hAnsi="Times New Roman" w:cs="Times New Roman"/>
          <w:b/>
          <w:bCs/>
          <w:color w:val="auto"/>
          <w:sz w:val="24"/>
          <w:szCs w:val="24"/>
        </w:rPr>
        <w:t>: Application of Ansoff’s Growth Matrix: Tesla vs Volkswagen</w:t>
      </w:r>
      <w:bookmarkEnd w:id="23"/>
    </w:p>
    <w:tbl>
      <w:tblPr>
        <w:tblStyle w:val="GridTable5Dark-Accent1"/>
        <w:tblW w:w="9065" w:type="dxa"/>
        <w:tblLook w:val="04A0" w:firstRow="1" w:lastRow="0" w:firstColumn="1" w:lastColumn="0" w:noHBand="0" w:noVBand="1"/>
      </w:tblPr>
      <w:tblGrid>
        <w:gridCol w:w="1968"/>
        <w:gridCol w:w="3185"/>
        <w:gridCol w:w="3912"/>
      </w:tblGrid>
      <w:tr w:rsidR="001C38C4" w:rsidRPr="001C38C4" w14:paraId="10E4EFAF" w14:textId="77777777" w:rsidTr="00F35A5C">
        <w:trPr>
          <w:cnfStyle w:val="100000000000" w:firstRow="1" w:lastRow="0" w:firstColumn="0" w:lastColumn="0" w:oddVBand="0" w:evenVBand="0" w:oddHBand="0" w:evenHBand="0" w:firstRowFirstColumn="0" w:firstRowLastColumn="0" w:lastRowFirstColumn="0" w:lastRowLastColumn="0"/>
          <w:trHeight w:val="648"/>
        </w:trPr>
        <w:tc>
          <w:tcPr>
            <w:cnfStyle w:val="001000000000" w:firstRow="0" w:lastRow="0" w:firstColumn="1" w:lastColumn="0" w:oddVBand="0" w:evenVBand="0" w:oddHBand="0" w:evenHBand="0" w:firstRowFirstColumn="0" w:firstRowLastColumn="0" w:lastRowFirstColumn="0" w:lastRowLastColumn="0"/>
            <w:tcW w:w="0" w:type="auto"/>
            <w:hideMark/>
          </w:tcPr>
          <w:p w14:paraId="21E38B7D" w14:textId="77777777" w:rsidR="001C38C4" w:rsidRPr="001C38C4" w:rsidRDefault="001C38C4" w:rsidP="00F35A5C">
            <w:pPr>
              <w:spacing w:after="160" w:line="360" w:lineRule="auto"/>
              <w:rPr>
                <w:rFonts w:ascii="Times New Roman" w:hAnsi="Times New Roman" w:cs="Times New Roman"/>
                <w:sz w:val="24"/>
                <w:szCs w:val="24"/>
                <w:lang w:val="en-US"/>
              </w:rPr>
            </w:pPr>
            <w:r w:rsidRPr="001C38C4">
              <w:rPr>
                <w:rFonts w:ascii="Times New Roman" w:hAnsi="Times New Roman" w:cs="Times New Roman"/>
                <w:sz w:val="24"/>
                <w:szCs w:val="24"/>
                <w:lang w:val="en-US"/>
              </w:rPr>
              <w:t>Ansoff Category</w:t>
            </w:r>
          </w:p>
        </w:tc>
        <w:tc>
          <w:tcPr>
            <w:tcW w:w="3185" w:type="dxa"/>
            <w:hideMark/>
          </w:tcPr>
          <w:p w14:paraId="316B062A" w14:textId="77777777" w:rsidR="001C38C4" w:rsidRPr="001C38C4" w:rsidRDefault="001C38C4" w:rsidP="00F35A5C">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1C38C4">
              <w:rPr>
                <w:rFonts w:ascii="Times New Roman" w:hAnsi="Times New Roman" w:cs="Times New Roman"/>
                <w:sz w:val="24"/>
                <w:szCs w:val="24"/>
                <w:lang w:val="en-US"/>
              </w:rPr>
              <w:t>Tesla (Pioneer)</w:t>
            </w:r>
          </w:p>
        </w:tc>
        <w:tc>
          <w:tcPr>
            <w:tcW w:w="3912" w:type="dxa"/>
            <w:hideMark/>
          </w:tcPr>
          <w:p w14:paraId="71D8453B" w14:textId="77777777" w:rsidR="001C38C4" w:rsidRPr="001C38C4" w:rsidRDefault="001C38C4" w:rsidP="00F35A5C">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1C38C4">
              <w:rPr>
                <w:rFonts w:ascii="Times New Roman" w:hAnsi="Times New Roman" w:cs="Times New Roman"/>
                <w:sz w:val="24"/>
                <w:szCs w:val="24"/>
                <w:lang w:val="en-US"/>
              </w:rPr>
              <w:t>Volkswagen (Follower)</w:t>
            </w:r>
          </w:p>
        </w:tc>
      </w:tr>
      <w:tr w:rsidR="001C38C4" w:rsidRPr="001C38C4" w14:paraId="250B35AA" w14:textId="77777777" w:rsidTr="00F35A5C">
        <w:trPr>
          <w:cnfStyle w:val="000000100000" w:firstRow="0" w:lastRow="0" w:firstColumn="0" w:lastColumn="0" w:oddVBand="0" w:evenVBand="0" w:oddHBand="1" w:evenHBand="0" w:firstRowFirstColumn="0" w:firstRowLastColumn="0" w:lastRowFirstColumn="0" w:lastRowLastColumn="0"/>
          <w:trHeight w:val="1469"/>
        </w:trPr>
        <w:tc>
          <w:tcPr>
            <w:cnfStyle w:val="001000000000" w:firstRow="0" w:lastRow="0" w:firstColumn="1" w:lastColumn="0" w:oddVBand="0" w:evenVBand="0" w:oddHBand="0" w:evenHBand="0" w:firstRowFirstColumn="0" w:firstRowLastColumn="0" w:lastRowFirstColumn="0" w:lastRowLastColumn="0"/>
            <w:tcW w:w="0" w:type="auto"/>
            <w:hideMark/>
          </w:tcPr>
          <w:p w14:paraId="39CBBACE" w14:textId="77777777" w:rsidR="001C38C4" w:rsidRPr="001C38C4" w:rsidRDefault="001C38C4" w:rsidP="00F35A5C">
            <w:pPr>
              <w:spacing w:after="160" w:line="360" w:lineRule="auto"/>
              <w:rPr>
                <w:rFonts w:ascii="Times New Roman" w:hAnsi="Times New Roman" w:cs="Times New Roman"/>
                <w:lang w:val="en-US"/>
              </w:rPr>
            </w:pPr>
            <w:r w:rsidRPr="001C38C4">
              <w:rPr>
                <w:rFonts w:ascii="Times New Roman" w:hAnsi="Times New Roman" w:cs="Times New Roman"/>
                <w:lang w:val="en-US"/>
              </w:rPr>
              <w:t>Market Penetration</w:t>
            </w:r>
          </w:p>
        </w:tc>
        <w:tc>
          <w:tcPr>
            <w:tcW w:w="3185" w:type="dxa"/>
            <w:hideMark/>
          </w:tcPr>
          <w:p w14:paraId="57CA4D72" w14:textId="77777777" w:rsidR="001C38C4" w:rsidRPr="001C38C4" w:rsidRDefault="001C38C4"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1C38C4">
              <w:rPr>
                <w:rFonts w:ascii="Times New Roman" w:hAnsi="Times New Roman" w:cs="Times New Roman"/>
                <w:lang w:val="en-US"/>
              </w:rPr>
              <w:t>Price adjustments in 2023–2024 to increase volume; high-speed gigafactory scaling</w:t>
            </w:r>
          </w:p>
        </w:tc>
        <w:tc>
          <w:tcPr>
            <w:tcW w:w="3912" w:type="dxa"/>
            <w:hideMark/>
          </w:tcPr>
          <w:p w14:paraId="0709FBBD" w14:textId="77777777" w:rsidR="001C38C4" w:rsidRPr="001C38C4" w:rsidRDefault="001C38C4"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1C38C4">
              <w:rPr>
                <w:rFonts w:ascii="Times New Roman" w:hAnsi="Times New Roman" w:cs="Times New Roman"/>
                <w:lang w:val="en-US"/>
              </w:rPr>
              <w:t>ID.3/ID.4 range to gain EV share; incentives and competitive pricing</w:t>
            </w:r>
          </w:p>
        </w:tc>
      </w:tr>
      <w:tr w:rsidR="001C38C4" w:rsidRPr="001C38C4" w14:paraId="0D21A8DC" w14:textId="77777777" w:rsidTr="00F35A5C">
        <w:trPr>
          <w:trHeight w:val="1030"/>
        </w:trPr>
        <w:tc>
          <w:tcPr>
            <w:cnfStyle w:val="001000000000" w:firstRow="0" w:lastRow="0" w:firstColumn="1" w:lastColumn="0" w:oddVBand="0" w:evenVBand="0" w:oddHBand="0" w:evenHBand="0" w:firstRowFirstColumn="0" w:firstRowLastColumn="0" w:lastRowFirstColumn="0" w:lastRowLastColumn="0"/>
            <w:tcW w:w="0" w:type="auto"/>
            <w:hideMark/>
          </w:tcPr>
          <w:p w14:paraId="3A16707B" w14:textId="77777777" w:rsidR="001C38C4" w:rsidRPr="001C38C4" w:rsidRDefault="001C38C4" w:rsidP="00F35A5C">
            <w:pPr>
              <w:spacing w:after="160" w:line="360" w:lineRule="auto"/>
              <w:rPr>
                <w:rFonts w:ascii="Times New Roman" w:hAnsi="Times New Roman" w:cs="Times New Roman"/>
                <w:lang w:val="en-US"/>
              </w:rPr>
            </w:pPr>
            <w:r w:rsidRPr="001C38C4">
              <w:rPr>
                <w:rFonts w:ascii="Times New Roman" w:hAnsi="Times New Roman" w:cs="Times New Roman"/>
                <w:lang w:val="en-US"/>
              </w:rPr>
              <w:t>Product Development</w:t>
            </w:r>
          </w:p>
        </w:tc>
        <w:tc>
          <w:tcPr>
            <w:tcW w:w="3185" w:type="dxa"/>
            <w:hideMark/>
          </w:tcPr>
          <w:p w14:paraId="09E60198" w14:textId="77777777" w:rsidR="001C38C4" w:rsidRPr="001C38C4" w:rsidRDefault="001C38C4" w:rsidP="00F35A5C">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proofErr w:type="spellStart"/>
            <w:r w:rsidRPr="001C38C4">
              <w:rPr>
                <w:rFonts w:ascii="Times New Roman" w:hAnsi="Times New Roman" w:cs="Times New Roman"/>
                <w:lang w:val="en-US"/>
              </w:rPr>
              <w:t>Cybertruck</w:t>
            </w:r>
            <w:proofErr w:type="spellEnd"/>
            <w:r w:rsidRPr="001C38C4">
              <w:rPr>
                <w:rFonts w:ascii="Times New Roman" w:hAnsi="Times New Roman" w:cs="Times New Roman"/>
                <w:lang w:val="en-US"/>
              </w:rPr>
              <w:t>, FSD, Robotaxi ecosystem, 4680 batteries</w:t>
            </w:r>
          </w:p>
        </w:tc>
        <w:tc>
          <w:tcPr>
            <w:tcW w:w="3912" w:type="dxa"/>
            <w:hideMark/>
          </w:tcPr>
          <w:p w14:paraId="57D7CEB4" w14:textId="77777777" w:rsidR="001C38C4" w:rsidRPr="001C38C4" w:rsidRDefault="001C38C4" w:rsidP="00F35A5C">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1C38C4">
              <w:rPr>
                <w:rFonts w:ascii="Times New Roman" w:hAnsi="Times New Roman" w:cs="Times New Roman"/>
                <w:lang w:val="en-US"/>
              </w:rPr>
              <w:t>ID. series upgrades; new EV models; software development (delayed)</w:t>
            </w:r>
          </w:p>
        </w:tc>
      </w:tr>
      <w:tr w:rsidR="001C38C4" w:rsidRPr="001C38C4" w14:paraId="0FA20006" w14:textId="77777777" w:rsidTr="00F35A5C">
        <w:trPr>
          <w:cnfStyle w:val="000000100000" w:firstRow="0" w:lastRow="0" w:firstColumn="0" w:lastColumn="0" w:oddVBand="0" w:evenVBand="0" w:oddHBand="1" w:evenHBand="0" w:firstRowFirstColumn="0" w:firstRowLastColumn="0" w:lastRowFirstColumn="0" w:lastRowLastColumn="0"/>
          <w:trHeight w:val="1049"/>
        </w:trPr>
        <w:tc>
          <w:tcPr>
            <w:cnfStyle w:val="001000000000" w:firstRow="0" w:lastRow="0" w:firstColumn="1" w:lastColumn="0" w:oddVBand="0" w:evenVBand="0" w:oddHBand="0" w:evenHBand="0" w:firstRowFirstColumn="0" w:firstRowLastColumn="0" w:lastRowFirstColumn="0" w:lastRowLastColumn="0"/>
            <w:tcW w:w="0" w:type="auto"/>
            <w:hideMark/>
          </w:tcPr>
          <w:p w14:paraId="5F57AEC0" w14:textId="77777777" w:rsidR="001C38C4" w:rsidRPr="001C38C4" w:rsidRDefault="001C38C4" w:rsidP="00F35A5C">
            <w:pPr>
              <w:spacing w:after="160" w:line="360" w:lineRule="auto"/>
              <w:rPr>
                <w:rFonts w:ascii="Times New Roman" w:hAnsi="Times New Roman" w:cs="Times New Roman"/>
                <w:lang w:val="en-US"/>
              </w:rPr>
            </w:pPr>
            <w:r w:rsidRPr="001C38C4">
              <w:rPr>
                <w:rFonts w:ascii="Times New Roman" w:hAnsi="Times New Roman" w:cs="Times New Roman"/>
                <w:lang w:val="en-US"/>
              </w:rPr>
              <w:t>Market Development</w:t>
            </w:r>
          </w:p>
        </w:tc>
        <w:tc>
          <w:tcPr>
            <w:tcW w:w="3185" w:type="dxa"/>
            <w:hideMark/>
          </w:tcPr>
          <w:p w14:paraId="41D7E9BF" w14:textId="77777777" w:rsidR="001C38C4" w:rsidRPr="001C38C4" w:rsidRDefault="001C38C4"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1C38C4">
              <w:rPr>
                <w:rFonts w:ascii="Times New Roman" w:hAnsi="Times New Roman" w:cs="Times New Roman"/>
                <w:lang w:val="en-US"/>
              </w:rPr>
              <w:t xml:space="preserve">Expansion into China and Europe with </w:t>
            </w:r>
            <w:proofErr w:type="spellStart"/>
            <w:r w:rsidRPr="001C38C4">
              <w:rPr>
                <w:rFonts w:ascii="Times New Roman" w:hAnsi="Times New Roman" w:cs="Times New Roman"/>
                <w:lang w:val="en-US"/>
              </w:rPr>
              <w:t>localised</w:t>
            </w:r>
            <w:proofErr w:type="spellEnd"/>
            <w:r w:rsidRPr="001C38C4">
              <w:rPr>
                <w:rFonts w:ascii="Times New Roman" w:hAnsi="Times New Roman" w:cs="Times New Roman"/>
                <w:lang w:val="en-US"/>
              </w:rPr>
              <w:t xml:space="preserve"> production</w:t>
            </w:r>
          </w:p>
        </w:tc>
        <w:tc>
          <w:tcPr>
            <w:tcW w:w="3912" w:type="dxa"/>
            <w:hideMark/>
          </w:tcPr>
          <w:p w14:paraId="132F10BE" w14:textId="77777777" w:rsidR="001C38C4" w:rsidRPr="001C38C4" w:rsidRDefault="001C38C4"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1C38C4">
              <w:rPr>
                <w:rFonts w:ascii="Times New Roman" w:hAnsi="Times New Roman" w:cs="Times New Roman"/>
                <w:lang w:val="en-US"/>
              </w:rPr>
              <w:t>China joint ventures (SAIC/FAW); regional EV expansion driven by policy</w:t>
            </w:r>
          </w:p>
        </w:tc>
      </w:tr>
      <w:tr w:rsidR="001C38C4" w:rsidRPr="001C38C4" w14:paraId="17B27D8B" w14:textId="77777777" w:rsidTr="00F35A5C">
        <w:trPr>
          <w:trHeight w:val="1030"/>
        </w:trPr>
        <w:tc>
          <w:tcPr>
            <w:cnfStyle w:val="001000000000" w:firstRow="0" w:lastRow="0" w:firstColumn="1" w:lastColumn="0" w:oddVBand="0" w:evenVBand="0" w:oddHBand="0" w:evenHBand="0" w:firstRowFirstColumn="0" w:firstRowLastColumn="0" w:lastRowFirstColumn="0" w:lastRowLastColumn="0"/>
            <w:tcW w:w="0" w:type="auto"/>
            <w:hideMark/>
          </w:tcPr>
          <w:p w14:paraId="54E7A618" w14:textId="77777777" w:rsidR="001C38C4" w:rsidRPr="001C38C4" w:rsidRDefault="001C38C4" w:rsidP="00F35A5C">
            <w:pPr>
              <w:spacing w:after="160" w:line="360" w:lineRule="auto"/>
              <w:rPr>
                <w:rFonts w:ascii="Times New Roman" w:hAnsi="Times New Roman" w:cs="Times New Roman"/>
                <w:lang w:val="en-US"/>
              </w:rPr>
            </w:pPr>
            <w:r w:rsidRPr="001C38C4">
              <w:rPr>
                <w:rFonts w:ascii="Times New Roman" w:hAnsi="Times New Roman" w:cs="Times New Roman"/>
                <w:lang w:val="en-US"/>
              </w:rPr>
              <w:t>Diversification</w:t>
            </w:r>
          </w:p>
        </w:tc>
        <w:tc>
          <w:tcPr>
            <w:tcW w:w="3185" w:type="dxa"/>
            <w:hideMark/>
          </w:tcPr>
          <w:p w14:paraId="55DBBE3C" w14:textId="77777777" w:rsidR="001C38C4" w:rsidRPr="001C38C4" w:rsidRDefault="001C38C4" w:rsidP="00F35A5C">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1C38C4">
              <w:rPr>
                <w:rFonts w:ascii="Times New Roman" w:hAnsi="Times New Roman" w:cs="Times New Roman"/>
                <w:lang w:val="en-US"/>
              </w:rPr>
              <w:t>Energy storage, solar, grid services</w:t>
            </w:r>
          </w:p>
        </w:tc>
        <w:tc>
          <w:tcPr>
            <w:tcW w:w="3912" w:type="dxa"/>
            <w:hideMark/>
          </w:tcPr>
          <w:p w14:paraId="6A1DE3A1" w14:textId="77777777" w:rsidR="001C38C4" w:rsidRPr="001C38C4" w:rsidRDefault="001C38C4" w:rsidP="00F35A5C">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1C38C4">
              <w:rPr>
                <w:rFonts w:ascii="Times New Roman" w:hAnsi="Times New Roman" w:cs="Times New Roman"/>
                <w:lang w:val="en-US"/>
              </w:rPr>
              <w:t>Battery gigafactories, Cariad software division, charging partnerships</w:t>
            </w:r>
          </w:p>
        </w:tc>
      </w:tr>
    </w:tbl>
    <w:p w14:paraId="2BA8A3CC" w14:textId="5D7B9B3A" w:rsidR="009836C3" w:rsidRPr="009836C3" w:rsidRDefault="009836C3" w:rsidP="009836C3">
      <w:pPr>
        <w:spacing w:line="240" w:lineRule="auto"/>
        <w:rPr>
          <w:rFonts w:ascii="Times New Roman" w:hAnsi="Times New Roman" w:cs="Times New Roman"/>
          <w:sz w:val="20"/>
          <w:szCs w:val="20"/>
          <w:lang w:val="en-US"/>
        </w:rPr>
      </w:pPr>
      <w:r w:rsidRPr="009836C3">
        <w:rPr>
          <w:rFonts w:ascii="Times New Roman" w:hAnsi="Times New Roman" w:cs="Times New Roman"/>
          <w:b/>
          <w:bCs/>
          <w:i/>
          <w:iCs/>
          <w:sz w:val="20"/>
          <w:szCs w:val="20"/>
          <w:lang w:val="en-US"/>
        </w:rPr>
        <w:t>Note:</w:t>
      </w:r>
      <w:r>
        <w:rPr>
          <w:rFonts w:ascii="Times New Roman" w:hAnsi="Times New Roman" w:cs="Times New Roman"/>
          <w:i/>
          <w:iCs/>
          <w:sz w:val="20"/>
          <w:szCs w:val="20"/>
          <w:lang w:val="en-US"/>
        </w:rPr>
        <w:t xml:space="preserve"> </w:t>
      </w:r>
      <w:r w:rsidRPr="00DA6581">
        <w:rPr>
          <w:rFonts w:ascii="Times New Roman" w:hAnsi="Times New Roman" w:cs="Times New Roman"/>
          <w:i/>
          <w:iCs/>
          <w:sz w:val="20"/>
          <w:szCs w:val="20"/>
        </w:rPr>
        <w:t xml:space="preserve">This table contrasts the active, innovation-based growth strategy of Tesla with </w:t>
      </w:r>
      <w:r>
        <w:rPr>
          <w:rFonts w:ascii="Times New Roman" w:hAnsi="Times New Roman" w:cs="Times New Roman"/>
          <w:i/>
          <w:iCs/>
          <w:sz w:val="20"/>
          <w:szCs w:val="20"/>
        </w:rPr>
        <w:t xml:space="preserve">the </w:t>
      </w:r>
      <w:r w:rsidRPr="00DA6581">
        <w:rPr>
          <w:rFonts w:ascii="Times New Roman" w:hAnsi="Times New Roman" w:cs="Times New Roman"/>
          <w:i/>
          <w:iCs/>
          <w:sz w:val="20"/>
          <w:szCs w:val="20"/>
        </w:rPr>
        <w:t>follower-based adaptation of the Matrix of Ansoff and indicates structural and capability-based differences</w:t>
      </w:r>
      <w:r w:rsidRPr="001C38C4">
        <w:rPr>
          <w:rFonts w:ascii="Times New Roman" w:hAnsi="Times New Roman" w:cs="Times New Roman"/>
          <w:i/>
          <w:iCs/>
          <w:sz w:val="20"/>
          <w:szCs w:val="20"/>
          <w:lang w:val="en-US"/>
        </w:rPr>
        <w:t>.</w:t>
      </w:r>
    </w:p>
    <w:p w14:paraId="3587001C" w14:textId="3CCD50FC" w:rsidR="0089230D" w:rsidRPr="00575E31" w:rsidRDefault="001C38C4" w:rsidP="003447B2">
      <w:pPr>
        <w:spacing w:line="360" w:lineRule="auto"/>
        <w:jc w:val="both"/>
        <w:rPr>
          <w:rFonts w:ascii="Times New Roman" w:hAnsi="Times New Roman" w:cs="Times New Roman"/>
          <w:i/>
          <w:iCs/>
          <w:sz w:val="20"/>
          <w:szCs w:val="20"/>
          <w:lang w:val="en-US"/>
        </w:rPr>
      </w:pPr>
      <w:r w:rsidRPr="00575E31">
        <w:rPr>
          <w:rFonts w:ascii="Times New Roman" w:hAnsi="Times New Roman" w:cs="Times New Roman"/>
          <w:b/>
          <w:bCs/>
          <w:i/>
          <w:iCs/>
          <w:sz w:val="20"/>
          <w:szCs w:val="20"/>
        </w:rPr>
        <w:t>Source:</w:t>
      </w:r>
      <w:r w:rsidRPr="00575E31">
        <w:rPr>
          <w:rFonts w:ascii="Times New Roman" w:hAnsi="Times New Roman" w:cs="Times New Roman"/>
          <w:i/>
          <w:iCs/>
          <w:sz w:val="20"/>
          <w:szCs w:val="20"/>
        </w:rPr>
        <w:t xml:space="preserve"> Developed by the author using information from Tesla (2024), International Energy Agency (2024), Lewin et al. (2025), and Volkswagen AG Strategy Updates (2024).</w:t>
      </w:r>
    </w:p>
    <w:p w14:paraId="2706234B" w14:textId="77777777" w:rsidR="001C38C4" w:rsidRPr="001C38C4" w:rsidRDefault="00D759A0" w:rsidP="00D759A0">
      <w:pPr>
        <w:pStyle w:val="Caption"/>
        <w:jc w:val="center"/>
        <w:rPr>
          <w:rFonts w:ascii="Times New Roman" w:hAnsi="Times New Roman" w:cs="Times New Roman"/>
          <w:b/>
          <w:bCs/>
          <w:color w:val="auto"/>
          <w:sz w:val="36"/>
          <w:szCs w:val="36"/>
          <w:lang w:val="en-US"/>
        </w:rPr>
      </w:pPr>
      <w:bookmarkStart w:id="24" w:name="_Toc214247362"/>
      <w:r w:rsidRPr="00575E31">
        <w:rPr>
          <w:rFonts w:ascii="Times New Roman" w:hAnsi="Times New Roman" w:cs="Times New Roman"/>
          <w:b/>
          <w:bCs/>
          <w:color w:val="auto"/>
          <w:sz w:val="24"/>
          <w:szCs w:val="24"/>
        </w:rPr>
        <w:t xml:space="preserve">Table </w:t>
      </w:r>
      <w:r w:rsidRPr="00575E31">
        <w:rPr>
          <w:rFonts w:ascii="Times New Roman" w:hAnsi="Times New Roman" w:cs="Times New Roman"/>
          <w:b/>
          <w:bCs/>
          <w:color w:val="auto"/>
          <w:sz w:val="24"/>
          <w:szCs w:val="24"/>
        </w:rPr>
        <w:fldChar w:fldCharType="begin"/>
      </w:r>
      <w:r w:rsidRPr="00575E31">
        <w:rPr>
          <w:rFonts w:ascii="Times New Roman" w:hAnsi="Times New Roman" w:cs="Times New Roman"/>
          <w:b/>
          <w:bCs/>
          <w:color w:val="auto"/>
          <w:sz w:val="24"/>
          <w:szCs w:val="24"/>
        </w:rPr>
        <w:instrText xml:space="preserve"> SEQ Table \* ARABIC </w:instrText>
      </w:r>
      <w:r w:rsidRPr="00575E31">
        <w:rPr>
          <w:rFonts w:ascii="Times New Roman" w:hAnsi="Times New Roman" w:cs="Times New Roman"/>
          <w:b/>
          <w:bCs/>
          <w:color w:val="auto"/>
          <w:sz w:val="24"/>
          <w:szCs w:val="24"/>
        </w:rPr>
        <w:fldChar w:fldCharType="separate"/>
      </w:r>
      <w:r w:rsidRPr="00575E31">
        <w:rPr>
          <w:rFonts w:ascii="Times New Roman" w:hAnsi="Times New Roman" w:cs="Times New Roman"/>
          <w:b/>
          <w:bCs/>
          <w:noProof/>
          <w:color w:val="auto"/>
          <w:sz w:val="24"/>
          <w:szCs w:val="24"/>
        </w:rPr>
        <w:t>3</w:t>
      </w:r>
      <w:r w:rsidRPr="00575E31">
        <w:rPr>
          <w:rFonts w:ascii="Times New Roman" w:hAnsi="Times New Roman" w:cs="Times New Roman"/>
          <w:b/>
          <w:bCs/>
          <w:color w:val="auto"/>
          <w:sz w:val="24"/>
          <w:szCs w:val="24"/>
        </w:rPr>
        <w:fldChar w:fldCharType="end"/>
      </w:r>
      <w:r w:rsidRPr="00575E31">
        <w:rPr>
          <w:rFonts w:ascii="Times New Roman" w:hAnsi="Times New Roman" w:cs="Times New Roman"/>
          <w:b/>
          <w:bCs/>
          <w:color w:val="auto"/>
          <w:sz w:val="24"/>
          <w:szCs w:val="24"/>
        </w:rPr>
        <w:t>: Comparative Competitive Strategies of Tesla and Volkswagen Using Porter’s Framework</w:t>
      </w:r>
      <w:bookmarkEnd w:id="24"/>
    </w:p>
    <w:tbl>
      <w:tblPr>
        <w:tblStyle w:val="GridTable5Dark-Accent1"/>
        <w:tblW w:w="9148" w:type="dxa"/>
        <w:jc w:val="right"/>
        <w:tblLook w:val="04A0" w:firstRow="1" w:lastRow="0" w:firstColumn="1" w:lastColumn="0" w:noHBand="0" w:noVBand="1"/>
      </w:tblPr>
      <w:tblGrid>
        <w:gridCol w:w="2135"/>
        <w:gridCol w:w="3423"/>
        <w:gridCol w:w="3590"/>
      </w:tblGrid>
      <w:tr w:rsidR="001C38C4" w:rsidRPr="001C38C4" w14:paraId="45877FC3" w14:textId="77777777" w:rsidTr="00F35A5C">
        <w:trPr>
          <w:cnfStyle w:val="100000000000" w:firstRow="1" w:lastRow="0" w:firstColumn="0" w:lastColumn="0" w:oddVBand="0" w:evenVBand="0" w:oddHBand="0" w:evenHBand="0" w:firstRowFirstColumn="0" w:firstRowLastColumn="0" w:lastRowFirstColumn="0" w:lastRowLastColumn="0"/>
          <w:trHeight w:val="988"/>
          <w:jc w:val="right"/>
        </w:trPr>
        <w:tc>
          <w:tcPr>
            <w:cnfStyle w:val="001000000000" w:firstRow="0" w:lastRow="0" w:firstColumn="1" w:lastColumn="0" w:oddVBand="0" w:evenVBand="0" w:oddHBand="0" w:evenHBand="0" w:firstRowFirstColumn="0" w:firstRowLastColumn="0" w:lastRowFirstColumn="0" w:lastRowLastColumn="0"/>
            <w:tcW w:w="0" w:type="auto"/>
            <w:hideMark/>
          </w:tcPr>
          <w:p w14:paraId="3184C16C" w14:textId="77777777" w:rsidR="001C38C4" w:rsidRPr="001C38C4" w:rsidRDefault="001C38C4" w:rsidP="00F35A5C">
            <w:pPr>
              <w:spacing w:after="160" w:line="360" w:lineRule="auto"/>
              <w:rPr>
                <w:rFonts w:ascii="Times New Roman" w:hAnsi="Times New Roman" w:cs="Times New Roman"/>
                <w:sz w:val="24"/>
                <w:szCs w:val="24"/>
                <w:lang w:val="en-US"/>
              </w:rPr>
            </w:pPr>
            <w:r w:rsidRPr="001C38C4">
              <w:rPr>
                <w:rFonts w:ascii="Times New Roman" w:hAnsi="Times New Roman" w:cs="Times New Roman"/>
                <w:sz w:val="24"/>
                <w:szCs w:val="24"/>
                <w:lang w:val="en-US"/>
              </w:rPr>
              <w:t>Porter Strategy Element</w:t>
            </w:r>
          </w:p>
        </w:tc>
        <w:tc>
          <w:tcPr>
            <w:tcW w:w="0" w:type="auto"/>
            <w:hideMark/>
          </w:tcPr>
          <w:p w14:paraId="4CFD2985" w14:textId="77777777" w:rsidR="001C38C4" w:rsidRPr="001C38C4" w:rsidRDefault="001C38C4" w:rsidP="00F35A5C">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1C38C4">
              <w:rPr>
                <w:rFonts w:ascii="Times New Roman" w:hAnsi="Times New Roman" w:cs="Times New Roman"/>
                <w:sz w:val="24"/>
                <w:szCs w:val="24"/>
                <w:lang w:val="en-US"/>
              </w:rPr>
              <w:t>Tesla</w:t>
            </w:r>
          </w:p>
        </w:tc>
        <w:tc>
          <w:tcPr>
            <w:tcW w:w="0" w:type="auto"/>
            <w:hideMark/>
          </w:tcPr>
          <w:p w14:paraId="272EB2A1" w14:textId="77777777" w:rsidR="001C38C4" w:rsidRPr="001C38C4" w:rsidRDefault="001C38C4" w:rsidP="00F35A5C">
            <w:pPr>
              <w:spacing w:after="160" w:line="360" w:lineRule="auto"/>
              <w:cnfStyle w:val="100000000000" w:firstRow="1" w:lastRow="0" w:firstColumn="0" w:lastColumn="0" w:oddVBand="0" w:evenVBand="0" w:oddHBand="0" w:evenHBand="0" w:firstRowFirstColumn="0" w:firstRowLastColumn="0" w:lastRowFirstColumn="0" w:lastRowLastColumn="0"/>
              <w:rPr>
                <w:rFonts w:ascii="Times New Roman" w:hAnsi="Times New Roman" w:cs="Times New Roman"/>
                <w:sz w:val="24"/>
                <w:szCs w:val="24"/>
                <w:lang w:val="en-US"/>
              </w:rPr>
            </w:pPr>
            <w:r w:rsidRPr="001C38C4">
              <w:rPr>
                <w:rFonts w:ascii="Times New Roman" w:hAnsi="Times New Roman" w:cs="Times New Roman"/>
                <w:sz w:val="24"/>
                <w:szCs w:val="24"/>
                <w:lang w:val="en-US"/>
              </w:rPr>
              <w:t>Volkswagen</w:t>
            </w:r>
          </w:p>
        </w:tc>
      </w:tr>
      <w:tr w:rsidR="001C38C4" w:rsidRPr="001C38C4" w14:paraId="69179713" w14:textId="77777777" w:rsidTr="00F35A5C">
        <w:trPr>
          <w:cnfStyle w:val="000000100000" w:firstRow="0" w:lastRow="0" w:firstColumn="0" w:lastColumn="0" w:oddVBand="0" w:evenVBand="0" w:oddHBand="1" w:evenHBand="0" w:firstRowFirstColumn="0" w:firstRowLastColumn="0" w:lastRowFirstColumn="0" w:lastRowLastColumn="0"/>
          <w:trHeight w:val="1390"/>
          <w:jc w:val="right"/>
        </w:trPr>
        <w:tc>
          <w:tcPr>
            <w:cnfStyle w:val="001000000000" w:firstRow="0" w:lastRow="0" w:firstColumn="1" w:lastColumn="0" w:oddVBand="0" w:evenVBand="0" w:oddHBand="0" w:evenHBand="0" w:firstRowFirstColumn="0" w:firstRowLastColumn="0" w:lastRowFirstColumn="0" w:lastRowLastColumn="0"/>
            <w:tcW w:w="0" w:type="auto"/>
            <w:hideMark/>
          </w:tcPr>
          <w:p w14:paraId="7A3D3B4C" w14:textId="77777777" w:rsidR="001C38C4" w:rsidRPr="001C38C4" w:rsidRDefault="001C38C4" w:rsidP="00F35A5C">
            <w:pPr>
              <w:spacing w:after="160" w:line="360" w:lineRule="auto"/>
              <w:rPr>
                <w:rFonts w:ascii="Times New Roman" w:hAnsi="Times New Roman" w:cs="Times New Roman"/>
                <w:lang w:val="en-US"/>
              </w:rPr>
            </w:pPr>
            <w:r w:rsidRPr="001C38C4">
              <w:rPr>
                <w:rFonts w:ascii="Times New Roman" w:hAnsi="Times New Roman" w:cs="Times New Roman"/>
                <w:lang w:val="en-US"/>
              </w:rPr>
              <w:lastRenderedPageBreak/>
              <w:t>Differentiation</w:t>
            </w:r>
          </w:p>
        </w:tc>
        <w:tc>
          <w:tcPr>
            <w:tcW w:w="0" w:type="auto"/>
            <w:hideMark/>
          </w:tcPr>
          <w:p w14:paraId="1A18BC30" w14:textId="77777777" w:rsidR="001C38C4" w:rsidRPr="001C38C4" w:rsidRDefault="001C38C4"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1C38C4">
              <w:rPr>
                <w:rFonts w:ascii="Times New Roman" w:hAnsi="Times New Roman" w:cs="Times New Roman"/>
                <w:lang w:val="en-US"/>
              </w:rPr>
              <w:t>Advanced software, OTA updates, FSD, strong brand identity</w:t>
            </w:r>
          </w:p>
        </w:tc>
        <w:tc>
          <w:tcPr>
            <w:tcW w:w="0" w:type="auto"/>
            <w:hideMark/>
          </w:tcPr>
          <w:p w14:paraId="41F82E5E" w14:textId="77777777" w:rsidR="001C38C4" w:rsidRPr="001C38C4" w:rsidRDefault="001C38C4"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1C38C4">
              <w:rPr>
                <w:rFonts w:ascii="Times New Roman" w:hAnsi="Times New Roman" w:cs="Times New Roman"/>
                <w:lang w:val="en-US"/>
              </w:rPr>
              <w:t>Engineering quality + brand heritage; weak software execution</w:t>
            </w:r>
          </w:p>
        </w:tc>
      </w:tr>
      <w:tr w:rsidR="001C38C4" w:rsidRPr="001C38C4" w14:paraId="3F8432D2" w14:textId="77777777" w:rsidTr="00F35A5C">
        <w:trPr>
          <w:trHeight w:val="988"/>
          <w:jc w:val="right"/>
        </w:trPr>
        <w:tc>
          <w:tcPr>
            <w:cnfStyle w:val="001000000000" w:firstRow="0" w:lastRow="0" w:firstColumn="1" w:lastColumn="0" w:oddVBand="0" w:evenVBand="0" w:oddHBand="0" w:evenHBand="0" w:firstRowFirstColumn="0" w:firstRowLastColumn="0" w:lastRowFirstColumn="0" w:lastRowLastColumn="0"/>
            <w:tcW w:w="0" w:type="auto"/>
            <w:hideMark/>
          </w:tcPr>
          <w:p w14:paraId="490BA651" w14:textId="77777777" w:rsidR="001C38C4" w:rsidRPr="001C38C4" w:rsidRDefault="001C38C4" w:rsidP="00F35A5C">
            <w:pPr>
              <w:spacing w:after="160" w:line="360" w:lineRule="auto"/>
              <w:rPr>
                <w:rFonts w:ascii="Times New Roman" w:hAnsi="Times New Roman" w:cs="Times New Roman"/>
                <w:lang w:val="en-US"/>
              </w:rPr>
            </w:pPr>
            <w:r w:rsidRPr="001C38C4">
              <w:rPr>
                <w:rFonts w:ascii="Times New Roman" w:hAnsi="Times New Roman" w:cs="Times New Roman"/>
                <w:lang w:val="en-US"/>
              </w:rPr>
              <w:t>Cost Leadership</w:t>
            </w:r>
          </w:p>
        </w:tc>
        <w:tc>
          <w:tcPr>
            <w:tcW w:w="0" w:type="auto"/>
            <w:hideMark/>
          </w:tcPr>
          <w:p w14:paraId="5EF85946" w14:textId="77777777" w:rsidR="001C38C4" w:rsidRPr="001C38C4" w:rsidRDefault="001C38C4" w:rsidP="00F35A5C">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1C38C4">
              <w:rPr>
                <w:rFonts w:ascii="Times New Roman" w:hAnsi="Times New Roman" w:cs="Times New Roman"/>
                <w:lang w:val="en-US"/>
              </w:rPr>
              <w:t>Vertical integration, gigafactories, declining cell costs</w:t>
            </w:r>
          </w:p>
        </w:tc>
        <w:tc>
          <w:tcPr>
            <w:tcW w:w="0" w:type="auto"/>
            <w:hideMark/>
          </w:tcPr>
          <w:p w14:paraId="7885C930" w14:textId="77777777" w:rsidR="001C38C4" w:rsidRPr="001C38C4" w:rsidRDefault="001C38C4" w:rsidP="00F35A5C">
            <w:pPr>
              <w:spacing w:after="160" w:line="360" w:lineRule="auto"/>
              <w:cnfStyle w:val="000000000000" w:firstRow="0" w:lastRow="0" w:firstColumn="0" w:lastColumn="0" w:oddVBand="0" w:evenVBand="0" w:oddHBand="0" w:evenHBand="0" w:firstRowFirstColumn="0" w:firstRowLastColumn="0" w:lastRowFirstColumn="0" w:lastRowLastColumn="0"/>
              <w:rPr>
                <w:rFonts w:ascii="Times New Roman" w:hAnsi="Times New Roman" w:cs="Times New Roman"/>
                <w:lang w:val="en-US"/>
              </w:rPr>
            </w:pPr>
            <w:r w:rsidRPr="001C38C4">
              <w:rPr>
                <w:rFonts w:ascii="Times New Roman" w:hAnsi="Times New Roman" w:cs="Times New Roman"/>
                <w:lang w:val="en-US"/>
              </w:rPr>
              <w:t>Higher cost base due to legacy ICE systems and supplier reliance</w:t>
            </w:r>
          </w:p>
        </w:tc>
      </w:tr>
      <w:tr w:rsidR="001C38C4" w:rsidRPr="001C38C4" w14:paraId="61B5FEC5" w14:textId="77777777" w:rsidTr="00F35A5C">
        <w:trPr>
          <w:cnfStyle w:val="000000100000" w:firstRow="0" w:lastRow="0" w:firstColumn="0" w:lastColumn="0" w:oddVBand="0" w:evenVBand="0" w:oddHBand="1" w:evenHBand="0" w:firstRowFirstColumn="0" w:firstRowLastColumn="0" w:lastRowFirstColumn="0" w:lastRowLastColumn="0"/>
          <w:trHeight w:val="971"/>
          <w:jc w:val="right"/>
        </w:trPr>
        <w:tc>
          <w:tcPr>
            <w:cnfStyle w:val="001000000000" w:firstRow="0" w:lastRow="0" w:firstColumn="1" w:lastColumn="0" w:oddVBand="0" w:evenVBand="0" w:oddHBand="0" w:evenHBand="0" w:firstRowFirstColumn="0" w:firstRowLastColumn="0" w:lastRowFirstColumn="0" w:lastRowLastColumn="0"/>
            <w:tcW w:w="0" w:type="auto"/>
            <w:hideMark/>
          </w:tcPr>
          <w:p w14:paraId="4D9E69D8" w14:textId="77777777" w:rsidR="001C38C4" w:rsidRPr="001C38C4" w:rsidRDefault="001C38C4" w:rsidP="00F35A5C">
            <w:pPr>
              <w:spacing w:after="160" w:line="360" w:lineRule="auto"/>
              <w:rPr>
                <w:rFonts w:ascii="Times New Roman" w:hAnsi="Times New Roman" w:cs="Times New Roman"/>
                <w:lang w:val="en-US"/>
              </w:rPr>
            </w:pPr>
            <w:r w:rsidRPr="001C38C4">
              <w:rPr>
                <w:rFonts w:ascii="Times New Roman" w:hAnsi="Times New Roman" w:cs="Times New Roman"/>
                <w:lang w:val="en-US"/>
              </w:rPr>
              <w:t>Focus</w:t>
            </w:r>
          </w:p>
        </w:tc>
        <w:tc>
          <w:tcPr>
            <w:tcW w:w="0" w:type="auto"/>
            <w:hideMark/>
          </w:tcPr>
          <w:p w14:paraId="514F6F37" w14:textId="77777777" w:rsidR="001C38C4" w:rsidRPr="001C38C4" w:rsidRDefault="001C38C4"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1C38C4">
              <w:rPr>
                <w:rFonts w:ascii="Times New Roman" w:hAnsi="Times New Roman" w:cs="Times New Roman"/>
                <w:lang w:val="en-US"/>
              </w:rPr>
              <w:t>Premium-tech segments and mass-market EV adoption</w:t>
            </w:r>
          </w:p>
        </w:tc>
        <w:tc>
          <w:tcPr>
            <w:tcW w:w="0" w:type="auto"/>
            <w:hideMark/>
          </w:tcPr>
          <w:p w14:paraId="6F6A7276" w14:textId="77777777" w:rsidR="001C38C4" w:rsidRPr="001C38C4" w:rsidRDefault="001C38C4" w:rsidP="00F35A5C">
            <w:pPr>
              <w:spacing w:after="160" w:line="360" w:lineRule="auto"/>
              <w:cnfStyle w:val="000000100000" w:firstRow="0" w:lastRow="0" w:firstColumn="0" w:lastColumn="0" w:oddVBand="0" w:evenVBand="0" w:oddHBand="1" w:evenHBand="0" w:firstRowFirstColumn="0" w:firstRowLastColumn="0" w:lastRowFirstColumn="0" w:lastRowLastColumn="0"/>
              <w:rPr>
                <w:rFonts w:ascii="Times New Roman" w:hAnsi="Times New Roman" w:cs="Times New Roman"/>
                <w:lang w:val="en-US"/>
              </w:rPr>
            </w:pPr>
            <w:r w:rsidRPr="001C38C4">
              <w:rPr>
                <w:rFonts w:ascii="Times New Roman" w:hAnsi="Times New Roman" w:cs="Times New Roman"/>
                <w:lang w:val="en-US"/>
              </w:rPr>
              <w:t>Broad market focus but diluted by transition issues</w:t>
            </w:r>
          </w:p>
        </w:tc>
      </w:tr>
    </w:tbl>
    <w:p w14:paraId="505B021A" w14:textId="69FEDE2E" w:rsidR="009836C3" w:rsidRPr="009836C3" w:rsidRDefault="009836C3" w:rsidP="009836C3">
      <w:pPr>
        <w:spacing w:line="240" w:lineRule="auto"/>
        <w:rPr>
          <w:rFonts w:ascii="Times New Roman" w:hAnsi="Times New Roman" w:cs="Times New Roman"/>
          <w:sz w:val="20"/>
          <w:szCs w:val="20"/>
          <w:lang w:val="en-US"/>
        </w:rPr>
      </w:pPr>
      <w:r w:rsidRPr="009836C3">
        <w:rPr>
          <w:rFonts w:ascii="Times New Roman" w:hAnsi="Times New Roman" w:cs="Times New Roman"/>
          <w:b/>
          <w:bCs/>
          <w:i/>
          <w:iCs/>
          <w:sz w:val="20"/>
          <w:szCs w:val="20"/>
          <w:lang w:val="en-US"/>
        </w:rPr>
        <w:t>Note:</w:t>
      </w:r>
      <w:r>
        <w:rPr>
          <w:rFonts w:ascii="Times New Roman" w:hAnsi="Times New Roman" w:cs="Times New Roman"/>
          <w:i/>
          <w:iCs/>
          <w:sz w:val="20"/>
          <w:szCs w:val="20"/>
          <w:lang w:val="en-US"/>
        </w:rPr>
        <w:t xml:space="preserve"> </w:t>
      </w:r>
      <w:r w:rsidRPr="00DA6581">
        <w:rPr>
          <w:rFonts w:ascii="Times New Roman" w:hAnsi="Times New Roman" w:cs="Times New Roman"/>
          <w:i/>
          <w:iCs/>
          <w:sz w:val="20"/>
          <w:szCs w:val="20"/>
        </w:rPr>
        <w:t>The table explains the contrast between the hybrid cost-leadership-differentiation strategy of Tesla and the broad differentiation strategy of Volkswagen, in which execution delimitations erode the competitiveness of the company</w:t>
      </w:r>
      <w:r w:rsidRPr="001C38C4">
        <w:rPr>
          <w:rFonts w:ascii="Times New Roman" w:hAnsi="Times New Roman" w:cs="Times New Roman"/>
          <w:i/>
          <w:iCs/>
          <w:sz w:val="20"/>
          <w:szCs w:val="20"/>
          <w:lang w:val="en-US"/>
        </w:rPr>
        <w:t>.</w:t>
      </w:r>
    </w:p>
    <w:p w14:paraId="1DFBA69B" w14:textId="4AE1B7F5" w:rsidR="001C38C4" w:rsidRPr="00575E31" w:rsidRDefault="001C38C4" w:rsidP="003447B2">
      <w:pPr>
        <w:spacing w:line="360" w:lineRule="auto"/>
        <w:jc w:val="both"/>
        <w:rPr>
          <w:rFonts w:ascii="Times New Roman" w:hAnsi="Times New Roman" w:cs="Times New Roman"/>
          <w:i/>
          <w:iCs/>
          <w:sz w:val="20"/>
          <w:szCs w:val="20"/>
          <w:lang w:val="en-US"/>
        </w:rPr>
      </w:pPr>
      <w:r w:rsidRPr="00575E31">
        <w:rPr>
          <w:rFonts w:ascii="Times New Roman" w:hAnsi="Times New Roman" w:cs="Times New Roman"/>
          <w:b/>
          <w:bCs/>
          <w:i/>
          <w:iCs/>
          <w:sz w:val="20"/>
          <w:szCs w:val="20"/>
        </w:rPr>
        <w:t>Source:</w:t>
      </w:r>
      <w:r w:rsidRPr="00575E31">
        <w:rPr>
          <w:rFonts w:ascii="Times New Roman" w:hAnsi="Times New Roman" w:cs="Times New Roman"/>
          <w:i/>
          <w:iCs/>
          <w:sz w:val="20"/>
          <w:szCs w:val="20"/>
        </w:rPr>
        <w:t xml:space="preserve"> Adapted by the author from Kotler and Keller (2016), </w:t>
      </w:r>
      <w:proofErr w:type="spellStart"/>
      <w:r w:rsidRPr="00575E31">
        <w:rPr>
          <w:rFonts w:ascii="Times New Roman" w:hAnsi="Times New Roman" w:cs="Times New Roman"/>
          <w:i/>
          <w:iCs/>
          <w:sz w:val="20"/>
          <w:szCs w:val="20"/>
        </w:rPr>
        <w:t>BloombergNEF</w:t>
      </w:r>
      <w:proofErr w:type="spellEnd"/>
      <w:r w:rsidRPr="00575E31">
        <w:rPr>
          <w:rFonts w:ascii="Times New Roman" w:hAnsi="Times New Roman" w:cs="Times New Roman"/>
          <w:i/>
          <w:iCs/>
          <w:sz w:val="20"/>
          <w:szCs w:val="20"/>
        </w:rPr>
        <w:t xml:space="preserve"> (2024), Volkswagen AG Reports (2024) and Tesla Impact Report (2024).</w:t>
      </w:r>
    </w:p>
    <w:p w14:paraId="7E85D1C7" w14:textId="77777777" w:rsidR="009F4193" w:rsidRPr="00575E31" w:rsidRDefault="009F4193" w:rsidP="00F35A5C">
      <w:pPr>
        <w:pStyle w:val="Heading1"/>
        <w:rPr>
          <w:rFonts w:cs="Times New Roman"/>
          <w:lang w:val="en-US"/>
        </w:rPr>
      </w:pPr>
      <w:bookmarkStart w:id="25" w:name="_Toc214247328"/>
      <w:r w:rsidRPr="00575E31">
        <w:rPr>
          <w:rFonts w:cs="Times New Roman"/>
          <w:lang w:val="en-US"/>
        </w:rPr>
        <w:t>4. Conclusion</w:t>
      </w:r>
      <w:bookmarkEnd w:id="25"/>
    </w:p>
    <w:p w14:paraId="6ECDB9E0" w14:textId="16522272" w:rsidR="009F4193" w:rsidRPr="009F4193" w:rsidRDefault="00DA6581" w:rsidP="003447B2">
      <w:pPr>
        <w:spacing w:line="360" w:lineRule="auto"/>
        <w:jc w:val="both"/>
        <w:rPr>
          <w:rFonts w:ascii="Times New Roman" w:hAnsi="Times New Roman" w:cs="Times New Roman"/>
          <w:sz w:val="24"/>
          <w:szCs w:val="24"/>
          <w:lang w:val="en-US"/>
        </w:rPr>
      </w:pPr>
      <w:r w:rsidRPr="00DA6581">
        <w:rPr>
          <w:rFonts w:ascii="Times New Roman" w:hAnsi="Times New Roman" w:cs="Times New Roman"/>
          <w:sz w:val="24"/>
          <w:szCs w:val="24"/>
          <w:lang w:val="en-US"/>
        </w:rPr>
        <w:t xml:space="preserve">The analysis shows that the macro-marketing forces cannot have </w:t>
      </w:r>
      <w:r>
        <w:rPr>
          <w:rFonts w:ascii="Times New Roman" w:hAnsi="Times New Roman" w:cs="Times New Roman"/>
          <w:sz w:val="24"/>
          <w:szCs w:val="24"/>
          <w:lang w:val="en-US"/>
        </w:rPr>
        <w:t>homogeneous</w:t>
      </w:r>
      <w:r w:rsidRPr="00DA6581">
        <w:rPr>
          <w:rFonts w:ascii="Times New Roman" w:hAnsi="Times New Roman" w:cs="Times New Roman"/>
          <w:sz w:val="24"/>
          <w:szCs w:val="24"/>
          <w:lang w:val="en-US"/>
        </w:rPr>
        <w:t xml:space="preserve"> pressure on the industry of EVs; it enhances the structural benefits of pioneer companies and </w:t>
      </w:r>
      <w:r>
        <w:rPr>
          <w:rFonts w:ascii="Times New Roman" w:hAnsi="Times New Roman" w:cs="Times New Roman"/>
          <w:sz w:val="24"/>
          <w:szCs w:val="24"/>
          <w:lang w:val="en-US"/>
        </w:rPr>
        <w:t>opens</w:t>
      </w:r>
      <w:r w:rsidRPr="00DA6581">
        <w:rPr>
          <w:rFonts w:ascii="Times New Roman" w:hAnsi="Times New Roman" w:cs="Times New Roman"/>
          <w:sz w:val="24"/>
          <w:szCs w:val="24"/>
          <w:lang w:val="en-US"/>
        </w:rPr>
        <w:t xml:space="preserve"> vulnerability to the follower companies. The most influential external forces</w:t>
      </w:r>
      <w:r>
        <w:rPr>
          <w:rFonts w:ascii="Times New Roman" w:hAnsi="Times New Roman" w:cs="Times New Roman"/>
          <w:sz w:val="24"/>
          <w:szCs w:val="24"/>
          <w:lang w:val="en-US"/>
        </w:rPr>
        <w:t>,</w:t>
      </w:r>
      <w:r w:rsidRPr="00DA6581">
        <w:rPr>
          <w:rFonts w:ascii="Times New Roman" w:hAnsi="Times New Roman" w:cs="Times New Roman"/>
          <w:sz w:val="24"/>
          <w:szCs w:val="24"/>
          <w:lang w:val="en-US"/>
        </w:rPr>
        <w:t xml:space="preserve"> known as technological and environmental/regulatory</w:t>
      </w:r>
      <w:r>
        <w:rPr>
          <w:rFonts w:ascii="Times New Roman" w:hAnsi="Times New Roman" w:cs="Times New Roman"/>
          <w:sz w:val="24"/>
          <w:szCs w:val="24"/>
          <w:lang w:val="en-US"/>
        </w:rPr>
        <w:t>,</w:t>
      </w:r>
      <w:r w:rsidRPr="00DA6581">
        <w:rPr>
          <w:rFonts w:ascii="Times New Roman" w:hAnsi="Times New Roman" w:cs="Times New Roman"/>
          <w:sz w:val="24"/>
          <w:szCs w:val="24"/>
          <w:lang w:val="en-US"/>
        </w:rPr>
        <w:t xml:space="preserve"> present an asymmetric competition very specific to Tesla and </w:t>
      </w:r>
      <w:r>
        <w:rPr>
          <w:rFonts w:ascii="Times New Roman" w:hAnsi="Times New Roman" w:cs="Times New Roman"/>
          <w:sz w:val="24"/>
          <w:szCs w:val="24"/>
          <w:lang w:val="en-US"/>
        </w:rPr>
        <w:t>Volkswagen's</w:t>
      </w:r>
      <w:r w:rsidRPr="00DA6581">
        <w:rPr>
          <w:rFonts w:ascii="Times New Roman" w:hAnsi="Times New Roman" w:cs="Times New Roman"/>
          <w:sz w:val="24"/>
          <w:szCs w:val="24"/>
          <w:lang w:val="en-US"/>
        </w:rPr>
        <w:t xml:space="preserve"> strategic possibilities. The business model of Tesla is intrinsically aligned to technological innovation and stricter regulatory measures, which allows converting the macro-environmental pressures into increased growth. Its vertical integration, software capabilities</w:t>
      </w:r>
      <w:r>
        <w:rPr>
          <w:rFonts w:ascii="Times New Roman" w:hAnsi="Times New Roman" w:cs="Times New Roman"/>
          <w:sz w:val="24"/>
          <w:szCs w:val="24"/>
          <w:lang w:val="en-US"/>
        </w:rPr>
        <w:t>,</w:t>
      </w:r>
      <w:r w:rsidRPr="00DA6581">
        <w:rPr>
          <w:rFonts w:ascii="Times New Roman" w:hAnsi="Times New Roman" w:cs="Times New Roman"/>
          <w:sz w:val="24"/>
          <w:szCs w:val="24"/>
          <w:lang w:val="en-US"/>
        </w:rPr>
        <w:t xml:space="preserve"> as well as ecosystem-based infrastructure enable it to better leverage the falling battery prices and worldwide policy trends to its advantage compared to that of its competitors.</w:t>
      </w:r>
    </w:p>
    <w:p w14:paraId="6560A682" w14:textId="338ED684" w:rsidR="009F4193" w:rsidRPr="009F4193" w:rsidRDefault="00DA6581" w:rsidP="003447B2">
      <w:pPr>
        <w:spacing w:line="360" w:lineRule="auto"/>
        <w:jc w:val="both"/>
        <w:rPr>
          <w:rFonts w:ascii="Times New Roman" w:hAnsi="Times New Roman" w:cs="Times New Roman"/>
          <w:sz w:val="24"/>
          <w:szCs w:val="24"/>
          <w:lang w:val="en-US"/>
        </w:rPr>
      </w:pPr>
      <w:r>
        <w:rPr>
          <w:rFonts w:ascii="Times New Roman" w:hAnsi="Times New Roman" w:cs="Times New Roman"/>
          <w:sz w:val="24"/>
          <w:szCs w:val="24"/>
          <w:lang w:val="en-US"/>
        </w:rPr>
        <w:t>Wolves</w:t>
      </w:r>
      <w:r w:rsidRPr="00DA6581">
        <w:rPr>
          <w:rFonts w:ascii="Times New Roman" w:hAnsi="Times New Roman" w:cs="Times New Roman"/>
          <w:sz w:val="24"/>
          <w:szCs w:val="24"/>
          <w:lang w:val="en-US"/>
        </w:rPr>
        <w:t xml:space="preserve"> of Volkswagen, on the other hand, have a limited number of strategic responses due to the presence of legacy systems, sunk costs, and slower capability development. Such regulatory requirements as the EU 2035 ICE ban and the Chinese NEV credit system accelerate the pressure to switch, but the fact that Volkswagen relies on external sources of batteries, software delays and restructuring demands makes it harder to execute, which reduces its agility. Wolf Volkswagen, as a follower, can take a compliance-based and not innovation-based course, further increasing the strategic distance between the company and industry leaders</w:t>
      </w:r>
      <w:r w:rsidR="009F4193" w:rsidRPr="009F4193">
        <w:rPr>
          <w:rFonts w:ascii="Times New Roman" w:hAnsi="Times New Roman" w:cs="Times New Roman"/>
          <w:sz w:val="24"/>
          <w:szCs w:val="24"/>
          <w:lang w:val="en-US"/>
        </w:rPr>
        <w:t>.</w:t>
      </w:r>
    </w:p>
    <w:p w14:paraId="47E0A4DD" w14:textId="1FFD689B" w:rsidR="0089230D" w:rsidRPr="00575E31" w:rsidRDefault="004C712F" w:rsidP="003447B2">
      <w:pPr>
        <w:spacing w:line="360" w:lineRule="auto"/>
        <w:jc w:val="both"/>
        <w:rPr>
          <w:rFonts w:ascii="Times New Roman" w:hAnsi="Times New Roman" w:cs="Times New Roman"/>
          <w:sz w:val="24"/>
          <w:szCs w:val="24"/>
          <w:lang w:val="en-US"/>
        </w:rPr>
      </w:pPr>
      <w:r w:rsidRPr="004C712F">
        <w:rPr>
          <w:rFonts w:ascii="Times New Roman" w:hAnsi="Times New Roman" w:cs="Times New Roman"/>
          <w:sz w:val="24"/>
          <w:szCs w:val="24"/>
        </w:rPr>
        <w:t xml:space="preserve">On the whole, the results point to the pivotal role of environmental scanning as the tool of managing technologically dynamic industries. Companies that are able to discern external </w:t>
      </w:r>
      <w:r w:rsidRPr="004C712F">
        <w:rPr>
          <w:rFonts w:ascii="Times New Roman" w:hAnsi="Times New Roman" w:cs="Times New Roman"/>
          <w:sz w:val="24"/>
          <w:szCs w:val="24"/>
        </w:rPr>
        <w:lastRenderedPageBreak/>
        <w:t>signals early on, respond in a strategic and investment in future-oriented capability are in a better position to remain competitive amidst macro-environmental changes that are occurring at a very rapid pace</w:t>
      </w:r>
      <w:r w:rsidR="009F4193" w:rsidRPr="009F4193">
        <w:rPr>
          <w:rFonts w:ascii="Times New Roman" w:hAnsi="Times New Roman" w:cs="Times New Roman"/>
          <w:sz w:val="24"/>
          <w:szCs w:val="24"/>
          <w:lang w:val="en-US"/>
        </w:rPr>
        <w:t>.</w:t>
      </w:r>
    </w:p>
    <w:p w14:paraId="385FEEE0" w14:textId="77777777" w:rsidR="008A5E4E" w:rsidRDefault="008A5E4E" w:rsidP="00575E31">
      <w:pPr>
        <w:pStyle w:val="Heading1"/>
        <w:rPr>
          <w:rFonts w:cs="Times New Roman"/>
          <w:lang w:val="en-US"/>
        </w:rPr>
        <w:sectPr w:rsidR="008A5E4E" w:rsidSect="00575E31">
          <w:footerReference w:type="default" r:id="rId14"/>
          <w:pgSz w:w="11906" w:h="16838" w:code="9"/>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docGrid w:linePitch="360"/>
        </w:sectPr>
      </w:pPr>
      <w:bookmarkStart w:id="26" w:name="_Toc214247329"/>
    </w:p>
    <w:p w14:paraId="102191BF" w14:textId="77777777" w:rsidR="0089230D" w:rsidRPr="00575E31" w:rsidRDefault="002435F3" w:rsidP="00575E31">
      <w:pPr>
        <w:pStyle w:val="Heading1"/>
        <w:rPr>
          <w:rFonts w:cs="Times New Roman"/>
          <w:lang w:val="en-US"/>
        </w:rPr>
      </w:pPr>
      <w:r w:rsidRPr="00575E31">
        <w:rPr>
          <w:rFonts w:cs="Times New Roman"/>
          <w:lang w:val="en-US"/>
        </w:rPr>
        <w:lastRenderedPageBreak/>
        <w:t>Reference List</w:t>
      </w:r>
      <w:bookmarkEnd w:id="26"/>
    </w:p>
    <w:p w14:paraId="72E10F98"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Benchmark Mineral Intelligence (2024)</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Global Lithium-Ion Cell Price Index</w:t>
      </w:r>
      <w:r w:rsidRPr="00575E31">
        <w:rPr>
          <w:rFonts w:ascii="Times New Roman" w:hAnsi="Times New Roman" w:cs="Times New Roman"/>
          <w:sz w:val="24"/>
          <w:szCs w:val="24"/>
          <w:lang w:val="en-US"/>
        </w:rPr>
        <w:t xml:space="preserve">. Available at: </w:t>
      </w:r>
      <w:hyperlink r:id="rId15" w:tgtFrame="_new" w:history="1">
        <w:r w:rsidRPr="00575E31">
          <w:rPr>
            <w:rStyle w:val="Hyperlink"/>
            <w:rFonts w:ascii="Times New Roman" w:hAnsi="Times New Roman" w:cs="Times New Roman"/>
            <w:sz w:val="24"/>
            <w:szCs w:val="24"/>
            <w:lang w:val="en-US"/>
          </w:rPr>
          <w:t>https://www.benchmarkminerals.com</w:t>
        </w:r>
      </w:hyperlink>
      <w:r w:rsidRPr="00575E31">
        <w:rPr>
          <w:rFonts w:ascii="Times New Roman" w:hAnsi="Times New Roman" w:cs="Times New Roman"/>
          <w:sz w:val="24"/>
          <w:szCs w:val="24"/>
          <w:lang w:val="en-US"/>
        </w:rPr>
        <w:t xml:space="preserve"> (Accessed: 17 November 2025).</w:t>
      </w:r>
    </w:p>
    <w:p w14:paraId="3F2037CD"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proofErr w:type="spellStart"/>
      <w:r w:rsidRPr="00575E31">
        <w:rPr>
          <w:rFonts w:ascii="Times New Roman" w:hAnsi="Times New Roman" w:cs="Times New Roman"/>
          <w:b/>
          <w:bCs/>
          <w:sz w:val="24"/>
          <w:szCs w:val="24"/>
          <w:lang w:val="en-US"/>
        </w:rPr>
        <w:t>BloombergNEF</w:t>
      </w:r>
      <w:proofErr w:type="spellEnd"/>
      <w:r w:rsidRPr="00575E31">
        <w:rPr>
          <w:rFonts w:ascii="Times New Roman" w:hAnsi="Times New Roman" w:cs="Times New Roman"/>
          <w:b/>
          <w:bCs/>
          <w:sz w:val="24"/>
          <w:szCs w:val="24"/>
          <w:lang w:val="en-US"/>
        </w:rPr>
        <w:t xml:space="preserve"> (2024)</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Battery Price Survey: Lithium-Ion Pack and Cell Costs</w:t>
      </w:r>
      <w:r w:rsidRPr="00575E31">
        <w:rPr>
          <w:rFonts w:ascii="Times New Roman" w:hAnsi="Times New Roman" w:cs="Times New Roman"/>
          <w:sz w:val="24"/>
          <w:szCs w:val="24"/>
          <w:lang w:val="en-US"/>
        </w:rPr>
        <w:t>. Available at: https://about.bnef.com/blog/battery-price-survey (Accessed: 17 November 2025).</w:t>
      </w:r>
    </w:p>
    <w:p w14:paraId="5209776F"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proofErr w:type="spellStart"/>
      <w:r w:rsidRPr="00575E31">
        <w:rPr>
          <w:rFonts w:ascii="Times New Roman" w:hAnsi="Times New Roman" w:cs="Times New Roman"/>
          <w:b/>
          <w:bCs/>
          <w:sz w:val="24"/>
          <w:szCs w:val="24"/>
          <w:lang w:val="en-US"/>
        </w:rPr>
        <w:t>BloombergNEF</w:t>
      </w:r>
      <w:proofErr w:type="spellEnd"/>
      <w:r w:rsidRPr="00575E31">
        <w:rPr>
          <w:rFonts w:ascii="Times New Roman" w:hAnsi="Times New Roman" w:cs="Times New Roman"/>
          <w:b/>
          <w:bCs/>
          <w:sz w:val="24"/>
          <w:szCs w:val="24"/>
          <w:lang w:val="en-US"/>
        </w:rPr>
        <w:t xml:space="preserve"> (2024)</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Electric Vehicle Outlook 2024</w:t>
      </w:r>
      <w:r w:rsidRPr="00575E31">
        <w:rPr>
          <w:rFonts w:ascii="Times New Roman" w:hAnsi="Times New Roman" w:cs="Times New Roman"/>
          <w:sz w:val="24"/>
          <w:szCs w:val="24"/>
          <w:lang w:val="en-US"/>
        </w:rPr>
        <w:t xml:space="preserve">. Available at: </w:t>
      </w:r>
      <w:hyperlink r:id="rId16" w:tgtFrame="_new" w:history="1">
        <w:r w:rsidRPr="00575E31">
          <w:rPr>
            <w:rStyle w:val="Hyperlink"/>
            <w:rFonts w:ascii="Times New Roman" w:hAnsi="Times New Roman" w:cs="Times New Roman"/>
            <w:sz w:val="24"/>
            <w:szCs w:val="24"/>
            <w:lang w:val="en-US"/>
          </w:rPr>
          <w:t>https://about.bnef.com/electric-vehicle-outlook</w:t>
        </w:r>
      </w:hyperlink>
      <w:r w:rsidRPr="00575E31">
        <w:rPr>
          <w:rFonts w:ascii="Times New Roman" w:hAnsi="Times New Roman" w:cs="Times New Roman"/>
          <w:sz w:val="24"/>
          <w:szCs w:val="24"/>
          <w:lang w:val="en-US"/>
        </w:rPr>
        <w:t xml:space="preserve"> (Accessed: 17 November 2025).</w:t>
      </w:r>
    </w:p>
    <w:p w14:paraId="5037AD7F"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Borucka, A. (2024)</w:t>
      </w:r>
      <w:r w:rsidRPr="00575E31">
        <w:rPr>
          <w:rFonts w:ascii="Times New Roman" w:hAnsi="Times New Roman" w:cs="Times New Roman"/>
          <w:sz w:val="24"/>
          <w:szCs w:val="24"/>
          <w:lang w:val="en-US"/>
        </w:rPr>
        <w:t xml:space="preserve"> ‘Analysis and forecast of electric vehicle demand in the world’s largest economies’, </w:t>
      </w:r>
      <w:r w:rsidRPr="00575E31">
        <w:rPr>
          <w:rFonts w:ascii="Times New Roman" w:hAnsi="Times New Roman" w:cs="Times New Roman"/>
          <w:i/>
          <w:iCs/>
          <w:sz w:val="24"/>
          <w:szCs w:val="24"/>
          <w:lang w:val="en-US"/>
        </w:rPr>
        <w:t>Energies</w:t>
      </w:r>
      <w:r w:rsidRPr="00575E31">
        <w:rPr>
          <w:rFonts w:ascii="Times New Roman" w:hAnsi="Times New Roman" w:cs="Times New Roman"/>
          <w:sz w:val="24"/>
          <w:szCs w:val="24"/>
          <w:lang w:val="en-US"/>
        </w:rPr>
        <w:t>, 17(4), pp. 1–15. Available at: https://www.mdpi.com/1996-1073/17/4/1234 (Accessed: 17 November 2025).</w:t>
      </w:r>
    </w:p>
    <w:p w14:paraId="0307C89E"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China Ministry of Industry and Information Technology (MIIT) (2023)</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NEV Credit System Policy Update</w:t>
      </w:r>
      <w:r w:rsidRPr="00575E31">
        <w:rPr>
          <w:rFonts w:ascii="Times New Roman" w:hAnsi="Times New Roman" w:cs="Times New Roman"/>
          <w:sz w:val="24"/>
          <w:szCs w:val="24"/>
          <w:lang w:val="en-US"/>
        </w:rPr>
        <w:t xml:space="preserve">. Available at: </w:t>
      </w:r>
      <w:hyperlink r:id="rId17" w:tgtFrame="_new" w:history="1">
        <w:r w:rsidRPr="00575E31">
          <w:rPr>
            <w:rStyle w:val="Hyperlink"/>
            <w:rFonts w:ascii="Times New Roman" w:hAnsi="Times New Roman" w:cs="Times New Roman"/>
            <w:sz w:val="24"/>
            <w:szCs w:val="24"/>
            <w:lang w:val="en-US"/>
          </w:rPr>
          <w:t>https://www.miit.gov.cn</w:t>
        </w:r>
      </w:hyperlink>
      <w:r w:rsidRPr="00575E31">
        <w:rPr>
          <w:rFonts w:ascii="Times New Roman" w:hAnsi="Times New Roman" w:cs="Times New Roman"/>
          <w:sz w:val="24"/>
          <w:szCs w:val="24"/>
          <w:lang w:val="en-US"/>
        </w:rPr>
        <w:t xml:space="preserve"> (Accessed: 17 November 2025).</w:t>
      </w:r>
    </w:p>
    <w:p w14:paraId="5CA802F4"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European Commission (2023)</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CO₂ Emission Performance Standards for Cars and Vans</w:t>
      </w:r>
      <w:r w:rsidRPr="00575E31">
        <w:rPr>
          <w:rFonts w:ascii="Times New Roman" w:hAnsi="Times New Roman" w:cs="Times New Roman"/>
          <w:sz w:val="24"/>
          <w:szCs w:val="24"/>
          <w:lang w:val="en-US"/>
        </w:rPr>
        <w:t xml:space="preserve">. Available at: </w:t>
      </w:r>
      <w:hyperlink r:id="rId18" w:tgtFrame="_new" w:history="1">
        <w:r w:rsidRPr="00575E31">
          <w:rPr>
            <w:rStyle w:val="Hyperlink"/>
            <w:rFonts w:ascii="Times New Roman" w:hAnsi="Times New Roman" w:cs="Times New Roman"/>
            <w:sz w:val="24"/>
            <w:szCs w:val="24"/>
            <w:lang w:val="en-US"/>
          </w:rPr>
          <w:t>https://commission.europa.eu</w:t>
        </w:r>
      </w:hyperlink>
      <w:r w:rsidRPr="00575E31">
        <w:rPr>
          <w:rFonts w:ascii="Times New Roman" w:hAnsi="Times New Roman" w:cs="Times New Roman"/>
          <w:sz w:val="24"/>
          <w:szCs w:val="24"/>
          <w:lang w:val="en-US"/>
        </w:rPr>
        <w:t xml:space="preserve"> (Accessed: 17 November 2025).</w:t>
      </w:r>
    </w:p>
    <w:p w14:paraId="34863544"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Grant, R.M. (2019)</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Contemporary Strategy Analysis</w:t>
      </w:r>
      <w:r w:rsidRPr="00575E31">
        <w:rPr>
          <w:rFonts w:ascii="Times New Roman" w:hAnsi="Times New Roman" w:cs="Times New Roman"/>
          <w:sz w:val="24"/>
          <w:szCs w:val="24"/>
          <w:lang w:val="en-US"/>
        </w:rPr>
        <w:t xml:space="preserve">. 10th </w:t>
      </w:r>
      <w:proofErr w:type="spellStart"/>
      <w:r w:rsidRPr="00575E31">
        <w:rPr>
          <w:rFonts w:ascii="Times New Roman" w:hAnsi="Times New Roman" w:cs="Times New Roman"/>
          <w:sz w:val="24"/>
          <w:szCs w:val="24"/>
          <w:lang w:val="en-US"/>
        </w:rPr>
        <w:t>edn</w:t>
      </w:r>
      <w:proofErr w:type="spellEnd"/>
      <w:r w:rsidRPr="00575E31">
        <w:rPr>
          <w:rFonts w:ascii="Times New Roman" w:hAnsi="Times New Roman" w:cs="Times New Roman"/>
          <w:sz w:val="24"/>
          <w:szCs w:val="24"/>
          <w:lang w:val="en-US"/>
        </w:rPr>
        <w:t>. Chichester: Wiley.</w:t>
      </w:r>
    </w:p>
    <w:p w14:paraId="1BB64E64"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proofErr w:type="spellStart"/>
      <w:r w:rsidRPr="00575E31">
        <w:rPr>
          <w:rFonts w:ascii="Times New Roman" w:hAnsi="Times New Roman" w:cs="Times New Roman"/>
          <w:b/>
          <w:bCs/>
          <w:sz w:val="24"/>
          <w:szCs w:val="24"/>
          <w:lang w:val="en-US"/>
        </w:rPr>
        <w:t>Hadhri</w:t>
      </w:r>
      <w:proofErr w:type="spellEnd"/>
      <w:r w:rsidRPr="00575E31">
        <w:rPr>
          <w:rFonts w:ascii="Times New Roman" w:hAnsi="Times New Roman" w:cs="Times New Roman"/>
          <w:b/>
          <w:bCs/>
          <w:sz w:val="24"/>
          <w:szCs w:val="24"/>
          <w:lang w:val="en-US"/>
        </w:rPr>
        <w:t>, W. and Omri, A. (2023)</w:t>
      </w:r>
      <w:r w:rsidRPr="00575E31">
        <w:rPr>
          <w:rFonts w:ascii="Times New Roman" w:hAnsi="Times New Roman" w:cs="Times New Roman"/>
          <w:sz w:val="24"/>
          <w:szCs w:val="24"/>
          <w:lang w:val="en-US"/>
        </w:rPr>
        <w:t xml:space="preserve"> ‘Tesla’s market share in the electric vehicle industry: A global perspective’, </w:t>
      </w:r>
      <w:r w:rsidRPr="00575E31">
        <w:rPr>
          <w:rFonts w:ascii="Times New Roman" w:hAnsi="Times New Roman" w:cs="Times New Roman"/>
          <w:i/>
          <w:iCs/>
          <w:sz w:val="24"/>
          <w:szCs w:val="24"/>
          <w:lang w:val="en-US"/>
        </w:rPr>
        <w:t>World Electric Vehicle Journal</w:t>
      </w:r>
      <w:r w:rsidRPr="00575E31">
        <w:rPr>
          <w:rFonts w:ascii="Times New Roman" w:hAnsi="Times New Roman" w:cs="Times New Roman"/>
          <w:sz w:val="24"/>
          <w:szCs w:val="24"/>
          <w:lang w:val="en-US"/>
        </w:rPr>
        <w:t xml:space="preserve">, 14(3). Available at: </w:t>
      </w:r>
      <w:hyperlink r:id="rId19" w:tgtFrame="_new" w:history="1">
        <w:r w:rsidRPr="00575E31">
          <w:rPr>
            <w:rStyle w:val="Hyperlink"/>
            <w:rFonts w:ascii="Times New Roman" w:hAnsi="Times New Roman" w:cs="Times New Roman"/>
            <w:sz w:val="24"/>
            <w:szCs w:val="24"/>
            <w:lang w:val="en-US"/>
          </w:rPr>
          <w:t>https://www.mdpi.com</w:t>
        </w:r>
      </w:hyperlink>
      <w:r w:rsidRPr="00575E31">
        <w:rPr>
          <w:rFonts w:ascii="Times New Roman" w:hAnsi="Times New Roman" w:cs="Times New Roman"/>
          <w:sz w:val="24"/>
          <w:szCs w:val="24"/>
          <w:lang w:val="en-US"/>
        </w:rPr>
        <w:t xml:space="preserve"> (Accessed: 17 November 2025).</w:t>
      </w:r>
    </w:p>
    <w:p w14:paraId="3BEA2041"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Hollensen, S. (2020)</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Global Marketing</w:t>
      </w:r>
      <w:r w:rsidRPr="00575E31">
        <w:rPr>
          <w:rFonts w:ascii="Times New Roman" w:hAnsi="Times New Roman" w:cs="Times New Roman"/>
          <w:sz w:val="24"/>
          <w:szCs w:val="24"/>
          <w:lang w:val="en-US"/>
        </w:rPr>
        <w:t xml:space="preserve">. 8th </w:t>
      </w:r>
      <w:proofErr w:type="spellStart"/>
      <w:r w:rsidRPr="00575E31">
        <w:rPr>
          <w:rFonts w:ascii="Times New Roman" w:hAnsi="Times New Roman" w:cs="Times New Roman"/>
          <w:sz w:val="24"/>
          <w:szCs w:val="24"/>
          <w:lang w:val="en-US"/>
        </w:rPr>
        <w:t>edn</w:t>
      </w:r>
      <w:proofErr w:type="spellEnd"/>
      <w:r w:rsidRPr="00575E31">
        <w:rPr>
          <w:rFonts w:ascii="Times New Roman" w:hAnsi="Times New Roman" w:cs="Times New Roman"/>
          <w:sz w:val="24"/>
          <w:szCs w:val="24"/>
          <w:lang w:val="en-US"/>
        </w:rPr>
        <w:t>. Harlow: Pearson.</w:t>
      </w:r>
    </w:p>
    <w:p w14:paraId="1FE433DC"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proofErr w:type="spellStart"/>
      <w:r w:rsidRPr="00575E31">
        <w:rPr>
          <w:rFonts w:ascii="Times New Roman" w:hAnsi="Times New Roman" w:cs="Times New Roman"/>
          <w:b/>
          <w:bCs/>
          <w:sz w:val="24"/>
          <w:szCs w:val="24"/>
          <w:lang w:val="en-US"/>
        </w:rPr>
        <w:t>InsideEVs</w:t>
      </w:r>
      <w:proofErr w:type="spellEnd"/>
      <w:r w:rsidRPr="00575E31">
        <w:rPr>
          <w:rFonts w:ascii="Times New Roman" w:hAnsi="Times New Roman" w:cs="Times New Roman"/>
          <w:b/>
          <w:bCs/>
          <w:sz w:val="24"/>
          <w:szCs w:val="24"/>
          <w:lang w:val="en-US"/>
        </w:rPr>
        <w:t xml:space="preserve"> (2021)</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Global EV Sales Database – Tesla vs Volkswagen Quarterly Deliveries</w:t>
      </w:r>
      <w:r w:rsidRPr="00575E31">
        <w:rPr>
          <w:rFonts w:ascii="Times New Roman" w:hAnsi="Times New Roman" w:cs="Times New Roman"/>
          <w:sz w:val="24"/>
          <w:szCs w:val="24"/>
          <w:lang w:val="en-US"/>
        </w:rPr>
        <w:t xml:space="preserve">. Available at: </w:t>
      </w:r>
      <w:hyperlink r:id="rId20" w:tgtFrame="_new" w:history="1">
        <w:r w:rsidRPr="00575E31">
          <w:rPr>
            <w:rStyle w:val="Hyperlink"/>
            <w:rFonts w:ascii="Times New Roman" w:hAnsi="Times New Roman" w:cs="Times New Roman"/>
            <w:sz w:val="24"/>
            <w:szCs w:val="24"/>
            <w:lang w:val="en-US"/>
          </w:rPr>
          <w:t>https://insideevs.com</w:t>
        </w:r>
      </w:hyperlink>
      <w:r w:rsidRPr="00575E31">
        <w:rPr>
          <w:rFonts w:ascii="Times New Roman" w:hAnsi="Times New Roman" w:cs="Times New Roman"/>
          <w:sz w:val="24"/>
          <w:szCs w:val="24"/>
          <w:lang w:val="en-US"/>
        </w:rPr>
        <w:t xml:space="preserve"> (Accessed: 17 November 2025).</w:t>
      </w:r>
    </w:p>
    <w:p w14:paraId="10A63506"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International Energy Agency (2024)</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Global EV Outlook 2024</w:t>
      </w:r>
      <w:r w:rsidRPr="00575E31">
        <w:rPr>
          <w:rFonts w:ascii="Times New Roman" w:hAnsi="Times New Roman" w:cs="Times New Roman"/>
          <w:sz w:val="24"/>
          <w:szCs w:val="24"/>
          <w:lang w:val="en-US"/>
        </w:rPr>
        <w:t xml:space="preserve">. Paris: IEA. Available at: </w:t>
      </w:r>
      <w:hyperlink r:id="rId21" w:tgtFrame="_new" w:history="1">
        <w:r w:rsidRPr="00575E31">
          <w:rPr>
            <w:rStyle w:val="Hyperlink"/>
            <w:rFonts w:ascii="Times New Roman" w:hAnsi="Times New Roman" w:cs="Times New Roman"/>
            <w:sz w:val="24"/>
            <w:szCs w:val="24"/>
            <w:lang w:val="en-US"/>
          </w:rPr>
          <w:t>https://www.iea.org/reports/global-ev-outlook-2024</w:t>
        </w:r>
      </w:hyperlink>
      <w:r w:rsidRPr="00575E31">
        <w:rPr>
          <w:rFonts w:ascii="Times New Roman" w:hAnsi="Times New Roman" w:cs="Times New Roman"/>
          <w:sz w:val="24"/>
          <w:szCs w:val="24"/>
          <w:lang w:val="en-US"/>
        </w:rPr>
        <w:t xml:space="preserve"> (Accessed: 17 November 2025).</w:t>
      </w:r>
    </w:p>
    <w:p w14:paraId="534CE033"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Jato Dynamics (2024)</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Global EV Market Insights 2018–2024</w:t>
      </w:r>
      <w:r w:rsidRPr="00575E31">
        <w:rPr>
          <w:rFonts w:ascii="Times New Roman" w:hAnsi="Times New Roman" w:cs="Times New Roman"/>
          <w:sz w:val="24"/>
          <w:szCs w:val="24"/>
          <w:lang w:val="en-US"/>
        </w:rPr>
        <w:t xml:space="preserve">. Available at: </w:t>
      </w:r>
      <w:hyperlink r:id="rId22" w:tgtFrame="_new" w:history="1">
        <w:r w:rsidRPr="00575E31">
          <w:rPr>
            <w:rStyle w:val="Hyperlink"/>
            <w:rFonts w:ascii="Times New Roman" w:hAnsi="Times New Roman" w:cs="Times New Roman"/>
            <w:sz w:val="24"/>
            <w:szCs w:val="24"/>
            <w:lang w:val="en-US"/>
          </w:rPr>
          <w:t>https://www.jato.com</w:t>
        </w:r>
      </w:hyperlink>
      <w:r w:rsidRPr="00575E31">
        <w:rPr>
          <w:rFonts w:ascii="Times New Roman" w:hAnsi="Times New Roman" w:cs="Times New Roman"/>
          <w:sz w:val="24"/>
          <w:szCs w:val="24"/>
          <w:lang w:val="en-US"/>
        </w:rPr>
        <w:t xml:space="preserve"> (Accessed: 17 November 2025).</w:t>
      </w:r>
    </w:p>
    <w:p w14:paraId="4741E722"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Johnson, G. et al. (2020)</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Exploring Strategy: Text and Cases</w:t>
      </w:r>
      <w:r w:rsidRPr="00575E31">
        <w:rPr>
          <w:rFonts w:ascii="Times New Roman" w:hAnsi="Times New Roman" w:cs="Times New Roman"/>
          <w:sz w:val="24"/>
          <w:szCs w:val="24"/>
          <w:lang w:val="en-US"/>
        </w:rPr>
        <w:t xml:space="preserve">. 12th </w:t>
      </w:r>
      <w:proofErr w:type="spellStart"/>
      <w:r w:rsidRPr="00575E31">
        <w:rPr>
          <w:rFonts w:ascii="Times New Roman" w:hAnsi="Times New Roman" w:cs="Times New Roman"/>
          <w:sz w:val="24"/>
          <w:szCs w:val="24"/>
          <w:lang w:val="en-US"/>
        </w:rPr>
        <w:t>edn</w:t>
      </w:r>
      <w:proofErr w:type="spellEnd"/>
      <w:r w:rsidRPr="00575E31">
        <w:rPr>
          <w:rFonts w:ascii="Times New Roman" w:hAnsi="Times New Roman" w:cs="Times New Roman"/>
          <w:sz w:val="24"/>
          <w:szCs w:val="24"/>
          <w:lang w:val="en-US"/>
        </w:rPr>
        <w:t>. Harlow: Pearson.</w:t>
      </w:r>
    </w:p>
    <w:p w14:paraId="464CDEB0"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lastRenderedPageBreak/>
        <w:t>Karimov, A. (2024)</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Legacy Automakers vs Electric Vehicle Innovators: Strategic Transformations</w:t>
      </w:r>
      <w:r w:rsidRPr="00575E31">
        <w:rPr>
          <w:rFonts w:ascii="Times New Roman" w:hAnsi="Times New Roman" w:cs="Times New Roman"/>
          <w:sz w:val="24"/>
          <w:szCs w:val="24"/>
          <w:lang w:val="en-US"/>
        </w:rPr>
        <w:t>. MSc thesis, Luiss University. Available via Luiss Institutional Repository.</w:t>
      </w:r>
    </w:p>
    <w:p w14:paraId="0E07EFE4"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proofErr w:type="spellStart"/>
      <w:r w:rsidRPr="00575E31">
        <w:rPr>
          <w:rFonts w:ascii="Times New Roman" w:hAnsi="Times New Roman" w:cs="Times New Roman"/>
          <w:b/>
          <w:bCs/>
          <w:sz w:val="24"/>
          <w:szCs w:val="24"/>
          <w:lang w:val="en-US"/>
        </w:rPr>
        <w:t>Karamitsios</w:t>
      </w:r>
      <w:proofErr w:type="spellEnd"/>
      <w:r w:rsidRPr="00575E31">
        <w:rPr>
          <w:rFonts w:ascii="Times New Roman" w:hAnsi="Times New Roman" w:cs="Times New Roman"/>
          <w:b/>
          <w:bCs/>
          <w:sz w:val="24"/>
          <w:szCs w:val="24"/>
          <w:lang w:val="en-US"/>
        </w:rPr>
        <w:t>, A. (2013)</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Open Innovation in the Electric Vehicle Industry: A Case Study of Tesla Motors</w:t>
      </w:r>
      <w:r w:rsidRPr="00575E31">
        <w:rPr>
          <w:rFonts w:ascii="Times New Roman" w:hAnsi="Times New Roman" w:cs="Times New Roman"/>
          <w:sz w:val="24"/>
          <w:szCs w:val="24"/>
          <w:lang w:val="en-US"/>
        </w:rPr>
        <w:t xml:space="preserve">. MSc thesis, KTH Royal Institute of Technology. Available at: </w:t>
      </w:r>
      <w:hyperlink r:id="rId23" w:tgtFrame="_new" w:history="1">
        <w:r w:rsidRPr="00575E31">
          <w:rPr>
            <w:rStyle w:val="Hyperlink"/>
            <w:rFonts w:ascii="Times New Roman" w:hAnsi="Times New Roman" w:cs="Times New Roman"/>
            <w:sz w:val="24"/>
            <w:szCs w:val="24"/>
            <w:lang w:val="en-US"/>
          </w:rPr>
          <w:t>https://kth.diva-portal.org</w:t>
        </w:r>
      </w:hyperlink>
      <w:r w:rsidRPr="00575E31">
        <w:rPr>
          <w:rFonts w:ascii="Times New Roman" w:hAnsi="Times New Roman" w:cs="Times New Roman"/>
          <w:sz w:val="24"/>
          <w:szCs w:val="24"/>
          <w:lang w:val="en-US"/>
        </w:rPr>
        <w:t xml:space="preserve"> (Accessed: 17 November 2025).</w:t>
      </w:r>
    </w:p>
    <w:p w14:paraId="618AAB28"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Kerin, R.A., Varadarajan, P.R. and Peterson, R.A. (1992)</w:t>
      </w:r>
      <w:r w:rsidRPr="00575E31">
        <w:rPr>
          <w:rFonts w:ascii="Times New Roman" w:hAnsi="Times New Roman" w:cs="Times New Roman"/>
          <w:sz w:val="24"/>
          <w:szCs w:val="24"/>
          <w:lang w:val="en-US"/>
        </w:rPr>
        <w:t xml:space="preserve"> ‘First-mover advantage: A synthesis, conceptual framework, and propositions’, </w:t>
      </w:r>
      <w:r w:rsidRPr="00575E31">
        <w:rPr>
          <w:rFonts w:ascii="Times New Roman" w:hAnsi="Times New Roman" w:cs="Times New Roman"/>
          <w:i/>
          <w:iCs/>
          <w:sz w:val="24"/>
          <w:szCs w:val="24"/>
          <w:lang w:val="en-US"/>
        </w:rPr>
        <w:t>Journal of Marketing</w:t>
      </w:r>
      <w:r w:rsidRPr="00575E31">
        <w:rPr>
          <w:rFonts w:ascii="Times New Roman" w:hAnsi="Times New Roman" w:cs="Times New Roman"/>
          <w:sz w:val="24"/>
          <w:szCs w:val="24"/>
          <w:lang w:val="en-US"/>
        </w:rPr>
        <w:t>, 56(4), pp. 33–52.</w:t>
      </w:r>
    </w:p>
    <w:p w14:paraId="1FD5199D"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Kotler, P. and Keller, K.L. (2016)</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Marketing Management</w:t>
      </w:r>
      <w:r w:rsidRPr="00575E31">
        <w:rPr>
          <w:rFonts w:ascii="Times New Roman" w:hAnsi="Times New Roman" w:cs="Times New Roman"/>
          <w:sz w:val="24"/>
          <w:szCs w:val="24"/>
          <w:lang w:val="en-US"/>
        </w:rPr>
        <w:t xml:space="preserve">. 15th </w:t>
      </w:r>
      <w:proofErr w:type="spellStart"/>
      <w:r w:rsidRPr="00575E31">
        <w:rPr>
          <w:rFonts w:ascii="Times New Roman" w:hAnsi="Times New Roman" w:cs="Times New Roman"/>
          <w:sz w:val="24"/>
          <w:szCs w:val="24"/>
          <w:lang w:val="en-US"/>
        </w:rPr>
        <w:t>edn</w:t>
      </w:r>
      <w:proofErr w:type="spellEnd"/>
      <w:r w:rsidRPr="00575E31">
        <w:rPr>
          <w:rFonts w:ascii="Times New Roman" w:hAnsi="Times New Roman" w:cs="Times New Roman"/>
          <w:sz w:val="24"/>
          <w:szCs w:val="24"/>
          <w:lang w:val="en-US"/>
        </w:rPr>
        <w:t>. Harlow: Pearson.</w:t>
      </w:r>
    </w:p>
    <w:p w14:paraId="4D446E15"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nl-NL"/>
        </w:rPr>
        <w:t xml:space="preserve">Lewin, A.Y. et al. </w:t>
      </w:r>
      <w:r w:rsidRPr="00575E31">
        <w:rPr>
          <w:rFonts w:ascii="Times New Roman" w:hAnsi="Times New Roman" w:cs="Times New Roman"/>
          <w:b/>
          <w:bCs/>
          <w:sz w:val="24"/>
          <w:szCs w:val="24"/>
          <w:lang w:val="en-US"/>
        </w:rPr>
        <w:t>(2025)</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The Demise of the Global ICE Industry: China’s Stunning Role in Leading the BEV Revolution</w:t>
      </w:r>
      <w:r w:rsidRPr="00575E31">
        <w:rPr>
          <w:rFonts w:ascii="Times New Roman" w:hAnsi="Times New Roman" w:cs="Times New Roman"/>
          <w:sz w:val="24"/>
          <w:szCs w:val="24"/>
          <w:lang w:val="en-US"/>
        </w:rPr>
        <w:t>. Cambridge: Cambridge University Press.</w:t>
      </w:r>
    </w:p>
    <w:p w14:paraId="553FF17F"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Lieberman, M.B. and Montgomery, D.B. (1988)</w:t>
      </w:r>
      <w:r w:rsidRPr="00575E31">
        <w:rPr>
          <w:rFonts w:ascii="Times New Roman" w:hAnsi="Times New Roman" w:cs="Times New Roman"/>
          <w:sz w:val="24"/>
          <w:szCs w:val="24"/>
          <w:lang w:val="en-US"/>
        </w:rPr>
        <w:t xml:space="preserve"> ‘First-mover advantages’, </w:t>
      </w:r>
      <w:r w:rsidRPr="00575E31">
        <w:rPr>
          <w:rFonts w:ascii="Times New Roman" w:hAnsi="Times New Roman" w:cs="Times New Roman"/>
          <w:i/>
          <w:iCs/>
          <w:sz w:val="24"/>
          <w:szCs w:val="24"/>
          <w:lang w:val="en-US"/>
        </w:rPr>
        <w:t>Strategic Management Journal</w:t>
      </w:r>
      <w:r w:rsidRPr="00575E31">
        <w:rPr>
          <w:rFonts w:ascii="Times New Roman" w:hAnsi="Times New Roman" w:cs="Times New Roman"/>
          <w:sz w:val="24"/>
          <w:szCs w:val="24"/>
          <w:lang w:val="en-US"/>
        </w:rPr>
        <w:t>, 9(S1), pp. 41–58.</w:t>
      </w:r>
    </w:p>
    <w:p w14:paraId="1120751F"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proofErr w:type="spellStart"/>
      <w:r w:rsidRPr="00575E31">
        <w:rPr>
          <w:rFonts w:ascii="Times New Roman" w:hAnsi="Times New Roman" w:cs="Times New Roman"/>
          <w:b/>
          <w:bCs/>
          <w:sz w:val="24"/>
          <w:szCs w:val="24"/>
          <w:lang w:val="en-US"/>
        </w:rPr>
        <w:t>MarkLines</w:t>
      </w:r>
      <w:proofErr w:type="spellEnd"/>
      <w:r w:rsidRPr="00575E31">
        <w:rPr>
          <w:rFonts w:ascii="Times New Roman" w:hAnsi="Times New Roman" w:cs="Times New Roman"/>
          <w:b/>
          <w:bCs/>
          <w:sz w:val="24"/>
          <w:szCs w:val="24"/>
          <w:lang w:val="en-US"/>
        </w:rPr>
        <w:t xml:space="preserve"> Co. (2024)</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Global EV Production and Sales Statistics</w:t>
      </w:r>
      <w:r w:rsidRPr="00575E31">
        <w:rPr>
          <w:rFonts w:ascii="Times New Roman" w:hAnsi="Times New Roman" w:cs="Times New Roman"/>
          <w:sz w:val="24"/>
          <w:szCs w:val="24"/>
          <w:lang w:val="en-US"/>
        </w:rPr>
        <w:t xml:space="preserve">. Available at: </w:t>
      </w:r>
      <w:hyperlink r:id="rId24" w:tgtFrame="_new" w:history="1">
        <w:r w:rsidRPr="00575E31">
          <w:rPr>
            <w:rStyle w:val="Hyperlink"/>
            <w:rFonts w:ascii="Times New Roman" w:hAnsi="Times New Roman" w:cs="Times New Roman"/>
            <w:sz w:val="24"/>
            <w:szCs w:val="24"/>
            <w:lang w:val="en-US"/>
          </w:rPr>
          <w:t>https://www.marklines.com</w:t>
        </w:r>
      </w:hyperlink>
      <w:r w:rsidRPr="00575E31">
        <w:rPr>
          <w:rFonts w:ascii="Times New Roman" w:hAnsi="Times New Roman" w:cs="Times New Roman"/>
          <w:sz w:val="24"/>
          <w:szCs w:val="24"/>
          <w:lang w:val="en-US"/>
        </w:rPr>
        <w:t xml:space="preserve"> (Accessed: 17 November 2025).</w:t>
      </w:r>
    </w:p>
    <w:p w14:paraId="2539F3E4"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nl-NL"/>
        </w:rPr>
        <w:t xml:space="preserve">Niri, A.J. et al. </w:t>
      </w:r>
      <w:r w:rsidRPr="00575E31">
        <w:rPr>
          <w:rFonts w:ascii="Times New Roman" w:hAnsi="Times New Roman" w:cs="Times New Roman"/>
          <w:b/>
          <w:bCs/>
          <w:sz w:val="24"/>
          <w:szCs w:val="24"/>
          <w:lang w:val="en-US"/>
        </w:rPr>
        <w:t>(2024)</w:t>
      </w:r>
      <w:r w:rsidRPr="00575E31">
        <w:rPr>
          <w:rFonts w:ascii="Times New Roman" w:hAnsi="Times New Roman" w:cs="Times New Roman"/>
          <w:sz w:val="24"/>
          <w:szCs w:val="24"/>
          <w:lang w:val="en-US"/>
        </w:rPr>
        <w:t xml:space="preserve"> ‘Sustainability challenges throughout the electric vehicle value chain’, </w:t>
      </w:r>
      <w:r w:rsidRPr="00575E31">
        <w:rPr>
          <w:rFonts w:ascii="Times New Roman" w:hAnsi="Times New Roman" w:cs="Times New Roman"/>
          <w:i/>
          <w:iCs/>
          <w:sz w:val="24"/>
          <w:szCs w:val="24"/>
          <w:lang w:val="en-US"/>
        </w:rPr>
        <w:t>Renewable and Sustainable Energy Reviews</w:t>
      </w:r>
      <w:r w:rsidRPr="00575E31">
        <w:rPr>
          <w:rFonts w:ascii="Times New Roman" w:hAnsi="Times New Roman" w:cs="Times New Roman"/>
          <w:sz w:val="24"/>
          <w:szCs w:val="24"/>
          <w:lang w:val="en-US"/>
        </w:rPr>
        <w:t xml:space="preserve">. Available at: </w:t>
      </w:r>
      <w:hyperlink r:id="rId25" w:tgtFrame="_new" w:history="1">
        <w:r w:rsidRPr="00575E31">
          <w:rPr>
            <w:rStyle w:val="Hyperlink"/>
            <w:rFonts w:ascii="Times New Roman" w:hAnsi="Times New Roman" w:cs="Times New Roman"/>
            <w:sz w:val="24"/>
            <w:szCs w:val="24"/>
            <w:lang w:val="en-US"/>
          </w:rPr>
          <w:t>https://www.sciencedirect.com</w:t>
        </w:r>
      </w:hyperlink>
      <w:r w:rsidRPr="00575E31">
        <w:rPr>
          <w:rFonts w:ascii="Times New Roman" w:hAnsi="Times New Roman" w:cs="Times New Roman"/>
          <w:sz w:val="24"/>
          <w:szCs w:val="24"/>
          <w:lang w:val="en-US"/>
        </w:rPr>
        <w:t xml:space="preserve"> (Accessed: 17 November 2025).</w:t>
      </w:r>
    </w:p>
    <w:p w14:paraId="3B4E2C33"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Ritchie, H. and Roser, M. (2024)</w:t>
      </w:r>
      <w:r w:rsidRPr="00575E31">
        <w:rPr>
          <w:rFonts w:ascii="Times New Roman" w:hAnsi="Times New Roman" w:cs="Times New Roman"/>
          <w:sz w:val="24"/>
          <w:szCs w:val="24"/>
          <w:lang w:val="en-US"/>
        </w:rPr>
        <w:t xml:space="preserve"> ‘CO₂ and Greenhouse Gas Emissions’, </w:t>
      </w:r>
      <w:r w:rsidRPr="00575E31">
        <w:rPr>
          <w:rFonts w:ascii="Times New Roman" w:hAnsi="Times New Roman" w:cs="Times New Roman"/>
          <w:i/>
          <w:iCs/>
          <w:sz w:val="24"/>
          <w:szCs w:val="24"/>
          <w:lang w:val="en-US"/>
        </w:rPr>
        <w:t>Our World in Data</w:t>
      </w:r>
      <w:r w:rsidRPr="00575E31">
        <w:rPr>
          <w:rFonts w:ascii="Times New Roman" w:hAnsi="Times New Roman" w:cs="Times New Roman"/>
          <w:sz w:val="24"/>
          <w:szCs w:val="24"/>
          <w:lang w:val="en-US"/>
        </w:rPr>
        <w:t xml:space="preserve">. Available at: </w:t>
      </w:r>
      <w:hyperlink r:id="rId26" w:tgtFrame="_new" w:history="1">
        <w:r w:rsidRPr="00575E31">
          <w:rPr>
            <w:rStyle w:val="Hyperlink"/>
            <w:rFonts w:ascii="Times New Roman" w:hAnsi="Times New Roman" w:cs="Times New Roman"/>
            <w:sz w:val="24"/>
            <w:szCs w:val="24"/>
            <w:lang w:val="en-US"/>
          </w:rPr>
          <w:t>https://ourworldindata.org/co2-emissions</w:t>
        </w:r>
      </w:hyperlink>
      <w:r w:rsidRPr="00575E31">
        <w:rPr>
          <w:rFonts w:ascii="Times New Roman" w:hAnsi="Times New Roman" w:cs="Times New Roman"/>
          <w:sz w:val="24"/>
          <w:szCs w:val="24"/>
          <w:lang w:val="en-US"/>
        </w:rPr>
        <w:t xml:space="preserve"> (Accessed: 17 November 2025).</w:t>
      </w:r>
    </w:p>
    <w:p w14:paraId="4102671C"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Tellis, G.J. and Golder, P.N. (1996)</w:t>
      </w:r>
      <w:r w:rsidRPr="00575E31">
        <w:rPr>
          <w:rFonts w:ascii="Times New Roman" w:hAnsi="Times New Roman" w:cs="Times New Roman"/>
          <w:sz w:val="24"/>
          <w:szCs w:val="24"/>
          <w:lang w:val="en-US"/>
        </w:rPr>
        <w:t xml:space="preserve"> ‘First to market, first to fail? Real causes of enduring market leadership’, </w:t>
      </w:r>
      <w:r w:rsidRPr="00575E31">
        <w:rPr>
          <w:rFonts w:ascii="Times New Roman" w:hAnsi="Times New Roman" w:cs="Times New Roman"/>
          <w:i/>
          <w:iCs/>
          <w:sz w:val="24"/>
          <w:szCs w:val="24"/>
          <w:lang w:val="en-US"/>
        </w:rPr>
        <w:t>Sloan Management Review</w:t>
      </w:r>
      <w:r w:rsidRPr="00575E31">
        <w:rPr>
          <w:rFonts w:ascii="Times New Roman" w:hAnsi="Times New Roman" w:cs="Times New Roman"/>
          <w:sz w:val="24"/>
          <w:szCs w:val="24"/>
          <w:lang w:val="en-US"/>
        </w:rPr>
        <w:t>, 37(2), pp. 65–75.</w:t>
      </w:r>
    </w:p>
    <w:p w14:paraId="143A7B0F"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Tesla, Inc. (2024)</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Q4 2023–Q2 2024 Vehicle Production &amp; Delivery Reports</w:t>
      </w:r>
      <w:r w:rsidRPr="00575E31">
        <w:rPr>
          <w:rFonts w:ascii="Times New Roman" w:hAnsi="Times New Roman" w:cs="Times New Roman"/>
          <w:sz w:val="24"/>
          <w:szCs w:val="24"/>
          <w:lang w:val="en-US"/>
        </w:rPr>
        <w:t xml:space="preserve">. Available at: </w:t>
      </w:r>
      <w:hyperlink r:id="rId27" w:tgtFrame="_new" w:history="1">
        <w:r w:rsidRPr="00575E31">
          <w:rPr>
            <w:rStyle w:val="Hyperlink"/>
            <w:rFonts w:ascii="Times New Roman" w:hAnsi="Times New Roman" w:cs="Times New Roman"/>
            <w:sz w:val="24"/>
            <w:szCs w:val="24"/>
            <w:lang w:val="en-US"/>
          </w:rPr>
          <w:t>https://ir.tesla.com</w:t>
        </w:r>
      </w:hyperlink>
      <w:r w:rsidRPr="00575E31">
        <w:rPr>
          <w:rFonts w:ascii="Times New Roman" w:hAnsi="Times New Roman" w:cs="Times New Roman"/>
          <w:sz w:val="24"/>
          <w:szCs w:val="24"/>
          <w:lang w:val="en-US"/>
        </w:rPr>
        <w:t xml:space="preserve"> (Accessed: 17 November 2025).</w:t>
      </w:r>
    </w:p>
    <w:p w14:paraId="228FB8C8"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Tesla, Inc. (2024)</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Tesla Impact Report 2024</w:t>
      </w:r>
      <w:r w:rsidRPr="00575E31">
        <w:rPr>
          <w:rFonts w:ascii="Times New Roman" w:hAnsi="Times New Roman" w:cs="Times New Roman"/>
          <w:sz w:val="24"/>
          <w:szCs w:val="24"/>
          <w:lang w:val="en-US"/>
        </w:rPr>
        <w:t xml:space="preserve">. Available at: </w:t>
      </w:r>
      <w:hyperlink r:id="rId28" w:tgtFrame="_new" w:history="1">
        <w:r w:rsidRPr="00575E31">
          <w:rPr>
            <w:rStyle w:val="Hyperlink"/>
            <w:rFonts w:ascii="Times New Roman" w:hAnsi="Times New Roman" w:cs="Times New Roman"/>
            <w:sz w:val="24"/>
            <w:szCs w:val="24"/>
            <w:lang w:val="en-US"/>
          </w:rPr>
          <w:t>https://www.tesla.com/impact</w:t>
        </w:r>
      </w:hyperlink>
      <w:r w:rsidRPr="00575E31">
        <w:rPr>
          <w:rFonts w:ascii="Times New Roman" w:hAnsi="Times New Roman" w:cs="Times New Roman"/>
          <w:sz w:val="24"/>
          <w:szCs w:val="24"/>
          <w:lang w:val="en-US"/>
        </w:rPr>
        <w:t xml:space="preserve"> (Accessed: 17 November 2025).</w:t>
      </w:r>
    </w:p>
    <w:p w14:paraId="7EB08B52"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U.S. Government (2022)</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Inflation Reduction Act – Clean Vehicle Tax Credits</w:t>
      </w:r>
      <w:r w:rsidRPr="00575E31">
        <w:rPr>
          <w:rFonts w:ascii="Times New Roman" w:hAnsi="Times New Roman" w:cs="Times New Roman"/>
          <w:sz w:val="24"/>
          <w:szCs w:val="24"/>
          <w:lang w:val="en-US"/>
        </w:rPr>
        <w:t>. Available at: https://www.irs.gov/credits-deductions/clean-vehicle-credit (Accessed: 17 November 2025).</w:t>
      </w:r>
    </w:p>
    <w:p w14:paraId="55DDD19B"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lastRenderedPageBreak/>
        <w:t>Volkswagen AG (2018–2024)</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TOGETHER – Strategy 2025 Overview and Annual Strategy Updates</w:t>
      </w:r>
      <w:r w:rsidRPr="00575E31">
        <w:rPr>
          <w:rFonts w:ascii="Times New Roman" w:hAnsi="Times New Roman" w:cs="Times New Roman"/>
          <w:sz w:val="24"/>
          <w:szCs w:val="24"/>
          <w:lang w:val="en-US"/>
        </w:rPr>
        <w:t xml:space="preserve">. Available at: </w:t>
      </w:r>
      <w:hyperlink r:id="rId29" w:tgtFrame="_new" w:history="1">
        <w:r w:rsidRPr="00575E31">
          <w:rPr>
            <w:rStyle w:val="Hyperlink"/>
            <w:rFonts w:ascii="Times New Roman" w:hAnsi="Times New Roman" w:cs="Times New Roman"/>
            <w:sz w:val="24"/>
            <w:szCs w:val="24"/>
            <w:lang w:val="en-US"/>
          </w:rPr>
          <w:t>https://www.volkswagenag.com</w:t>
        </w:r>
      </w:hyperlink>
      <w:r w:rsidRPr="00575E31">
        <w:rPr>
          <w:rFonts w:ascii="Times New Roman" w:hAnsi="Times New Roman" w:cs="Times New Roman"/>
          <w:sz w:val="24"/>
          <w:szCs w:val="24"/>
          <w:lang w:val="en-US"/>
        </w:rPr>
        <w:t xml:space="preserve"> (Accessed: 17 November 2025).</w:t>
      </w:r>
    </w:p>
    <w:p w14:paraId="39BF1B39"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Volkswagen AG (2024)</w:t>
      </w:r>
      <w:r w:rsidRPr="00575E31">
        <w:rPr>
          <w:rFonts w:ascii="Times New Roman" w:hAnsi="Times New Roman" w:cs="Times New Roman"/>
          <w:sz w:val="24"/>
          <w:szCs w:val="24"/>
          <w:lang w:val="en-US"/>
        </w:rPr>
        <w:t xml:space="preserve"> </w:t>
      </w:r>
      <w:r w:rsidRPr="00575E31">
        <w:rPr>
          <w:rFonts w:ascii="Times New Roman" w:hAnsi="Times New Roman" w:cs="Times New Roman"/>
          <w:i/>
          <w:iCs/>
          <w:sz w:val="24"/>
          <w:szCs w:val="24"/>
          <w:lang w:val="en-US"/>
        </w:rPr>
        <w:t>Volkswagen Group Sustainability Report 2024</w:t>
      </w:r>
      <w:r w:rsidRPr="00575E31">
        <w:rPr>
          <w:rFonts w:ascii="Times New Roman" w:hAnsi="Times New Roman" w:cs="Times New Roman"/>
          <w:sz w:val="24"/>
          <w:szCs w:val="24"/>
          <w:lang w:val="en-US"/>
        </w:rPr>
        <w:t xml:space="preserve">. Available at: </w:t>
      </w:r>
      <w:hyperlink r:id="rId30" w:tgtFrame="_new" w:history="1">
        <w:r w:rsidRPr="00575E31">
          <w:rPr>
            <w:rStyle w:val="Hyperlink"/>
            <w:rFonts w:ascii="Times New Roman" w:hAnsi="Times New Roman" w:cs="Times New Roman"/>
            <w:sz w:val="24"/>
            <w:szCs w:val="24"/>
            <w:lang w:val="en-US"/>
          </w:rPr>
          <w:t>https://www.volkswagenag.com</w:t>
        </w:r>
      </w:hyperlink>
      <w:r w:rsidRPr="00575E31">
        <w:rPr>
          <w:rFonts w:ascii="Times New Roman" w:hAnsi="Times New Roman" w:cs="Times New Roman"/>
          <w:sz w:val="24"/>
          <w:szCs w:val="24"/>
          <w:lang w:val="en-US"/>
        </w:rPr>
        <w:t xml:space="preserve"> (Accessed: 17 November 2025).</w:t>
      </w:r>
    </w:p>
    <w:p w14:paraId="73843378" w14:textId="77777777" w:rsidR="007B6B0F" w:rsidRPr="00575E31" w:rsidRDefault="007B6B0F" w:rsidP="00575E31">
      <w:pPr>
        <w:pStyle w:val="ListParagraph"/>
        <w:numPr>
          <w:ilvl w:val="0"/>
          <w:numId w:val="31"/>
        </w:numPr>
        <w:spacing w:line="360" w:lineRule="auto"/>
        <w:rPr>
          <w:rFonts w:ascii="Times New Roman" w:hAnsi="Times New Roman" w:cs="Times New Roman"/>
          <w:sz w:val="24"/>
          <w:szCs w:val="24"/>
          <w:lang w:val="en-US"/>
        </w:rPr>
      </w:pPr>
      <w:r w:rsidRPr="00575E31">
        <w:rPr>
          <w:rFonts w:ascii="Times New Roman" w:hAnsi="Times New Roman" w:cs="Times New Roman"/>
          <w:b/>
          <w:bCs/>
          <w:sz w:val="24"/>
          <w:szCs w:val="24"/>
          <w:lang w:val="en-US"/>
        </w:rPr>
        <w:t>Wang, Y. et al. (2025)</w:t>
      </w:r>
      <w:r w:rsidRPr="00575E31">
        <w:rPr>
          <w:rFonts w:ascii="Times New Roman" w:hAnsi="Times New Roman" w:cs="Times New Roman"/>
          <w:sz w:val="24"/>
          <w:szCs w:val="24"/>
          <w:lang w:val="en-US"/>
        </w:rPr>
        <w:t xml:space="preserve"> ‘Global trends and perspectives of electric vehicle adoption’, </w:t>
      </w:r>
      <w:r w:rsidRPr="00575E31">
        <w:rPr>
          <w:rFonts w:ascii="Times New Roman" w:hAnsi="Times New Roman" w:cs="Times New Roman"/>
          <w:i/>
          <w:iCs/>
          <w:sz w:val="24"/>
          <w:szCs w:val="24"/>
          <w:lang w:val="en-US"/>
        </w:rPr>
        <w:t>Energy Reports</w:t>
      </w:r>
      <w:r w:rsidRPr="00575E31">
        <w:rPr>
          <w:rFonts w:ascii="Times New Roman" w:hAnsi="Times New Roman" w:cs="Times New Roman"/>
          <w:sz w:val="24"/>
          <w:szCs w:val="24"/>
          <w:lang w:val="en-US"/>
        </w:rPr>
        <w:t xml:space="preserve">. Available at: </w:t>
      </w:r>
      <w:hyperlink r:id="rId31" w:tgtFrame="_new" w:history="1">
        <w:r w:rsidRPr="00575E31">
          <w:rPr>
            <w:rStyle w:val="Hyperlink"/>
            <w:rFonts w:ascii="Times New Roman" w:hAnsi="Times New Roman" w:cs="Times New Roman"/>
            <w:sz w:val="24"/>
            <w:szCs w:val="24"/>
            <w:lang w:val="en-US"/>
          </w:rPr>
          <w:t>https://www.sciencedirect.com</w:t>
        </w:r>
      </w:hyperlink>
      <w:r w:rsidRPr="00575E31">
        <w:rPr>
          <w:rFonts w:ascii="Times New Roman" w:hAnsi="Times New Roman" w:cs="Times New Roman"/>
          <w:sz w:val="24"/>
          <w:szCs w:val="24"/>
          <w:lang w:val="en-US"/>
        </w:rPr>
        <w:t xml:space="preserve"> (Accessed: 17 November 2025).</w:t>
      </w:r>
    </w:p>
    <w:p w14:paraId="31B773A9" w14:textId="77777777" w:rsidR="0089230D" w:rsidRPr="00575E31" w:rsidRDefault="0089230D" w:rsidP="00575E31">
      <w:pPr>
        <w:spacing w:line="360" w:lineRule="auto"/>
        <w:rPr>
          <w:rFonts w:ascii="Times New Roman" w:hAnsi="Times New Roman" w:cs="Times New Roman"/>
          <w:sz w:val="24"/>
          <w:szCs w:val="24"/>
          <w:lang w:val="en-US"/>
        </w:rPr>
      </w:pPr>
    </w:p>
    <w:p w14:paraId="65DCF7FA" w14:textId="77777777" w:rsidR="0089230D" w:rsidRPr="00575E31" w:rsidRDefault="0089230D" w:rsidP="00575E31">
      <w:pPr>
        <w:spacing w:line="360" w:lineRule="auto"/>
        <w:rPr>
          <w:rFonts w:ascii="Times New Roman" w:hAnsi="Times New Roman" w:cs="Times New Roman"/>
          <w:b/>
          <w:bCs/>
          <w:sz w:val="24"/>
          <w:szCs w:val="24"/>
          <w:lang w:val="en-US"/>
        </w:rPr>
      </w:pPr>
    </w:p>
    <w:p w14:paraId="69222D00" w14:textId="77777777" w:rsidR="0089230D" w:rsidRPr="00575E31" w:rsidRDefault="0089230D" w:rsidP="00575E31">
      <w:pPr>
        <w:spacing w:line="360" w:lineRule="auto"/>
        <w:rPr>
          <w:rFonts w:ascii="Times New Roman" w:hAnsi="Times New Roman" w:cs="Times New Roman"/>
          <w:b/>
          <w:bCs/>
          <w:sz w:val="24"/>
          <w:szCs w:val="24"/>
          <w:lang w:val="en-US"/>
        </w:rPr>
      </w:pPr>
    </w:p>
    <w:p w14:paraId="5F254A84" w14:textId="77777777" w:rsidR="0089230D" w:rsidRPr="00575E31" w:rsidRDefault="0089230D" w:rsidP="00575E31">
      <w:pPr>
        <w:spacing w:line="360" w:lineRule="auto"/>
        <w:rPr>
          <w:rFonts w:ascii="Times New Roman" w:hAnsi="Times New Roman" w:cs="Times New Roman"/>
          <w:b/>
          <w:bCs/>
          <w:sz w:val="24"/>
          <w:szCs w:val="24"/>
          <w:lang w:val="en-US"/>
        </w:rPr>
      </w:pPr>
    </w:p>
    <w:p w14:paraId="34A88AE9" w14:textId="77777777" w:rsidR="0089230D" w:rsidRPr="00575E31" w:rsidRDefault="0089230D" w:rsidP="00575E31">
      <w:pPr>
        <w:spacing w:line="360" w:lineRule="auto"/>
        <w:rPr>
          <w:rFonts w:ascii="Times New Roman" w:hAnsi="Times New Roman" w:cs="Times New Roman"/>
          <w:b/>
          <w:bCs/>
          <w:sz w:val="24"/>
          <w:szCs w:val="24"/>
          <w:lang w:val="en-US"/>
        </w:rPr>
      </w:pPr>
    </w:p>
    <w:p w14:paraId="40E5E822" w14:textId="77777777" w:rsidR="0089230D" w:rsidRPr="00575E31" w:rsidRDefault="0089230D" w:rsidP="00575E31">
      <w:pPr>
        <w:spacing w:line="360" w:lineRule="auto"/>
        <w:rPr>
          <w:rFonts w:ascii="Times New Roman" w:hAnsi="Times New Roman" w:cs="Times New Roman"/>
          <w:b/>
          <w:bCs/>
          <w:sz w:val="24"/>
          <w:szCs w:val="24"/>
          <w:lang w:val="en-US"/>
        </w:rPr>
      </w:pPr>
    </w:p>
    <w:p w14:paraId="4F0731DF" w14:textId="77777777" w:rsidR="0089230D" w:rsidRPr="00575E31" w:rsidRDefault="0089230D" w:rsidP="00575E31">
      <w:pPr>
        <w:spacing w:line="360" w:lineRule="auto"/>
        <w:rPr>
          <w:rFonts w:ascii="Times New Roman" w:hAnsi="Times New Roman" w:cs="Times New Roman"/>
          <w:b/>
          <w:bCs/>
          <w:sz w:val="24"/>
          <w:szCs w:val="24"/>
          <w:lang w:val="en-US"/>
        </w:rPr>
      </w:pPr>
    </w:p>
    <w:p w14:paraId="621129D3" w14:textId="77777777" w:rsidR="0089230D" w:rsidRPr="00575E31" w:rsidRDefault="0089230D" w:rsidP="00575E31">
      <w:pPr>
        <w:spacing w:line="360" w:lineRule="auto"/>
        <w:rPr>
          <w:rFonts w:ascii="Times New Roman" w:hAnsi="Times New Roman" w:cs="Times New Roman"/>
          <w:b/>
          <w:bCs/>
          <w:sz w:val="24"/>
          <w:szCs w:val="24"/>
          <w:lang w:val="en-US"/>
        </w:rPr>
      </w:pPr>
    </w:p>
    <w:p w14:paraId="477E807C" w14:textId="77777777" w:rsidR="0089230D" w:rsidRPr="00575E31" w:rsidRDefault="0089230D" w:rsidP="00575E31">
      <w:pPr>
        <w:spacing w:line="360" w:lineRule="auto"/>
        <w:rPr>
          <w:rFonts w:ascii="Times New Roman" w:hAnsi="Times New Roman" w:cs="Times New Roman"/>
          <w:b/>
          <w:bCs/>
          <w:sz w:val="24"/>
          <w:szCs w:val="24"/>
          <w:lang w:val="en-US"/>
        </w:rPr>
      </w:pPr>
    </w:p>
    <w:p w14:paraId="5B13E00C" w14:textId="77777777" w:rsidR="0089230D" w:rsidRPr="00575E31" w:rsidRDefault="0089230D" w:rsidP="00575E31">
      <w:pPr>
        <w:spacing w:line="360" w:lineRule="auto"/>
        <w:rPr>
          <w:rFonts w:ascii="Times New Roman" w:hAnsi="Times New Roman" w:cs="Times New Roman"/>
          <w:b/>
          <w:bCs/>
          <w:sz w:val="24"/>
          <w:szCs w:val="24"/>
          <w:lang w:val="en-US"/>
        </w:rPr>
      </w:pPr>
    </w:p>
    <w:p w14:paraId="248725BF" w14:textId="77777777" w:rsidR="00E4328C" w:rsidRPr="00575E31" w:rsidRDefault="00E4328C" w:rsidP="00575E31">
      <w:pPr>
        <w:spacing w:line="360" w:lineRule="auto"/>
        <w:rPr>
          <w:rFonts w:ascii="Times New Roman" w:hAnsi="Times New Roman" w:cs="Times New Roman"/>
          <w:sz w:val="24"/>
          <w:szCs w:val="24"/>
          <w:lang w:val="en-US"/>
        </w:rPr>
      </w:pPr>
    </w:p>
    <w:sectPr w:rsidR="00E4328C" w:rsidRPr="00575E31" w:rsidSect="00575E31">
      <w:pgSz w:w="11906" w:h="16838" w:code="9"/>
      <w:pgMar w:top="1440" w:right="1440" w:bottom="1440" w:left="1440" w:header="720" w:footer="720" w:gutter="0"/>
      <w:pgBorders w:offsetFrom="page">
        <w:top w:val="thinThickSmallGap" w:sz="24" w:space="24" w:color="auto"/>
        <w:left w:val="thinThickSmallGap" w:sz="24" w:space="24" w:color="auto"/>
        <w:bottom w:val="thickThinSmallGap" w:sz="24" w:space="24" w:color="auto"/>
        <w:right w:val="thickThinSmallGap" w:sz="24" w:space="24" w:color="auto"/>
      </w:pgBorders>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D8645B3" w14:textId="77777777" w:rsidR="00750A0F" w:rsidRDefault="00750A0F" w:rsidP="003447B2">
      <w:pPr>
        <w:spacing w:after="0" w:line="240" w:lineRule="auto"/>
      </w:pPr>
      <w:r>
        <w:separator/>
      </w:r>
    </w:p>
  </w:endnote>
  <w:endnote w:type="continuationSeparator" w:id="0">
    <w:p w14:paraId="33550F2A" w14:textId="77777777" w:rsidR="00750A0F" w:rsidRDefault="00750A0F" w:rsidP="003447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97201619"/>
      <w:docPartObj>
        <w:docPartGallery w:val="Page Numbers (Bottom of Page)"/>
        <w:docPartUnique/>
      </w:docPartObj>
    </w:sdtPr>
    <w:sdtContent>
      <w:p w14:paraId="4F7CFA44" w14:textId="77777777" w:rsidR="00575E31" w:rsidRDefault="00575E31">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0899DAD3" w14:textId="77777777" w:rsidR="00575E31" w:rsidRDefault="00575E3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C9886E5" w14:textId="77777777" w:rsidR="00750A0F" w:rsidRDefault="00750A0F" w:rsidP="003447B2">
      <w:pPr>
        <w:spacing w:after="0" w:line="240" w:lineRule="auto"/>
      </w:pPr>
      <w:r>
        <w:separator/>
      </w:r>
    </w:p>
  </w:footnote>
  <w:footnote w:type="continuationSeparator" w:id="0">
    <w:p w14:paraId="6FA74E99" w14:textId="77777777" w:rsidR="00750A0F" w:rsidRDefault="00750A0F" w:rsidP="003447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0F0D53B" w14:textId="77777777" w:rsidR="003447B2" w:rsidRDefault="003447B2" w:rsidP="00C11D0C">
    <w:pPr>
      <w:pStyle w:val="Header"/>
      <w:jc w:val="right"/>
    </w:pPr>
    <w:r w:rsidRPr="003447B2">
      <w:t>LCMB7024</w:t>
    </w:r>
    <w:r w:rsidR="00C11D0C">
      <w:t xml:space="preserve">                                                                                                                               </w:t>
    </w:r>
    <w:r w:rsidR="00C11D0C">
      <w:rPr>
        <w:rFonts w:ascii="Times New Roman" w:hAnsi="Times New Roman" w:cs="Times New Roman"/>
        <w:noProof/>
        <w:sz w:val="24"/>
        <w:szCs w:val="24"/>
      </w:rPr>
      <w:drawing>
        <wp:inline distT="0" distB="0" distL="0" distR="0" wp14:anchorId="3430EDA7" wp14:editId="5419EFB1">
          <wp:extent cx="890270" cy="356108"/>
          <wp:effectExtent l="0" t="0" r="508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pic:cNvPicPr>
                </pic:nvPicPr>
                <pic:blipFill>
                  <a:blip r:embed="rId1">
                    <a:extLst>
                      <a:ext uri="{28A0092B-C50C-407E-A947-70E740481C1C}">
                        <a14:useLocalDpi xmlns:a14="http://schemas.microsoft.com/office/drawing/2010/main" val="0"/>
                      </a:ext>
                    </a:extLst>
                  </a:blip>
                  <a:stretch>
                    <a:fillRect/>
                  </a:stretch>
                </pic:blipFill>
                <pic:spPr>
                  <a:xfrm>
                    <a:off x="0" y="0"/>
                    <a:ext cx="955218" cy="382087"/>
                  </a:xfrm>
                  <a:prstGeom prst="rect">
                    <a:avLst/>
                  </a:prstGeom>
                </pic:spPr>
              </pic:pic>
            </a:graphicData>
          </a:graphic>
        </wp:inline>
      </w:drawing>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69B095A"/>
    <w:multiLevelType w:val="multilevel"/>
    <w:tmpl w:val="EC6221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252C32"/>
    <w:multiLevelType w:val="multilevel"/>
    <w:tmpl w:val="461404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725851"/>
    <w:multiLevelType w:val="multilevel"/>
    <w:tmpl w:val="C96CD97C"/>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64E50C1"/>
    <w:multiLevelType w:val="multilevel"/>
    <w:tmpl w:val="7562B64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FA2357E"/>
    <w:multiLevelType w:val="multilevel"/>
    <w:tmpl w:val="E1C6F6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1723D55"/>
    <w:multiLevelType w:val="multilevel"/>
    <w:tmpl w:val="604849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1F327E6"/>
    <w:multiLevelType w:val="multilevel"/>
    <w:tmpl w:val="A2320A0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367515C"/>
    <w:multiLevelType w:val="multilevel"/>
    <w:tmpl w:val="194613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2960109E"/>
    <w:multiLevelType w:val="multilevel"/>
    <w:tmpl w:val="7428B9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D7F139F"/>
    <w:multiLevelType w:val="multilevel"/>
    <w:tmpl w:val="F86CDE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DF70F95"/>
    <w:multiLevelType w:val="multilevel"/>
    <w:tmpl w:val="0B285C58"/>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E20449B"/>
    <w:multiLevelType w:val="multilevel"/>
    <w:tmpl w:val="7A081DF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301F5C16"/>
    <w:multiLevelType w:val="multilevel"/>
    <w:tmpl w:val="19AC38A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30E323D1"/>
    <w:multiLevelType w:val="hybridMultilevel"/>
    <w:tmpl w:val="5992B6DA"/>
    <w:lvl w:ilvl="0" w:tplc="0409000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14" w15:restartNumberingAfterBreak="0">
    <w:nsid w:val="34F268FC"/>
    <w:multiLevelType w:val="multilevel"/>
    <w:tmpl w:val="8C7023E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A4A61A8"/>
    <w:multiLevelType w:val="multilevel"/>
    <w:tmpl w:val="48F0A042"/>
    <w:lvl w:ilvl="0">
      <w:start w:val="1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3B2F4971"/>
    <w:multiLevelType w:val="multilevel"/>
    <w:tmpl w:val="6F28E0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D0473D4"/>
    <w:multiLevelType w:val="multilevel"/>
    <w:tmpl w:val="AFF027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3DF057AE"/>
    <w:multiLevelType w:val="multilevel"/>
    <w:tmpl w:val="F75C07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3FD47823"/>
    <w:multiLevelType w:val="multilevel"/>
    <w:tmpl w:val="524A639C"/>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481766E4"/>
    <w:multiLevelType w:val="hybridMultilevel"/>
    <w:tmpl w:val="312A7B2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1" w15:restartNumberingAfterBreak="0">
    <w:nsid w:val="49772071"/>
    <w:multiLevelType w:val="multilevel"/>
    <w:tmpl w:val="705E3C14"/>
    <w:lvl w:ilvl="0">
      <w:start w:val="2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2" w15:restartNumberingAfterBreak="0">
    <w:nsid w:val="50145C20"/>
    <w:multiLevelType w:val="multilevel"/>
    <w:tmpl w:val="1CF8A9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29C6973"/>
    <w:multiLevelType w:val="multilevel"/>
    <w:tmpl w:val="4058C4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4" w15:restartNumberingAfterBreak="0">
    <w:nsid w:val="659F46E0"/>
    <w:multiLevelType w:val="hybridMultilevel"/>
    <w:tmpl w:val="8334C9A2"/>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5" w15:restartNumberingAfterBreak="0">
    <w:nsid w:val="66A5279C"/>
    <w:multiLevelType w:val="multilevel"/>
    <w:tmpl w:val="996EA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FB1364A"/>
    <w:multiLevelType w:val="multilevel"/>
    <w:tmpl w:val="E04EA55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73427966"/>
    <w:multiLevelType w:val="multilevel"/>
    <w:tmpl w:val="167C192A"/>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5005E1E"/>
    <w:multiLevelType w:val="multilevel"/>
    <w:tmpl w:val="BA18E0F6"/>
    <w:lvl w:ilvl="0">
      <w:start w:val="17"/>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7870276F"/>
    <w:multiLevelType w:val="multilevel"/>
    <w:tmpl w:val="F4CA717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7F6C3204"/>
    <w:multiLevelType w:val="multilevel"/>
    <w:tmpl w:val="F97002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92125789">
    <w:abstractNumId w:val="17"/>
  </w:num>
  <w:num w:numId="2" w16cid:durableId="1092433064">
    <w:abstractNumId w:val="12"/>
  </w:num>
  <w:num w:numId="3" w16cid:durableId="2044136346">
    <w:abstractNumId w:val="19"/>
  </w:num>
  <w:num w:numId="4" w16cid:durableId="1487237044">
    <w:abstractNumId w:val="15"/>
  </w:num>
  <w:num w:numId="5" w16cid:durableId="485053174">
    <w:abstractNumId w:val="10"/>
  </w:num>
  <w:num w:numId="6" w16cid:durableId="1527214169">
    <w:abstractNumId w:val="27"/>
  </w:num>
  <w:num w:numId="7" w16cid:durableId="963192464">
    <w:abstractNumId w:val="30"/>
  </w:num>
  <w:num w:numId="8" w16cid:durableId="105976740">
    <w:abstractNumId w:val="3"/>
  </w:num>
  <w:num w:numId="9" w16cid:durableId="1965767002">
    <w:abstractNumId w:val="6"/>
  </w:num>
  <w:num w:numId="10" w16cid:durableId="2121218046">
    <w:abstractNumId w:val="28"/>
  </w:num>
  <w:num w:numId="11" w16cid:durableId="309985966">
    <w:abstractNumId w:val="21"/>
  </w:num>
  <w:num w:numId="12" w16cid:durableId="230043993">
    <w:abstractNumId w:val="2"/>
  </w:num>
  <w:num w:numId="13" w16cid:durableId="1971595127">
    <w:abstractNumId w:val="18"/>
  </w:num>
  <w:num w:numId="14" w16cid:durableId="2013599905">
    <w:abstractNumId w:val="16"/>
  </w:num>
  <w:num w:numId="15" w16cid:durableId="1226990484">
    <w:abstractNumId w:val="4"/>
  </w:num>
  <w:num w:numId="16" w16cid:durableId="1492596094">
    <w:abstractNumId w:val="29"/>
  </w:num>
  <w:num w:numId="17" w16cid:durableId="171456493">
    <w:abstractNumId w:val="26"/>
  </w:num>
  <w:num w:numId="18" w16cid:durableId="1727996750">
    <w:abstractNumId w:val="14"/>
  </w:num>
  <w:num w:numId="19" w16cid:durableId="73668848">
    <w:abstractNumId w:val="11"/>
  </w:num>
  <w:num w:numId="20" w16cid:durableId="465390031">
    <w:abstractNumId w:val="23"/>
  </w:num>
  <w:num w:numId="21" w16cid:durableId="404569855">
    <w:abstractNumId w:val="22"/>
  </w:num>
  <w:num w:numId="22" w16cid:durableId="990793897">
    <w:abstractNumId w:val="0"/>
  </w:num>
  <w:num w:numId="23" w16cid:durableId="1880556572">
    <w:abstractNumId w:val="5"/>
  </w:num>
  <w:num w:numId="24" w16cid:durableId="1862670478">
    <w:abstractNumId w:val="25"/>
  </w:num>
  <w:num w:numId="25" w16cid:durableId="1704669701">
    <w:abstractNumId w:val="8"/>
  </w:num>
  <w:num w:numId="26" w16cid:durableId="1817187403">
    <w:abstractNumId w:val="7"/>
  </w:num>
  <w:num w:numId="27" w16cid:durableId="1377782068">
    <w:abstractNumId w:val="9"/>
  </w:num>
  <w:num w:numId="28" w16cid:durableId="1237977549">
    <w:abstractNumId w:val="1"/>
  </w:num>
  <w:num w:numId="29" w16cid:durableId="1843818638">
    <w:abstractNumId w:val="20"/>
  </w:num>
  <w:num w:numId="30" w16cid:durableId="990983660">
    <w:abstractNumId w:val="13"/>
  </w:num>
  <w:num w:numId="31" w16cid:durableId="127826414">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A02A2"/>
    <w:rsid w:val="00002694"/>
    <w:rsid w:val="000250DD"/>
    <w:rsid w:val="000A02A2"/>
    <w:rsid w:val="001C38C4"/>
    <w:rsid w:val="001E1B7D"/>
    <w:rsid w:val="002435F3"/>
    <w:rsid w:val="0026295C"/>
    <w:rsid w:val="002A4B3D"/>
    <w:rsid w:val="003447B2"/>
    <w:rsid w:val="00405494"/>
    <w:rsid w:val="00477F99"/>
    <w:rsid w:val="004C712F"/>
    <w:rsid w:val="004D207A"/>
    <w:rsid w:val="005237D3"/>
    <w:rsid w:val="005332F9"/>
    <w:rsid w:val="005454E8"/>
    <w:rsid w:val="005531A7"/>
    <w:rsid w:val="00564B48"/>
    <w:rsid w:val="00575E31"/>
    <w:rsid w:val="0057608A"/>
    <w:rsid w:val="005B4358"/>
    <w:rsid w:val="005F30DA"/>
    <w:rsid w:val="006C579A"/>
    <w:rsid w:val="006C7C4F"/>
    <w:rsid w:val="00750A0F"/>
    <w:rsid w:val="00793561"/>
    <w:rsid w:val="007B6B0F"/>
    <w:rsid w:val="008504B7"/>
    <w:rsid w:val="008670EA"/>
    <w:rsid w:val="008859FB"/>
    <w:rsid w:val="0089230D"/>
    <w:rsid w:val="008A5E4E"/>
    <w:rsid w:val="009768CD"/>
    <w:rsid w:val="009836C3"/>
    <w:rsid w:val="009B107D"/>
    <w:rsid w:val="009E7135"/>
    <w:rsid w:val="009F4193"/>
    <w:rsid w:val="009F4EB7"/>
    <w:rsid w:val="00AD3782"/>
    <w:rsid w:val="00AE65C2"/>
    <w:rsid w:val="00AF12FD"/>
    <w:rsid w:val="00BE64FA"/>
    <w:rsid w:val="00C11D0C"/>
    <w:rsid w:val="00C449A5"/>
    <w:rsid w:val="00C6113C"/>
    <w:rsid w:val="00CC52F0"/>
    <w:rsid w:val="00CD7DBB"/>
    <w:rsid w:val="00D33F91"/>
    <w:rsid w:val="00D35FA8"/>
    <w:rsid w:val="00D759A0"/>
    <w:rsid w:val="00DA6581"/>
    <w:rsid w:val="00DB32F5"/>
    <w:rsid w:val="00DE37CA"/>
    <w:rsid w:val="00E1032D"/>
    <w:rsid w:val="00E208E2"/>
    <w:rsid w:val="00E30830"/>
    <w:rsid w:val="00E4328C"/>
    <w:rsid w:val="00F35A5C"/>
    <w:rsid w:val="00F73285"/>
    <w:rsid w:val="00FA0FD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0BA58D13"/>
  <w15:chartTrackingRefBased/>
  <w15:docId w15:val="{92EBC895-4E57-4CC0-9006-D37515EF39A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CD7DBB"/>
    <w:pPr>
      <w:keepNext/>
      <w:keepLines/>
      <w:spacing w:before="360" w:after="80" w:line="360" w:lineRule="auto"/>
      <w:outlineLvl w:val="0"/>
    </w:pPr>
    <w:rPr>
      <w:rFonts w:ascii="Times New Roman" w:eastAsiaTheme="majorEastAsia" w:hAnsi="Times New Roman" w:cstheme="majorBidi"/>
      <w:b/>
      <w:sz w:val="32"/>
      <w:szCs w:val="40"/>
    </w:rPr>
  </w:style>
  <w:style w:type="paragraph" w:styleId="Heading2">
    <w:name w:val="heading 2"/>
    <w:basedOn w:val="Normal"/>
    <w:next w:val="Normal"/>
    <w:link w:val="Heading2Char"/>
    <w:autoRedefine/>
    <w:unhideWhenUsed/>
    <w:qFormat/>
    <w:rsid w:val="003447B2"/>
    <w:pPr>
      <w:keepNext/>
      <w:keepLines/>
      <w:spacing w:before="400" w:after="360" w:line="360" w:lineRule="auto"/>
      <w:outlineLvl w:val="1"/>
    </w:pPr>
    <w:rPr>
      <w:rFonts w:ascii="Times New Roman" w:eastAsiaTheme="majorEastAsia" w:hAnsi="Times New Roman" w:cstheme="majorBidi"/>
      <w:b/>
      <w:color w:val="000000" w:themeColor="text1"/>
      <w:sz w:val="28"/>
      <w:szCs w:val="26"/>
      <w:lang w:eastAsia="en-GB"/>
    </w:rPr>
  </w:style>
  <w:style w:type="paragraph" w:styleId="Heading3">
    <w:name w:val="heading 3"/>
    <w:basedOn w:val="Normal"/>
    <w:next w:val="Normal"/>
    <w:link w:val="Heading3Char"/>
    <w:uiPriority w:val="9"/>
    <w:unhideWhenUsed/>
    <w:qFormat/>
    <w:rsid w:val="003447B2"/>
    <w:pPr>
      <w:keepNext/>
      <w:keepLines/>
      <w:spacing w:before="280" w:after="200" w:line="360" w:lineRule="auto"/>
      <w:ind w:left="720"/>
      <w:outlineLvl w:val="2"/>
    </w:pPr>
    <w:rPr>
      <w:rFonts w:ascii="Times New Roman" w:eastAsiaTheme="majorEastAsia" w:hAnsi="Times New Roman" w:cstheme="majorBidi"/>
      <w:b/>
      <w:sz w:val="24"/>
      <w:szCs w:val="28"/>
    </w:rPr>
  </w:style>
  <w:style w:type="paragraph" w:styleId="Heading4">
    <w:name w:val="heading 4"/>
    <w:basedOn w:val="Normal"/>
    <w:next w:val="Normal"/>
    <w:link w:val="Heading4Char"/>
    <w:uiPriority w:val="9"/>
    <w:semiHidden/>
    <w:unhideWhenUsed/>
    <w:qFormat/>
    <w:rsid w:val="000A02A2"/>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0A02A2"/>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0A02A2"/>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A02A2"/>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A02A2"/>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A02A2"/>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7DBB"/>
    <w:rPr>
      <w:rFonts w:ascii="Times New Roman" w:eastAsiaTheme="majorEastAsia" w:hAnsi="Times New Roman" w:cstheme="majorBidi"/>
      <w:b/>
      <w:sz w:val="32"/>
      <w:szCs w:val="40"/>
    </w:rPr>
  </w:style>
  <w:style w:type="character" w:customStyle="1" w:styleId="Heading3Char">
    <w:name w:val="Heading 3 Char"/>
    <w:basedOn w:val="DefaultParagraphFont"/>
    <w:link w:val="Heading3"/>
    <w:uiPriority w:val="9"/>
    <w:rsid w:val="003447B2"/>
    <w:rPr>
      <w:rFonts w:ascii="Times New Roman" w:eastAsiaTheme="majorEastAsia" w:hAnsi="Times New Roman" w:cstheme="majorBidi"/>
      <w:b/>
      <w:sz w:val="24"/>
      <w:szCs w:val="28"/>
      <w:lang w:val="en-GB"/>
    </w:rPr>
  </w:style>
  <w:style w:type="character" w:customStyle="1" w:styleId="Heading2Char">
    <w:name w:val="Heading 2 Char"/>
    <w:basedOn w:val="DefaultParagraphFont"/>
    <w:link w:val="Heading2"/>
    <w:rsid w:val="003447B2"/>
    <w:rPr>
      <w:rFonts w:ascii="Times New Roman" w:eastAsiaTheme="majorEastAsia" w:hAnsi="Times New Roman" w:cstheme="majorBidi"/>
      <w:b/>
      <w:color w:val="000000" w:themeColor="text1"/>
      <w:sz w:val="28"/>
      <w:szCs w:val="26"/>
      <w:lang w:val="en-GB" w:eastAsia="en-GB"/>
    </w:rPr>
  </w:style>
  <w:style w:type="paragraph" w:styleId="Title">
    <w:name w:val="Title"/>
    <w:basedOn w:val="Normal"/>
    <w:next w:val="Normal"/>
    <w:link w:val="TitleChar"/>
    <w:uiPriority w:val="10"/>
    <w:qFormat/>
    <w:rsid w:val="009B107D"/>
    <w:pPr>
      <w:spacing w:after="80" w:line="360" w:lineRule="auto"/>
      <w:contextualSpacing/>
      <w:jc w:val="center"/>
    </w:pPr>
    <w:rPr>
      <w:rFonts w:ascii="Times New Roman" w:eastAsiaTheme="majorEastAsia" w:hAnsi="Times New Roman" w:cstheme="majorBidi"/>
      <w:b/>
      <w:spacing w:val="-10"/>
      <w:kern w:val="28"/>
      <w:sz w:val="36"/>
      <w:szCs w:val="56"/>
    </w:rPr>
  </w:style>
  <w:style w:type="character" w:customStyle="1" w:styleId="TitleChar">
    <w:name w:val="Title Char"/>
    <w:basedOn w:val="DefaultParagraphFont"/>
    <w:link w:val="Title"/>
    <w:uiPriority w:val="10"/>
    <w:rsid w:val="009B107D"/>
    <w:rPr>
      <w:rFonts w:ascii="Times New Roman" w:eastAsiaTheme="majorEastAsia" w:hAnsi="Times New Roman" w:cstheme="majorBidi"/>
      <w:b/>
      <w:spacing w:val="-10"/>
      <w:kern w:val="28"/>
      <w:sz w:val="36"/>
      <w:szCs w:val="56"/>
    </w:rPr>
  </w:style>
  <w:style w:type="paragraph" w:styleId="Subtitle">
    <w:name w:val="Subtitle"/>
    <w:basedOn w:val="Normal"/>
    <w:next w:val="Normal"/>
    <w:link w:val="SubtitleChar"/>
    <w:uiPriority w:val="11"/>
    <w:qFormat/>
    <w:rsid w:val="009B107D"/>
    <w:pPr>
      <w:numPr>
        <w:ilvl w:val="1"/>
      </w:numPr>
      <w:spacing w:line="360" w:lineRule="auto"/>
      <w:jc w:val="center"/>
    </w:pPr>
    <w:rPr>
      <w:rFonts w:ascii="Times New Roman" w:eastAsiaTheme="majorEastAsia" w:hAnsi="Times New Roman" w:cstheme="majorBidi"/>
      <w:b/>
      <w:color w:val="595959" w:themeColor="text1" w:themeTint="A6"/>
      <w:spacing w:val="15"/>
      <w:sz w:val="32"/>
      <w:szCs w:val="28"/>
    </w:rPr>
  </w:style>
  <w:style w:type="character" w:customStyle="1" w:styleId="SubtitleChar">
    <w:name w:val="Subtitle Char"/>
    <w:basedOn w:val="DefaultParagraphFont"/>
    <w:link w:val="Subtitle"/>
    <w:uiPriority w:val="11"/>
    <w:rsid w:val="009B107D"/>
    <w:rPr>
      <w:rFonts w:ascii="Times New Roman" w:eastAsiaTheme="majorEastAsia" w:hAnsi="Times New Roman" w:cstheme="majorBidi"/>
      <w:b/>
      <w:color w:val="595959" w:themeColor="text1" w:themeTint="A6"/>
      <w:spacing w:val="15"/>
      <w:sz w:val="32"/>
      <w:szCs w:val="28"/>
    </w:rPr>
  </w:style>
  <w:style w:type="character" w:customStyle="1" w:styleId="Heading4Char">
    <w:name w:val="Heading 4 Char"/>
    <w:basedOn w:val="DefaultParagraphFont"/>
    <w:link w:val="Heading4"/>
    <w:uiPriority w:val="9"/>
    <w:semiHidden/>
    <w:rsid w:val="000A02A2"/>
    <w:rPr>
      <w:rFonts w:eastAsiaTheme="majorEastAsia" w:cstheme="majorBidi"/>
      <w:i/>
      <w:iCs/>
      <w:color w:val="2F5496" w:themeColor="accent1" w:themeShade="BF"/>
      <w:lang w:val="en-GB"/>
    </w:rPr>
  </w:style>
  <w:style w:type="character" w:customStyle="1" w:styleId="Heading5Char">
    <w:name w:val="Heading 5 Char"/>
    <w:basedOn w:val="DefaultParagraphFont"/>
    <w:link w:val="Heading5"/>
    <w:uiPriority w:val="9"/>
    <w:semiHidden/>
    <w:rsid w:val="000A02A2"/>
    <w:rPr>
      <w:rFonts w:eastAsiaTheme="majorEastAsia" w:cstheme="majorBidi"/>
      <w:color w:val="2F5496" w:themeColor="accent1" w:themeShade="BF"/>
      <w:lang w:val="en-GB"/>
    </w:rPr>
  </w:style>
  <w:style w:type="character" w:customStyle="1" w:styleId="Heading6Char">
    <w:name w:val="Heading 6 Char"/>
    <w:basedOn w:val="DefaultParagraphFont"/>
    <w:link w:val="Heading6"/>
    <w:uiPriority w:val="9"/>
    <w:semiHidden/>
    <w:rsid w:val="000A02A2"/>
    <w:rPr>
      <w:rFonts w:eastAsiaTheme="majorEastAsia" w:cstheme="majorBidi"/>
      <w:i/>
      <w:iCs/>
      <w:color w:val="595959" w:themeColor="text1" w:themeTint="A6"/>
      <w:lang w:val="en-GB"/>
    </w:rPr>
  </w:style>
  <w:style w:type="character" w:customStyle="1" w:styleId="Heading7Char">
    <w:name w:val="Heading 7 Char"/>
    <w:basedOn w:val="DefaultParagraphFont"/>
    <w:link w:val="Heading7"/>
    <w:uiPriority w:val="9"/>
    <w:semiHidden/>
    <w:rsid w:val="000A02A2"/>
    <w:rPr>
      <w:rFonts w:eastAsiaTheme="majorEastAsia" w:cstheme="majorBidi"/>
      <w:color w:val="595959" w:themeColor="text1" w:themeTint="A6"/>
      <w:lang w:val="en-GB"/>
    </w:rPr>
  </w:style>
  <w:style w:type="character" w:customStyle="1" w:styleId="Heading8Char">
    <w:name w:val="Heading 8 Char"/>
    <w:basedOn w:val="DefaultParagraphFont"/>
    <w:link w:val="Heading8"/>
    <w:uiPriority w:val="9"/>
    <w:semiHidden/>
    <w:rsid w:val="000A02A2"/>
    <w:rPr>
      <w:rFonts w:eastAsiaTheme="majorEastAsia" w:cstheme="majorBidi"/>
      <w:i/>
      <w:iCs/>
      <w:color w:val="272727" w:themeColor="text1" w:themeTint="D8"/>
      <w:lang w:val="en-GB"/>
    </w:rPr>
  </w:style>
  <w:style w:type="character" w:customStyle="1" w:styleId="Heading9Char">
    <w:name w:val="Heading 9 Char"/>
    <w:basedOn w:val="DefaultParagraphFont"/>
    <w:link w:val="Heading9"/>
    <w:uiPriority w:val="9"/>
    <w:semiHidden/>
    <w:rsid w:val="000A02A2"/>
    <w:rPr>
      <w:rFonts w:eastAsiaTheme="majorEastAsia" w:cstheme="majorBidi"/>
      <w:color w:val="272727" w:themeColor="text1" w:themeTint="D8"/>
      <w:lang w:val="en-GB"/>
    </w:rPr>
  </w:style>
  <w:style w:type="paragraph" w:styleId="Quote">
    <w:name w:val="Quote"/>
    <w:basedOn w:val="Normal"/>
    <w:next w:val="Normal"/>
    <w:link w:val="QuoteChar"/>
    <w:uiPriority w:val="29"/>
    <w:qFormat/>
    <w:rsid w:val="000A02A2"/>
    <w:pPr>
      <w:spacing w:before="160"/>
      <w:jc w:val="center"/>
    </w:pPr>
    <w:rPr>
      <w:i/>
      <w:iCs/>
      <w:color w:val="404040" w:themeColor="text1" w:themeTint="BF"/>
    </w:rPr>
  </w:style>
  <w:style w:type="character" w:customStyle="1" w:styleId="QuoteChar">
    <w:name w:val="Quote Char"/>
    <w:basedOn w:val="DefaultParagraphFont"/>
    <w:link w:val="Quote"/>
    <w:uiPriority w:val="29"/>
    <w:rsid w:val="000A02A2"/>
    <w:rPr>
      <w:i/>
      <w:iCs/>
      <w:color w:val="404040" w:themeColor="text1" w:themeTint="BF"/>
      <w:lang w:val="en-GB"/>
    </w:rPr>
  </w:style>
  <w:style w:type="paragraph" w:styleId="ListParagraph">
    <w:name w:val="List Paragraph"/>
    <w:basedOn w:val="Normal"/>
    <w:uiPriority w:val="34"/>
    <w:qFormat/>
    <w:rsid w:val="000A02A2"/>
    <w:pPr>
      <w:ind w:left="720"/>
      <w:contextualSpacing/>
    </w:pPr>
  </w:style>
  <w:style w:type="character" w:styleId="IntenseEmphasis">
    <w:name w:val="Intense Emphasis"/>
    <w:basedOn w:val="DefaultParagraphFont"/>
    <w:uiPriority w:val="21"/>
    <w:qFormat/>
    <w:rsid w:val="000A02A2"/>
    <w:rPr>
      <w:i/>
      <w:iCs/>
      <w:color w:val="2F5496" w:themeColor="accent1" w:themeShade="BF"/>
    </w:rPr>
  </w:style>
  <w:style w:type="paragraph" w:styleId="IntenseQuote">
    <w:name w:val="Intense Quote"/>
    <w:basedOn w:val="Normal"/>
    <w:next w:val="Normal"/>
    <w:link w:val="IntenseQuoteChar"/>
    <w:uiPriority w:val="30"/>
    <w:qFormat/>
    <w:rsid w:val="000A02A2"/>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0A02A2"/>
    <w:rPr>
      <w:i/>
      <w:iCs/>
      <w:color w:val="2F5496" w:themeColor="accent1" w:themeShade="BF"/>
      <w:lang w:val="en-GB"/>
    </w:rPr>
  </w:style>
  <w:style w:type="character" w:styleId="IntenseReference">
    <w:name w:val="Intense Reference"/>
    <w:basedOn w:val="DefaultParagraphFont"/>
    <w:uiPriority w:val="32"/>
    <w:qFormat/>
    <w:rsid w:val="000A02A2"/>
    <w:rPr>
      <w:b/>
      <w:bCs/>
      <w:smallCaps/>
      <w:color w:val="2F5496" w:themeColor="accent1" w:themeShade="BF"/>
      <w:spacing w:val="5"/>
    </w:rPr>
  </w:style>
  <w:style w:type="character" w:styleId="Hyperlink">
    <w:name w:val="Hyperlink"/>
    <w:basedOn w:val="DefaultParagraphFont"/>
    <w:uiPriority w:val="99"/>
    <w:unhideWhenUsed/>
    <w:rsid w:val="000A02A2"/>
    <w:rPr>
      <w:color w:val="0563C1" w:themeColor="hyperlink"/>
      <w:u w:val="single"/>
    </w:rPr>
  </w:style>
  <w:style w:type="character" w:styleId="UnresolvedMention">
    <w:name w:val="Unresolved Mention"/>
    <w:basedOn w:val="DefaultParagraphFont"/>
    <w:uiPriority w:val="99"/>
    <w:semiHidden/>
    <w:unhideWhenUsed/>
    <w:rsid w:val="000A02A2"/>
    <w:rPr>
      <w:color w:val="605E5C"/>
      <w:shd w:val="clear" w:color="auto" w:fill="E1DFDD"/>
    </w:rPr>
  </w:style>
  <w:style w:type="paragraph" w:styleId="Header">
    <w:name w:val="header"/>
    <w:basedOn w:val="Normal"/>
    <w:link w:val="HeaderChar"/>
    <w:uiPriority w:val="99"/>
    <w:unhideWhenUsed/>
    <w:rsid w:val="003447B2"/>
    <w:pPr>
      <w:tabs>
        <w:tab w:val="center" w:pos="4680"/>
        <w:tab w:val="right" w:pos="9360"/>
      </w:tabs>
      <w:spacing w:after="0" w:line="240" w:lineRule="auto"/>
    </w:pPr>
  </w:style>
  <w:style w:type="character" w:customStyle="1" w:styleId="HeaderChar">
    <w:name w:val="Header Char"/>
    <w:basedOn w:val="DefaultParagraphFont"/>
    <w:link w:val="Header"/>
    <w:uiPriority w:val="99"/>
    <w:rsid w:val="003447B2"/>
    <w:rPr>
      <w:lang w:val="en-GB"/>
    </w:rPr>
  </w:style>
  <w:style w:type="paragraph" w:styleId="Footer">
    <w:name w:val="footer"/>
    <w:basedOn w:val="Normal"/>
    <w:link w:val="FooterChar"/>
    <w:uiPriority w:val="99"/>
    <w:unhideWhenUsed/>
    <w:rsid w:val="003447B2"/>
    <w:pPr>
      <w:tabs>
        <w:tab w:val="center" w:pos="4680"/>
        <w:tab w:val="right" w:pos="9360"/>
      </w:tabs>
      <w:spacing w:after="0" w:line="240" w:lineRule="auto"/>
    </w:pPr>
  </w:style>
  <w:style w:type="character" w:customStyle="1" w:styleId="FooterChar">
    <w:name w:val="Footer Char"/>
    <w:basedOn w:val="DefaultParagraphFont"/>
    <w:link w:val="Footer"/>
    <w:uiPriority w:val="99"/>
    <w:rsid w:val="003447B2"/>
    <w:rPr>
      <w:lang w:val="en-GB"/>
    </w:rPr>
  </w:style>
  <w:style w:type="table" w:styleId="GridTable5Dark-Accent1">
    <w:name w:val="Grid Table 5 Dark Accent 1"/>
    <w:basedOn w:val="TableNormal"/>
    <w:uiPriority w:val="50"/>
    <w:rsid w:val="00F35A5C"/>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D9E2F3"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4472C4"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4472C4"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4472C4"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4472C4" w:themeFill="accent1"/>
      </w:tcPr>
    </w:tblStylePr>
    <w:tblStylePr w:type="band1Vert">
      <w:tblPr/>
      <w:tcPr>
        <w:shd w:val="clear" w:color="auto" w:fill="B4C6E7" w:themeFill="accent1" w:themeFillTint="66"/>
      </w:tcPr>
    </w:tblStylePr>
    <w:tblStylePr w:type="band1Horz">
      <w:tblPr/>
      <w:tcPr>
        <w:shd w:val="clear" w:color="auto" w:fill="B4C6E7" w:themeFill="accent1" w:themeFillTint="66"/>
      </w:tcPr>
    </w:tblStylePr>
  </w:style>
  <w:style w:type="paragraph" w:styleId="Caption">
    <w:name w:val="caption"/>
    <w:basedOn w:val="Normal"/>
    <w:next w:val="Normal"/>
    <w:uiPriority w:val="35"/>
    <w:unhideWhenUsed/>
    <w:qFormat/>
    <w:rsid w:val="00477F99"/>
    <w:pPr>
      <w:spacing w:after="200" w:line="240" w:lineRule="auto"/>
    </w:pPr>
    <w:rPr>
      <w:i/>
      <w:iCs/>
      <w:color w:val="44546A" w:themeColor="text2"/>
      <w:sz w:val="18"/>
      <w:szCs w:val="18"/>
    </w:rPr>
  </w:style>
  <w:style w:type="paragraph" w:styleId="TOCHeading">
    <w:name w:val="TOC Heading"/>
    <w:basedOn w:val="Heading1"/>
    <w:next w:val="Normal"/>
    <w:uiPriority w:val="39"/>
    <w:unhideWhenUsed/>
    <w:qFormat/>
    <w:rsid w:val="00D759A0"/>
    <w:pPr>
      <w:spacing w:before="240" w:after="0" w:line="259" w:lineRule="auto"/>
      <w:outlineLvl w:val="9"/>
    </w:pPr>
    <w:rPr>
      <w:rFonts w:asciiTheme="majorHAnsi" w:hAnsiTheme="majorHAnsi"/>
      <w:b w:val="0"/>
      <w:color w:val="2F5496" w:themeColor="accent1" w:themeShade="BF"/>
      <w:kern w:val="0"/>
      <w:szCs w:val="32"/>
      <w:lang w:val="en-US"/>
      <w14:ligatures w14:val="none"/>
    </w:rPr>
  </w:style>
  <w:style w:type="paragraph" w:styleId="TOC1">
    <w:name w:val="toc 1"/>
    <w:basedOn w:val="Normal"/>
    <w:next w:val="Normal"/>
    <w:autoRedefine/>
    <w:uiPriority w:val="39"/>
    <w:unhideWhenUsed/>
    <w:rsid w:val="00D759A0"/>
    <w:pPr>
      <w:spacing w:after="100"/>
    </w:pPr>
  </w:style>
  <w:style w:type="paragraph" w:styleId="TOC2">
    <w:name w:val="toc 2"/>
    <w:basedOn w:val="Normal"/>
    <w:next w:val="Normal"/>
    <w:autoRedefine/>
    <w:uiPriority w:val="39"/>
    <w:unhideWhenUsed/>
    <w:rsid w:val="00D759A0"/>
    <w:pPr>
      <w:spacing w:after="100"/>
      <w:ind w:left="220"/>
    </w:pPr>
  </w:style>
  <w:style w:type="paragraph" w:styleId="TOC3">
    <w:name w:val="toc 3"/>
    <w:basedOn w:val="Normal"/>
    <w:next w:val="Normal"/>
    <w:autoRedefine/>
    <w:uiPriority w:val="39"/>
    <w:unhideWhenUsed/>
    <w:rsid w:val="00D759A0"/>
    <w:pPr>
      <w:spacing w:after="100"/>
      <w:ind w:left="440"/>
    </w:pPr>
  </w:style>
  <w:style w:type="paragraph" w:styleId="TableofFigures">
    <w:name w:val="table of figures"/>
    <w:basedOn w:val="Normal"/>
    <w:next w:val="Normal"/>
    <w:uiPriority w:val="99"/>
    <w:unhideWhenUsed/>
    <w:rsid w:val="00D759A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jpg"/><Relationship Id="rId18" Type="http://schemas.openxmlformats.org/officeDocument/2006/relationships/hyperlink" Target="https://commission.europa.eu" TargetMode="External"/><Relationship Id="rId26" Type="http://schemas.openxmlformats.org/officeDocument/2006/relationships/hyperlink" Target="https://ourworldindata.org/co2-emissions?utm_source=chatgpt.com" TargetMode="External"/><Relationship Id="rId3" Type="http://schemas.openxmlformats.org/officeDocument/2006/relationships/styles" Target="styles.xml"/><Relationship Id="rId21" Type="http://schemas.openxmlformats.org/officeDocument/2006/relationships/hyperlink" Target="https://www.iea.org/reports/global-ev-outlook-2024?utm_source=chatgpt.com" TargetMode="External"/><Relationship Id="rId7" Type="http://schemas.openxmlformats.org/officeDocument/2006/relationships/endnotes" Target="endnotes.xml"/><Relationship Id="rId12" Type="http://schemas.openxmlformats.org/officeDocument/2006/relationships/image" Target="media/image4.jpeg"/><Relationship Id="rId17" Type="http://schemas.openxmlformats.org/officeDocument/2006/relationships/hyperlink" Target="https://www.miit.gov.cn" TargetMode="External"/><Relationship Id="rId25" Type="http://schemas.openxmlformats.org/officeDocument/2006/relationships/hyperlink" Target="https://www.sciencedirect.com" TargetMode="External"/><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about.bnef.com/electric-vehicle-outlook" TargetMode="External"/><Relationship Id="rId20" Type="http://schemas.openxmlformats.org/officeDocument/2006/relationships/hyperlink" Target="https://insideevs.com" TargetMode="External"/><Relationship Id="rId29" Type="http://schemas.openxmlformats.org/officeDocument/2006/relationships/hyperlink" Target="https://www.volkswagenag.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marklines.com" TargetMode="External"/><Relationship Id="rId32"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www.benchmarkminerals.com" TargetMode="External"/><Relationship Id="rId23" Type="http://schemas.openxmlformats.org/officeDocument/2006/relationships/hyperlink" Target="https://kth.diva-portal.org" TargetMode="External"/><Relationship Id="rId28" Type="http://schemas.openxmlformats.org/officeDocument/2006/relationships/hyperlink" Target="https://www.tesla.com/impact?utm_source=chatgpt.com" TargetMode="External"/><Relationship Id="rId10" Type="http://schemas.openxmlformats.org/officeDocument/2006/relationships/image" Target="media/image2.png"/><Relationship Id="rId19" Type="http://schemas.openxmlformats.org/officeDocument/2006/relationships/hyperlink" Target="https://www.mdpi.com" TargetMode="External"/><Relationship Id="rId31" Type="http://schemas.openxmlformats.org/officeDocument/2006/relationships/hyperlink" Target="https://www.sciencedirect.com" TargetMode="External"/><Relationship Id="rId4" Type="http://schemas.openxmlformats.org/officeDocument/2006/relationships/settings" Target="settings.xml"/><Relationship Id="rId9" Type="http://schemas.openxmlformats.org/officeDocument/2006/relationships/header" Target="header1.xml"/><Relationship Id="rId14" Type="http://schemas.openxmlformats.org/officeDocument/2006/relationships/footer" Target="footer1.xml"/><Relationship Id="rId22" Type="http://schemas.openxmlformats.org/officeDocument/2006/relationships/hyperlink" Target="https://www.jato.com" TargetMode="External"/><Relationship Id="rId27" Type="http://schemas.openxmlformats.org/officeDocument/2006/relationships/hyperlink" Target="https://ir.tesla.com" TargetMode="External"/><Relationship Id="rId30" Type="http://schemas.openxmlformats.org/officeDocument/2006/relationships/hyperlink" Target="https://www.volkswagenag.com" TargetMode="External"/><Relationship Id="rId8" Type="http://schemas.openxmlformats.org/officeDocument/2006/relationships/image" Target="media/image1.png"/></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D5CE8E4-806B-4ED3-A9F1-D8F3631CEC7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151</TotalTime>
  <Pages>19</Pages>
  <Words>5070</Words>
  <Characters>28903</Characters>
  <DocSecurity>0</DocSecurity>
  <Lines>240</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33906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dcterms:created xsi:type="dcterms:W3CDTF">2025-11-16T23:40:00Z</dcterms:created>
  <dcterms:modified xsi:type="dcterms:W3CDTF">2025-12-13T11:54:00Z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113a69c2-43e7-4615-8dc4-6420a8411dd0</vt:lpwstr>
  </property>
</Properties>
</file>