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766E5" w14:textId="4734B956" w:rsidR="00B10080" w:rsidRPr="00D558D3" w:rsidRDefault="001F5B58">
      <w:pPr>
        <w:rPr>
          <w:sz w:val="24"/>
          <w:szCs w:val="24"/>
        </w:rPr>
      </w:pPr>
    </w:p>
    <w:p w14:paraId="4CB6F035" w14:textId="212A0489" w:rsidR="009B3BBB" w:rsidRPr="00D558D3" w:rsidRDefault="009B3BBB">
      <w:pPr>
        <w:rPr>
          <w:sz w:val="24"/>
          <w:szCs w:val="24"/>
        </w:rPr>
      </w:pPr>
    </w:p>
    <w:p w14:paraId="55B82886" w14:textId="77777777" w:rsidR="00B52C92" w:rsidRPr="00D558D3" w:rsidRDefault="00B52C92">
      <w:pPr>
        <w:rPr>
          <w:b/>
          <w:bCs/>
          <w:sz w:val="24"/>
          <w:szCs w:val="24"/>
        </w:rPr>
      </w:pPr>
    </w:p>
    <w:p w14:paraId="77399F14" w14:textId="77777777" w:rsidR="00B52C92" w:rsidRPr="00D558D3" w:rsidRDefault="00B52C92">
      <w:pPr>
        <w:rPr>
          <w:b/>
          <w:bCs/>
          <w:sz w:val="24"/>
          <w:szCs w:val="24"/>
        </w:rPr>
      </w:pPr>
    </w:p>
    <w:p w14:paraId="137854A9" w14:textId="77777777" w:rsidR="00B52C92" w:rsidRPr="00D558D3" w:rsidRDefault="00B52C92">
      <w:pPr>
        <w:rPr>
          <w:b/>
          <w:bCs/>
          <w:sz w:val="24"/>
          <w:szCs w:val="24"/>
        </w:rPr>
      </w:pPr>
    </w:p>
    <w:p w14:paraId="6C5FB0A4" w14:textId="77777777" w:rsidR="00B52C92" w:rsidRPr="00D558D3" w:rsidRDefault="00B52C92">
      <w:pPr>
        <w:rPr>
          <w:b/>
          <w:bCs/>
          <w:sz w:val="24"/>
          <w:szCs w:val="24"/>
        </w:rPr>
      </w:pPr>
    </w:p>
    <w:p w14:paraId="163EB238" w14:textId="77777777" w:rsidR="00B52C92" w:rsidRPr="00D558D3" w:rsidRDefault="00B52C92">
      <w:pPr>
        <w:rPr>
          <w:b/>
          <w:bCs/>
          <w:sz w:val="24"/>
          <w:szCs w:val="24"/>
        </w:rPr>
      </w:pPr>
    </w:p>
    <w:p w14:paraId="77B440D2" w14:textId="2E087A0B" w:rsidR="009B3BBB" w:rsidRPr="00D558D3" w:rsidRDefault="00F87F8A">
      <w:pPr>
        <w:rPr>
          <w:b/>
          <w:bCs/>
          <w:sz w:val="24"/>
          <w:szCs w:val="24"/>
        </w:rPr>
      </w:pPr>
      <w:r w:rsidRPr="00D558D3">
        <w:rPr>
          <w:b/>
          <w:bCs/>
          <w:sz w:val="24"/>
          <w:szCs w:val="24"/>
        </w:rPr>
        <w:t>University of Wales Trinity Saint David</w:t>
      </w:r>
    </w:p>
    <w:p w14:paraId="63FCC918" w14:textId="5742CB06" w:rsidR="009B3BBB" w:rsidRPr="00D558D3" w:rsidRDefault="009B3BBB">
      <w:pPr>
        <w:rPr>
          <w:b/>
          <w:bCs/>
          <w:sz w:val="24"/>
          <w:szCs w:val="24"/>
        </w:rPr>
      </w:pPr>
      <w:r w:rsidRPr="00D558D3">
        <w:rPr>
          <w:b/>
          <w:bCs/>
          <w:sz w:val="24"/>
          <w:szCs w:val="24"/>
        </w:rPr>
        <w:t xml:space="preserve">Course: BA Business Management </w:t>
      </w:r>
    </w:p>
    <w:p w14:paraId="60A22EAC" w14:textId="7C17CFC2" w:rsidR="009B3BBB" w:rsidRPr="00D558D3" w:rsidRDefault="009B3BBB">
      <w:pPr>
        <w:rPr>
          <w:b/>
          <w:bCs/>
          <w:sz w:val="24"/>
          <w:szCs w:val="24"/>
        </w:rPr>
      </w:pPr>
      <w:r w:rsidRPr="00D558D3">
        <w:rPr>
          <w:b/>
          <w:bCs/>
          <w:sz w:val="24"/>
          <w:szCs w:val="24"/>
        </w:rPr>
        <w:t xml:space="preserve">Module: International Financial Management </w:t>
      </w:r>
    </w:p>
    <w:p w14:paraId="388A52CB" w14:textId="6F2D40A9" w:rsidR="009B3BBB" w:rsidRPr="00D558D3" w:rsidRDefault="009B3BBB">
      <w:pPr>
        <w:rPr>
          <w:b/>
          <w:bCs/>
          <w:sz w:val="24"/>
          <w:szCs w:val="24"/>
        </w:rPr>
      </w:pPr>
      <w:r w:rsidRPr="00D558D3">
        <w:rPr>
          <w:b/>
          <w:bCs/>
          <w:sz w:val="24"/>
          <w:szCs w:val="24"/>
        </w:rPr>
        <w:t>Lecturer: DR. Taye Osadiya</w:t>
      </w:r>
    </w:p>
    <w:p w14:paraId="36169638" w14:textId="41006091" w:rsidR="009B3BBB" w:rsidRPr="00D558D3" w:rsidRDefault="009B3BBB">
      <w:pPr>
        <w:rPr>
          <w:b/>
          <w:bCs/>
          <w:sz w:val="24"/>
          <w:szCs w:val="24"/>
        </w:rPr>
      </w:pPr>
      <w:r w:rsidRPr="00D558D3">
        <w:rPr>
          <w:b/>
          <w:bCs/>
          <w:sz w:val="24"/>
          <w:szCs w:val="24"/>
        </w:rPr>
        <w:t>Group Report on The British Petroleum Corporation (BP) International Financial Management Strategies</w:t>
      </w:r>
    </w:p>
    <w:p w14:paraId="46857EEE" w14:textId="67BBCAF4" w:rsidR="009B3BBB" w:rsidRPr="00D558D3" w:rsidRDefault="009B3BBB">
      <w:pPr>
        <w:rPr>
          <w:b/>
          <w:bCs/>
          <w:sz w:val="24"/>
          <w:szCs w:val="24"/>
        </w:rPr>
      </w:pPr>
      <w:r w:rsidRPr="00D558D3">
        <w:rPr>
          <w:b/>
          <w:bCs/>
          <w:sz w:val="24"/>
          <w:szCs w:val="24"/>
        </w:rPr>
        <w:t xml:space="preserve">Students Participating in the report: </w:t>
      </w:r>
    </w:p>
    <w:p w14:paraId="062C999B" w14:textId="0599B5CD" w:rsidR="009B3BBB" w:rsidRPr="00D558D3" w:rsidRDefault="00880AF0">
      <w:pPr>
        <w:rPr>
          <w:b/>
          <w:bCs/>
          <w:sz w:val="24"/>
          <w:szCs w:val="24"/>
        </w:rPr>
      </w:pPr>
      <w:r w:rsidRPr="00D558D3">
        <w:rPr>
          <w:b/>
          <w:bCs/>
          <w:sz w:val="24"/>
          <w:szCs w:val="24"/>
        </w:rPr>
        <w:t>Vasile Robert Gore (1915927) : Critically analyses reasons why BP Corporation Internationalised)</w:t>
      </w:r>
    </w:p>
    <w:p w14:paraId="74E01DE3" w14:textId="2475D3B8" w:rsidR="00880AF0" w:rsidRPr="00D558D3" w:rsidRDefault="00880AF0">
      <w:pPr>
        <w:rPr>
          <w:b/>
          <w:bCs/>
          <w:sz w:val="24"/>
          <w:szCs w:val="24"/>
        </w:rPr>
      </w:pPr>
      <w:r w:rsidRPr="00D558D3">
        <w:rPr>
          <w:b/>
          <w:bCs/>
          <w:sz w:val="24"/>
          <w:szCs w:val="24"/>
        </w:rPr>
        <w:t xml:space="preserve">Cristian Ghiburcea (1916923) : </w:t>
      </w:r>
      <w:r w:rsidR="00CF0FF9" w:rsidRPr="00D558D3">
        <w:rPr>
          <w:b/>
          <w:bCs/>
          <w:sz w:val="24"/>
          <w:szCs w:val="24"/>
        </w:rPr>
        <w:t>Critically analyses how country risks may affect BP’s investments opportunities in host countries</w:t>
      </w:r>
    </w:p>
    <w:p w14:paraId="57480EE3" w14:textId="1F0FB1E8" w:rsidR="00CF0FF9" w:rsidRPr="00D558D3" w:rsidRDefault="00CF0FF9">
      <w:pPr>
        <w:rPr>
          <w:b/>
          <w:bCs/>
          <w:sz w:val="24"/>
          <w:szCs w:val="24"/>
        </w:rPr>
      </w:pPr>
      <w:r w:rsidRPr="00D558D3">
        <w:rPr>
          <w:b/>
          <w:bCs/>
          <w:sz w:val="24"/>
          <w:szCs w:val="24"/>
        </w:rPr>
        <w:t xml:space="preserve">Claudia Ion (1916922) : Critically analyses and evaluates BP corporation’ source of finance </w:t>
      </w:r>
    </w:p>
    <w:p w14:paraId="3828D6F7" w14:textId="131FD60A" w:rsidR="00CF0FF9" w:rsidRPr="00D558D3" w:rsidRDefault="00CF0FF9">
      <w:pPr>
        <w:rPr>
          <w:b/>
          <w:bCs/>
          <w:sz w:val="24"/>
          <w:szCs w:val="24"/>
        </w:rPr>
      </w:pPr>
      <w:r w:rsidRPr="00D558D3">
        <w:rPr>
          <w:b/>
          <w:bCs/>
          <w:sz w:val="24"/>
          <w:szCs w:val="24"/>
        </w:rPr>
        <w:t>Stefania Prohnitchi (1917713) : Evaluates the different strategies that BP Corporation uses to manage their exposure to foreign exchange risks</w:t>
      </w:r>
    </w:p>
    <w:p w14:paraId="4762ECEA" w14:textId="420B31BD" w:rsidR="00CF0FF9" w:rsidRPr="00D558D3" w:rsidRDefault="00CF0FF9">
      <w:pPr>
        <w:rPr>
          <w:b/>
          <w:bCs/>
          <w:sz w:val="24"/>
          <w:szCs w:val="24"/>
        </w:rPr>
      </w:pPr>
      <w:r w:rsidRPr="00D558D3">
        <w:rPr>
          <w:b/>
          <w:bCs/>
          <w:sz w:val="24"/>
          <w:szCs w:val="24"/>
        </w:rPr>
        <w:t xml:space="preserve">Sabina Sotir (1915929) : </w:t>
      </w:r>
      <w:r w:rsidR="00FC1CBC" w:rsidRPr="00D558D3">
        <w:rPr>
          <w:b/>
          <w:bCs/>
          <w:sz w:val="24"/>
          <w:szCs w:val="24"/>
        </w:rPr>
        <w:t>Critically analyses and evaluates how BP Corporation manages and controls their working capital.</w:t>
      </w:r>
    </w:p>
    <w:p w14:paraId="1A0520E2" w14:textId="51CB3B8B" w:rsidR="0091016E" w:rsidRPr="00D558D3" w:rsidRDefault="0091016E">
      <w:pPr>
        <w:rPr>
          <w:b/>
          <w:bCs/>
          <w:sz w:val="24"/>
          <w:szCs w:val="24"/>
        </w:rPr>
      </w:pPr>
    </w:p>
    <w:p w14:paraId="7CB81B3C" w14:textId="3DF9C189" w:rsidR="0091016E" w:rsidRPr="00D558D3" w:rsidRDefault="0091016E">
      <w:pPr>
        <w:rPr>
          <w:b/>
          <w:bCs/>
          <w:sz w:val="24"/>
          <w:szCs w:val="24"/>
        </w:rPr>
      </w:pPr>
    </w:p>
    <w:p w14:paraId="31827E9C" w14:textId="763FF857" w:rsidR="0091016E" w:rsidRPr="00D558D3" w:rsidRDefault="0091016E">
      <w:pPr>
        <w:rPr>
          <w:b/>
          <w:bCs/>
          <w:sz w:val="24"/>
          <w:szCs w:val="24"/>
        </w:rPr>
      </w:pPr>
    </w:p>
    <w:p w14:paraId="0F27215D" w14:textId="6B3794B8" w:rsidR="0091016E" w:rsidRPr="00D558D3" w:rsidRDefault="0091016E">
      <w:pPr>
        <w:rPr>
          <w:b/>
          <w:bCs/>
          <w:sz w:val="24"/>
          <w:szCs w:val="24"/>
        </w:rPr>
      </w:pPr>
    </w:p>
    <w:p w14:paraId="4E514FED" w14:textId="20742552" w:rsidR="0091016E" w:rsidRPr="00D558D3" w:rsidRDefault="0091016E">
      <w:pPr>
        <w:rPr>
          <w:b/>
          <w:bCs/>
          <w:sz w:val="24"/>
          <w:szCs w:val="24"/>
        </w:rPr>
      </w:pPr>
    </w:p>
    <w:p w14:paraId="22C875AF" w14:textId="7F578B91" w:rsidR="0091016E" w:rsidRPr="00D558D3" w:rsidRDefault="0091016E">
      <w:pPr>
        <w:rPr>
          <w:b/>
          <w:bCs/>
          <w:sz w:val="24"/>
          <w:szCs w:val="24"/>
        </w:rPr>
      </w:pPr>
    </w:p>
    <w:p w14:paraId="5C924770" w14:textId="48639BA5" w:rsidR="0091016E" w:rsidRPr="00D558D3" w:rsidRDefault="0091016E">
      <w:pPr>
        <w:rPr>
          <w:b/>
          <w:bCs/>
          <w:sz w:val="24"/>
          <w:szCs w:val="24"/>
        </w:rPr>
      </w:pPr>
    </w:p>
    <w:p w14:paraId="00E7AEED" w14:textId="77777777" w:rsidR="00D558D3" w:rsidRDefault="00D558D3" w:rsidP="00D558D3">
      <w:pPr>
        <w:pStyle w:val="NormalWeb"/>
        <w:ind w:left="1080"/>
        <w:rPr>
          <w:rFonts w:asciiTheme="minorHAnsi" w:hAnsiTheme="minorHAnsi" w:cstheme="minorHAnsi"/>
          <w:b/>
          <w:bCs/>
        </w:rPr>
      </w:pPr>
    </w:p>
    <w:p w14:paraId="4F46EA96" w14:textId="77777777" w:rsidR="00A140E1" w:rsidRDefault="00A140E1" w:rsidP="00D558D3">
      <w:pPr>
        <w:pStyle w:val="NormalWeb"/>
        <w:ind w:left="1080"/>
        <w:rPr>
          <w:rFonts w:asciiTheme="minorHAnsi" w:hAnsiTheme="minorHAnsi" w:cstheme="minorHAnsi"/>
          <w:b/>
          <w:bCs/>
        </w:rPr>
      </w:pPr>
    </w:p>
    <w:p w14:paraId="6438B3A9" w14:textId="77777777" w:rsidR="00A140E1" w:rsidRDefault="00A140E1" w:rsidP="00D558D3">
      <w:pPr>
        <w:pStyle w:val="NormalWeb"/>
        <w:ind w:left="1080"/>
        <w:rPr>
          <w:rFonts w:asciiTheme="minorHAnsi" w:hAnsiTheme="minorHAnsi" w:cstheme="minorHAnsi"/>
          <w:b/>
          <w:bCs/>
        </w:rPr>
      </w:pPr>
    </w:p>
    <w:p w14:paraId="4177F7FB" w14:textId="77777777" w:rsidR="00A140E1" w:rsidRDefault="00A140E1" w:rsidP="00D558D3">
      <w:pPr>
        <w:pStyle w:val="NormalWeb"/>
        <w:ind w:left="1080"/>
        <w:rPr>
          <w:rFonts w:asciiTheme="minorHAnsi" w:hAnsiTheme="minorHAnsi" w:cstheme="minorHAnsi"/>
          <w:b/>
          <w:bCs/>
        </w:rPr>
      </w:pPr>
    </w:p>
    <w:p w14:paraId="392BFDC9" w14:textId="77777777" w:rsidR="00A140E1" w:rsidRDefault="00A140E1" w:rsidP="00D558D3">
      <w:pPr>
        <w:pStyle w:val="NormalWeb"/>
        <w:ind w:left="1080"/>
        <w:rPr>
          <w:rFonts w:asciiTheme="minorHAnsi" w:hAnsiTheme="minorHAnsi" w:cstheme="minorHAnsi"/>
          <w:b/>
          <w:bCs/>
        </w:rPr>
      </w:pPr>
    </w:p>
    <w:p w14:paraId="7C0639EB" w14:textId="77777777" w:rsidR="00A140E1" w:rsidRDefault="00A140E1" w:rsidP="00D558D3">
      <w:pPr>
        <w:pStyle w:val="NormalWeb"/>
        <w:ind w:left="1080"/>
        <w:rPr>
          <w:rFonts w:asciiTheme="minorHAnsi" w:hAnsiTheme="minorHAnsi" w:cstheme="minorHAnsi"/>
          <w:b/>
          <w:bCs/>
        </w:rPr>
      </w:pPr>
    </w:p>
    <w:p w14:paraId="20AF38D8" w14:textId="77777777" w:rsidR="00A140E1" w:rsidRDefault="00A140E1" w:rsidP="00D558D3">
      <w:pPr>
        <w:pStyle w:val="NormalWeb"/>
        <w:ind w:left="1080"/>
        <w:rPr>
          <w:rFonts w:asciiTheme="minorHAnsi" w:hAnsiTheme="minorHAnsi" w:cstheme="minorHAnsi"/>
          <w:b/>
          <w:bCs/>
        </w:rPr>
      </w:pPr>
    </w:p>
    <w:p w14:paraId="7DB5A465" w14:textId="77777777" w:rsidR="00A140E1" w:rsidRDefault="00A140E1" w:rsidP="00D558D3">
      <w:pPr>
        <w:pStyle w:val="NormalWeb"/>
        <w:ind w:left="1080"/>
        <w:rPr>
          <w:rFonts w:asciiTheme="minorHAnsi" w:hAnsiTheme="minorHAnsi" w:cstheme="minorHAnsi"/>
          <w:b/>
          <w:bCs/>
        </w:rPr>
      </w:pPr>
    </w:p>
    <w:p w14:paraId="6D9B8DC8" w14:textId="7D248956" w:rsidR="00D558D3" w:rsidRDefault="00D558D3" w:rsidP="00D558D3">
      <w:pPr>
        <w:pStyle w:val="NormalWeb"/>
        <w:ind w:left="1080"/>
        <w:rPr>
          <w:rFonts w:asciiTheme="minorHAnsi" w:hAnsiTheme="minorHAnsi" w:cstheme="minorHAnsi"/>
          <w:b/>
          <w:bCs/>
        </w:rPr>
      </w:pPr>
      <w:r>
        <w:rPr>
          <w:rFonts w:asciiTheme="minorHAnsi" w:hAnsiTheme="minorHAnsi" w:cstheme="minorHAnsi"/>
          <w:b/>
          <w:bCs/>
        </w:rPr>
        <w:t xml:space="preserve">Table of Content </w:t>
      </w:r>
    </w:p>
    <w:p w14:paraId="1FB111B8" w14:textId="5527925E" w:rsidR="00D558D3" w:rsidRPr="00DB21DC" w:rsidRDefault="00D558D3" w:rsidP="00D558D3">
      <w:pPr>
        <w:pStyle w:val="NormalWeb"/>
        <w:ind w:left="1080"/>
        <w:rPr>
          <w:rFonts w:asciiTheme="minorHAnsi" w:hAnsiTheme="minorHAnsi" w:cstheme="minorHAnsi"/>
        </w:rPr>
      </w:pPr>
      <w:r w:rsidRPr="00DB21DC">
        <w:rPr>
          <w:rFonts w:asciiTheme="minorHAnsi" w:hAnsiTheme="minorHAnsi" w:cstheme="minorHAnsi"/>
        </w:rPr>
        <w:t>Critically analyse reasons why BP corporation internationalised…..……..</w:t>
      </w:r>
      <w:r w:rsidR="002432B5" w:rsidRPr="00DB21DC">
        <w:rPr>
          <w:rFonts w:asciiTheme="minorHAnsi" w:hAnsiTheme="minorHAnsi" w:cstheme="minorHAnsi"/>
        </w:rPr>
        <w:t>3</w:t>
      </w:r>
    </w:p>
    <w:p w14:paraId="1ED825C7" w14:textId="7393791D" w:rsidR="00D558D3" w:rsidRPr="00DB21DC" w:rsidRDefault="00D558D3" w:rsidP="00D558D3">
      <w:pPr>
        <w:pStyle w:val="NormalWeb"/>
        <w:ind w:left="1080"/>
        <w:rPr>
          <w:rFonts w:asciiTheme="minorHAnsi" w:hAnsiTheme="minorHAnsi" w:cstheme="minorHAnsi"/>
          <w:lang w:val="en-US"/>
        </w:rPr>
      </w:pPr>
      <w:r w:rsidRPr="00DB21DC">
        <w:rPr>
          <w:rFonts w:asciiTheme="minorHAnsi" w:hAnsiTheme="minorHAnsi" w:cstheme="minorHAnsi"/>
          <w:lang w:val="en-US"/>
        </w:rPr>
        <w:t>Critically analyses how country risks may affect BP’s investments opportunities in host countries…………………………………………………..……………………………..</w:t>
      </w:r>
      <w:r w:rsidR="002432B5" w:rsidRPr="00DB21DC">
        <w:rPr>
          <w:rFonts w:asciiTheme="minorHAnsi" w:hAnsiTheme="minorHAnsi" w:cstheme="minorHAnsi"/>
          <w:lang w:val="en-US"/>
        </w:rPr>
        <w:t>5</w:t>
      </w:r>
    </w:p>
    <w:p w14:paraId="129DC323" w14:textId="2DE93A2A" w:rsidR="00D558D3" w:rsidRPr="00DB21DC" w:rsidRDefault="00D558D3" w:rsidP="00D558D3">
      <w:pPr>
        <w:pStyle w:val="NormalWeb"/>
        <w:ind w:left="1080"/>
        <w:rPr>
          <w:rFonts w:asciiTheme="minorHAnsi" w:hAnsiTheme="minorHAnsi" w:cstheme="minorHAnsi"/>
          <w:lang w:val="en-US"/>
        </w:rPr>
      </w:pPr>
      <w:r w:rsidRPr="00DB21DC">
        <w:rPr>
          <w:rFonts w:asciiTheme="minorHAnsi" w:hAnsiTheme="minorHAnsi" w:cstheme="minorHAnsi"/>
          <w:lang w:val="en-US"/>
        </w:rPr>
        <w:t>Critically analyses and evaluates BP Corporation’s sources of finance….</w:t>
      </w:r>
      <w:r w:rsidR="002432B5" w:rsidRPr="00DB21DC">
        <w:rPr>
          <w:rFonts w:asciiTheme="minorHAnsi" w:hAnsiTheme="minorHAnsi" w:cstheme="minorHAnsi"/>
          <w:lang w:val="en-US"/>
        </w:rPr>
        <w:t>7</w:t>
      </w:r>
    </w:p>
    <w:p w14:paraId="32151E03" w14:textId="1E961F9A" w:rsidR="00D558D3" w:rsidRPr="00DB21DC" w:rsidRDefault="00D558D3" w:rsidP="00D558D3">
      <w:pPr>
        <w:pStyle w:val="NormalWeb"/>
        <w:ind w:left="1080"/>
        <w:rPr>
          <w:rFonts w:asciiTheme="minorHAnsi" w:hAnsiTheme="minorHAnsi" w:cstheme="minorHAnsi"/>
          <w:lang w:val="en"/>
        </w:rPr>
      </w:pPr>
      <w:r w:rsidRPr="00DB21DC">
        <w:rPr>
          <w:rFonts w:asciiTheme="minorHAnsi" w:hAnsiTheme="minorHAnsi" w:cstheme="minorHAnsi"/>
          <w:lang w:val="en"/>
        </w:rPr>
        <w:t>Evaluates the different strategies that BP Corporation uses to manage its exposure to foreign exchange risks………………………………………………………</w:t>
      </w:r>
      <w:r w:rsidR="004658D6">
        <w:rPr>
          <w:rFonts w:asciiTheme="minorHAnsi" w:hAnsiTheme="minorHAnsi" w:cstheme="minorHAnsi"/>
          <w:lang w:val="en"/>
        </w:rPr>
        <w:t>9</w:t>
      </w:r>
    </w:p>
    <w:p w14:paraId="6DD9A1B6" w14:textId="454CEA85" w:rsidR="00D558D3" w:rsidRPr="00DB21DC" w:rsidRDefault="00D558D3" w:rsidP="00D558D3">
      <w:pPr>
        <w:pStyle w:val="NormalWeb"/>
        <w:ind w:left="1080"/>
        <w:rPr>
          <w:rFonts w:asciiTheme="minorHAnsi" w:hAnsiTheme="minorHAnsi" w:cstheme="minorHAnsi"/>
        </w:rPr>
      </w:pPr>
      <w:r w:rsidRPr="00DB21DC">
        <w:rPr>
          <w:rFonts w:asciiTheme="minorHAnsi" w:hAnsiTheme="minorHAnsi" w:cstheme="minorHAnsi"/>
        </w:rPr>
        <w:t>Critically analyses and evaluates how BP Corporation manages and controls their working capital………………………………………………………………………….1</w:t>
      </w:r>
      <w:r w:rsidR="004658D6">
        <w:rPr>
          <w:rFonts w:asciiTheme="minorHAnsi" w:hAnsiTheme="minorHAnsi" w:cstheme="minorHAnsi"/>
        </w:rPr>
        <w:t>1</w:t>
      </w:r>
    </w:p>
    <w:p w14:paraId="4D0F9314" w14:textId="1CB17681" w:rsidR="00A140E1" w:rsidRPr="00DB21DC" w:rsidRDefault="00A140E1" w:rsidP="00A140E1">
      <w:pPr>
        <w:pStyle w:val="NormalWeb"/>
        <w:ind w:left="1080"/>
        <w:rPr>
          <w:rFonts w:cstheme="minorHAnsi"/>
        </w:rPr>
      </w:pPr>
      <w:r w:rsidRPr="00DB21DC">
        <w:rPr>
          <w:rFonts w:cstheme="minorHAnsi"/>
        </w:rPr>
        <w:t>Bibliography ……………………………………………………………1</w:t>
      </w:r>
      <w:r w:rsidR="004658D6">
        <w:rPr>
          <w:rFonts w:cstheme="minorHAnsi"/>
        </w:rPr>
        <w:t>3</w:t>
      </w:r>
    </w:p>
    <w:p w14:paraId="4483AE17" w14:textId="77777777" w:rsidR="00A140E1" w:rsidRDefault="00A140E1" w:rsidP="00D558D3">
      <w:pPr>
        <w:pStyle w:val="NormalWeb"/>
        <w:ind w:left="1080"/>
        <w:rPr>
          <w:rFonts w:asciiTheme="minorHAnsi" w:hAnsiTheme="minorHAnsi" w:cstheme="minorHAnsi"/>
          <w:b/>
          <w:bCs/>
        </w:rPr>
      </w:pPr>
    </w:p>
    <w:p w14:paraId="2CB36E02" w14:textId="77777777" w:rsidR="00D558D3" w:rsidRDefault="00D558D3" w:rsidP="00D558D3">
      <w:pPr>
        <w:pStyle w:val="NormalWeb"/>
        <w:ind w:left="1080"/>
        <w:rPr>
          <w:rFonts w:asciiTheme="minorHAnsi" w:hAnsiTheme="minorHAnsi" w:cstheme="minorHAnsi"/>
          <w:b/>
          <w:bCs/>
        </w:rPr>
      </w:pPr>
    </w:p>
    <w:p w14:paraId="68083C7F" w14:textId="77777777" w:rsidR="00D558D3" w:rsidRDefault="00D558D3" w:rsidP="00D558D3">
      <w:pPr>
        <w:pStyle w:val="NormalWeb"/>
        <w:ind w:left="1080"/>
        <w:rPr>
          <w:rFonts w:asciiTheme="minorHAnsi" w:hAnsiTheme="minorHAnsi" w:cstheme="minorHAnsi"/>
          <w:b/>
          <w:bCs/>
        </w:rPr>
      </w:pPr>
    </w:p>
    <w:p w14:paraId="1F01C603" w14:textId="77777777" w:rsidR="00A140E1" w:rsidRDefault="00A140E1" w:rsidP="00D558D3">
      <w:pPr>
        <w:pStyle w:val="NormalWeb"/>
        <w:ind w:left="1080"/>
        <w:rPr>
          <w:rFonts w:asciiTheme="minorHAnsi" w:hAnsiTheme="minorHAnsi" w:cstheme="minorHAnsi"/>
          <w:b/>
          <w:bCs/>
        </w:rPr>
      </w:pPr>
    </w:p>
    <w:p w14:paraId="446A8CFC" w14:textId="77777777" w:rsidR="00A140E1" w:rsidRDefault="00A140E1" w:rsidP="00D558D3">
      <w:pPr>
        <w:pStyle w:val="NormalWeb"/>
        <w:ind w:left="1080"/>
        <w:rPr>
          <w:rFonts w:asciiTheme="minorHAnsi" w:hAnsiTheme="minorHAnsi" w:cstheme="minorHAnsi"/>
          <w:b/>
          <w:bCs/>
        </w:rPr>
      </w:pPr>
    </w:p>
    <w:p w14:paraId="55F00FB4" w14:textId="77777777" w:rsidR="00A140E1" w:rsidRDefault="00A140E1" w:rsidP="00D558D3">
      <w:pPr>
        <w:pStyle w:val="NormalWeb"/>
        <w:ind w:left="1080"/>
        <w:rPr>
          <w:rFonts w:asciiTheme="minorHAnsi" w:hAnsiTheme="minorHAnsi" w:cstheme="minorHAnsi"/>
          <w:b/>
          <w:bCs/>
        </w:rPr>
      </w:pPr>
    </w:p>
    <w:p w14:paraId="48D846CF" w14:textId="77777777" w:rsidR="00A140E1" w:rsidRDefault="00A140E1" w:rsidP="00D558D3">
      <w:pPr>
        <w:pStyle w:val="NormalWeb"/>
        <w:ind w:left="1080"/>
        <w:rPr>
          <w:rFonts w:asciiTheme="minorHAnsi" w:hAnsiTheme="minorHAnsi" w:cstheme="minorHAnsi"/>
          <w:b/>
          <w:bCs/>
        </w:rPr>
      </w:pPr>
    </w:p>
    <w:p w14:paraId="17302C4E" w14:textId="77777777" w:rsidR="00A140E1" w:rsidRDefault="00A140E1" w:rsidP="00D558D3">
      <w:pPr>
        <w:pStyle w:val="NormalWeb"/>
        <w:ind w:left="1080"/>
        <w:rPr>
          <w:rFonts w:asciiTheme="minorHAnsi" w:hAnsiTheme="minorHAnsi" w:cstheme="minorHAnsi"/>
          <w:b/>
          <w:bCs/>
        </w:rPr>
      </w:pPr>
    </w:p>
    <w:p w14:paraId="63FB66FE" w14:textId="77777777" w:rsidR="00A140E1" w:rsidRDefault="00A140E1" w:rsidP="002432B5">
      <w:pPr>
        <w:pStyle w:val="NormalWeb"/>
        <w:rPr>
          <w:rFonts w:asciiTheme="minorHAnsi" w:hAnsiTheme="minorHAnsi" w:cstheme="minorHAnsi"/>
          <w:b/>
          <w:bCs/>
        </w:rPr>
      </w:pPr>
    </w:p>
    <w:p w14:paraId="13EA904C" w14:textId="44509F48" w:rsidR="00B52C92" w:rsidRPr="00B52C92" w:rsidRDefault="00D558D3" w:rsidP="00D558D3">
      <w:pPr>
        <w:pStyle w:val="NormalWeb"/>
        <w:ind w:left="1080"/>
        <w:rPr>
          <w:rFonts w:asciiTheme="minorHAnsi" w:hAnsiTheme="minorHAnsi" w:cstheme="minorHAnsi"/>
          <w:b/>
          <w:bCs/>
        </w:rPr>
      </w:pPr>
      <w:r>
        <w:rPr>
          <w:rFonts w:asciiTheme="minorHAnsi" w:hAnsiTheme="minorHAnsi" w:cstheme="minorHAnsi"/>
          <w:b/>
          <w:bCs/>
        </w:rPr>
        <w:lastRenderedPageBreak/>
        <w:t>1.</w:t>
      </w:r>
      <w:bookmarkStart w:id="0" w:name="_Hlk102492866"/>
      <w:r w:rsidR="00B52C92" w:rsidRPr="00B52C92">
        <w:rPr>
          <w:rFonts w:asciiTheme="minorHAnsi" w:hAnsiTheme="minorHAnsi" w:cstheme="minorHAnsi"/>
          <w:b/>
          <w:bCs/>
        </w:rPr>
        <w:t>Critically analyse reasons why BP corporation internationalised</w:t>
      </w:r>
      <w:bookmarkEnd w:id="0"/>
    </w:p>
    <w:p w14:paraId="1F4E926E" w14:textId="77777777" w:rsidR="00B52C92" w:rsidRPr="00D558D3" w:rsidRDefault="00B52C92" w:rsidP="00B52C92">
      <w:pPr>
        <w:pStyle w:val="NormalWeb"/>
        <w:rPr>
          <w:rFonts w:asciiTheme="minorHAnsi" w:hAnsiTheme="minorHAnsi" w:cstheme="minorHAnsi"/>
          <w:b/>
          <w:bCs/>
        </w:rPr>
      </w:pPr>
    </w:p>
    <w:p w14:paraId="4BBB1FD4" w14:textId="464D51F9" w:rsidR="00B52C92" w:rsidRPr="00D558D3" w:rsidRDefault="00B52C92" w:rsidP="00B52C92">
      <w:pPr>
        <w:pStyle w:val="NormalWeb"/>
        <w:rPr>
          <w:rFonts w:asciiTheme="minorHAnsi" w:hAnsiTheme="minorHAnsi" w:cstheme="minorHAnsi"/>
          <w:b/>
          <w:bCs/>
        </w:rPr>
      </w:pPr>
      <w:bookmarkStart w:id="1" w:name="_Hlk102491805"/>
      <w:r w:rsidRPr="00D558D3">
        <w:rPr>
          <w:rFonts w:asciiTheme="minorHAnsi" w:hAnsiTheme="minorHAnsi" w:cstheme="minorHAnsi"/>
          <w:b/>
          <w:bCs/>
        </w:rPr>
        <w:t>Introduction</w:t>
      </w:r>
    </w:p>
    <w:bookmarkEnd w:id="1"/>
    <w:p w14:paraId="64C0ECA4" w14:textId="7E47C6FC" w:rsidR="00B52C92" w:rsidRPr="00D558D3" w:rsidRDefault="00B52C92" w:rsidP="00B52C92">
      <w:pPr>
        <w:pStyle w:val="NormalWeb"/>
        <w:spacing w:line="360" w:lineRule="auto"/>
        <w:jc w:val="both"/>
        <w:rPr>
          <w:rFonts w:asciiTheme="minorHAnsi" w:hAnsiTheme="minorHAnsi" w:cstheme="minorHAnsi"/>
        </w:rPr>
      </w:pPr>
      <w:r w:rsidRPr="00D558D3">
        <w:rPr>
          <w:rFonts w:asciiTheme="minorHAnsi" w:hAnsiTheme="minorHAnsi" w:cstheme="minorHAnsi"/>
        </w:rPr>
        <w:t>BP plc is a British oil and gas corporation that operates in countries such as Germany, Netherlands, Switzerland and other</w:t>
      </w:r>
      <w:sdt>
        <w:sdtPr>
          <w:rPr>
            <w:rFonts w:asciiTheme="minorHAnsi" w:hAnsiTheme="minorHAnsi" w:cstheme="minorHAnsi"/>
          </w:rPr>
          <w:id w:val="574791172"/>
          <w:citation/>
        </w:sdtPr>
        <w:sdtEndPr/>
        <w:sdtContent>
          <w:r w:rsidRPr="00D558D3">
            <w:rPr>
              <w:rFonts w:asciiTheme="minorHAnsi" w:hAnsiTheme="minorHAnsi" w:cstheme="minorHAnsi"/>
            </w:rPr>
            <w:fldChar w:fldCharType="begin"/>
          </w:r>
          <w:r w:rsidRPr="00D558D3">
            <w:rPr>
              <w:rFonts w:asciiTheme="minorHAnsi" w:hAnsiTheme="minorHAnsi" w:cstheme="minorHAnsi"/>
            </w:rPr>
            <w:instrText xml:space="preserve"> CITATION BPR20 \l 2057 </w:instrText>
          </w:r>
          <w:r w:rsidRPr="00D558D3">
            <w:rPr>
              <w:rFonts w:asciiTheme="minorHAnsi" w:hAnsiTheme="minorHAnsi" w:cstheme="minorHAnsi"/>
            </w:rPr>
            <w:fldChar w:fldCharType="separate"/>
          </w:r>
          <w:r w:rsidRPr="00D558D3">
            <w:rPr>
              <w:rFonts w:asciiTheme="minorHAnsi" w:hAnsiTheme="minorHAnsi" w:cstheme="minorHAnsi"/>
              <w:noProof/>
            </w:rPr>
            <w:t xml:space="preserve"> (BP Report, 2020)</w:t>
          </w:r>
          <w:r w:rsidRPr="00D558D3">
            <w:rPr>
              <w:rFonts w:asciiTheme="minorHAnsi" w:hAnsiTheme="minorHAnsi" w:cstheme="minorHAnsi"/>
            </w:rPr>
            <w:fldChar w:fldCharType="end"/>
          </w:r>
        </w:sdtContent>
      </w:sdt>
      <w:r w:rsidRPr="00D558D3">
        <w:rPr>
          <w:rFonts w:asciiTheme="minorHAnsi" w:hAnsiTheme="minorHAnsi" w:cstheme="minorHAnsi"/>
        </w:rPr>
        <w:t xml:space="preserve">. It is among the largest corporations in the world. The company operates in international market as it provides opportunities for growth and achieving company mission, to help the world reach net zero and improve people’s lives </w:t>
      </w:r>
      <w:sdt>
        <w:sdtPr>
          <w:rPr>
            <w:rFonts w:asciiTheme="minorHAnsi" w:hAnsiTheme="minorHAnsi" w:cstheme="minorHAnsi"/>
          </w:rPr>
          <w:id w:val="676083457"/>
          <w:citation/>
        </w:sdtPr>
        <w:sdtEndPr/>
        <w:sdtContent>
          <w:r w:rsidRPr="00D558D3">
            <w:rPr>
              <w:rFonts w:asciiTheme="minorHAnsi" w:hAnsiTheme="minorHAnsi" w:cstheme="minorHAnsi"/>
            </w:rPr>
            <w:fldChar w:fldCharType="begin"/>
          </w:r>
          <w:r w:rsidRPr="00D558D3">
            <w:rPr>
              <w:rFonts w:asciiTheme="minorHAnsi" w:hAnsiTheme="minorHAnsi" w:cstheme="minorHAnsi"/>
            </w:rPr>
            <w:instrText xml:space="preserve"> CITATION BPR20 \l 2057 </w:instrText>
          </w:r>
          <w:r w:rsidRPr="00D558D3">
            <w:rPr>
              <w:rFonts w:asciiTheme="minorHAnsi" w:hAnsiTheme="minorHAnsi" w:cstheme="minorHAnsi"/>
            </w:rPr>
            <w:fldChar w:fldCharType="separate"/>
          </w:r>
          <w:r w:rsidRPr="00D558D3">
            <w:rPr>
              <w:rFonts w:asciiTheme="minorHAnsi" w:hAnsiTheme="minorHAnsi" w:cstheme="minorHAnsi"/>
              <w:noProof/>
            </w:rPr>
            <w:t>(BP Report, 2020)</w:t>
          </w:r>
          <w:r w:rsidRPr="00D558D3">
            <w:rPr>
              <w:rFonts w:asciiTheme="minorHAnsi" w:hAnsiTheme="minorHAnsi" w:cstheme="minorHAnsi"/>
            </w:rPr>
            <w:fldChar w:fldCharType="end"/>
          </w:r>
        </w:sdtContent>
      </w:sdt>
      <w:r w:rsidRPr="00D558D3">
        <w:rPr>
          <w:rFonts w:asciiTheme="minorHAnsi" w:hAnsiTheme="minorHAnsi" w:cstheme="minorHAnsi"/>
        </w:rPr>
        <w:t xml:space="preserve">. Based on (Gerschewski, et al., 2019) among critical drivers of internationalisation and performance are product/service quality, competition, and long-term goals. </w:t>
      </w:r>
    </w:p>
    <w:p w14:paraId="3790C3BF" w14:textId="77777777" w:rsidR="00B52C92" w:rsidRPr="00B52C92" w:rsidRDefault="00B52C92" w:rsidP="00B52C92">
      <w:pPr>
        <w:spacing w:before="100" w:beforeAutospacing="1" w:after="100" w:afterAutospacing="1" w:line="240" w:lineRule="auto"/>
        <w:rPr>
          <w:rFonts w:eastAsia="Times New Roman" w:cstheme="minorHAnsi"/>
          <w:b/>
          <w:bCs/>
          <w:sz w:val="24"/>
          <w:szCs w:val="24"/>
          <w:lang w:eastAsia="en-GB"/>
        </w:rPr>
      </w:pPr>
      <w:r w:rsidRPr="00B52C92">
        <w:rPr>
          <w:rFonts w:eastAsia="Times New Roman" w:cstheme="minorHAnsi"/>
          <w:b/>
          <w:bCs/>
          <w:sz w:val="24"/>
          <w:szCs w:val="24"/>
          <w:lang w:eastAsia="en-GB"/>
        </w:rPr>
        <w:t xml:space="preserve">Proactive Motives </w:t>
      </w:r>
    </w:p>
    <w:p w14:paraId="47B246EF" w14:textId="77777777" w:rsidR="00B52C92" w:rsidRPr="00B52C92" w:rsidRDefault="00B52C92" w:rsidP="00B52C92">
      <w:pPr>
        <w:spacing w:before="100" w:beforeAutospacing="1" w:after="100" w:afterAutospacing="1" w:line="360" w:lineRule="auto"/>
        <w:jc w:val="both"/>
        <w:rPr>
          <w:rFonts w:eastAsia="Times New Roman" w:cstheme="minorHAnsi"/>
          <w:sz w:val="24"/>
          <w:szCs w:val="24"/>
          <w:lang w:eastAsia="en-GB"/>
        </w:rPr>
      </w:pPr>
      <w:r w:rsidRPr="00B52C92">
        <w:rPr>
          <w:rFonts w:eastAsia="Times New Roman" w:cstheme="minorHAnsi"/>
          <w:sz w:val="24"/>
          <w:szCs w:val="24"/>
          <w:lang w:eastAsia="en-GB"/>
        </w:rPr>
        <w:t xml:space="preserve">The BP plc major motives for internationalisations are from proactive and reactive categories </w:t>
      </w:r>
      <w:sdt>
        <w:sdtPr>
          <w:rPr>
            <w:rFonts w:eastAsia="Times New Roman" w:cstheme="minorHAnsi"/>
            <w:sz w:val="24"/>
            <w:szCs w:val="24"/>
            <w:lang w:eastAsia="en-GB"/>
          </w:rPr>
          <w:id w:val="-476458345"/>
          <w:citation/>
        </w:sdtPr>
        <w:sdtEndPr/>
        <w:sdtContent>
          <w:r w:rsidRPr="00B52C92">
            <w:rPr>
              <w:rFonts w:eastAsia="Times New Roman" w:cstheme="minorHAnsi"/>
              <w:sz w:val="24"/>
              <w:szCs w:val="24"/>
              <w:lang w:eastAsia="en-GB"/>
            </w:rPr>
            <w:fldChar w:fldCharType="begin"/>
          </w:r>
          <w:r w:rsidRPr="00B52C92">
            <w:rPr>
              <w:rFonts w:eastAsia="Times New Roman" w:cstheme="minorHAnsi"/>
              <w:sz w:val="24"/>
              <w:szCs w:val="24"/>
              <w:lang w:eastAsia="en-GB"/>
            </w:rPr>
            <w:instrText xml:space="preserve"> CITATION Alb94 \l 2057 </w:instrText>
          </w:r>
          <w:r w:rsidRPr="00B52C92">
            <w:rPr>
              <w:rFonts w:eastAsia="Times New Roman" w:cstheme="minorHAnsi"/>
              <w:sz w:val="24"/>
              <w:szCs w:val="24"/>
              <w:lang w:eastAsia="en-GB"/>
            </w:rPr>
            <w:fldChar w:fldCharType="separate"/>
          </w:r>
          <w:r w:rsidRPr="00B52C92">
            <w:rPr>
              <w:rFonts w:eastAsia="Times New Roman" w:cstheme="minorHAnsi"/>
              <w:noProof/>
              <w:sz w:val="24"/>
              <w:szCs w:val="24"/>
              <w:lang w:eastAsia="en-GB"/>
            </w:rPr>
            <w:t>(Albaum, 1994)</w:t>
          </w:r>
          <w:r w:rsidRPr="00B52C92">
            <w:rPr>
              <w:rFonts w:eastAsia="Times New Roman" w:cstheme="minorHAnsi"/>
              <w:sz w:val="24"/>
              <w:szCs w:val="24"/>
              <w:lang w:eastAsia="en-GB"/>
            </w:rPr>
            <w:fldChar w:fldCharType="end"/>
          </w:r>
        </w:sdtContent>
      </w:sdt>
      <w:r w:rsidRPr="00B52C92">
        <w:rPr>
          <w:rFonts w:eastAsia="Times New Roman" w:cstheme="minorHAnsi"/>
          <w:sz w:val="24"/>
          <w:szCs w:val="24"/>
          <w:lang w:eastAsia="en-GB"/>
        </w:rPr>
        <w:t xml:space="preserve">. Proactive motives include increasing profitability and company development. Also, foreign markets provide various opportunities such as expanding the clientele. Domestic market provides little alternative for BP therefore operating on global level will help the firm attract a higher demand that has potential to boost the profit and grows if management appropriately. </w:t>
      </w:r>
    </w:p>
    <w:p w14:paraId="1D5822C8" w14:textId="77777777" w:rsidR="00B52C92" w:rsidRPr="00B52C92" w:rsidRDefault="00B52C92" w:rsidP="00B52C92">
      <w:pPr>
        <w:spacing w:before="100" w:beforeAutospacing="1" w:after="100" w:afterAutospacing="1" w:line="360" w:lineRule="auto"/>
        <w:jc w:val="both"/>
        <w:rPr>
          <w:rFonts w:eastAsia="Times New Roman" w:cstheme="minorHAnsi"/>
          <w:sz w:val="24"/>
          <w:szCs w:val="24"/>
          <w:lang w:eastAsia="en-GB"/>
        </w:rPr>
      </w:pPr>
      <w:r w:rsidRPr="00B52C92">
        <w:rPr>
          <w:rFonts w:eastAsia="Times New Roman" w:cstheme="minorHAnsi"/>
          <w:sz w:val="24"/>
          <w:szCs w:val="24"/>
          <w:lang w:eastAsia="en-GB"/>
        </w:rPr>
        <w:t xml:space="preserve">Besides boosting revenue opportunities and growth, internationalisation may provide a better positioning and other benefits such as cost reduction, lower labour price and lower taxes. (Johanson &amp; Mattson, 2016) suggested that internationalisation is about expanding existing network, building relationships that are valuable while establishing in a new market. Operating in a global market BP has possibility to expand the networking which can significantly contribute to company image. Higher profitability and higher reputation create opportunities for further investment. BP.plc have gained necessary competencies to move to the next step of their development strategy which also brought along new perspective, new objectives, and vision for company success on both domestic and international level. As mentioned in </w:t>
      </w:r>
      <w:sdt>
        <w:sdtPr>
          <w:rPr>
            <w:rFonts w:eastAsia="Times New Roman" w:cstheme="minorHAnsi"/>
            <w:sz w:val="24"/>
            <w:szCs w:val="24"/>
            <w:lang w:eastAsia="en-GB"/>
          </w:rPr>
          <w:id w:val="1699123381"/>
          <w:citation/>
        </w:sdtPr>
        <w:sdtEndPr/>
        <w:sdtContent>
          <w:r w:rsidRPr="00B52C92">
            <w:rPr>
              <w:rFonts w:eastAsia="Times New Roman" w:cstheme="minorHAnsi"/>
              <w:sz w:val="24"/>
              <w:szCs w:val="24"/>
              <w:lang w:eastAsia="en-GB"/>
            </w:rPr>
            <w:fldChar w:fldCharType="begin"/>
          </w:r>
          <w:r w:rsidRPr="00B52C92">
            <w:rPr>
              <w:rFonts w:eastAsia="Times New Roman" w:cstheme="minorHAnsi"/>
              <w:sz w:val="24"/>
              <w:szCs w:val="24"/>
              <w:lang w:eastAsia="en-GB"/>
            </w:rPr>
            <w:instrText xml:space="preserve"> CITATION BPR20 \l 2057 </w:instrText>
          </w:r>
          <w:r w:rsidRPr="00B52C92">
            <w:rPr>
              <w:rFonts w:eastAsia="Times New Roman" w:cstheme="minorHAnsi"/>
              <w:sz w:val="24"/>
              <w:szCs w:val="24"/>
              <w:lang w:eastAsia="en-GB"/>
            </w:rPr>
            <w:fldChar w:fldCharType="separate"/>
          </w:r>
          <w:r w:rsidRPr="00B52C92">
            <w:rPr>
              <w:rFonts w:eastAsia="Times New Roman" w:cstheme="minorHAnsi"/>
              <w:noProof/>
              <w:sz w:val="24"/>
              <w:szCs w:val="24"/>
              <w:lang w:eastAsia="en-GB"/>
            </w:rPr>
            <w:t>(BP Report, 2020)</w:t>
          </w:r>
          <w:r w:rsidRPr="00B52C92">
            <w:rPr>
              <w:rFonts w:eastAsia="Times New Roman" w:cstheme="minorHAnsi"/>
              <w:sz w:val="24"/>
              <w:szCs w:val="24"/>
              <w:lang w:eastAsia="en-GB"/>
            </w:rPr>
            <w:fldChar w:fldCharType="end"/>
          </w:r>
        </w:sdtContent>
      </w:sdt>
      <w:r w:rsidRPr="00B52C92">
        <w:rPr>
          <w:rFonts w:eastAsia="Times New Roman" w:cstheme="minorHAnsi"/>
          <w:sz w:val="24"/>
          <w:szCs w:val="24"/>
          <w:lang w:eastAsia="en-GB"/>
        </w:rPr>
        <w:t xml:space="preserve"> organisation model is built to drive operational excellence and synergies via common processes and economies of scale. </w:t>
      </w:r>
    </w:p>
    <w:p w14:paraId="593B11F8" w14:textId="77777777" w:rsidR="00B52C92" w:rsidRPr="00B52C92" w:rsidRDefault="00B52C92" w:rsidP="00B52C92">
      <w:pPr>
        <w:spacing w:after="0" w:line="360" w:lineRule="auto"/>
        <w:jc w:val="both"/>
        <w:rPr>
          <w:rFonts w:eastAsia="Times New Roman" w:cstheme="minorHAnsi"/>
          <w:sz w:val="24"/>
          <w:szCs w:val="24"/>
          <w:lang w:eastAsia="en-GB"/>
        </w:rPr>
      </w:pPr>
      <w:r w:rsidRPr="00B52C92">
        <w:rPr>
          <w:rFonts w:eastAsia="Times New Roman" w:cstheme="minorHAnsi"/>
          <w:sz w:val="24"/>
          <w:szCs w:val="24"/>
          <w:lang w:eastAsia="en-GB"/>
        </w:rPr>
        <w:lastRenderedPageBreak/>
        <w:t>Another significant driver was the European Law. It permits businesses to operate in a unified legal form across national boundaries in the EU, hence simplifying the company’s corporate governance and merging corporations from different countries (BP Europa SE, 2022).</w:t>
      </w:r>
    </w:p>
    <w:p w14:paraId="4A2D4397" w14:textId="77777777" w:rsidR="00B52C92" w:rsidRPr="00B52C92" w:rsidRDefault="00B52C92" w:rsidP="00B52C92">
      <w:pPr>
        <w:spacing w:after="0" w:line="240" w:lineRule="auto"/>
        <w:rPr>
          <w:rFonts w:eastAsia="Times New Roman" w:cstheme="minorHAnsi"/>
          <w:b/>
          <w:bCs/>
          <w:sz w:val="24"/>
          <w:szCs w:val="24"/>
          <w:lang w:eastAsia="en-GB"/>
        </w:rPr>
      </w:pPr>
    </w:p>
    <w:p w14:paraId="4586D24B" w14:textId="77777777" w:rsidR="00B52C92" w:rsidRPr="00B52C92" w:rsidRDefault="00B52C92" w:rsidP="00B52C92">
      <w:pPr>
        <w:spacing w:after="0" w:line="240" w:lineRule="auto"/>
        <w:rPr>
          <w:rFonts w:eastAsia="Times New Roman" w:cstheme="minorHAnsi"/>
          <w:b/>
          <w:bCs/>
          <w:sz w:val="24"/>
          <w:szCs w:val="24"/>
          <w:lang w:eastAsia="en-GB"/>
        </w:rPr>
      </w:pPr>
      <w:r w:rsidRPr="00B52C92">
        <w:rPr>
          <w:rFonts w:eastAsia="Times New Roman" w:cstheme="minorHAnsi"/>
          <w:b/>
          <w:bCs/>
          <w:sz w:val="24"/>
          <w:szCs w:val="24"/>
          <w:lang w:eastAsia="en-GB"/>
        </w:rPr>
        <w:t xml:space="preserve">Reactive Motives </w:t>
      </w:r>
    </w:p>
    <w:p w14:paraId="603E6A4D" w14:textId="77777777" w:rsidR="00B52C92" w:rsidRPr="00B52C92" w:rsidRDefault="00B52C92" w:rsidP="00B52C92">
      <w:pPr>
        <w:spacing w:after="0" w:line="240" w:lineRule="auto"/>
        <w:rPr>
          <w:rFonts w:eastAsia="Times New Roman" w:cstheme="minorHAnsi"/>
          <w:b/>
          <w:bCs/>
          <w:sz w:val="24"/>
          <w:szCs w:val="24"/>
          <w:lang w:eastAsia="en-GB"/>
        </w:rPr>
      </w:pPr>
    </w:p>
    <w:p w14:paraId="5580EAC2" w14:textId="77777777" w:rsidR="00B52C92" w:rsidRPr="00B52C92" w:rsidRDefault="00B52C92" w:rsidP="00B52C92">
      <w:pPr>
        <w:spacing w:before="100" w:beforeAutospacing="1" w:after="100" w:afterAutospacing="1" w:line="360" w:lineRule="auto"/>
        <w:jc w:val="both"/>
        <w:rPr>
          <w:rFonts w:eastAsia="Times New Roman" w:cstheme="minorHAnsi"/>
          <w:sz w:val="24"/>
          <w:szCs w:val="24"/>
          <w:lang w:eastAsia="en-GB"/>
        </w:rPr>
      </w:pPr>
      <w:r w:rsidRPr="00B52C92">
        <w:rPr>
          <w:rFonts w:eastAsia="Times New Roman" w:cstheme="minorHAnsi"/>
          <w:sz w:val="24"/>
          <w:szCs w:val="24"/>
          <w:lang w:eastAsia="en-GB"/>
        </w:rPr>
        <w:t xml:space="preserve">The common reactive motives for the internationalisation of companies are competitive pressure, overproduction, and declining domestic sales. Czinkota, 2004 believes that excess capacity and saturated domestic markets are also key drivers. </w:t>
      </w:r>
    </w:p>
    <w:p w14:paraId="4DBAE5B3" w14:textId="77777777" w:rsidR="00B52C92" w:rsidRPr="00B52C92" w:rsidRDefault="00B52C92" w:rsidP="00B52C92">
      <w:pPr>
        <w:spacing w:before="100" w:beforeAutospacing="1" w:after="100" w:afterAutospacing="1" w:line="360" w:lineRule="auto"/>
        <w:jc w:val="both"/>
        <w:rPr>
          <w:rFonts w:eastAsia="Times New Roman" w:cstheme="minorHAnsi"/>
          <w:sz w:val="24"/>
          <w:szCs w:val="24"/>
          <w:lang w:eastAsia="en-GB"/>
        </w:rPr>
      </w:pPr>
      <w:r w:rsidRPr="00B52C92">
        <w:rPr>
          <w:rFonts w:eastAsia="Times New Roman" w:cstheme="minorHAnsi"/>
          <w:sz w:val="24"/>
          <w:szCs w:val="24"/>
          <w:lang w:eastAsia="en-GB"/>
        </w:rPr>
        <w:t xml:space="preserve"> BP plc's oil and gas industry competition is mainly driven by proactive motives rather than reactive; nevertheless, the most prominent reactive motives of BP plc. are as follows; first, is the industry transformation, the need to provide sustainable products and continuously increase the value. Second is the need to secure resources to supply the rising domestic demand for energy (Guzman, 2019). The third, is that increased competition determines the need to access highly advantageous hydrocarbon resources or boost core competencies. Finally, because of high pressures to reduce the cost of production, the company must expand the networks and supplies.   Internationalisation allows the organisation access to foreign markets with attractive perspectivity, diversifies their portfolios, strengthens competencies, and develops international collaborations. Despite the multiple benefits it provides, there are also risks involved that should not be ignored.    </w:t>
      </w:r>
    </w:p>
    <w:p w14:paraId="160AD9F9" w14:textId="77777777" w:rsidR="00B52C92" w:rsidRPr="00B52C92" w:rsidRDefault="00B52C92" w:rsidP="00B52C92">
      <w:pPr>
        <w:spacing w:before="100" w:beforeAutospacing="1" w:after="100" w:afterAutospacing="1" w:line="240" w:lineRule="auto"/>
        <w:rPr>
          <w:rFonts w:eastAsia="Times New Roman" w:cstheme="minorHAnsi"/>
          <w:b/>
          <w:bCs/>
          <w:sz w:val="24"/>
          <w:szCs w:val="24"/>
          <w:lang w:eastAsia="en-GB"/>
        </w:rPr>
      </w:pPr>
      <w:r w:rsidRPr="00B52C92">
        <w:rPr>
          <w:rFonts w:eastAsia="Times New Roman" w:cstheme="minorHAnsi"/>
          <w:b/>
          <w:bCs/>
          <w:sz w:val="24"/>
          <w:szCs w:val="24"/>
          <w:lang w:eastAsia="en-GB"/>
        </w:rPr>
        <w:t xml:space="preserve">Conclusion </w:t>
      </w:r>
    </w:p>
    <w:p w14:paraId="3958E60C" w14:textId="77777777" w:rsidR="00B52C92" w:rsidRPr="00B52C92" w:rsidRDefault="00B52C92" w:rsidP="00B52C92">
      <w:pPr>
        <w:spacing w:before="100" w:beforeAutospacing="1" w:after="100" w:afterAutospacing="1" w:line="360" w:lineRule="auto"/>
        <w:jc w:val="both"/>
        <w:rPr>
          <w:rFonts w:eastAsia="Times New Roman" w:cstheme="minorHAnsi"/>
          <w:sz w:val="24"/>
          <w:szCs w:val="24"/>
          <w:lang w:eastAsia="en-GB"/>
        </w:rPr>
      </w:pPr>
      <w:r w:rsidRPr="00B52C92">
        <w:rPr>
          <w:rFonts w:eastAsia="Times New Roman" w:cstheme="minorHAnsi"/>
          <w:sz w:val="24"/>
          <w:szCs w:val="24"/>
          <w:lang w:eastAsia="en-GB"/>
        </w:rPr>
        <w:t xml:space="preserve">In conclusion, BP plc internationalised because of proactive and reactive motives. Proactive motives derive from the organisation’s long-term goals to build sustainable operation, increase the profits, and get access to foreign markets that creates networks and partnerships. Besides that, the reactive motivators that derive from domestic pressure to secure the supply, the pressure for a lower cost of the products therefore the need to lower the costs of operations. The need to find cheaper resources and deliver quality is among the internationalisation drivers of BP plc. Internationalisation opens door to new opportunities for growth and achieving the company national and global strategy. </w:t>
      </w:r>
    </w:p>
    <w:p w14:paraId="22A9BE0A" w14:textId="77777777" w:rsidR="00B52C92" w:rsidRPr="00D558D3" w:rsidRDefault="00B52C92" w:rsidP="00B52C92">
      <w:pPr>
        <w:pStyle w:val="NormalWeb"/>
        <w:spacing w:line="360" w:lineRule="auto"/>
        <w:jc w:val="both"/>
        <w:rPr>
          <w:rFonts w:ascii="ArialMT" w:hAnsi="ArialMT"/>
        </w:rPr>
      </w:pPr>
    </w:p>
    <w:p w14:paraId="3D03E8E5" w14:textId="77777777" w:rsidR="002432B5" w:rsidRDefault="002432B5" w:rsidP="001E224E">
      <w:pPr>
        <w:autoSpaceDE w:val="0"/>
        <w:autoSpaceDN w:val="0"/>
        <w:adjustRightInd w:val="0"/>
        <w:spacing w:after="0" w:line="360" w:lineRule="auto"/>
        <w:rPr>
          <w:rFonts w:eastAsia="Calibri" w:cstheme="minorHAnsi"/>
          <w:b/>
          <w:bCs/>
          <w:color w:val="000000"/>
          <w:sz w:val="24"/>
          <w:szCs w:val="24"/>
          <w:lang w:val="en-US"/>
        </w:rPr>
      </w:pPr>
    </w:p>
    <w:p w14:paraId="5E4207B2" w14:textId="77777777" w:rsidR="002432B5" w:rsidRDefault="002432B5" w:rsidP="001E224E">
      <w:pPr>
        <w:autoSpaceDE w:val="0"/>
        <w:autoSpaceDN w:val="0"/>
        <w:adjustRightInd w:val="0"/>
        <w:spacing w:after="0" w:line="360" w:lineRule="auto"/>
        <w:rPr>
          <w:rFonts w:eastAsia="Calibri" w:cstheme="minorHAnsi"/>
          <w:b/>
          <w:bCs/>
          <w:color w:val="000000"/>
          <w:sz w:val="24"/>
          <w:szCs w:val="24"/>
          <w:lang w:val="en-US"/>
        </w:rPr>
      </w:pPr>
    </w:p>
    <w:p w14:paraId="5F82D3BE" w14:textId="5A0A7547" w:rsidR="001E224E" w:rsidRPr="001E224E" w:rsidRDefault="001E224E" w:rsidP="001E224E">
      <w:pPr>
        <w:autoSpaceDE w:val="0"/>
        <w:autoSpaceDN w:val="0"/>
        <w:adjustRightInd w:val="0"/>
        <w:spacing w:after="0" w:line="360" w:lineRule="auto"/>
        <w:rPr>
          <w:rFonts w:eastAsia="Calibri" w:cstheme="minorHAnsi"/>
          <w:b/>
          <w:bCs/>
          <w:color w:val="000000"/>
          <w:sz w:val="24"/>
          <w:szCs w:val="24"/>
          <w:lang w:val="en-US"/>
        </w:rPr>
      </w:pPr>
      <w:r w:rsidRPr="00D558D3">
        <w:rPr>
          <w:rFonts w:eastAsia="Calibri" w:cstheme="minorHAnsi"/>
          <w:b/>
          <w:bCs/>
          <w:color w:val="000000"/>
          <w:sz w:val="24"/>
          <w:szCs w:val="24"/>
          <w:lang w:val="en-US"/>
        </w:rPr>
        <w:t>2.</w:t>
      </w:r>
      <w:bookmarkStart w:id="2" w:name="_Hlk102492907"/>
      <w:r w:rsidRPr="001E224E">
        <w:rPr>
          <w:rFonts w:eastAsia="Calibri" w:cstheme="minorHAnsi"/>
          <w:b/>
          <w:bCs/>
          <w:color w:val="000000"/>
          <w:sz w:val="24"/>
          <w:szCs w:val="24"/>
          <w:lang w:val="en-US"/>
        </w:rPr>
        <w:t>Critically analyses how country risks may affect BP’s investments opportunities in host countries</w:t>
      </w:r>
      <w:bookmarkEnd w:id="2"/>
    </w:p>
    <w:p w14:paraId="3902148A"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p>
    <w:p w14:paraId="1FDAB6EB"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r w:rsidRPr="001E224E">
        <w:rPr>
          <w:rFonts w:eastAsia="Calibri" w:cstheme="minorHAnsi"/>
          <w:color w:val="000000"/>
          <w:sz w:val="24"/>
          <w:szCs w:val="24"/>
          <w:lang w:val="en-US"/>
        </w:rPr>
        <w:t>The oil industry is currently one of the most attractive trading areas in the world. Because it is an extremely competitive environment, with many huge brands operating, the investments to improve the quality of products and services are increasing year by year.</w:t>
      </w:r>
    </w:p>
    <w:p w14:paraId="24A82579"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p>
    <w:p w14:paraId="61B24D1A"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r w:rsidRPr="001E224E">
        <w:rPr>
          <w:rFonts w:eastAsia="Calibri" w:cstheme="minorHAnsi"/>
          <w:color w:val="000000"/>
          <w:sz w:val="24"/>
          <w:szCs w:val="24"/>
          <w:lang w:val="en-US"/>
        </w:rPr>
        <w:t>British Petroleum (BP) is one of the largest oil and gas companies. With the organization's headquarters in London, the company is famous because in 2021 it was ranked 5</w:t>
      </w:r>
      <w:r w:rsidRPr="001E224E">
        <w:rPr>
          <w:rFonts w:eastAsia="Calibri" w:cstheme="minorHAnsi"/>
          <w:color w:val="000000"/>
          <w:sz w:val="24"/>
          <w:szCs w:val="24"/>
          <w:vertAlign w:val="superscript"/>
          <w:lang w:val="en-US"/>
        </w:rPr>
        <w:t xml:space="preserve">th </w:t>
      </w:r>
      <w:r w:rsidRPr="001E224E">
        <w:rPr>
          <w:rFonts w:eastAsia="Calibri" w:cstheme="minorHAnsi"/>
          <w:color w:val="000000"/>
          <w:sz w:val="24"/>
          <w:szCs w:val="24"/>
          <w:lang w:val="en-US"/>
        </w:rPr>
        <w:t>in the world based on their revenue</w:t>
      </w:r>
      <w:sdt>
        <w:sdtPr>
          <w:rPr>
            <w:rFonts w:eastAsia="Calibri" w:cstheme="minorHAnsi"/>
            <w:color w:val="000000"/>
            <w:sz w:val="24"/>
            <w:szCs w:val="24"/>
            <w:lang w:val="en-US"/>
          </w:rPr>
          <w:id w:val="210462932"/>
          <w:citation/>
        </w:sdtPr>
        <w:sdtEndPr/>
        <w:sdtContent>
          <w:r w:rsidRPr="001E224E">
            <w:rPr>
              <w:rFonts w:eastAsia="Calibri" w:cstheme="minorHAnsi"/>
              <w:color w:val="000000"/>
              <w:sz w:val="24"/>
              <w:szCs w:val="24"/>
              <w:lang w:val="en-US"/>
            </w:rPr>
            <w:fldChar w:fldCharType="begin"/>
          </w:r>
          <w:r w:rsidRPr="001E224E">
            <w:rPr>
              <w:rFonts w:eastAsia="Calibri" w:cstheme="minorHAnsi"/>
              <w:color w:val="000000"/>
              <w:sz w:val="24"/>
              <w:szCs w:val="24"/>
              <w:lang w:val="en-US"/>
            </w:rPr>
            <w:instrText xml:space="preserve"> CITATION Sta219 \l 1033 </w:instrText>
          </w:r>
          <w:r w:rsidRPr="001E224E">
            <w:rPr>
              <w:rFonts w:eastAsia="Calibri" w:cstheme="minorHAnsi"/>
              <w:color w:val="000000"/>
              <w:sz w:val="24"/>
              <w:szCs w:val="24"/>
              <w:lang w:val="en-US"/>
            </w:rPr>
            <w:fldChar w:fldCharType="separate"/>
          </w:r>
          <w:r w:rsidRPr="001E224E">
            <w:rPr>
              <w:rFonts w:eastAsia="Calibri" w:cstheme="minorHAnsi"/>
              <w:noProof/>
              <w:color w:val="000000"/>
              <w:sz w:val="24"/>
              <w:szCs w:val="24"/>
              <w:lang w:val="en-US"/>
            </w:rPr>
            <w:t xml:space="preserve"> (Statista, 2021)</w:t>
          </w:r>
          <w:r w:rsidRPr="001E224E">
            <w:rPr>
              <w:rFonts w:eastAsia="Calibri" w:cstheme="minorHAnsi"/>
              <w:color w:val="000000"/>
              <w:sz w:val="24"/>
              <w:szCs w:val="24"/>
              <w:lang w:val="en-US"/>
            </w:rPr>
            <w:fldChar w:fldCharType="end"/>
          </w:r>
        </w:sdtContent>
      </w:sdt>
      <w:r w:rsidRPr="001E224E">
        <w:rPr>
          <w:rFonts w:eastAsia="Calibri" w:cstheme="minorHAnsi"/>
          <w:color w:val="000000"/>
          <w:sz w:val="24"/>
          <w:szCs w:val="24"/>
          <w:lang w:val="en-US"/>
        </w:rPr>
        <w:t>.</w:t>
      </w:r>
    </w:p>
    <w:p w14:paraId="1044B67D"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p>
    <w:p w14:paraId="37199D4C"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r w:rsidRPr="001E224E">
        <w:rPr>
          <w:rFonts w:eastAsia="Calibri" w:cstheme="minorHAnsi"/>
          <w:color w:val="000000"/>
          <w:sz w:val="24"/>
          <w:szCs w:val="24"/>
          <w:lang w:val="en-US"/>
        </w:rPr>
        <w:t xml:space="preserve">Given the very strong competition in this industry, investment opportunities are carefully analyzed in advance. Each country has different factors that can be considered as advantages or disadvantages. Therefore, before investing in a new territory, the initial purpose is to clarify the competitive position and objectives for achieving and maintaining the advantage but also the development of long-term services. To this end, different principles could be adopted in areas such as marketing, product development, human resources, or process management </w:t>
      </w:r>
      <w:sdt>
        <w:sdtPr>
          <w:rPr>
            <w:rFonts w:eastAsia="Calibri" w:cstheme="minorHAnsi"/>
            <w:color w:val="000000"/>
            <w:sz w:val="24"/>
            <w:szCs w:val="24"/>
            <w:lang w:val="en-US"/>
          </w:rPr>
          <w:id w:val="-665553775"/>
          <w:citation/>
        </w:sdtPr>
        <w:sdtEndPr/>
        <w:sdtContent>
          <w:r w:rsidRPr="001E224E">
            <w:rPr>
              <w:rFonts w:eastAsia="Calibri" w:cstheme="minorHAnsi"/>
              <w:color w:val="000000"/>
              <w:sz w:val="24"/>
              <w:szCs w:val="24"/>
              <w:lang w:val="en-US"/>
            </w:rPr>
            <w:fldChar w:fldCharType="begin"/>
          </w:r>
          <w:r w:rsidRPr="001E224E">
            <w:rPr>
              <w:rFonts w:eastAsia="Calibri" w:cstheme="minorHAnsi"/>
              <w:color w:val="000000"/>
              <w:sz w:val="24"/>
              <w:szCs w:val="24"/>
              <w:lang w:val="en-US"/>
            </w:rPr>
            <w:instrText xml:space="preserve"> CITATION Gra13 \l 1033 </w:instrText>
          </w:r>
          <w:r w:rsidRPr="001E224E">
            <w:rPr>
              <w:rFonts w:eastAsia="Calibri" w:cstheme="minorHAnsi"/>
              <w:color w:val="000000"/>
              <w:sz w:val="24"/>
              <w:szCs w:val="24"/>
              <w:lang w:val="en-US"/>
            </w:rPr>
            <w:fldChar w:fldCharType="separate"/>
          </w:r>
          <w:r w:rsidRPr="001E224E">
            <w:rPr>
              <w:rFonts w:eastAsia="Calibri" w:cstheme="minorHAnsi"/>
              <w:noProof/>
              <w:color w:val="000000"/>
              <w:sz w:val="24"/>
              <w:szCs w:val="24"/>
              <w:lang w:val="en-US"/>
            </w:rPr>
            <w:t>(Grace, 2013)</w:t>
          </w:r>
          <w:r w:rsidRPr="001E224E">
            <w:rPr>
              <w:rFonts w:eastAsia="Calibri" w:cstheme="minorHAnsi"/>
              <w:color w:val="000000"/>
              <w:sz w:val="24"/>
              <w:szCs w:val="24"/>
              <w:lang w:val="en-US"/>
            </w:rPr>
            <w:fldChar w:fldCharType="end"/>
          </w:r>
        </w:sdtContent>
      </w:sdt>
      <w:r w:rsidRPr="001E224E">
        <w:rPr>
          <w:rFonts w:eastAsia="Calibri" w:cstheme="minorHAnsi"/>
          <w:color w:val="000000"/>
          <w:sz w:val="24"/>
          <w:szCs w:val="24"/>
          <w:lang w:val="en-US"/>
        </w:rPr>
        <w:t>.</w:t>
      </w:r>
    </w:p>
    <w:p w14:paraId="6CB435D0"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p>
    <w:p w14:paraId="58815829" w14:textId="77777777" w:rsidR="001E224E" w:rsidRPr="001E224E" w:rsidRDefault="001E224E" w:rsidP="001E224E">
      <w:pPr>
        <w:autoSpaceDE w:val="0"/>
        <w:autoSpaceDN w:val="0"/>
        <w:adjustRightInd w:val="0"/>
        <w:spacing w:after="0" w:line="360" w:lineRule="auto"/>
        <w:rPr>
          <w:rFonts w:eastAsia="Calibri" w:cstheme="minorHAnsi"/>
          <w:color w:val="000000"/>
          <w:sz w:val="24"/>
          <w:szCs w:val="24"/>
          <w:lang w:val="en-US"/>
        </w:rPr>
      </w:pPr>
      <w:r w:rsidRPr="001E224E">
        <w:rPr>
          <w:rFonts w:eastAsia="Calibri" w:cstheme="minorHAnsi"/>
          <w:color w:val="000000"/>
          <w:sz w:val="24"/>
          <w:szCs w:val="24"/>
          <w:lang w:val="en-US"/>
        </w:rPr>
        <w:t xml:space="preserve">Therefore, before a major investment, any company will have to examine the relationship between country risk and the business it has in order to ensure that the future will generate positive changes in the organization. Therefore, an investor will be permanently attracted to choose a country with a low risk, it will present a stable economy and policy, a favorable business environment for any foreign investment </w:t>
      </w:r>
      <w:sdt>
        <w:sdtPr>
          <w:rPr>
            <w:rFonts w:eastAsia="Calibri" w:cstheme="minorHAnsi"/>
            <w:color w:val="000000"/>
            <w:sz w:val="24"/>
            <w:szCs w:val="24"/>
            <w:lang w:val="en-US"/>
          </w:rPr>
          <w:id w:val="-1781415439"/>
          <w:citation/>
        </w:sdtPr>
        <w:sdtEndPr/>
        <w:sdtContent>
          <w:r w:rsidRPr="001E224E">
            <w:rPr>
              <w:rFonts w:eastAsia="Calibri" w:cstheme="minorHAnsi"/>
              <w:color w:val="000000"/>
              <w:sz w:val="24"/>
              <w:szCs w:val="24"/>
              <w:lang w:val="en-US"/>
            </w:rPr>
            <w:fldChar w:fldCharType="begin"/>
          </w:r>
          <w:r w:rsidRPr="001E224E">
            <w:rPr>
              <w:rFonts w:eastAsia="Calibri" w:cstheme="minorHAnsi"/>
              <w:color w:val="000000"/>
              <w:sz w:val="24"/>
              <w:szCs w:val="24"/>
              <w:lang w:val="en-US"/>
            </w:rPr>
            <w:instrText xml:space="preserve"> CITATION Mel00 \l 1033 </w:instrText>
          </w:r>
          <w:r w:rsidRPr="001E224E">
            <w:rPr>
              <w:rFonts w:eastAsia="Calibri" w:cstheme="minorHAnsi"/>
              <w:color w:val="000000"/>
              <w:sz w:val="24"/>
              <w:szCs w:val="24"/>
              <w:lang w:val="en-US"/>
            </w:rPr>
            <w:fldChar w:fldCharType="separate"/>
          </w:r>
          <w:r w:rsidRPr="001E224E">
            <w:rPr>
              <w:rFonts w:eastAsia="Calibri" w:cstheme="minorHAnsi"/>
              <w:noProof/>
              <w:color w:val="000000"/>
              <w:sz w:val="24"/>
              <w:szCs w:val="24"/>
              <w:lang w:val="en-US"/>
            </w:rPr>
            <w:t>(Meldrum, 2000)</w:t>
          </w:r>
          <w:r w:rsidRPr="001E224E">
            <w:rPr>
              <w:rFonts w:eastAsia="Calibri" w:cstheme="minorHAnsi"/>
              <w:color w:val="000000"/>
              <w:sz w:val="24"/>
              <w:szCs w:val="24"/>
              <w:lang w:val="en-US"/>
            </w:rPr>
            <w:fldChar w:fldCharType="end"/>
          </w:r>
        </w:sdtContent>
      </w:sdt>
      <w:r w:rsidRPr="001E224E">
        <w:rPr>
          <w:rFonts w:eastAsia="Calibri" w:cstheme="minorHAnsi"/>
          <w:color w:val="000000"/>
          <w:sz w:val="24"/>
          <w:szCs w:val="24"/>
          <w:lang w:val="en-US"/>
        </w:rPr>
        <w:t>.</w:t>
      </w:r>
    </w:p>
    <w:p w14:paraId="751FF070" w14:textId="77777777" w:rsidR="001E224E" w:rsidRPr="001E224E" w:rsidRDefault="001E224E" w:rsidP="001E224E">
      <w:pPr>
        <w:spacing w:after="200" w:line="360" w:lineRule="auto"/>
        <w:rPr>
          <w:rFonts w:eastAsia="Calibri" w:cstheme="minorHAnsi"/>
          <w:sz w:val="24"/>
          <w:szCs w:val="24"/>
          <w:lang w:val="en-US"/>
        </w:rPr>
      </w:pPr>
    </w:p>
    <w:p w14:paraId="6557E6D5"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In the case of British Petroleum, a new investment can be affected in each country by two main factors: the country's policy and the economic situation.</w:t>
      </w:r>
    </w:p>
    <w:p w14:paraId="783F53D0" w14:textId="77777777" w:rsidR="001E224E" w:rsidRPr="001E224E" w:rsidRDefault="001E224E" w:rsidP="001E224E">
      <w:pPr>
        <w:spacing w:after="200" w:line="360" w:lineRule="auto"/>
        <w:rPr>
          <w:rFonts w:eastAsia="Calibri" w:cstheme="minorHAnsi"/>
          <w:sz w:val="24"/>
          <w:szCs w:val="24"/>
          <w:lang w:val="en-US"/>
        </w:rPr>
      </w:pPr>
    </w:p>
    <w:p w14:paraId="307F5BFB" w14:textId="77777777" w:rsidR="001E224E" w:rsidRPr="001E224E" w:rsidRDefault="001E224E" w:rsidP="001E224E">
      <w:pPr>
        <w:spacing w:after="200" w:line="360" w:lineRule="auto"/>
        <w:rPr>
          <w:rFonts w:eastAsia="Calibri" w:cstheme="minorHAnsi"/>
          <w:sz w:val="24"/>
          <w:szCs w:val="24"/>
          <w:lang w:val="en-US"/>
        </w:rPr>
      </w:pPr>
    </w:p>
    <w:p w14:paraId="20F88B1F"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A. Political Risk: The attitude of host Government can affect an enterprise like BP by the regulations it imposes, as the limitations and obligations regarding the extraction, the production process but also the sale of their products. These limitations are certainly different from state to state, which is why BP tends to prefer countries with stable political systems that are suitable for any business.</w:t>
      </w:r>
    </w:p>
    <w:p w14:paraId="79FDDD0E"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A common mistake is to choose a country for a potential investment just because it has rich gas and oil resources. However, the business cannot always make a profit because the government may apply various taxes or regulations that are not to the liking of investors. Therefore, in order to eliminate the risks, a detailed analysis is needed before any step of an investment, to achieve a lasting relationship.</w:t>
      </w:r>
    </w:p>
    <w:p w14:paraId="1B165627"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B. Financial Risk: This chapter covers a wide range of issues that could affect a company in the long run. Certainly, for British Petroleum, the main problem it faces after a new investment is the operating costs that are different in each region. In addition, there is the very volatile price of oil, which can cause significant changes.</w:t>
      </w:r>
    </w:p>
    <w:p w14:paraId="42F3D795"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Also, the relationship between supply and demand is a real risk for companies like BP. This differs in each country and can be a crucial focus for the future development of a company. Operations require a lot of capital and time and are not at all easy to slow down when demand falls. That is why this economic risk can essentially influence the evolution of a business in each country.</w:t>
      </w:r>
    </w:p>
    <w:p w14:paraId="1FA23890"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In conclusion, the political and economic factors mentioned above can represent risks that could affect any potential investment. However, geological risk, interest rates and inflation also have potential factors to consider. In this regard, any investor must assess all aspects necessary to fully understand the risks.</w:t>
      </w:r>
    </w:p>
    <w:p w14:paraId="7D5D1BEA" w14:textId="7804E84D" w:rsidR="0091016E" w:rsidRPr="00D558D3" w:rsidRDefault="0091016E">
      <w:pPr>
        <w:rPr>
          <w:b/>
          <w:bCs/>
          <w:sz w:val="24"/>
          <w:szCs w:val="24"/>
        </w:rPr>
      </w:pPr>
    </w:p>
    <w:p w14:paraId="6F50BB65" w14:textId="77777777" w:rsidR="0091016E" w:rsidRPr="00D558D3" w:rsidRDefault="0091016E">
      <w:pPr>
        <w:rPr>
          <w:b/>
          <w:bCs/>
          <w:sz w:val="24"/>
          <w:szCs w:val="24"/>
        </w:rPr>
      </w:pPr>
    </w:p>
    <w:p w14:paraId="0B6B4D17" w14:textId="77777777" w:rsidR="00F87F8A" w:rsidRPr="00D558D3" w:rsidRDefault="00F87F8A">
      <w:pPr>
        <w:rPr>
          <w:b/>
          <w:bCs/>
          <w:sz w:val="24"/>
          <w:szCs w:val="24"/>
        </w:rPr>
      </w:pPr>
    </w:p>
    <w:p w14:paraId="614EBB57" w14:textId="77777777" w:rsidR="00CF0FF9" w:rsidRPr="00D558D3" w:rsidRDefault="00CF0FF9">
      <w:pPr>
        <w:rPr>
          <w:b/>
          <w:bCs/>
          <w:sz w:val="24"/>
          <w:szCs w:val="24"/>
        </w:rPr>
      </w:pPr>
    </w:p>
    <w:p w14:paraId="18EE2A9B" w14:textId="77777777" w:rsidR="002432B5" w:rsidRDefault="002432B5" w:rsidP="001E224E">
      <w:pPr>
        <w:spacing w:after="200" w:line="360" w:lineRule="auto"/>
        <w:rPr>
          <w:rFonts w:eastAsia="Calibri" w:cstheme="minorHAnsi"/>
          <w:b/>
          <w:bCs/>
          <w:sz w:val="24"/>
          <w:szCs w:val="24"/>
          <w:lang w:val="en-US"/>
        </w:rPr>
      </w:pPr>
    </w:p>
    <w:p w14:paraId="459EB22F" w14:textId="7B9A50BB" w:rsidR="001E224E" w:rsidRPr="001E224E" w:rsidRDefault="001E224E" w:rsidP="001E224E">
      <w:pPr>
        <w:spacing w:after="200" w:line="360" w:lineRule="auto"/>
        <w:rPr>
          <w:rFonts w:eastAsia="Calibri" w:cstheme="minorHAnsi"/>
          <w:b/>
          <w:bCs/>
          <w:sz w:val="24"/>
          <w:szCs w:val="24"/>
          <w:lang w:val="en-US"/>
        </w:rPr>
      </w:pPr>
      <w:r w:rsidRPr="00D558D3">
        <w:rPr>
          <w:rFonts w:eastAsia="Calibri" w:cstheme="minorHAnsi"/>
          <w:b/>
          <w:bCs/>
          <w:sz w:val="24"/>
          <w:szCs w:val="24"/>
          <w:lang w:val="en-US"/>
        </w:rPr>
        <w:lastRenderedPageBreak/>
        <w:t>3.</w:t>
      </w:r>
      <w:r w:rsidRPr="001E224E">
        <w:rPr>
          <w:rFonts w:eastAsia="Calibri" w:cstheme="minorHAnsi"/>
          <w:b/>
          <w:bCs/>
          <w:sz w:val="24"/>
          <w:szCs w:val="24"/>
          <w:lang w:val="en-US"/>
        </w:rPr>
        <w:t>Critically analyses and evaluates BP Corporation’s sources of finance</w:t>
      </w:r>
    </w:p>
    <w:p w14:paraId="7426871F"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 xml:space="preserve">British Petroleum (BP) is a company specializing in the production and sale of oil and gas. The organization was founded in 1901, and is currently headquartered in London, being present in over 80 countries around the world. Over the course of over 100 years of activity, the brand has created a series of successes that have generated popularity but also many disputes </w:t>
      </w:r>
      <w:sdt>
        <w:sdtPr>
          <w:rPr>
            <w:rFonts w:eastAsia="Calibri" w:cstheme="minorHAnsi"/>
            <w:sz w:val="24"/>
            <w:szCs w:val="24"/>
            <w:lang w:val="en-US"/>
          </w:rPr>
          <w:id w:val="667678770"/>
          <w:citation/>
        </w:sdtPr>
        <w:sdtEndPr/>
        <w:sdtContent>
          <w:r w:rsidRPr="001E224E">
            <w:rPr>
              <w:rFonts w:eastAsia="Calibri" w:cstheme="minorHAnsi"/>
              <w:sz w:val="24"/>
              <w:szCs w:val="24"/>
              <w:lang w:val="en-US"/>
            </w:rPr>
            <w:fldChar w:fldCharType="begin"/>
          </w:r>
          <w:r w:rsidRPr="001E224E">
            <w:rPr>
              <w:rFonts w:eastAsia="Calibri" w:cstheme="minorHAnsi"/>
              <w:sz w:val="24"/>
              <w:szCs w:val="24"/>
              <w:lang w:val="en-US"/>
            </w:rPr>
            <w:instrText xml:space="preserve"> CITATION Cei19 \l 1033 </w:instrText>
          </w:r>
          <w:r w:rsidRPr="001E224E">
            <w:rPr>
              <w:rFonts w:eastAsia="Calibri" w:cstheme="minorHAnsi"/>
              <w:sz w:val="24"/>
              <w:szCs w:val="24"/>
              <w:lang w:val="en-US"/>
            </w:rPr>
            <w:fldChar w:fldCharType="separate"/>
          </w:r>
          <w:r w:rsidRPr="001E224E">
            <w:rPr>
              <w:rFonts w:eastAsia="Calibri" w:cstheme="minorHAnsi"/>
              <w:noProof/>
              <w:sz w:val="24"/>
              <w:szCs w:val="24"/>
              <w:lang w:val="en-US"/>
            </w:rPr>
            <w:t>(Ceil, 2019)</w:t>
          </w:r>
          <w:r w:rsidRPr="001E224E">
            <w:rPr>
              <w:rFonts w:eastAsia="Calibri" w:cstheme="minorHAnsi"/>
              <w:sz w:val="24"/>
              <w:szCs w:val="24"/>
              <w:lang w:val="en-US"/>
            </w:rPr>
            <w:fldChar w:fldCharType="end"/>
          </w:r>
        </w:sdtContent>
      </w:sdt>
      <w:r w:rsidRPr="001E224E">
        <w:rPr>
          <w:rFonts w:eastAsia="Calibri" w:cstheme="minorHAnsi"/>
          <w:sz w:val="24"/>
          <w:szCs w:val="24"/>
          <w:lang w:val="en-US"/>
        </w:rPr>
        <w:t>. However, BP is engaged in a lengthy process involving the storage, processing, transportation, and marketing of petroleum products. Their strategy focuses mainly on the quality of services but also on environmental issues and the transparency of their operations.</w:t>
      </w:r>
    </w:p>
    <w:p w14:paraId="051A9D23"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 xml:space="preserve">According to some studies, it has been estimated that by 2030, energy consumption will increase by more than 40% compared to current values, which determines the British Petroleum management to aim to attract potential investors but also new territories from which to benefit. from oil extraction </w:t>
      </w:r>
      <w:sdt>
        <w:sdtPr>
          <w:rPr>
            <w:rFonts w:eastAsia="Calibri" w:cstheme="minorHAnsi"/>
            <w:sz w:val="24"/>
            <w:szCs w:val="24"/>
            <w:lang w:val="en-US"/>
          </w:rPr>
          <w:id w:val="-1805000032"/>
          <w:citation/>
        </w:sdtPr>
        <w:sdtEndPr/>
        <w:sdtContent>
          <w:r w:rsidRPr="001E224E">
            <w:rPr>
              <w:rFonts w:eastAsia="Calibri" w:cstheme="minorHAnsi"/>
              <w:sz w:val="24"/>
              <w:szCs w:val="24"/>
              <w:lang w:val="en-US"/>
            </w:rPr>
            <w:fldChar w:fldCharType="begin"/>
          </w:r>
          <w:r w:rsidRPr="001E224E">
            <w:rPr>
              <w:rFonts w:eastAsia="Calibri" w:cstheme="minorHAnsi"/>
              <w:sz w:val="24"/>
              <w:szCs w:val="24"/>
              <w:lang w:val="en-US"/>
            </w:rPr>
            <w:instrText xml:space="preserve"> CITATION BP12 \l 1033 </w:instrText>
          </w:r>
          <w:r w:rsidRPr="001E224E">
            <w:rPr>
              <w:rFonts w:eastAsia="Calibri" w:cstheme="minorHAnsi"/>
              <w:sz w:val="24"/>
              <w:szCs w:val="24"/>
              <w:lang w:val="en-US"/>
            </w:rPr>
            <w:fldChar w:fldCharType="separate"/>
          </w:r>
          <w:r w:rsidRPr="001E224E">
            <w:rPr>
              <w:rFonts w:eastAsia="Calibri" w:cstheme="minorHAnsi"/>
              <w:noProof/>
              <w:sz w:val="24"/>
              <w:szCs w:val="24"/>
              <w:lang w:val="en-US"/>
            </w:rPr>
            <w:t>(BP, 2012)</w:t>
          </w:r>
          <w:r w:rsidRPr="001E224E">
            <w:rPr>
              <w:rFonts w:eastAsia="Calibri" w:cstheme="minorHAnsi"/>
              <w:sz w:val="24"/>
              <w:szCs w:val="24"/>
              <w:lang w:val="en-US"/>
            </w:rPr>
            <w:fldChar w:fldCharType="end"/>
          </w:r>
        </w:sdtContent>
      </w:sdt>
      <w:r w:rsidRPr="001E224E">
        <w:rPr>
          <w:rFonts w:eastAsia="Calibri" w:cstheme="minorHAnsi"/>
          <w:sz w:val="24"/>
          <w:szCs w:val="24"/>
          <w:lang w:val="en-US"/>
        </w:rPr>
        <w:t>. At the same time, it is a challenge to maintain the current investors who have helped the company to reach the top of the largest manufacturers in this industry. However, to achieve these goals and maintain the long-term prosperity of the business, it is essential that the company benefits from as many sources of financing as possible.</w:t>
      </w:r>
    </w:p>
    <w:p w14:paraId="690AF857"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Organizations such as British Petroleum can obtain the necessary capital through available funding sources that fall into two categories, namely internal and external depending on their origin.</w:t>
      </w:r>
    </w:p>
    <w:p w14:paraId="64E61D63"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A. Internal sources of Finance: these include funds already existing within the business. Therefore, all day-to-day operations are included, such as the sale of shares or services. Another source is the sale of commercial assets, being an extremely useful way to profit from the company's activity, thus obtaining financing for other priority operations.</w:t>
      </w:r>
    </w:p>
    <w:p w14:paraId="6B023B80" w14:textId="77777777" w:rsidR="001E224E" w:rsidRPr="001E224E" w:rsidRDefault="001E224E" w:rsidP="001E224E">
      <w:pPr>
        <w:spacing w:after="200" w:line="360" w:lineRule="auto"/>
        <w:rPr>
          <w:rFonts w:eastAsia="Calibri" w:cstheme="minorHAnsi"/>
          <w:sz w:val="24"/>
          <w:szCs w:val="24"/>
          <w:lang w:val="en-US"/>
        </w:rPr>
      </w:pPr>
      <w:r w:rsidRPr="001E224E">
        <w:rPr>
          <w:rFonts w:eastAsia="Calibri" w:cstheme="minorHAnsi"/>
          <w:sz w:val="24"/>
          <w:szCs w:val="24"/>
          <w:lang w:val="en-US"/>
        </w:rPr>
        <w:t xml:space="preserve">B. External sources of Finance: these come exclusively from outside the company, for example investors or shareholders who have not yet been involved in the business. This type of financing can be crucial for a start-up company that needs a cash infusion to get started. At the same time, a reputable business can more easily benefit from an external investment because the history of the business can give a greater confidence to an investor. </w:t>
      </w:r>
      <w:r w:rsidRPr="001E224E">
        <w:rPr>
          <w:rFonts w:eastAsia="Calibri" w:cstheme="minorHAnsi"/>
          <w:sz w:val="24"/>
          <w:szCs w:val="24"/>
          <w:lang w:val="en-US"/>
        </w:rPr>
        <w:lastRenderedPageBreak/>
        <w:t xml:space="preserve">External financing sources are divided into two categories depending on the duration, namely: long-term or short-term </w:t>
      </w:r>
      <w:sdt>
        <w:sdtPr>
          <w:rPr>
            <w:rFonts w:eastAsia="Calibri" w:cstheme="minorHAnsi"/>
            <w:sz w:val="24"/>
            <w:szCs w:val="24"/>
            <w:lang w:val="en-US"/>
          </w:rPr>
          <w:id w:val="-1022710218"/>
          <w:citation/>
        </w:sdtPr>
        <w:sdtEndPr/>
        <w:sdtContent>
          <w:r w:rsidRPr="001E224E">
            <w:rPr>
              <w:rFonts w:eastAsia="Calibri" w:cstheme="minorHAnsi"/>
              <w:sz w:val="24"/>
              <w:szCs w:val="24"/>
              <w:lang w:val="en-US"/>
            </w:rPr>
            <w:fldChar w:fldCharType="begin"/>
          </w:r>
          <w:r w:rsidRPr="001E224E">
            <w:rPr>
              <w:rFonts w:eastAsia="Calibri" w:cstheme="minorHAnsi"/>
              <w:sz w:val="24"/>
              <w:szCs w:val="24"/>
              <w:lang w:val="en-US"/>
            </w:rPr>
            <w:instrText xml:space="preserve"> CITATION Dob51 \l 1033 </w:instrText>
          </w:r>
          <w:r w:rsidRPr="001E224E">
            <w:rPr>
              <w:rFonts w:eastAsia="Calibri" w:cstheme="minorHAnsi"/>
              <w:sz w:val="24"/>
              <w:szCs w:val="24"/>
              <w:lang w:val="en-US"/>
            </w:rPr>
            <w:fldChar w:fldCharType="separate"/>
          </w:r>
          <w:r w:rsidRPr="001E224E">
            <w:rPr>
              <w:rFonts w:eastAsia="Calibri" w:cstheme="minorHAnsi"/>
              <w:noProof/>
              <w:sz w:val="24"/>
              <w:szCs w:val="24"/>
              <w:lang w:val="en-US"/>
            </w:rPr>
            <w:t>(Dobrovolsky, 1951)</w:t>
          </w:r>
          <w:r w:rsidRPr="001E224E">
            <w:rPr>
              <w:rFonts w:eastAsia="Calibri" w:cstheme="minorHAnsi"/>
              <w:sz w:val="24"/>
              <w:szCs w:val="24"/>
              <w:lang w:val="en-US"/>
            </w:rPr>
            <w:fldChar w:fldCharType="end"/>
          </w:r>
        </w:sdtContent>
      </w:sdt>
      <w:r w:rsidRPr="001E224E">
        <w:rPr>
          <w:rFonts w:eastAsia="Calibri" w:cstheme="minorHAnsi"/>
          <w:sz w:val="24"/>
          <w:szCs w:val="24"/>
          <w:lang w:val="en-US"/>
        </w:rPr>
        <w:t>.</w:t>
      </w:r>
    </w:p>
    <w:p w14:paraId="4FB183DA" w14:textId="77777777" w:rsidR="001E224E" w:rsidRPr="001E224E" w:rsidRDefault="001E224E" w:rsidP="001E224E">
      <w:pPr>
        <w:spacing w:after="200" w:line="276" w:lineRule="auto"/>
        <w:rPr>
          <w:rFonts w:eastAsia="Calibri" w:cstheme="minorHAnsi"/>
          <w:sz w:val="24"/>
          <w:szCs w:val="24"/>
          <w:lang w:val="en-US"/>
        </w:rPr>
      </w:pPr>
    </w:p>
    <w:tbl>
      <w:tblPr>
        <w:tblW w:w="9452" w:type="dxa"/>
        <w:jc w:val="center"/>
        <w:tblLook w:val="04A0" w:firstRow="1" w:lastRow="0" w:firstColumn="1" w:lastColumn="0" w:noHBand="0" w:noVBand="1"/>
      </w:tblPr>
      <w:tblGrid>
        <w:gridCol w:w="4228"/>
        <w:gridCol w:w="2671"/>
        <w:gridCol w:w="2553"/>
      </w:tblGrid>
      <w:tr w:rsidR="001E224E" w:rsidRPr="001E224E" w14:paraId="1A244EAB" w14:textId="77777777" w:rsidTr="001E224E">
        <w:trPr>
          <w:trHeight w:val="490"/>
          <w:jc w:val="center"/>
        </w:trPr>
        <w:tc>
          <w:tcPr>
            <w:tcW w:w="9452" w:type="dxa"/>
            <w:gridSpan w:val="3"/>
            <w:tcBorders>
              <w:top w:val="single" w:sz="8" w:space="0" w:color="auto"/>
              <w:left w:val="single" w:sz="8" w:space="0" w:color="auto"/>
              <w:bottom w:val="nil"/>
              <w:right w:val="single" w:sz="8" w:space="0" w:color="000000"/>
            </w:tcBorders>
            <w:noWrap/>
            <w:vAlign w:val="bottom"/>
            <w:hideMark/>
          </w:tcPr>
          <w:p w14:paraId="681C20D4" w14:textId="77777777" w:rsidR="001E224E" w:rsidRPr="001E224E" w:rsidRDefault="001E224E" w:rsidP="001E224E">
            <w:pPr>
              <w:spacing w:after="0" w:line="240" w:lineRule="auto"/>
              <w:jc w:val="center"/>
              <w:rPr>
                <w:rFonts w:eastAsia="Times New Roman" w:cstheme="minorHAnsi"/>
                <w:b/>
                <w:bCs/>
                <w:color w:val="000000"/>
                <w:sz w:val="24"/>
                <w:szCs w:val="24"/>
                <w:lang w:val="en-US"/>
              </w:rPr>
            </w:pPr>
            <w:r w:rsidRPr="001E224E">
              <w:rPr>
                <w:rFonts w:eastAsia="Times New Roman" w:cstheme="minorHAnsi"/>
                <w:b/>
                <w:bCs/>
                <w:color w:val="000000"/>
                <w:sz w:val="24"/>
                <w:szCs w:val="24"/>
                <w:lang w:val="en-US"/>
              </w:rPr>
              <w:t>British Petroleum - Sources of Finance</w:t>
            </w:r>
          </w:p>
        </w:tc>
      </w:tr>
      <w:tr w:rsidR="001E224E" w:rsidRPr="001E224E" w14:paraId="7464A8A9" w14:textId="77777777" w:rsidTr="001E224E">
        <w:trPr>
          <w:trHeight w:val="379"/>
          <w:jc w:val="center"/>
        </w:trPr>
        <w:tc>
          <w:tcPr>
            <w:tcW w:w="4228" w:type="dxa"/>
            <w:vMerge w:val="restart"/>
            <w:tcBorders>
              <w:top w:val="single" w:sz="8" w:space="0" w:color="auto"/>
              <w:left w:val="single" w:sz="8" w:space="0" w:color="auto"/>
              <w:bottom w:val="single" w:sz="8" w:space="0" w:color="000000"/>
              <w:right w:val="dashed" w:sz="4" w:space="0" w:color="auto"/>
            </w:tcBorders>
            <w:noWrap/>
            <w:vAlign w:val="center"/>
            <w:hideMark/>
          </w:tcPr>
          <w:p w14:paraId="7DEAADF0" w14:textId="77777777" w:rsidR="001E224E" w:rsidRPr="001E224E" w:rsidRDefault="001E224E" w:rsidP="001E224E">
            <w:pPr>
              <w:spacing w:after="0" w:line="240" w:lineRule="auto"/>
              <w:jc w:val="center"/>
              <w:rPr>
                <w:rFonts w:eastAsia="Times New Roman" w:cstheme="minorHAnsi"/>
                <w:b/>
                <w:bCs/>
                <w:color w:val="000000"/>
                <w:sz w:val="24"/>
                <w:szCs w:val="24"/>
                <w:lang w:val="en-US"/>
              </w:rPr>
            </w:pPr>
            <w:r w:rsidRPr="001E224E">
              <w:rPr>
                <w:rFonts w:eastAsia="Times New Roman" w:cstheme="minorHAnsi"/>
                <w:b/>
                <w:bCs/>
                <w:color w:val="000000"/>
                <w:sz w:val="24"/>
                <w:szCs w:val="24"/>
                <w:lang w:val="en-US"/>
              </w:rPr>
              <w:t>INTERNAL</w:t>
            </w:r>
          </w:p>
        </w:tc>
        <w:tc>
          <w:tcPr>
            <w:tcW w:w="5224" w:type="dxa"/>
            <w:gridSpan w:val="2"/>
            <w:tcBorders>
              <w:top w:val="single" w:sz="8" w:space="0" w:color="auto"/>
              <w:left w:val="nil"/>
              <w:bottom w:val="dashed" w:sz="4" w:space="0" w:color="auto"/>
              <w:right w:val="single" w:sz="8" w:space="0" w:color="000000"/>
            </w:tcBorders>
            <w:noWrap/>
            <w:vAlign w:val="bottom"/>
            <w:hideMark/>
          </w:tcPr>
          <w:p w14:paraId="2F1FDCC1" w14:textId="77777777" w:rsidR="001E224E" w:rsidRPr="001E224E" w:rsidRDefault="001E224E" w:rsidP="001E224E">
            <w:pPr>
              <w:spacing w:after="0" w:line="240" w:lineRule="auto"/>
              <w:jc w:val="center"/>
              <w:rPr>
                <w:rFonts w:eastAsia="Times New Roman" w:cstheme="minorHAnsi"/>
                <w:b/>
                <w:bCs/>
                <w:color w:val="000000"/>
                <w:sz w:val="24"/>
                <w:szCs w:val="24"/>
                <w:lang w:val="en-US"/>
              </w:rPr>
            </w:pPr>
            <w:r w:rsidRPr="001E224E">
              <w:rPr>
                <w:rFonts w:eastAsia="Times New Roman" w:cstheme="minorHAnsi"/>
                <w:b/>
                <w:bCs/>
                <w:color w:val="000000"/>
                <w:sz w:val="24"/>
                <w:szCs w:val="24"/>
                <w:lang w:val="en-US"/>
              </w:rPr>
              <w:t>EXTERNAL</w:t>
            </w:r>
          </w:p>
        </w:tc>
      </w:tr>
      <w:tr w:rsidR="001E224E" w:rsidRPr="001E224E" w14:paraId="694744ED" w14:textId="77777777" w:rsidTr="001E224E">
        <w:trPr>
          <w:trHeight w:val="395"/>
          <w:jc w:val="center"/>
        </w:trPr>
        <w:tc>
          <w:tcPr>
            <w:tcW w:w="0" w:type="auto"/>
            <w:vMerge/>
            <w:tcBorders>
              <w:top w:val="single" w:sz="8" w:space="0" w:color="auto"/>
              <w:left w:val="single" w:sz="8" w:space="0" w:color="auto"/>
              <w:bottom w:val="single" w:sz="8" w:space="0" w:color="000000"/>
              <w:right w:val="dashed" w:sz="4" w:space="0" w:color="auto"/>
            </w:tcBorders>
            <w:vAlign w:val="center"/>
            <w:hideMark/>
          </w:tcPr>
          <w:p w14:paraId="54A73F59" w14:textId="77777777" w:rsidR="001E224E" w:rsidRPr="001E224E" w:rsidRDefault="001E224E" w:rsidP="001E224E">
            <w:pPr>
              <w:spacing w:after="0" w:line="276" w:lineRule="auto"/>
              <w:rPr>
                <w:rFonts w:eastAsia="Times New Roman" w:cstheme="minorHAnsi"/>
                <w:b/>
                <w:bCs/>
                <w:color w:val="000000"/>
                <w:sz w:val="24"/>
                <w:szCs w:val="24"/>
                <w:lang w:val="en-US"/>
              </w:rPr>
            </w:pPr>
          </w:p>
        </w:tc>
        <w:tc>
          <w:tcPr>
            <w:tcW w:w="2671" w:type="dxa"/>
            <w:tcBorders>
              <w:top w:val="dashed" w:sz="4" w:space="0" w:color="auto"/>
              <w:left w:val="nil"/>
              <w:bottom w:val="single" w:sz="8" w:space="0" w:color="auto"/>
              <w:right w:val="dashed" w:sz="4" w:space="0" w:color="auto"/>
            </w:tcBorders>
            <w:noWrap/>
            <w:vAlign w:val="bottom"/>
            <w:hideMark/>
          </w:tcPr>
          <w:p w14:paraId="2F361F29" w14:textId="77777777" w:rsidR="001E224E" w:rsidRPr="001E224E" w:rsidRDefault="001E224E" w:rsidP="001E224E">
            <w:pPr>
              <w:spacing w:after="0" w:line="240" w:lineRule="auto"/>
              <w:jc w:val="center"/>
              <w:rPr>
                <w:rFonts w:eastAsia="Times New Roman" w:cstheme="minorHAnsi"/>
                <w:b/>
                <w:bCs/>
                <w:color w:val="000000"/>
                <w:sz w:val="24"/>
                <w:szCs w:val="24"/>
                <w:lang w:val="en-US"/>
              </w:rPr>
            </w:pPr>
            <w:r w:rsidRPr="001E224E">
              <w:rPr>
                <w:rFonts w:eastAsia="Times New Roman" w:cstheme="minorHAnsi"/>
                <w:b/>
                <w:bCs/>
                <w:color w:val="000000"/>
                <w:sz w:val="24"/>
                <w:szCs w:val="24"/>
                <w:lang w:val="en-US"/>
              </w:rPr>
              <w:t>Short-Term</w:t>
            </w:r>
          </w:p>
        </w:tc>
        <w:tc>
          <w:tcPr>
            <w:tcW w:w="2553" w:type="dxa"/>
            <w:tcBorders>
              <w:top w:val="dashed" w:sz="4" w:space="0" w:color="auto"/>
              <w:left w:val="nil"/>
              <w:bottom w:val="single" w:sz="8" w:space="0" w:color="auto"/>
              <w:right w:val="single" w:sz="8" w:space="0" w:color="000000"/>
            </w:tcBorders>
            <w:noWrap/>
            <w:vAlign w:val="bottom"/>
            <w:hideMark/>
          </w:tcPr>
          <w:p w14:paraId="4A563BF7" w14:textId="77777777" w:rsidR="001E224E" w:rsidRPr="001E224E" w:rsidRDefault="001E224E" w:rsidP="001E224E">
            <w:pPr>
              <w:spacing w:after="0" w:line="240" w:lineRule="auto"/>
              <w:jc w:val="center"/>
              <w:rPr>
                <w:rFonts w:eastAsia="Times New Roman" w:cstheme="minorHAnsi"/>
                <w:b/>
                <w:bCs/>
                <w:color w:val="000000"/>
                <w:sz w:val="24"/>
                <w:szCs w:val="24"/>
                <w:lang w:val="en-US"/>
              </w:rPr>
            </w:pPr>
            <w:r w:rsidRPr="001E224E">
              <w:rPr>
                <w:rFonts w:eastAsia="Times New Roman" w:cstheme="minorHAnsi"/>
                <w:b/>
                <w:bCs/>
                <w:color w:val="000000"/>
                <w:sz w:val="24"/>
                <w:szCs w:val="24"/>
                <w:lang w:val="en-US"/>
              </w:rPr>
              <w:t>Long-Term</w:t>
            </w:r>
          </w:p>
        </w:tc>
      </w:tr>
      <w:tr w:rsidR="001E224E" w:rsidRPr="001E224E" w14:paraId="2A85A021" w14:textId="77777777" w:rsidTr="001E224E">
        <w:trPr>
          <w:trHeight w:val="379"/>
          <w:jc w:val="center"/>
        </w:trPr>
        <w:tc>
          <w:tcPr>
            <w:tcW w:w="4228" w:type="dxa"/>
            <w:tcBorders>
              <w:top w:val="single" w:sz="8" w:space="0" w:color="auto"/>
              <w:left w:val="single" w:sz="8" w:space="0" w:color="auto"/>
              <w:bottom w:val="dashed" w:sz="4" w:space="0" w:color="auto"/>
              <w:right w:val="dashed" w:sz="4" w:space="0" w:color="auto"/>
            </w:tcBorders>
            <w:noWrap/>
            <w:vAlign w:val="bottom"/>
            <w:hideMark/>
          </w:tcPr>
          <w:p w14:paraId="6E2C1BE6"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1)   Retained earnings</w:t>
            </w:r>
          </w:p>
        </w:tc>
        <w:tc>
          <w:tcPr>
            <w:tcW w:w="2671" w:type="dxa"/>
            <w:tcBorders>
              <w:top w:val="single" w:sz="8" w:space="0" w:color="auto"/>
              <w:left w:val="nil"/>
              <w:bottom w:val="dashed" w:sz="4" w:space="0" w:color="auto"/>
              <w:right w:val="dashed" w:sz="4" w:space="0" w:color="auto"/>
            </w:tcBorders>
            <w:noWrap/>
            <w:vAlign w:val="bottom"/>
            <w:hideMark/>
          </w:tcPr>
          <w:p w14:paraId="2D3744A9"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1)  Bank overdraft</w:t>
            </w:r>
          </w:p>
        </w:tc>
        <w:tc>
          <w:tcPr>
            <w:tcW w:w="2553" w:type="dxa"/>
            <w:tcBorders>
              <w:top w:val="single" w:sz="8" w:space="0" w:color="auto"/>
              <w:left w:val="nil"/>
              <w:bottom w:val="dashed" w:sz="4" w:space="0" w:color="auto"/>
              <w:right w:val="single" w:sz="8" w:space="0" w:color="000000"/>
            </w:tcBorders>
            <w:noWrap/>
            <w:vAlign w:val="bottom"/>
            <w:hideMark/>
          </w:tcPr>
          <w:p w14:paraId="3C51D5D8"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1)  Shares</w:t>
            </w:r>
          </w:p>
        </w:tc>
      </w:tr>
      <w:tr w:rsidR="001E224E" w:rsidRPr="001E224E" w14:paraId="2CA1CFD9" w14:textId="77777777" w:rsidTr="001E224E">
        <w:trPr>
          <w:trHeight w:val="379"/>
          <w:jc w:val="center"/>
        </w:trPr>
        <w:tc>
          <w:tcPr>
            <w:tcW w:w="4228" w:type="dxa"/>
            <w:tcBorders>
              <w:top w:val="dashed" w:sz="4" w:space="0" w:color="auto"/>
              <w:left w:val="single" w:sz="8" w:space="0" w:color="auto"/>
              <w:bottom w:val="dashed" w:sz="4" w:space="0" w:color="auto"/>
              <w:right w:val="dashed" w:sz="4" w:space="0" w:color="auto"/>
            </w:tcBorders>
            <w:noWrap/>
            <w:vAlign w:val="bottom"/>
            <w:hideMark/>
          </w:tcPr>
          <w:p w14:paraId="635CD19A"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2)   Sale of stock</w:t>
            </w:r>
          </w:p>
        </w:tc>
        <w:tc>
          <w:tcPr>
            <w:tcW w:w="2671" w:type="dxa"/>
            <w:tcBorders>
              <w:top w:val="dashed" w:sz="4" w:space="0" w:color="auto"/>
              <w:left w:val="nil"/>
              <w:bottom w:val="dashed" w:sz="4" w:space="0" w:color="auto"/>
              <w:right w:val="dashed" w:sz="4" w:space="0" w:color="auto"/>
            </w:tcBorders>
            <w:noWrap/>
            <w:vAlign w:val="bottom"/>
            <w:hideMark/>
          </w:tcPr>
          <w:p w14:paraId="7AE1E2F3"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2)  Creditors</w:t>
            </w:r>
          </w:p>
        </w:tc>
        <w:tc>
          <w:tcPr>
            <w:tcW w:w="2553" w:type="dxa"/>
            <w:tcBorders>
              <w:top w:val="dashed" w:sz="4" w:space="0" w:color="auto"/>
              <w:left w:val="nil"/>
              <w:bottom w:val="dashed" w:sz="4" w:space="0" w:color="auto"/>
              <w:right w:val="single" w:sz="8" w:space="0" w:color="000000"/>
            </w:tcBorders>
            <w:noWrap/>
            <w:vAlign w:val="bottom"/>
            <w:hideMark/>
          </w:tcPr>
          <w:p w14:paraId="46CC7498"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2)  Debentures</w:t>
            </w:r>
          </w:p>
        </w:tc>
      </w:tr>
      <w:tr w:rsidR="001E224E" w:rsidRPr="001E224E" w14:paraId="72885E14" w14:textId="77777777" w:rsidTr="001E224E">
        <w:trPr>
          <w:trHeight w:val="379"/>
          <w:jc w:val="center"/>
        </w:trPr>
        <w:tc>
          <w:tcPr>
            <w:tcW w:w="4228" w:type="dxa"/>
            <w:tcBorders>
              <w:top w:val="dashed" w:sz="4" w:space="0" w:color="auto"/>
              <w:left w:val="single" w:sz="8" w:space="0" w:color="auto"/>
              <w:bottom w:val="dashed" w:sz="4" w:space="0" w:color="auto"/>
              <w:right w:val="dashed" w:sz="4" w:space="0" w:color="auto"/>
            </w:tcBorders>
            <w:noWrap/>
            <w:vAlign w:val="bottom"/>
            <w:hideMark/>
          </w:tcPr>
          <w:p w14:paraId="56AF8F7F"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3)   Debt collection</w:t>
            </w:r>
          </w:p>
        </w:tc>
        <w:tc>
          <w:tcPr>
            <w:tcW w:w="2671" w:type="dxa"/>
            <w:tcBorders>
              <w:top w:val="dashed" w:sz="4" w:space="0" w:color="auto"/>
              <w:left w:val="nil"/>
              <w:bottom w:val="dashed" w:sz="4" w:space="0" w:color="auto"/>
              <w:right w:val="dashed" w:sz="4" w:space="0" w:color="auto"/>
            </w:tcBorders>
            <w:noWrap/>
            <w:vAlign w:val="bottom"/>
            <w:hideMark/>
          </w:tcPr>
          <w:p w14:paraId="2820E8E9"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3) Debt factoring</w:t>
            </w:r>
          </w:p>
        </w:tc>
        <w:tc>
          <w:tcPr>
            <w:tcW w:w="2553" w:type="dxa"/>
            <w:tcBorders>
              <w:top w:val="dashed" w:sz="4" w:space="0" w:color="auto"/>
              <w:left w:val="nil"/>
              <w:bottom w:val="dashed" w:sz="4" w:space="0" w:color="auto"/>
              <w:right w:val="single" w:sz="8" w:space="0" w:color="000000"/>
            </w:tcBorders>
            <w:noWrap/>
            <w:vAlign w:val="bottom"/>
            <w:hideMark/>
          </w:tcPr>
          <w:p w14:paraId="1193EA18"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3)  Grants</w:t>
            </w:r>
          </w:p>
        </w:tc>
      </w:tr>
      <w:tr w:rsidR="001E224E" w:rsidRPr="001E224E" w14:paraId="62145165" w14:textId="77777777" w:rsidTr="001E224E">
        <w:trPr>
          <w:trHeight w:val="379"/>
          <w:jc w:val="center"/>
        </w:trPr>
        <w:tc>
          <w:tcPr>
            <w:tcW w:w="4228" w:type="dxa"/>
            <w:tcBorders>
              <w:top w:val="dashed" w:sz="4" w:space="0" w:color="auto"/>
              <w:left w:val="single" w:sz="8" w:space="0" w:color="auto"/>
              <w:bottom w:val="dashed" w:sz="4" w:space="0" w:color="auto"/>
              <w:right w:val="dashed" w:sz="4" w:space="0" w:color="auto"/>
            </w:tcBorders>
            <w:noWrap/>
            <w:vAlign w:val="bottom"/>
            <w:hideMark/>
          </w:tcPr>
          <w:p w14:paraId="748E0A6A"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4)  Sales of existing assets</w:t>
            </w:r>
          </w:p>
        </w:tc>
        <w:tc>
          <w:tcPr>
            <w:tcW w:w="2671" w:type="dxa"/>
            <w:tcBorders>
              <w:top w:val="dashed" w:sz="4" w:space="0" w:color="auto"/>
              <w:left w:val="nil"/>
              <w:bottom w:val="dashed" w:sz="4" w:space="0" w:color="auto"/>
              <w:right w:val="dashed" w:sz="4" w:space="0" w:color="auto"/>
            </w:tcBorders>
            <w:noWrap/>
            <w:vAlign w:val="bottom"/>
            <w:hideMark/>
          </w:tcPr>
          <w:p w14:paraId="08328D1B"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4)  Short term bank loan</w:t>
            </w:r>
          </w:p>
        </w:tc>
        <w:tc>
          <w:tcPr>
            <w:tcW w:w="2553" w:type="dxa"/>
            <w:tcBorders>
              <w:top w:val="dashed" w:sz="4" w:space="0" w:color="auto"/>
              <w:left w:val="nil"/>
              <w:bottom w:val="dashed" w:sz="4" w:space="0" w:color="auto"/>
              <w:right w:val="single" w:sz="8" w:space="0" w:color="000000"/>
            </w:tcBorders>
            <w:noWrap/>
            <w:vAlign w:val="bottom"/>
            <w:hideMark/>
          </w:tcPr>
          <w:p w14:paraId="165BFD62"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4)  Long term bank loan</w:t>
            </w:r>
          </w:p>
        </w:tc>
      </w:tr>
      <w:tr w:rsidR="001E224E" w:rsidRPr="001E224E" w14:paraId="2AA89664" w14:textId="77777777" w:rsidTr="001E224E">
        <w:trPr>
          <w:trHeight w:val="379"/>
          <w:jc w:val="center"/>
        </w:trPr>
        <w:tc>
          <w:tcPr>
            <w:tcW w:w="4228" w:type="dxa"/>
            <w:tcBorders>
              <w:top w:val="dashed" w:sz="4" w:space="0" w:color="auto"/>
              <w:left w:val="single" w:sz="8" w:space="0" w:color="auto"/>
              <w:bottom w:val="dashed" w:sz="4" w:space="0" w:color="auto"/>
              <w:right w:val="dashed" w:sz="4" w:space="0" w:color="auto"/>
            </w:tcBorders>
            <w:noWrap/>
            <w:vAlign w:val="bottom"/>
            <w:hideMark/>
          </w:tcPr>
          <w:p w14:paraId="408383C1"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 xml:space="preserve">5)   Additions to future tax reserves </w:t>
            </w:r>
          </w:p>
        </w:tc>
        <w:tc>
          <w:tcPr>
            <w:tcW w:w="5224" w:type="dxa"/>
            <w:gridSpan w:val="2"/>
            <w:vMerge w:val="restart"/>
            <w:tcBorders>
              <w:top w:val="dashed" w:sz="4" w:space="0" w:color="auto"/>
              <w:left w:val="dashed" w:sz="4" w:space="0" w:color="auto"/>
              <w:bottom w:val="single" w:sz="8" w:space="0" w:color="000000"/>
              <w:right w:val="single" w:sz="8" w:space="0" w:color="000000"/>
            </w:tcBorders>
            <w:noWrap/>
            <w:vAlign w:val="bottom"/>
            <w:hideMark/>
          </w:tcPr>
          <w:p w14:paraId="10626AD1"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 </w:t>
            </w:r>
          </w:p>
        </w:tc>
      </w:tr>
      <w:tr w:rsidR="001E224E" w:rsidRPr="001E224E" w14:paraId="56C4012A" w14:textId="77777777" w:rsidTr="001E224E">
        <w:trPr>
          <w:trHeight w:val="395"/>
          <w:jc w:val="center"/>
        </w:trPr>
        <w:tc>
          <w:tcPr>
            <w:tcW w:w="4228" w:type="dxa"/>
            <w:tcBorders>
              <w:top w:val="dashed" w:sz="4" w:space="0" w:color="auto"/>
              <w:left w:val="single" w:sz="8" w:space="0" w:color="auto"/>
              <w:bottom w:val="single" w:sz="8" w:space="0" w:color="auto"/>
              <w:right w:val="dashed" w:sz="4" w:space="0" w:color="auto"/>
            </w:tcBorders>
            <w:noWrap/>
            <w:vAlign w:val="bottom"/>
            <w:hideMark/>
          </w:tcPr>
          <w:p w14:paraId="209E323A" w14:textId="77777777" w:rsidR="001E224E" w:rsidRPr="001E224E" w:rsidRDefault="001E224E" w:rsidP="001E224E">
            <w:pPr>
              <w:spacing w:after="0" w:line="240" w:lineRule="auto"/>
              <w:jc w:val="center"/>
              <w:rPr>
                <w:rFonts w:eastAsia="Times New Roman" w:cstheme="minorHAnsi"/>
                <w:color w:val="000000"/>
                <w:sz w:val="24"/>
                <w:szCs w:val="24"/>
                <w:lang w:val="en-US"/>
              </w:rPr>
            </w:pPr>
            <w:r w:rsidRPr="001E224E">
              <w:rPr>
                <w:rFonts w:eastAsia="Times New Roman" w:cstheme="minorHAnsi"/>
                <w:color w:val="000000"/>
                <w:sz w:val="24"/>
                <w:szCs w:val="24"/>
                <w:lang w:val="en-US"/>
              </w:rPr>
              <w:t>6)   Other net receipts on capital account</w:t>
            </w:r>
          </w:p>
        </w:tc>
        <w:tc>
          <w:tcPr>
            <w:tcW w:w="0" w:type="auto"/>
            <w:gridSpan w:val="2"/>
            <w:vMerge/>
            <w:tcBorders>
              <w:top w:val="dashed" w:sz="4" w:space="0" w:color="auto"/>
              <w:left w:val="single" w:sz="8" w:space="0" w:color="auto"/>
              <w:bottom w:val="single" w:sz="8" w:space="0" w:color="auto"/>
              <w:right w:val="dashed" w:sz="4" w:space="0" w:color="auto"/>
            </w:tcBorders>
            <w:vAlign w:val="center"/>
            <w:hideMark/>
          </w:tcPr>
          <w:p w14:paraId="6FF9A1E0" w14:textId="77777777" w:rsidR="001E224E" w:rsidRPr="001E224E" w:rsidRDefault="001E224E" w:rsidP="001E224E">
            <w:pPr>
              <w:spacing w:after="0" w:line="276" w:lineRule="auto"/>
              <w:rPr>
                <w:rFonts w:eastAsia="Times New Roman" w:cstheme="minorHAnsi"/>
                <w:color w:val="000000"/>
                <w:sz w:val="24"/>
                <w:szCs w:val="24"/>
                <w:lang w:val="en-US"/>
              </w:rPr>
            </w:pPr>
          </w:p>
        </w:tc>
      </w:tr>
    </w:tbl>
    <w:p w14:paraId="386D8C96" w14:textId="77777777" w:rsidR="001E224E" w:rsidRPr="001E224E" w:rsidRDefault="001E224E" w:rsidP="001E224E">
      <w:pPr>
        <w:spacing w:after="200" w:line="276" w:lineRule="auto"/>
        <w:jc w:val="center"/>
        <w:rPr>
          <w:rFonts w:eastAsia="Calibri" w:cstheme="minorHAnsi"/>
          <w:sz w:val="24"/>
          <w:szCs w:val="24"/>
          <w:lang w:val="en-US"/>
        </w:rPr>
      </w:pPr>
      <w:r w:rsidRPr="001E224E">
        <w:rPr>
          <w:rFonts w:eastAsia="Calibri" w:cstheme="minorHAnsi"/>
          <w:sz w:val="24"/>
          <w:szCs w:val="24"/>
          <w:lang w:val="en-US"/>
        </w:rPr>
        <w:t>Table 1: Examples of source of finance (Source: Author)</w:t>
      </w:r>
    </w:p>
    <w:p w14:paraId="5DB738A6" w14:textId="77777777" w:rsidR="001E224E" w:rsidRPr="001E224E" w:rsidRDefault="001E224E" w:rsidP="001E224E">
      <w:pPr>
        <w:spacing w:after="200" w:line="276" w:lineRule="auto"/>
        <w:rPr>
          <w:rFonts w:eastAsia="Calibri" w:cstheme="minorHAnsi"/>
          <w:sz w:val="24"/>
          <w:szCs w:val="24"/>
          <w:lang w:val="en-US"/>
        </w:rPr>
      </w:pPr>
    </w:p>
    <w:p w14:paraId="2EF6C60E" w14:textId="14D1448A" w:rsidR="001E224E" w:rsidRPr="00D558D3" w:rsidRDefault="001E224E" w:rsidP="00B73671">
      <w:pPr>
        <w:spacing w:after="200" w:line="276" w:lineRule="auto"/>
        <w:rPr>
          <w:rFonts w:eastAsia="Calibri" w:cstheme="minorHAnsi"/>
          <w:sz w:val="24"/>
          <w:szCs w:val="24"/>
          <w:lang w:val="en-US"/>
        </w:rPr>
      </w:pPr>
      <w:r w:rsidRPr="001E224E">
        <w:rPr>
          <w:rFonts w:eastAsia="Calibri" w:cstheme="minorHAnsi"/>
          <w:sz w:val="24"/>
          <w:szCs w:val="24"/>
          <w:lang w:val="en-US"/>
        </w:rPr>
        <w:t xml:space="preserve">Obtaining funds plays a crucial role in the expansion and development of British Petroleum. Every business needs capital to be able to improve its processes and to be able to offer quality services over as wide an area as possible. Internal Sources of finance are essential for the business to maintain a sustainable position in the future but also for the company to develop its exploration and production segment. All these funds will be used to pay obligations that are due within a short time interval. On the other hand, external sources of finance aim to invest in technological processes and explore new territories around the world and thus to capture a larger market share. Therefore, given that BP is a multinational company, both internal and external financing sources are of crucial importance in the business development process </w:t>
      </w:r>
      <w:sdt>
        <w:sdtPr>
          <w:rPr>
            <w:rFonts w:eastAsia="Calibri" w:cstheme="minorHAnsi"/>
            <w:sz w:val="24"/>
            <w:szCs w:val="24"/>
            <w:lang w:val="en-US"/>
          </w:rPr>
          <w:id w:val="-879323447"/>
          <w:citation/>
        </w:sdtPr>
        <w:sdtEndPr/>
        <w:sdtContent>
          <w:r w:rsidRPr="001E224E">
            <w:rPr>
              <w:rFonts w:eastAsia="Calibri" w:cstheme="minorHAnsi"/>
              <w:sz w:val="24"/>
              <w:szCs w:val="24"/>
              <w:lang w:val="en-US"/>
            </w:rPr>
            <w:fldChar w:fldCharType="begin"/>
          </w:r>
          <w:r w:rsidRPr="001E224E">
            <w:rPr>
              <w:rFonts w:eastAsia="Calibri" w:cstheme="minorHAnsi"/>
              <w:sz w:val="24"/>
              <w:szCs w:val="24"/>
              <w:lang w:val="en-US"/>
            </w:rPr>
            <w:instrText xml:space="preserve"> CITATION Buc04 \l 1033 </w:instrText>
          </w:r>
          <w:r w:rsidRPr="001E224E">
            <w:rPr>
              <w:rFonts w:eastAsia="Calibri" w:cstheme="minorHAnsi"/>
              <w:sz w:val="24"/>
              <w:szCs w:val="24"/>
              <w:lang w:val="en-US"/>
            </w:rPr>
            <w:fldChar w:fldCharType="separate"/>
          </w:r>
          <w:r w:rsidRPr="001E224E">
            <w:rPr>
              <w:rFonts w:eastAsia="Calibri" w:cstheme="minorHAnsi"/>
              <w:noProof/>
              <w:sz w:val="24"/>
              <w:szCs w:val="24"/>
              <w:lang w:val="en-US"/>
            </w:rPr>
            <w:t>(Buckle &amp; Thompson, 2004)</w:t>
          </w:r>
          <w:r w:rsidRPr="001E224E">
            <w:rPr>
              <w:rFonts w:eastAsia="Calibri" w:cstheme="minorHAnsi"/>
              <w:sz w:val="24"/>
              <w:szCs w:val="24"/>
              <w:lang w:val="en-US"/>
            </w:rPr>
            <w:fldChar w:fldCharType="end"/>
          </w:r>
        </w:sdtContent>
      </w:sdt>
      <w:r w:rsidRPr="001E224E">
        <w:rPr>
          <w:rFonts w:eastAsia="Calibri" w:cstheme="minorHAnsi"/>
          <w:sz w:val="24"/>
          <w:szCs w:val="24"/>
          <w:lang w:val="en-US"/>
        </w:rPr>
        <w:t>.</w:t>
      </w:r>
    </w:p>
    <w:p w14:paraId="3EC3A4D5" w14:textId="77777777" w:rsidR="008F1E92" w:rsidRPr="00D558D3" w:rsidRDefault="008F1E92" w:rsidP="00B73671">
      <w:pPr>
        <w:suppressAutoHyphens/>
        <w:spacing w:after="0" w:line="360" w:lineRule="auto"/>
        <w:rPr>
          <w:rFonts w:eastAsia="Times New Roman" w:cstheme="minorHAnsi"/>
          <w:b/>
          <w:sz w:val="24"/>
          <w:szCs w:val="24"/>
        </w:rPr>
      </w:pPr>
    </w:p>
    <w:p w14:paraId="5FC9A3FE" w14:textId="77777777" w:rsidR="00E37F9A" w:rsidRDefault="00E37F9A" w:rsidP="008F1E92">
      <w:pPr>
        <w:suppressAutoHyphens/>
        <w:spacing w:after="0" w:line="360" w:lineRule="auto"/>
        <w:jc w:val="both"/>
        <w:rPr>
          <w:rFonts w:eastAsia="Times New Roman" w:cstheme="minorHAnsi"/>
          <w:b/>
          <w:bCs/>
          <w:sz w:val="24"/>
          <w:szCs w:val="24"/>
          <w:lang w:val="en"/>
        </w:rPr>
      </w:pPr>
    </w:p>
    <w:p w14:paraId="3BA93F0F" w14:textId="77777777" w:rsidR="00E37F9A" w:rsidRDefault="00E37F9A" w:rsidP="008F1E92">
      <w:pPr>
        <w:suppressAutoHyphens/>
        <w:spacing w:after="0" w:line="360" w:lineRule="auto"/>
        <w:jc w:val="both"/>
        <w:rPr>
          <w:rFonts w:eastAsia="Times New Roman" w:cstheme="minorHAnsi"/>
          <w:b/>
          <w:bCs/>
          <w:sz w:val="24"/>
          <w:szCs w:val="24"/>
          <w:lang w:val="en"/>
        </w:rPr>
      </w:pPr>
    </w:p>
    <w:p w14:paraId="7AF445F0" w14:textId="77777777" w:rsidR="00E37F9A" w:rsidRDefault="00E37F9A" w:rsidP="008F1E92">
      <w:pPr>
        <w:suppressAutoHyphens/>
        <w:spacing w:after="0" w:line="360" w:lineRule="auto"/>
        <w:jc w:val="both"/>
        <w:rPr>
          <w:rFonts w:eastAsia="Times New Roman" w:cstheme="minorHAnsi"/>
          <w:b/>
          <w:bCs/>
          <w:sz w:val="24"/>
          <w:szCs w:val="24"/>
          <w:lang w:val="en"/>
        </w:rPr>
      </w:pPr>
    </w:p>
    <w:p w14:paraId="1B6D601C" w14:textId="77777777" w:rsidR="00E37F9A" w:rsidRDefault="00E37F9A" w:rsidP="008F1E92">
      <w:pPr>
        <w:suppressAutoHyphens/>
        <w:spacing w:after="0" w:line="360" w:lineRule="auto"/>
        <w:jc w:val="both"/>
        <w:rPr>
          <w:rFonts w:eastAsia="Times New Roman" w:cstheme="minorHAnsi"/>
          <w:b/>
          <w:bCs/>
          <w:sz w:val="24"/>
          <w:szCs w:val="24"/>
          <w:lang w:val="en"/>
        </w:rPr>
      </w:pPr>
    </w:p>
    <w:p w14:paraId="5E9C39B8" w14:textId="77777777" w:rsidR="00E37F9A" w:rsidRDefault="00E37F9A" w:rsidP="008F1E92">
      <w:pPr>
        <w:suppressAutoHyphens/>
        <w:spacing w:after="0" w:line="360" w:lineRule="auto"/>
        <w:jc w:val="both"/>
        <w:rPr>
          <w:rFonts w:eastAsia="Times New Roman" w:cstheme="minorHAnsi"/>
          <w:b/>
          <w:bCs/>
          <w:sz w:val="24"/>
          <w:szCs w:val="24"/>
          <w:lang w:val="en"/>
        </w:rPr>
      </w:pPr>
    </w:p>
    <w:p w14:paraId="22C0B887" w14:textId="77777777" w:rsidR="00E37F9A" w:rsidRDefault="00E37F9A" w:rsidP="008F1E92">
      <w:pPr>
        <w:suppressAutoHyphens/>
        <w:spacing w:after="0" w:line="360" w:lineRule="auto"/>
        <w:jc w:val="both"/>
        <w:rPr>
          <w:rFonts w:eastAsia="Times New Roman" w:cstheme="minorHAnsi"/>
          <w:b/>
          <w:bCs/>
          <w:sz w:val="24"/>
          <w:szCs w:val="24"/>
          <w:lang w:val="en"/>
        </w:rPr>
      </w:pPr>
    </w:p>
    <w:p w14:paraId="349636D7" w14:textId="77777777" w:rsidR="00E37F9A" w:rsidRDefault="00E37F9A" w:rsidP="008F1E92">
      <w:pPr>
        <w:suppressAutoHyphens/>
        <w:spacing w:after="0" w:line="360" w:lineRule="auto"/>
        <w:jc w:val="both"/>
        <w:rPr>
          <w:rFonts w:eastAsia="Times New Roman" w:cstheme="minorHAnsi"/>
          <w:b/>
          <w:bCs/>
          <w:sz w:val="24"/>
          <w:szCs w:val="24"/>
          <w:lang w:val="en"/>
        </w:rPr>
      </w:pPr>
    </w:p>
    <w:p w14:paraId="7220C86D" w14:textId="5673D3EE" w:rsidR="008F1E92" w:rsidRPr="008F1E92" w:rsidRDefault="008F1E92" w:rsidP="008F1E92">
      <w:pPr>
        <w:suppressAutoHyphens/>
        <w:spacing w:after="0" w:line="360" w:lineRule="auto"/>
        <w:jc w:val="both"/>
        <w:rPr>
          <w:rFonts w:eastAsia="Times New Roman" w:cstheme="minorHAnsi"/>
          <w:b/>
          <w:bCs/>
          <w:sz w:val="24"/>
          <w:szCs w:val="24"/>
          <w:lang w:val="en"/>
        </w:rPr>
      </w:pPr>
      <w:r w:rsidRPr="00D558D3">
        <w:rPr>
          <w:rFonts w:eastAsia="Times New Roman" w:cstheme="minorHAnsi"/>
          <w:b/>
          <w:bCs/>
          <w:sz w:val="24"/>
          <w:szCs w:val="24"/>
          <w:lang w:val="en"/>
        </w:rPr>
        <w:lastRenderedPageBreak/>
        <w:t>4.</w:t>
      </w:r>
      <w:bookmarkStart w:id="3" w:name="_Hlk102492981"/>
      <w:r w:rsidRPr="008F1E92">
        <w:rPr>
          <w:rFonts w:eastAsia="Times New Roman" w:cstheme="minorHAnsi"/>
          <w:b/>
          <w:bCs/>
          <w:sz w:val="24"/>
          <w:szCs w:val="24"/>
          <w:lang w:val="en"/>
        </w:rPr>
        <w:t xml:space="preserve">Evaluates the different strategies that BP Corporation uses to manage its exposure to foreign exchange risks </w:t>
      </w:r>
      <w:bookmarkEnd w:id="3"/>
    </w:p>
    <w:p w14:paraId="68BBCA2C" w14:textId="77777777" w:rsidR="008F1E92" w:rsidRPr="00D558D3" w:rsidRDefault="008F1E92" w:rsidP="008F1E92">
      <w:pPr>
        <w:suppressAutoHyphens/>
        <w:spacing w:after="0" w:line="360" w:lineRule="auto"/>
        <w:jc w:val="both"/>
        <w:rPr>
          <w:rFonts w:eastAsia="Times New Roman" w:cstheme="minorHAnsi"/>
          <w:b/>
          <w:bCs/>
          <w:sz w:val="24"/>
          <w:szCs w:val="24"/>
        </w:rPr>
      </w:pPr>
    </w:p>
    <w:p w14:paraId="0524AB81" w14:textId="1AC3E884" w:rsidR="008F1E92" w:rsidRPr="008F1E92" w:rsidRDefault="008F1E92" w:rsidP="008F1E92">
      <w:pPr>
        <w:suppressAutoHyphens/>
        <w:spacing w:after="0" w:line="360" w:lineRule="auto"/>
        <w:jc w:val="both"/>
        <w:rPr>
          <w:rFonts w:eastAsia="Times New Roman" w:cstheme="minorHAnsi"/>
          <w:b/>
          <w:bCs/>
          <w:sz w:val="24"/>
          <w:szCs w:val="24"/>
        </w:rPr>
      </w:pPr>
      <w:r w:rsidRPr="008F1E92">
        <w:rPr>
          <w:rFonts w:eastAsia="Times New Roman" w:cstheme="minorHAnsi"/>
          <w:b/>
          <w:bCs/>
          <w:sz w:val="24"/>
          <w:szCs w:val="24"/>
        </w:rPr>
        <w:t xml:space="preserve">Executive summary </w:t>
      </w:r>
    </w:p>
    <w:p w14:paraId="23CBEA1E" w14:textId="77777777" w:rsidR="008F1E92" w:rsidRPr="00D558D3" w:rsidRDefault="008F1E92" w:rsidP="008F1E92">
      <w:pPr>
        <w:suppressAutoHyphens/>
        <w:spacing w:after="0" w:line="360" w:lineRule="auto"/>
        <w:jc w:val="both"/>
        <w:rPr>
          <w:rFonts w:eastAsia="Times New Roman" w:cstheme="minorHAnsi"/>
          <w:bCs/>
          <w:sz w:val="24"/>
          <w:szCs w:val="24"/>
        </w:rPr>
      </w:pPr>
    </w:p>
    <w:p w14:paraId="4377A77A" w14:textId="1F217E5C" w:rsidR="008F1E92" w:rsidRPr="00D558D3" w:rsidRDefault="008F1E92" w:rsidP="008F1E92">
      <w:pPr>
        <w:suppressAutoHyphens/>
        <w:spacing w:after="0" w:line="360" w:lineRule="auto"/>
        <w:jc w:val="both"/>
        <w:rPr>
          <w:rFonts w:eastAsia="Times New Roman" w:cstheme="minorHAnsi"/>
          <w:bCs/>
          <w:sz w:val="24"/>
          <w:szCs w:val="24"/>
        </w:rPr>
      </w:pPr>
      <w:r w:rsidRPr="008F1E92">
        <w:rPr>
          <w:rFonts w:eastAsia="Times New Roman" w:cstheme="minorHAnsi"/>
          <w:bCs/>
          <w:sz w:val="24"/>
          <w:szCs w:val="24"/>
        </w:rPr>
        <w:t>In this</w:t>
      </w:r>
      <w:r w:rsidRPr="00D558D3">
        <w:rPr>
          <w:rFonts w:eastAsia="Times New Roman" w:cstheme="minorHAnsi"/>
          <w:bCs/>
          <w:sz w:val="24"/>
          <w:szCs w:val="24"/>
        </w:rPr>
        <w:t xml:space="preserve"> part of the</w:t>
      </w:r>
      <w:r w:rsidRPr="008F1E92">
        <w:rPr>
          <w:rFonts w:eastAsia="Times New Roman" w:cstheme="minorHAnsi"/>
          <w:bCs/>
          <w:sz w:val="24"/>
          <w:szCs w:val="24"/>
        </w:rPr>
        <w:t xml:space="preserve"> report, the different strategies have been evaluated that are actually used by the BP corporation for managing the entire exposure of it relating to the risks of the foreign exchange. Besides, the major foreign exchange risks that have been faced by the BP corporation are the risks of transactions and the economic risks that contain the issue of regarding lagging of making payments and receipts respectively. </w:t>
      </w:r>
    </w:p>
    <w:p w14:paraId="085798C2" w14:textId="77777777" w:rsidR="008F1E92" w:rsidRPr="008F1E92" w:rsidRDefault="008F1E92" w:rsidP="008F1E92">
      <w:pPr>
        <w:rPr>
          <w:b/>
          <w:bCs/>
          <w:sz w:val="24"/>
          <w:szCs w:val="24"/>
        </w:rPr>
      </w:pPr>
      <w:bookmarkStart w:id="4" w:name="_Toc100837074"/>
      <w:r w:rsidRPr="008F1E92">
        <w:rPr>
          <w:b/>
          <w:bCs/>
          <w:sz w:val="24"/>
          <w:szCs w:val="24"/>
        </w:rPr>
        <w:t>Introduction</w:t>
      </w:r>
      <w:bookmarkEnd w:id="4"/>
      <w:r w:rsidRPr="008F1E92">
        <w:rPr>
          <w:b/>
          <w:bCs/>
          <w:sz w:val="24"/>
          <w:szCs w:val="24"/>
        </w:rPr>
        <w:t xml:space="preserve"> </w:t>
      </w:r>
    </w:p>
    <w:p w14:paraId="238BF410" w14:textId="77777777" w:rsidR="008F1E92" w:rsidRPr="008F1E92" w:rsidRDefault="008F1E92" w:rsidP="008F1E92">
      <w:pPr>
        <w:rPr>
          <w:b/>
          <w:sz w:val="24"/>
          <w:szCs w:val="24"/>
        </w:rPr>
      </w:pPr>
      <w:r w:rsidRPr="008F1E92">
        <w:rPr>
          <w:sz w:val="24"/>
          <w:szCs w:val="24"/>
        </w:rPr>
        <w:t xml:space="preserve">As the BP corporation tends to depend on or follows the path of sustainability for achieving the competitive advantage, thus, the individuals associated with its financial domain of it must be driven towards sustainability for unleashing the innovative business opportunities. Hence, the proprietary insights of the BP corporation must be focused on the entire development of making a distinctive understanding irrespective of energy markets, global economics and stating the customer needs and supports of the competitors for addressing the business strategies (BP, 2021). </w:t>
      </w:r>
    </w:p>
    <w:p w14:paraId="4B1EDC62" w14:textId="77777777" w:rsidR="008F1E92" w:rsidRPr="008F1E92" w:rsidRDefault="008F1E92" w:rsidP="008F1E92">
      <w:pPr>
        <w:rPr>
          <w:b/>
          <w:bCs/>
          <w:sz w:val="24"/>
          <w:szCs w:val="24"/>
        </w:rPr>
      </w:pPr>
      <w:bookmarkStart w:id="5" w:name="_Toc100837075"/>
      <w:r w:rsidRPr="008F1E92">
        <w:rPr>
          <w:b/>
          <w:bCs/>
          <w:sz w:val="24"/>
          <w:szCs w:val="24"/>
        </w:rPr>
        <w:t>Integration of energy and providing the mobility-oriented solutions</w:t>
      </w:r>
      <w:bookmarkEnd w:id="5"/>
      <w:r w:rsidRPr="008F1E92">
        <w:rPr>
          <w:b/>
          <w:bCs/>
          <w:sz w:val="24"/>
          <w:szCs w:val="24"/>
        </w:rPr>
        <w:t xml:space="preserve"> </w:t>
      </w:r>
    </w:p>
    <w:p w14:paraId="79F97BE2" w14:textId="77777777" w:rsidR="008F1E92" w:rsidRPr="008F1E92" w:rsidRDefault="008F1E92" w:rsidP="008F1E92">
      <w:pPr>
        <w:rPr>
          <w:sz w:val="24"/>
          <w:szCs w:val="24"/>
        </w:rPr>
      </w:pPr>
      <w:r w:rsidRPr="008F1E92">
        <w:rPr>
          <w:sz w:val="24"/>
          <w:szCs w:val="24"/>
        </w:rPr>
        <w:t xml:space="preserve">The BP corporation actually uses several strategies for managing the exposure to the risks relating to the foreign exchange. Thus, making partnerships with various countries, cities and industries, tends to leverage the relationships and establishes the new partnerships aiming at providing the integrated energy and mobility-based solutions to assist the cities and the industries (Wang et al., 2022). Hence, the assistance is being provided by the BP corporation in terms of reducing the extreme emissions of carbon at the time of creating exciting business opportunities so far. </w:t>
      </w:r>
    </w:p>
    <w:p w14:paraId="73127699" w14:textId="77777777" w:rsidR="008F1E92" w:rsidRPr="008F1E92" w:rsidRDefault="008F1E92" w:rsidP="008F1E92">
      <w:pPr>
        <w:rPr>
          <w:b/>
          <w:bCs/>
          <w:sz w:val="24"/>
          <w:szCs w:val="24"/>
        </w:rPr>
      </w:pPr>
      <w:bookmarkStart w:id="6" w:name="_Toc100837076"/>
      <w:r w:rsidRPr="008F1E92">
        <w:rPr>
          <w:b/>
          <w:bCs/>
          <w:sz w:val="24"/>
          <w:szCs w:val="24"/>
        </w:rPr>
        <w:t>Making and receiving the payments</w:t>
      </w:r>
      <w:bookmarkEnd w:id="6"/>
      <w:r w:rsidRPr="008F1E92">
        <w:rPr>
          <w:b/>
          <w:bCs/>
          <w:sz w:val="24"/>
          <w:szCs w:val="24"/>
        </w:rPr>
        <w:t xml:space="preserve"> </w:t>
      </w:r>
    </w:p>
    <w:p w14:paraId="265CC232" w14:textId="77777777" w:rsidR="008F1E92" w:rsidRPr="008F1E92" w:rsidRDefault="008F1E92" w:rsidP="008F1E92">
      <w:pPr>
        <w:rPr>
          <w:sz w:val="24"/>
          <w:szCs w:val="24"/>
        </w:rPr>
      </w:pPr>
      <w:r w:rsidRPr="008F1E92">
        <w:rPr>
          <w:sz w:val="24"/>
          <w:szCs w:val="24"/>
        </w:rPr>
        <w:t xml:space="preserve">In addition to this, this BP corporation also uses the major strategies for controlling the massive exposure to the ultimate risks relating to the foreign exchange by making and receiving the payments in their own known currency only. Besides, mitigating the cash-flow risks may also enhance the ways of using the different types of naive currencies by the customers at the time of making payments in order to acquire the advantage of changing the rate of fluctuation of currency. </w:t>
      </w:r>
    </w:p>
    <w:p w14:paraId="4F92C052" w14:textId="77777777" w:rsidR="008F1E92" w:rsidRPr="008F1E92" w:rsidRDefault="008F1E92" w:rsidP="008F1E92">
      <w:pPr>
        <w:rPr>
          <w:b/>
          <w:bCs/>
          <w:sz w:val="24"/>
          <w:szCs w:val="24"/>
        </w:rPr>
      </w:pPr>
      <w:bookmarkStart w:id="7" w:name="_Toc100837077"/>
      <w:r w:rsidRPr="008F1E92">
        <w:rPr>
          <w:b/>
          <w:bCs/>
          <w:sz w:val="24"/>
          <w:szCs w:val="24"/>
        </w:rPr>
        <w:t>Diversification of sources</w:t>
      </w:r>
      <w:bookmarkEnd w:id="7"/>
      <w:r w:rsidRPr="008F1E92">
        <w:rPr>
          <w:b/>
          <w:bCs/>
          <w:sz w:val="24"/>
          <w:szCs w:val="24"/>
        </w:rPr>
        <w:t xml:space="preserve"> </w:t>
      </w:r>
    </w:p>
    <w:p w14:paraId="4BE8E08E" w14:textId="77777777" w:rsidR="008F1E92" w:rsidRPr="008F1E92" w:rsidRDefault="008F1E92" w:rsidP="008F1E92">
      <w:pPr>
        <w:rPr>
          <w:sz w:val="24"/>
          <w:szCs w:val="24"/>
        </w:rPr>
      </w:pPr>
      <w:r w:rsidRPr="008F1E92">
        <w:rPr>
          <w:sz w:val="24"/>
          <w:szCs w:val="24"/>
        </w:rPr>
        <w:t xml:space="preserve">There are several operational strategies that tend to be achieved by the BP corporation itself by including the diversification strategies by making the thorough production facilities </w:t>
      </w:r>
      <w:r w:rsidRPr="008F1E92">
        <w:rPr>
          <w:sz w:val="24"/>
          <w:szCs w:val="24"/>
        </w:rPr>
        <w:lastRenderedPageBreak/>
        <w:t xml:space="preserve">and the markets of the products as well, those have already been sold, with availing the ways of flexibility while sourcing of the raw materials henceforth, as the diversification of the sources of financing is much more required, thus, the risk mitigation strategy relating to the foreign currency must be included in matching the flow of currency, swapping the currency and also making agreements of the sharing of risks and making also back-to-back loans respectively (Kim, Lee &amp; Kang, 2021). </w:t>
      </w:r>
    </w:p>
    <w:p w14:paraId="3FFB8E76" w14:textId="77777777" w:rsidR="008F1E92" w:rsidRPr="008F1E92" w:rsidRDefault="008F1E92" w:rsidP="008F1E92">
      <w:pPr>
        <w:rPr>
          <w:b/>
          <w:bCs/>
          <w:sz w:val="24"/>
          <w:szCs w:val="24"/>
        </w:rPr>
      </w:pPr>
      <w:bookmarkStart w:id="8" w:name="_Toc100837078"/>
      <w:r w:rsidRPr="008F1E92">
        <w:rPr>
          <w:b/>
          <w:bCs/>
          <w:sz w:val="24"/>
          <w:szCs w:val="24"/>
        </w:rPr>
        <w:t>Reduction in the exposure of the transaction</w:t>
      </w:r>
      <w:bookmarkEnd w:id="8"/>
      <w:r w:rsidRPr="008F1E92">
        <w:rPr>
          <w:b/>
          <w:bCs/>
          <w:sz w:val="24"/>
          <w:szCs w:val="24"/>
        </w:rPr>
        <w:t xml:space="preserve"> </w:t>
      </w:r>
    </w:p>
    <w:p w14:paraId="30952DC5" w14:textId="77777777" w:rsidR="008F1E92" w:rsidRPr="008F1E92" w:rsidRDefault="008F1E92" w:rsidP="008F1E92">
      <w:pPr>
        <w:rPr>
          <w:sz w:val="24"/>
          <w:szCs w:val="24"/>
        </w:rPr>
      </w:pPr>
      <w:r w:rsidRPr="008F1E92">
        <w:rPr>
          <w:sz w:val="24"/>
          <w:szCs w:val="24"/>
        </w:rPr>
        <w:t>Alternatively, there are also several or multiple ways of utilizing the strategies that can be helpful enough in managing the risks of exposure of the currency to the foreign exchange risks. Henceforth, as the exposure of the transaction must be reduced with the usage of the money market properly, thus, the derivatives of the foreign exchange need to be prioritized for making and dealing with the forwarded contracts, futures contracts and developing the swapping options (</w:t>
      </w:r>
      <w:r w:rsidRPr="008F1E92">
        <w:rPr>
          <w:sz w:val="24"/>
          <w:szCs w:val="24"/>
          <w:lang w:val="en"/>
        </w:rPr>
        <w:t>Eun, Resnick &amp; Sabherwal, 2012</w:t>
      </w:r>
      <w:r w:rsidRPr="008F1E92">
        <w:rPr>
          <w:sz w:val="24"/>
          <w:szCs w:val="24"/>
        </w:rPr>
        <w:t xml:space="preserve">). </w:t>
      </w:r>
    </w:p>
    <w:p w14:paraId="66099D6E" w14:textId="77777777" w:rsidR="008F1E92" w:rsidRPr="008F1E92" w:rsidRDefault="008F1E92" w:rsidP="008F1E92">
      <w:pPr>
        <w:rPr>
          <w:b/>
          <w:bCs/>
          <w:sz w:val="24"/>
          <w:szCs w:val="24"/>
        </w:rPr>
      </w:pPr>
      <w:bookmarkStart w:id="9" w:name="_Toc100837079"/>
      <w:r w:rsidRPr="008F1E92">
        <w:rPr>
          <w:b/>
          <w:bCs/>
          <w:sz w:val="24"/>
          <w:szCs w:val="24"/>
        </w:rPr>
        <w:t>Invoicing of the currency</w:t>
      </w:r>
      <w:bookmarkEnd w:id="9"/>
      <w:r w:rsidRPr="008F1E92">
        <w:rPr>
          <w:b/>
          <w:bCs/>
          <w:sz w:val="24"/>
          <w:szCs w:val="24"/>
        </w:rPr>
        <w:t xml:space="preserve"> </w:t>
      </w:r>
    </w:p>
    <w:p w14:paraId="19E96E03" w14:textId="77777777" w:rsidR="008F1E92" w:rsidRPr="008F1E92" w:rsidRDefault="008F1E92" w:rsidP="008F1E92">
      <w:pPr>
        <w:rPr>
          <w:b/>
          <w:sz w:val="24"/>
          <w:szCs w:val="24"/>
        </w:rPr>
      </w:pPr>
      <w:r w:rsidRPr="008F1E92">
        <w:rPr>
          <w:sz w:val="24"/>
          <w:szCs w:val="24"/>
        </w:rPr>
        <w:t xml:space="preserve">Making invoices of the foreign currency is required for ensuring that actual currency by making legal compliances with implementing and addressing the regulations of the country, UK. Additionally, in case the complaint and the prices of the products may accurately get converted into the foreign currency, then the foreign currency can successfully be used with the help of an up-to-date rate of exchange (2018). </w:t>
      </w:r>
    </w:p>
    <w:p w14:paraId="2B2E35E5" w14:textId="77777777" w:rsidR="008F1E92" w:rsidRPr="008F1E92" w:rsidRDefault="008F1E92" w:rsidP="008F1E92">
      <w:pPr>
        <w:rPr>
          <w:b/>
          <w:bCs/>
          <w:sz w:val="24"/>
          <w:szCs w:val="24"/>
        </w:rPr>
      </w:pPr>
      <w:bookmarkStart w:id="10" w:name="_Toc100837080"/>
      <w:r w:rsidRPr="008F1E92">
        <w:rPr>
          <w:b/>
          <w:bCs/>
          <w:sz w:val="24"/>
          <w:szCs w:val="24"/>
        </w:rPr>
        <w:t>Leading and lagging in making receipts and payments</w:t>
      </w:r>
      <w:bookmarkEnd w:id="10"/>
      <w:r w:rsidRPr="008F1E92">
        <w:rPr>
          <w:b/>
          <w:bCs/>
          <w:sz w:val="24"/>
          <w:szCs w:val="24"/>
        </w:rPr>
        <w:t xml:space="preserve"> </w:t>
      </w:r>
    </w:p>
    <w:p w14:paraId="26D64CA3" w14:textId="77777777" w:rsidR="008F1E92" w:rsidRPr="008F1E92" w:rsidRDefault="008F1E92" w:rsidP="008F1E92">
      <w:pPr>
        <w:rPr>
          <w:sz w:val="24"/>
          <w:szCs w:val="24"/>
        </w:rPr>
      </w:pPr>
      <w:r w:rsidRPr="008F1E92">
        <w:rPr>
          <w:sz w:val="24"/>
          <w:szCs w:val="24"/>
        </w:rPr>
        <w:t xml:space="preserve">The lagging in making receipts and payments both can carry out the financial obligation after making the required expectation from it. Thus, accounts relating to the payments and receipts are concerned by the non-trading concerns that also act as a cash account for the above-mentioned concerns in terms of helping those making the accounting relating to income and expenditure. Henceforth, these two kinds of amounts must be furnished for showing the deficits and surplus of the newly growing concerns. </w:t>
      </w:r>
    </w:p>
    <w:p w14:paraId="0646D6C5" w14:textId="77777777" w:rsidR="008F1E92" w:rsidRPr="008F1E92" w:rsidRDefault="008F1E92" w:rsidP="008F1E92">
      <w:pPr>
        <w:rPr>
          <w:b/>
          <w:bCs/>
          <w:sz w:val="24"/>
          <w:szCs w:val="24"/>
        </w:rPr>
      </w:pPr>
      <w:bookmarkStart w:id="11" w:name="_Toc100837081"/>
      <w:r w:rsidRPr="008F1E92">
        <w:rPr>
          <w:b/>
          <w:bCs/>
          <w:sz w:val="24"/>
          <w:szCs w:val="24"/>
        </w:rPr>
        <w:t>Conclusion</w:t>
      </w:r>
      <w:bookmarkEnd w:id="11"/>
    </w:p>
    <w:p w14:paraId="66A9F6F7" w14:textId="77777777" w:rsidR="008F1E92" w:rsidRPr="008F1E92" w:rsidRDefault="008F1E92" w:rsidP="008F1E92">
      <w:pPr>
        <w:rPr>
          <w:sz w:val="24"/>
          <w:szCs w:val="24"/>
        </w:rPr>
      </w:pPr>
      <w:r w:rsidRPr="008F1E92">
        <w:rPr>
          <w:sz w:val="24"/>
          <w:szCs w:val="24"/>
        </w:rPr>
        <w:t xml:space="preserve">It can be concluded that, several operational techniques are actively associated with </w:t>
      </w:r>
      <w:r w:rsidRPr="008F1E92">
        <w:rPr>
          <w:b/>
          <w:i/>
          <w:sz w:val="24"/>
          <w:szCs w:val="24"/>
        </w:rPr>
        <w:t xml:space="preserve">invoicing of the currency, where leading and lagging of making receipts and payments </w:t>
      </w:r>
      <w:r w:rsidRPr="008F1E92">
        <w:rPr>
          <w:sz w:val="24"/>
          <w:szCs w:val="24"/>
        </w:rPr>
        <w:t xml:space="preserve">must be associated with the netting of the exposures. </w:t>
      </w:r>
    </w:p>
    <w:p w14:paraId="23D9EA1F" w14:textId="79F77602" w:rsidR="008F1E92" w:rsidRPr="00D558D3" w:rsidRDefault="008F1E92">
      <w:pPr>
        <w:rPr>
          <w:sz w:val="24"/>
          <w:szCs w:val="24"/>
        </w:rPr>
      </w:pPr>
    </w:p>
    <w:p w14:paraId="2383187F" w14:textId="77777777" w:rsidR="00E37F9A" w:rsidRDefault="00E37F9A" w:rsidP="008F1E92">
      <w:pPr>
        <w:ind w:left="720"/>
        <w:rPr>
          <w:b/>
          <w:bCs/>
          <w:sz w:val="24"/>
          <w:szCs w:val="24"/>
        </w:rPr>
      </w:pPr>
    </w:p>
    <w:p w14:paraId="3F3B4964" w14:textId="77777777" w:rsidR="00E37F9A" w:rsidRDefault="00E37F9A" w:rsidP="008F1E92">
      <w:pPr>
        <w:ind w:left="720"/>
        <w:rPr>
          <w:b/>
          <w:bCs/>
          <w:sz w:val="24"/>
          <w:szCs w:val="24"/>
        </w:rPr>
      </w:pPr>
    </w:p>
    <w:p w14:paraId="759966FB" w14:textId="77777777" w:rsidR="00E37F9A" w:rsidRDefault="00E37F9A" w:rsidP="008F1E92">
      <w:pPr>
        <w:ind w:left="720"/>
        <w:rPr>
          <w:b/>
          <w:bCs/>
          <w:sz w:val="24"/>
          <w:szCs w:val="24"/>
        </w:rPr>
      </w:pPr>
    </w:p>
    <w:p w14:paraId="308E7B13" w14:textId="77777777" w:rsidR="00E37F9A" w:rsidRDefault="00E37F9A" w:rsidP="008F1E92">
      <w:pPr>
        <w:ind w:left="720"/>
        <w:rPr>
          <w:b/>
          <w:bCs/>
          <w:sz w:val="24"/>
          <w:szCs w:val="24"/>
        </w:rPr>
      </w:pPr>
    </w:p>
    <w:p w14:paraId="571988AC" w14:textId="77777777" w:rsidR="00E37F9A" w:rsidRDefault="00E37F9A" w:rsidP="008F1E92">
      <w:pPr>
        <w:ind w:left="720"/>
        <w:rPr>
          <w:b/>
          <w:bCs/>
          <w:sz w:val="24"/>
          <w:szCs w:val="24"/>
        </w:rPr>
      </w:pPr>
    </w:p>
    <w:p w14:paraId="711521FA" w14:textId="77777777" w:rsidR="00E37F9A" w:rsidRDefault="00E37F9A" w:rsidP="008F1E92">
      <w:pPr>
        <w:ind w:left="720"/>
        <w:rPr>
          <w:b/>
          <w:bCs/>
          <w:sz w:val="24"/>
          <w:szCs w:val="24"/>
        </w:rPr>
      </w:pPr>
    </w:p>
    <w:p w14:paraId="7C5CD7C9" w14:textId="77777777" w:rsidR="00E37F9A" w:rsidRDefault="00E37F9A" w:rsidP="008F1E92">
      <w:pPr>
        <w:ind w:left="720"/>
        <w:rPr>
          <w:b/>
          <w:bCs/>
          <w:sz w:val="24"/>
          <w:szCs w:val="24"/>
        </w:rPr>
      </w:pPr>
    </w:p>
    <w:p w14:paraId="25DFF499" w14:textId="52C5766B" w:rsidR="008F1E92" w:rsidRPr="008F1E92" w:rsidRDefault="008F1E92" w:rsidP="008F1E92">
      <w:pPr>
        <w:ind w:left="720"/>
        <w:rPr>
          <w:b/>
          <w:bCs/>
          <w:sz w:val="24"/>
          <w:szCs w:val="24"/>
        </w:rPr>
      </w:pPr>
      <w:r w:rsidRPr="00D558D3">
        <w:rPr>
          <w:b/>
          <w:bCs/>
          <w:sz w:val="24"/>
          <w:szCs w:val="24"/>
        </w:rPr>
        <w:t>5.</w:t>
      </w:r>
      <w:r w:rsidRPr="008F1E92">
        <w:rPr>
          <w:b/>
          <w:bCs/>
          <w:sz w:val="24"/>
          <w:szCs w:val="24"/>
        </w:rPr>
        <w:t xml:space="preserve">Critically analyses and evaluates how BP Corporation manages and controls their working capital. </w:t>
      </w:r>
    </w:p>
    <w:p w14:paraId="1BB7589E" w14:textId="77777777" w:rsidR="008F1E92" w:rsidRPr="008F1E92" w:rsidRDefault="008F1E92" w:rsidP="008F1E92">
      <w:pPr>
        <w:rPr>
          <w:b/>
          <w:bCs/>
          <w:sz w:val="24"/>
          <w:szCs w:val="24"/>
        </w:rPr>
      </w:pPr>
    </w:p>
    <w:p w14:paraId="63CF605D" w14:textId="77777777" w:rsidR="008F1E92" w:rsidRPr="008F1E92" w:rsidRDefault="008F1E92" w:rsidP="008F1E92">
      <w:pPr>
        <w:rPr>
          <w:sz w:val="24"/>
          <w:szCs w:val="24"/>
        </w:rPr>
      </w:pPr>
      <w:r w:rsidRPr="008F1E92">
        <w:rPr>
          <w:sz w:val="24"/>
          <w:szCs w:val="24"/>
        </w:rPr>
        <w:t xml:space="preserve">          The BP Corporation is a British oil and gas company operating worldwide; it is why managing finances efficiently is among the most critical aspects to create value for shareholders and boost company performance in terms of profitability. The company has both internal and external sources of finance. However, the analysis is centred on the efficient working capital that can generate savings which many organisations can overlook. Watson &amp; Head (2016) stated that </w:t>
      </w:r>
      <w:r w:rsidRPr="008F1E92">
        <w:rPr>
          <w:i/>
          <w:iCs/>
          <w:sz w:val="24"/>
          <w:szCs w:val="24"/>
        </w:rPr>
        <w:t>"working capital is associated with short-term assets and liabilities." </w:t>
      </w:r>
      <w:r w:rsidRPr="008F1E92">
        <w:rPr>
          <w:sz w:val="24"/>
          <w:szCs w:val="24"/>
        </w:rPr>
        <w:t>If working capital management is efficient, it suggests that it can pay its short-term debt, pay operating expenses, and profit from a reduction in interest rate. </w:t>
      </w:r>
    </w:p>
    <w:p w14:paraId="25B0CE1E" w14:textId="77777777" w:rsidR="008F1E92" w:rsidRPr="008F1E92" w:rsidRDefault="008F1E92" w:rsidP="008F1E92">
      <w:pPr>
        <w:rPr>
          <w:sz w:val="24"/>
          <w:szCs w:val="24"/>
        </w:rPr>
      </w:pPr>
      <w:r w:rsidRPr="008F1E92">
        <w:rPr>
          <w:sz w:val="24"/>
          <w:szCs w:val="24"/>
        </w:rPr>
        <w:t xml:space="preserve">          The working capital (NAV) can be calculated by subtracting Current Liabilities from Current Assets to calculate the ratio and determine the creditworthiness </w:t>
      </w:r>
      <w:sdt>
        <w:sdtPr>
          <w:rPr>
            <w:sz w:val="24"/>
            <w:szCs w:val="24"/>
          </w:rPr>
          <w:id w:val="1488751505"/>
          <w:citation/>
        </w:sdtPr>
        <w:sdtEndPr/>
        <w:sdtContent>
          <w:r w:rsidRPr="008F1E92">
            <w:rPr>
              <w:sz w:val="24"/>
              <w:szCs w:val="24"/>
            </w:rPr>
            <w:fldChar w:fldCharType="begin"/>
          </w:r>
          <w:r w:rsidRPr="008F1E92">
            <w:rPr>
              <w:sz w:val="24"/>
              <w:szCs w:val="24"/>
            </w:rPr>
            <w:instrText xml:space="preserve"> CITATION And191 \l 2057 </w:instrText>
          </w:r>
          <w:r w:rsidRPr="008F1E92">
            <w:rPr>
              <w:sz w:val="24"/>
              <w:szCs w:val="24"/>
            </w:rPr>
            <w:fldChar w:fldCharType="separate"/>
          </w:r>
          <w:r w:rsidRPr="008F1E92">
            <w:rPr>
              <w:sz w:val="24"/>
              <w:szCs w:val="24"/>
            </w:rPr>
            <w:t>(Zahariev, 2019)</w:t>
          </w:r>
          <w:r w:rsidRPr="008F1E92">
            <w:rPr>
              <w:sz w:val="24"/>
              <w:szCs w:val="24"/>
            </w:rPr>
            <w:fldChar w:fldCharType="end"/>
          </w:r>
        </w:sdtContent>
      </w:sdt>
      <w:r w:rsidRPr="008F1E92">
        <w:rPr>
          <w:sz w:val="24"/>
          <w:szCs w:val="24"/>
        </w:rPr>
        <w:t xml:space="preserve">. Investors measure working capital to understand the short-term and long-term prospects and whether shareholders are interested in liquidity to determine the company's ability to pay dividends. Therefore, the stakeholders may have different interests and use the financial analysis to gain specific data they need. The current findings show that the last reported (for 2021) Working Capital of BP Corporation is 11B </w:t>
      </w:r>
      <w:sdt>
        <w:sdtPr>
          <w:rPr>
            <w:sz w:val="24"/>
            <w:szCs w:val="24"/>
          </w:rPr>
          <w:id w:val="1925610470"/>
          <w:citation/>
        </w:sdtPr>
        <w:sdtEndPr/>
        <w:sdtContent>
          <w:r w:rsidRPr="008F1E92">
            <w:rPr>
              <w:sz w:val="24"/>
              <w:szCs w:val="24"/>
            </w:rPr>
            <w:fldChar w:fldCharType="begin"/>
          </w:r>
          <w:r w:rsidRPr="008F1E92">
            <w:rPr>
              <w:sz w:val="24"/>
              <w:szCs w:val="24"/>
            </w:rPr>
            <w:instrText xml:space="preserve"> CITATION Mac22 \l 2057 </w:instrText>
          </w:r>
          <w:r w:rsidRPr="008F1E92">
            <w:rPr>
              <w:sz w:val="24"/>
              <w:szCs w:val="24"/>
            </w:rPr>
            <w:fldChar w:fldCharType="separate"/>
          </w:r>
          <w:r w:rsidRPr="008F1E92">
            <w:rPr>
              <w:sz w:val="24"/>
              <w:szCs w:val="24"/>
            </w:rPr>
            <w:t>(Macroaxis Funadmental Analysis, 2022)</w:t>
          </w:r>
          <w:r w:rsidRPr="008F1E92">
            <w:rPr>
              <w:sz w:val="24"/>
              <w:szCs w:val="24"/>
            </w:rPr>
            <w:fldChar w:fldCharType="end"/>
          </w:r>
        </w:sdtContent>
      </w:sdt>
      <w:r w:rsidRPr="008F1E92">
        <w:rPr>
          <w:sz w:val="24"/>
          <w:szCs w:val="24"/>
        </w:rPr>
        <w:t xml:space="preserve"> which shows a positive working capital that suggests that the company has more cash value than its short-term debts. Also, it can be a sign of short-term financial health</w:t>
      </w:r>
      <w:sdt>
        <w:sdtPr>
          <w:rPr>
            <w:sz w:val="24"/>
            <w:szCs w:val="24"/>
          </w:rPr>
          <w:id w:val="-1840835389"/>
          <w:citation/>
        </w:sdtPr>
        <w:sdtEndPr/>
        <w:sdtContent>
          <w:r w:rsidRPr="008F1E92">
            <w:rPr>
              <w:sz w:val="24"/>
              <w:szCs w:val="24"/>
            </w:rPr>
            <w:fldChar w:fldCharType="begin"/>
          </w:r>
          <w:r w:rsidRPr="008F1E92">
            <w:rPr>
              <w:sz w:val="24"/>
              <w:szCs w:val="24"/>
            </w:rPr>
            <w:instrText xml:space="preserve">CITATION Cor22 \l 2057 </w:instrText>
          </w:r>
          <w:r w:rsidRPr="008F1E92">
            <w:rPr>
              <w:sz w:val="24"/>
              <w:szCs w:val="24"/>
            </w:rPr>
            <w:fldChar w:fldCharType="separate"/>
          </w:r>
          <w:r w:rsidRPr="008F1E92">
            <w:rPr>
              <w:sz w:val="24"/>
              <w:szCs w:val="24"/>
            </w:rPr>
            <w:t xml:space="preserve"> (Corporate Finacial Institue, 2022)</w:t>
          </w:r>
          <w:r w:rsidRPr="008F1E92">
            <w:rPr>
              <w:sz w:val="24"/>
              <w:szCs w:val="24"/>
            </w:rPr>
            <w:fldChar w:fldCharType="end"/>
          </w:r>
        </w:sdtContent>
      </w:sdt>
      <w:r w:rsidRPr="008F1E92">
        <w:rPr>
          <w:sz w:val="24"/>
          <w:szCs w:val="24"/>
        </w:rPr>
        <w:t xml:space="preserve">. </w:t>
      </w:r>
    </w:p>
    <w:p w14:paraId="0AE011D2" w14:textId="77777777" w:rsidR="008F1E92" w:rsidRPr="008F1E92" w:rsidRDefault="008F1E92" w:rsidP="008F1E92">
      <w:pPr>
        <w:rPr>
          <w:sz w:val="24"/>
          <w:szCs w:val="24"/>
        </w:rPr>
      </w:pPr>
      <w:r w:rsidRPr="008F1E92">
        <w:rPr>
          <w:sz w:val="24"/>
          <w:szCs w:val="24"/>
        </w:rPr>
        <w:t xml:space="preserve">          BP uses various methods to manage and control working capital by ensuring efficient use of the resources. For example, many organisations will shorten their working capital cycle by using approaches such as extending payments terms or minimizing inventory cycles, cutting expenses, and other strategies. Based on BP Capital Markets (2020), liquidity and financing are managed under the pooled group-wide arrangement. Also, the liquidity is forecasted at least 12 months from the date of approval of these financial statements. The issue of new bonds and maintaining sufficient cash flow are among the multiple techniques used by the organisation to control working capital. In addition to that, one of BP's goals is to "reimage</w:t>
      </w:r>
      <w:r w:rsidRPr="008F1E92">
        <w:rPr>
          <w:i/>
          <w:iCs/>
          <w:sz w:val="24"/>
          <w:szCs w:val="24"/>
        </w:rPr>
        <w:t> energy for people and the planet</w:t>
      </w:r>
      <w:r w:rsidRPr="008F1E92">
        <w:rPr>
          <w:sz w:val="24"/>
          <w:szCs w:val="24"/>
        </w:rPr>
        <w:t xml:space="preserve">" </w:t>
      </w:r>
      <w:sdt>
        <w:sdtPr>
          <w:rPr>
            <w:sz w:val="24"/>
            <w:szCs w:val="24"/>
          </w:rPr>
          <w:id w:val="36938272"/>
          <w:citation/>
        </w:sdtPr>
        <w:sdtEndPr/>
        <w:sdtContent>
          <w:r w:rsidRPr="008F1E92">
            <w:rPr>
              <w:sz w:val="24"/>
              <w:szCs w:val="24"/>
            </w:rPr>
            <w:fldChar w:fldCharType="begin"/>
          </w:r>
          <w:r w:rsidRPr="008F1E92">
            <w:rPr>
              <w:sz w:val="24"/>
              <w:szCs w:val="24"/>
            </w:rPr>
            <w:instrText xml:space="preserve"> CITATION BPA19 \l 2057 </w:instrText>
          </w:r>
          <w:r w:rsidRPr="008F1E92">
            <w:rPr>
              <w:sz w:val="24"/>
              <w:szCs w:val="24"/>
            </w:rPr>
            <w:fldChar w:fldCharType="separate"/>
          </w:r>
          <w:r w:rsidRPr="008F1E92">
            <w:rPr>
              <w:sz w:val="24"/>
              <w:szCs w:val="24"/>
            </w:rPr>
            <w:t>(BP Annual Report and Form , 2019)</w:t>
          </w:r>
          <w:r w:rsidRPr="008F1E92">
            <w:rPr>
              <w:sz w:val="24"/>
              <w:szCs w:val="24"/>
            </w:rPr>
            <w:fldChar w:fldCharType="end"/>
          </w:r>
        </w:sdtContent>
      </w:sdt>
      <w:r w:rsidRPr="008F1E92">
        <w:rPr>
          <w:sz w:val="24"/>
          <w:szCs w:val="24"/>
        </w:rPr>
        <w:t xml:space="preserve"> which means it is a crucial priority to work towards reducing carbon in operation and production, therefore, helping in net value assets optimisation. </w:t>
      </w:r>
    </w:p>
    <w:p w14:paraId="51184C40" w14:textId="77777777" w:rsidR="008F1E92" w:rsidRPr="008F1E92" w:rsidRDefault="008F1E92" w:rsidP="008F1E92">
      <w:pPr>
        <w:rPr>
          <w:sz w:val="24"/>
          <w:szCs w:val="24"/>
        </w:rPr>
      </w:pPr>
      <w:r w:rsidRPr="008F1E92">
        <w:rPr>
          <w:sz w:val="24"/>
          <w:szCs w:val="24"/>
        </w:rPr>
        <w:t xml:space="preserve">        The organisation works towards reducing net debt, growing its distributions to shareholders, delivering cash to strengthen finances, and executing the strategic transformation to deliver performance </w:t>
      </w:r>
      <w:sdt>
        <w:sdtPr>
          <w:rPr>
            <w:sz w:val="24"/>
            <w:szCs w:val="24"/>
          </w:rPr>
          <w:id w:val="-565180155"/>
          <w:citation/>
        </w:sdtPr>
        <w:sdtEndPr/>
        <w:sdtContent>
          <w:r w:rsidRPr="008F1E92">
            <w:rPr>
              <w:sz w:val="24"/>
              <w:szCs w:val="24"/>
            </w:rPr>
            <w:fldChar w:fldCharType="begin"/>
          </w:r>
          <w:r w:rsidRPr="008F1E92">
            <w:rPr>
              <w:sz w:val="24"/>
              <w:szCs w:val="24"/>
            </w:rPr>
            <w:instrText xml:space="preserve"> CITATION BPC21 \l 2057 </w:instrText>
          </w:r>
          <w:r w:rsidRPr="008F1E92">
            <w:rPr>
              <w:sz w:val="24"/>
              <w:szCs w:val="24"/>
            </w:rPr>
            <w:fldChar w:fldCharType="separate"/>
          </w:r>
          <w:r w:rsidRPr="008F1E92">
            <w:rPr>
              <w:sz w:val="24"/>
              <w:szCs w:val="24"/>
            </w:rPr>
            <w:t>(BP Corporation, 2021)</w:t>
          </w:r>
          <w:r w:rsidRPr="008F1E92">
            <w:rPr>
              <w:sz w:val="24"/>
              <w:szCs w:val="24"/>
            </w:rPr>
            <w:fldChar w:fldCharType="end"/>
          </w:r>
        </w:sdtContent>
      </w:sdt>
      <w:r w:rsidRPr="008F1E92">
        <w:rPr>
          <w:sz w:val="24"/>
          <w:szCs w:val="24"/>
        </w:rPr>
        <w:t xml:space="preserve">. Despite successfully managing and controlling working capital, various risks are involved, such as industry norms that could affect the results over the years. Besides strategies that are already applied, it is </w:t>
      </w:r>
      <w:r w:rsidRPr="008F1E92">
        <w:rPr>
          <w:sz w:val="24"/>
          <w:szCs w:val="24"/>
        </w:rPr>
        <w:lastRenderedPageBreak/>
        <w:t>recommended to maintain an excellent working capital as inadequate or excessive working capital impacts organisational performance. </w:t>
      </w:r>
    </w:p>
    <w:p w14:paraId="2C321E79" w14:textId="77777777" w:rsidR="008F1E92" w:rsidRPr="008F1E92" w:rsidRDefault="008F1E92" w:rsidP="008F1E92">
      <w:pPr>
        <w:rPr>
          <w:sz w:val="24"/>
          <w:szCs w:val="24"/>
        </w:rPr>
      </w:pPr>
      <w:r w:rsidRPr="008F1E92">
        <w:rPr>
          <w:sz w:val="24"/>
          <w:szCs w:val="24"/>
        </w:rPr>
        <w:t xml:space="preserve">       In conclusion, BP Corporation uses cash pooling arrangements, forecasting liquidity, minimizing inventory cycles, maintaining sufficient cash flow, and other methods to control and monitor the net value assets. These approaches prove effective as they show a positive working capital, suggesting short-term financial health, which opens the door to opportunities to increase profits further.</w:t>
      </w:r>
    </w:p>
    <w:p w14:paraId="25772742" w14:textId="112923F9" w:rsidR="008F1E92" w:rsidRPr="00D558D3" w:rsidRDefault="008F1E92">
      <w:pPr>
        <w:rPr>
          <w:sz w:val="24"/>
          <w:szCs w:val="24"/>
        </w:rPr>
      </w:pPr>
    </w:p>
    <w:p w14:paraId="51A3D28D" w14:textId="77777777" w:rsidR="00B73671" w:rsidRPr="00D558D3" w:rsidRDefault="00B73671" w:rsidP="00B73671">
      <w:pPr>
        <w:rPr>
          <w:b/>
          <w:bCs/>
          <w:sz w:val="24"/>
          <w:szCs w:val="24"/>
        </w:rPr>
      </w:pPr>
    </w:p>
    <w:p w14:paraId="0123B135" w14:textId="77777777" w:rsidR="00B73671" w:rsidRPr="00D558D3" w:rsidRDefault="00B73671" w:rsidP="00B73671">
      <w:pPr>
        <w:rPr>
          <w:b/>
          <w:bCs/>
          <w:sz w:val="24"/>
          <w:szCs w:val="24"/>
        </w:rPr>
      </w:pPr>
    </w:p>
    <w:p w14:paraId="4D913D2E" w14:textId="77777777" w:rsidR="00B73671" w:rsidRPr="00D558D3" w:rsidRDefault="00B73671" w:rsidP="00B73671">
      <w:pPr>
        <w:rPr>
          <w:b/>
          <w:bCs/>
          <w:sz w:val="24"/>
          <w:szCs w:val="24"/>
        </w:rPr>
      </w:pPr>
    </w:p>
    <w:p w14:paraId="588E59ED" w14:textId="77777777" w:rsidR="00B73671" w:rsidRPr="00D558D3" w:rsidRDefault="00B73671" w:rsidP="00B73671">
      <w:pPr>
        <w:rPr>
          <w:b/>
          <w:bCs/>
          <w:sz w:val="24"/>
          <w:szCs w:val="24"/>
        </w:rPr>
      </w:pPr>
    </w:p>
    <w:p w14:paraId="32AFD457" w14:textId="77777777" w:rsidR="00B73671" w:rsidRPr="00D558D3" w:rsidRDefault="00B73671" w:rsidP="00B73671">
      <w:pPr>
        <w:rPr>
          <w:b/>
          <w:bCs/>
          <w:sz w:val="24"/>
          <w:szCs w:val="24"/>
        </w:rPr>
      </w:pPr>
    </w:p>
    <w:p w14:paraId="10B22A25" w14:textId="77777777" w:rsidR="00B73671" w:rsidRPr="00D558D3" w:rsidRDefault="00B73671" w:rsidP="00B73671">
      <w:pPr>
        <w:rPr>
          <w:b/>
          <w:bCs/>
          <w:sz w:val="24"/>
          <w:szCs w:val="24"/>
        </w:rPr>
      </w:pPr>
    </w:p>
    <w:p w14:paraId="20BB8B1D" w14:textId="77777777" w:rsidR="00B73671" w:rsidRPr="00D558D3" w:rsidRDefault="00B73671" w:rsidP="00B73671">
      <w:pPr>
        <w:rPr>
          <w:b/>
          <w:bCs/>
          <w:sz w:val="24"/>
          <w:szCs w:val="24"/>
        </w:rPr>
      </w:pPr>
    </w:p>
    <w:p w14:paraId="6A90F474" w14:textId="77777777" w:rsidR="00D558D3" w:rsidRDefault="00D558D3" w:rsidP="00B73671">
      <w:pPr>
        <w:rPr>
          <w:b/>
          <w:bCs/>
          <w:sz w:val="24"/>
          <w:szCs w:val="24"/>
        </w:rPr>
      </w:pPr>
    </w:p>
    <w:p w14:paraId="0C9F35D9" w14:textId="77777777" w:rsidR="002432B5" w:rsidRDefault="002432B5" w:rsidP="00B73671">
      <w:pPr>
        <w:rPr>
          <w:b/>
          <w:bCs/>
          <w:sz w:val="24"/>
          <w:szCs w:val="24"/>
        </w:rPr>
      </w:pPr>
    </w:p>
    <w:p w14:paraId="6A85B09A" w14:textId="77777777" w:rsidR="00E37F9A" w:rsidRDefault="00E37F9A" w:rsidP="00B73671">
      <w:pPr>
        <w:rPr>
          <w:b/>
          <w:bCs/>
          <w:sz w:val="24"/>
          <w:szCs w:val="24"/>
        </w:rPr>
      </w:pPr>
    </w:p>
    <w:p w14:paraId="784954C2" w14:textId="77777777" w:rsidR="00E37F9A" w:rsidRDefault="00E37F9A" w:rsidP="00B73671">
      <w:pPr>
        <w:rPr>
          <w:b/>
          <w:bCs/>
          <w:sz w:val="24"/>
          <w:szCs w:val="24"/>
        </w:rPr>
      </w:pPr>
    </w:p>
    <w:p w14:paraId="772894BF" w14:textId="77777777" w:rsidR="00E37F9A" w:rsidRDefault="00E37F9A" w:rsidP="00B73671">
      <w:pPr>
        <w:rPr>
          <w:b/>
          <w:bCs/>
          <w:sz w:val="24"/>
          <w:szCs w:val="24"/>
        </w:rPr>
      </w:pPr>
    </w:p>
    <w:p w14:paraId="17610527" w14:textId="77777777" w:rsidR="00E37F9A" w:rsidRDefault="00E37F9A" w:rsidP="00B73671">
      <w:pPr>
        <w:rPr>
          <w:b/>
          <w:bCs/>
          <w:sz w:val="24"/>
          <w:szCs w:val="24"/>
        </w:rPr>
      </w:pPr>
    </w:p>
    <w:p w14:paraId="6BCBD04C" w14:textId="77777777" w:rsidR="00E37F9A" w:rsidRDefault="00E37F9A" w:rsidP="00B73671">
      <w:pPr>
        <w:rPr>
          <w:b/>
          <w:bCs/>
          <w:sz w:val="24"/>
          <w:szCs w:val="24"/>
        </w:rPr>
      </w:pPr>
    </w:p>
    <w:p w14:paraId="59793E2D" w14:textId="77777777" w:rsidR="00E37F9A" w:rsidRDefault="00E37F9A" w:rsidP="00B73671">
      <w:pPr>
        <w:rPr>
          <w:b/>
          <w:bCs/>
          <w:sz w:val="24"/>
          <w:szCs w:val="24"/>
        </w:rPr>
      </w:pPr>
    </w:p>
    <w:p w14:paraId="5E890B4E" w14:textId="77777777" w:rsidR="00E37F9A" w:rsidRDefault="00E37F9A" w:rsidP="00B73671">
      <w:pPr>
        <w:rPr>
          <w:b/>
          <w:bCs/>
          <w:sz w:val="24"/>
          <w:szCs w:val="24"/>
        </w:rPr>
      </w:pPr>
    </w:p>
    <w:p w14:paraId="37E0FF17" w14:textId="77777777" w:rsidR="00E37F9A" w:rsidRDefault="00E37F9A" w:rsidP="00B73671">
      <w:pPr>
        <w:rPr>
          <w:b/>
          <w:bCs/>
          <w:sz w:val="24"/>
          <w:szCs w:val="24"/>
        </w:rPr>
      </w:pPr>
    </w:p>
    <w:p w14:paraId="194FB609" w14:textId="77777777" w:rsidR="00E37F9A" w:rsidRDefault="00E37F9A" w:rsidP="00B73671">
      <w:pPr>
        <w:rPr>
          <w:b/>
          <w:bCs/>
          <w:sz w:val="24"/>
          <w:szCs w:val="24"/>
        </w:rPr>
      </w:pPr>
    </w:p>
    <w:p w14:paraId="0A07FBA7" w14:textId="77777777" w:rsidR="00E37F9A" w:rsidRDefault="00E37F9A" w:rsidP="00B73671">
      <w:pPr>
        <w:rPr>
          <w:b/>
          <w:bCs/>
          <w:sz w:val="24"/>
          <w:szCs w:val="24"/>
        </w:rPr>
      </w:pPr>
    </w:p>
    <w:p w14:paraId="1E17FE09" w14:textId="77777777" w:rsidR="00E37F9A" w:rsidRDefault="00E37F9A" w:rsidP="00B73671">
      <w:pPr>
        <w:rPr>
          <w:b/>
          <w:bCs/>
          <w:sz w:val="24"/>
          <w:szCs w:val="24"/>
        </w:rPr>
      </w:pPr>
    </w:p>
    <w:p w14:paraId="5E84F9C4" w14:textId="77777777" w:rsidR="00E37F9A" w:rsidRDefault="00E37F9A" w:rsidP="00B73671">
      <w:pPr>
        <w:rPr>
          <w:b/>
          <w:bCs/>
          <w:sz w:val="24"/>
          <w:szCs w:val="24"/>
        </w:rPr>
      </w:pPr>
    </w:p>
    <w:p w14:paraId="6699335B" w14:textId="77777777" w:rsidR="00E37F9A" w:rsidRDefault="00E37F9A" w:rsidP="00B73671">
      <w:pPr>
        <w:rPr>
          <w:b/>
          <w:bCs/>
          <w:sz w:val="24"/>
          <w:szCs w:val="24"/>
        </w:rPr>
      </w:pPr>
    </w:p>
    <w:p w14:paraId="1C4270E5" w14:textId="77777777" w:rsidR="00E37F9A" w:rsidRDefault="00E37F9A" w:rsidP="00B73671">
      <w:pPr>
        <w:rPr>
          <w:b/>
          <w:bCs/>
          <w:sz w:val="24"/>
          <w:szCs w:val="24"/>
        </w:rPr>
      </w:pPr>
    </w:p>
    <w:p w14:paraId="4689A94E" w14:textId="77777777" w:rsidR="00E37F9A" w:rsidRDefault="00E37F9A" w:rsidP="00B73671">
      <w:pPr>
        <w:rPr>
          <w:b/>
          <w:bCs/>
          <w:sz w:val="24"/>
          <w:szCs w:val="24"/>
        </w:rPr>
      </w:pPr>
    </w:p>
    <w:p w14:paraId="328820B1" w14:textId="77777777" w:rsidR="00E37F9A" w:rsidRDefault="00E37F9A" w:rsidP="00B73671">
      <w:pPr>
        <w:rPr>
          <w:b/>
          <w:bCs/>
          <w:sz w:val="24"/>
          <w:szCs w:val="24"/>
        </w:rPr>
      </w:pPr>
    </w:p>
    <w:p w14:paraId="5D71B321" w14:textId="77777777" w:rsidR="00E37F9A" w:rsidRDefault="00E37F9A" w:rsidP="00B73671">
      <w:pPr>
        <w:rPr>
          <w:b/>
          <w:bCs/>
          <w:sz w:val="24"/>
          <w:szCs w:val="24"/>
        </w:rPr>
      </w:pPr>
    </w:p>
    <w:p w14:paraId="145415BD" w14:textId="2B5B023D" w:rsidR="00B73671" w:rsidRPr="00B73671" w:rsidRDefault="00B73671" w:rsidP="00B73671">
      <w:pPr>
        <w:rPr>
          <w:b/>
          <w:bCs/>
          <w:sz w:val="24"/>
          <w:szCs w:val="24"/>
        </w:rPr>
      </w:pPr>
      <w:r w:rsidRPr="00B73671">
        <w:rPr>
          <w:b/>
          <w:bCs/>
          <w:sz w:val="24"/>
          <w:szCs w:val="24"/>
        </w:rPr>
        <w:t xml:space="preserve">Bibliography </w:t>
      </w:r>
    </w:p>
    <w:p w14:paraId="78D2B465" w14:textId="77777777" w:rsidR="00B73671" w:rsidRPr="00B73671" w:rsidRDefault="00B73671" w:rsidP="00B73671">
      <w:pPr>
        <w:rPr>
          <w:sz w:val="24"/>
          <w:szCs w:val="24"/>
        </w:rPr>
      </w:pPr>
    </w:p>
    <w:p w14:paraId="465F847F" w14:textId="77777777" w:rsidR="00B73671" w:rsidRPr="00B73671" w:rsidRDefault="00B73671" w:rsidP="00B73671">
      <w:pPr>
        <w:rPr>
          <w:sz w:val="24"/>
          <w:szCs w:val="24"/>
        </w:rPr>
      </w:pPr>
      <w:r w:rsidRPr="00B73671">
        <w:rPr>
          <w:b/>
          <w:bCs/>
          <w:sz w:val="24"/>
          <w:szCs w:val="24"/>
        </w:rPr>
        <w:t>1</w:t>
      </w:r>
      <w:r w:rsidRPr="00B73671">
        <w:rPr>
          <w:sz w:val="24"/>
          <w:szCs w:val="24"/>
        </w:rPr>
        <w:t>. Albaum, G. 1994. International Marketing and Export Management. Wokingham: Addison-Wesley</w:t>
      </w:r>
    </w:p>
    <w:p w14:paraId="596AD513" w14:textId="77777777" w:rsidR="00B73671" w:rsidRPr="00B73671" w:rsidRDefault="00B73671" w:rsidP="00B73671">
      <w:pPr>
        <w:rPr>
          <w:sz w:val="24"/>
          <w:szCs w:val="24"/>
        </w:rPr>
      </w:pPr>
      <w:r w:rsidRPr="00B73671">
        <w:rPr>
          <w:b/>
          <w:bCs/>
          <w:sz w:val="24"/>
          <w:szCs w:val="24"/>
        </w:rPr>
        <w:t>2</w:t>
      </w:r>
      <w:r w:rsidRPr="00B73671">
        <w:rPr>
          <w:sz w:val="24"/>
          <w:szCs w:val="24"/>
        </w:rPr>
        <w:t>. BP Europa SE, 2022. BP Europa SE is the European Public Limited Company of the bp Group. Available at: https://www.bp.com/en/global/bp-europa-se/about-bp-europa-se.html [Accessed 28 April 2022].</w:t>
      </w:r>
    </w:p>
    <w:p w14:paraId="727D2B0B" w14:textId="77777777" w:rsidR="00B73671" w:rsidRPr="00B73671" w:rsidRDefault="00B73671" w:rsidP="00B73671">
      <w:pPr>
        <w:rPr>
          <w:sz w:val="24"/>
          <w:szCs w:val="24"/>
        </w:rPr>
      </w:pPr>
      <w:r w:rsidRPr="00B73671">
        <w:rPr>
          <w:b/>
          <w:bCs/>
          <w:sz w:val="24"/>
          <w:szCs w:val="24"/>
        </w:rPr>
        <w:t>3</w:t>
      </w:r>
      <w:r w:rsidRPr="00B73671">
        <w:rPr>
          <w:sz w:val="24"/>
          <w:szCs w:val="24"/>
        </w:rPr>
        <w:t>. BP Report, 2020. Performing while transforming, London: Annual Report and Form 20-F.</w:t>
      </w:r>
    </w:p>
    <w:p w14:paraId="46E9297A" w14:textId="77777777" w:rsidR="00B73671" w:rsidRPr="00B73671" w:rsidRDefault="00B73671" w:rsidP="00B73671">
      <w:pPr>
        <w:rPr>
          <w:sz w:val="24"/>
          <w:szCs w:val="24"/>
        </w:rPr>
      </w:pPr>
      <w:r w:rsidRPr="00B73671">
        <w:rPr>
          <w:b/>
          <w:bCs/>
          <w:sz w:val="24"/>
          <w:szCs w:val="24"/>
        </w:rPr>
        <w:t xml:space="preserve">4. </w:t>
      </w:r>
      <w:r w:rsidRPr="00B73671">
        <w:rPr>
          <w:sz w:val="24"/>
          <w:szCs w:val="24"/>
        </w:rPr>
        <w:t xml:space="preserve">BP, 2012. BP forecasts robust global energy demand to 2030 despite efficiency gains. [Online] Available at: </w:t>
      </w:r>
      <w:hyperlink r:id="rId8" w:history="1">
        <w:r w:rsidRPr="00B73671">
          <w:rPr>
            <w:rStyle w:val="Hyperlink"/>
            <w:sz w:val="24"/>
            <w:szCs w:val="24"/>
          </w:rPr>
          <w:t>https://www.bp.com/en/global/corporate/news-and-insights/press-releases/bp-forecasts-robust-global-energy-demand-to-2030-despite-efficiency-gains.html</w:t>
        </w:r>
      </w:hyperlink>
    </w:p>
    <w:p w14:paraId="79E8F71F" w14:textId="77777777" w:rsidR="00B73671" w:rsidRPr="00B73671" w:rsidRDefault="00B73671" w:rsidP="00B73671">
      <w:pPr>
        <w:rPr>
          <w:sz w:val="24"/>
          <w:szCs w:val="24"/>
        </w:rPr>
      </w:pPr>
      <w:r w:rsidRPr="00B73671">
        <w:rPr>
          <w:sz w:val="24"/>
          <w:szCs w:val="24"/>
        </w:rPr>
        <w:t>[Accessed 14 April 2022].</w:t>
      </w:r>
    </w:p>
    <w:p w14:paraId="795D5D3D" w14:textId="77777777" w:rsidR="00B73671" w:rsidRPr="00B73671" w:rsidRDefault="00B73671" w:rsidP="00B73671">
      <w:pPr>
        <w:rPr>
          <w:sz w:val="24"/>
          <w:szCs w:val="24"/>
        </w:rPr>
      </w:pPr>
      <w:r w:rsidRPr="00B73671">
        <w:rPr>
          <w:b/>
          <w:bCs/>
          <w:sz w:val="24"/>
          <w:szCs w:val="24"/>
        </w:rPr>
        <w:t>5.</w:t>
      </w:r>
      <w:r w:rsidRPr="00B73671">
        <w:rPr>
          <w:sz w:val="24"/>
          <w:szCs w:val="24"/>
        </w:rPr>
        <w:t>BP (2021). The Hedging Policies of BP with the Systematically Analysis. Available at: file:///D:/2022/April/14TH/JOB%201/125966044.pdf. [Accessed on 14 April 2022].</w:t>
      </w:r>
    </w:p>
    <w:p w14:paraId="0DCEEC77" w14:textId="77777777" w:rsidR="00B73671" w:rsidRPr="00B73671" w:rsidRDefault="00B73671" w:rsidP="00B73671">
      <w:pPr>
        <w:rPr>
          <w:sz w:val="24"/>
          <w:szCs w:val="24"/>
        </w:rPr>
      </w:pPr>
      <w:r w:rsidRPr="00B73671">
        <w:rPr>
          <w:b/>
          <w:bCs/>
          <w:sz w:val="24"/>
          <w:szCs w:val="24"/>
        </w:rPr>
        <w:t>6</w:t>
      </w:r>
      <w:r w:rsidRPr="00B73671">
        <w:rPr>
          <w:sz w:val="24"/>
          <w:szCs w:val="24"/>
        </w:rPr>
        <w:t>. BP Annual Report and Form , 2019. Our purpose is reimagining energy for people and our planet. [Online] Available at: https://www.bp.com/content/dam/bp/business-sites/en/global/corporate/pdfs/investors/bp-annual-report-and-form-20f-2019.pdf</w:t>
      </w:r>
    </w:p>
    <w:p w14:paraId="56525C15" w14:textId="77777777" w:rsidR="00B73671" w:rsidRPr="00B73671" w:rsidRDefault="00B73671" w:rsidP="00B73671">
      <w:pPr>
        <w:rPr>
          <w:sz w:val="24"/>
          <w:szCs w:val="24"/>
        </w:rPr>
      </w:pPr>
      <w:r w:rsidRPr="00B73671">
        <w:rPr>
          <w:b/>
          <w:bCs/>
          <w:sz w:val="24"/>
          <w:szCs w:val="24"/>
        </w:rPr>
        <w:t xml:space="preserve">7. </w:t>
      </w:r>
      <w:r w:rsidRPr="00B73671">
        <w:rPr>
          <w:sz w:val="24"/>
          <w:szCs w:val="24"/>
        </w:rPr>
        <w:t>BP Capital Markets , 2020. Annual Report and Finacial Statement; Strategic Report , UK: bp.com.</w:t>
      </w:r>
    </w:p>
    <w:p w14:paraId="30A37D14" w14:textId="77777777" w:rsidR="00B73671" w:rsidRPr="00B73671" w:rsidRDefault="00B73671" w:rsidP="00B73671">
      <w:pPr>
        <w:rPr>
          <w:sz w:val="24"/>
          <w:szCs w:val="24"/>
        </w:rPr>
      </w:pPr>
      <w:r w:rsidRPr="00B73671">
        <w:rPr>
          <w:b/>
          <w:bCs/>
          <w:sz w:val="24"/>
          <w:szCs w:val="24"/>
        </w:rPr>
        <w:t xml:space="preserve">8. </w:t>
      </w:r>
      <w:r w:rsidRPr="00B73671">
        <w:rPr>
          <w:sz w:val="24"/>
          <w:szCs w:val="24"/>
        </w:rPr>
        <w:t xml:space="preserve">BP Corporation, 2021. Group Results. [Online] Available at: </w:t>
      </w:r>
      <w:hyperlink r:id="rId9" w:history="1">
        <w:r w:rsidRPr="00B73671">
          <w:rPr>
            <w:rStyle w:val="Hyperlink"/>
            <w:sz w:val="24"/>
            <w:szCs w:val="24"/>
          </w:rPr>
          <w:t>https://www.bp.com/content/dam/bp/business-sites/en/global/corporate/pdfs/investors/bp-third-quarter-2021-results.pdf</w:t>
        </w:r>
      </w:hyperlink>
    </w:p>
    <w:p w14:paraId="0B022DE1" w14:textId="77777777" w:rsidR="00B73671" w:rsidRPr="00B73671" w:rsidRDefault="00B73671" w:rsidP="00B73671">
      <w:pPr>
        <w:rPr>
          <w:sz w:val="24"/>
          <w:szCs w:val="24"/>
        </w:rPr>
      </w:pPr>
      <w:r w:rsidRPr="00B73671">
        <w:rPr>
          <w:b/>
          <w:bCs/>
          <w:sz w:val="24"/>
          <w:szCs w:val="24"/>
        </w:rPr>
        <w:t xml:space="preserve">9 </w:t>
      </w:r>
      <w:r w:rsidRPr="00B73671">
        <w:rPr>
          <w:sz w:val="24"/>
          <w:szCs w:val="24"/>
        </w:rPr>
        <w:t>.Buckle, M. &amp; Thompson, J., 2004. The UK financial system. 4th ed. Manchester : University Press.</w:t>
      </w:r>
    </w:p>
    <w:p w14:paraId="6DA6BA65" w14:textId="77777777" w:rsidR="00B73671" w:rsidRPr="00B73671" w:rsidRDefault="00B73671" w:rsidP="00B73671">
      <w:pPr>
        <w:rPr>
          <w:sz w:val="24"/>
          <w:szCs w:val="24"/>
        </w:rPr>
      </w:pPr>
      <w:r w:rsidRPr="00B73671">
        <w:rPr>
          <w:b/>
          <w:bCs/>
          <w:sz w:val="24"/>
          <w:szCs w:val="24"/>
        </w:rPr>
        <w:t>10.</w:t>
      </w:r>
      <w:r w:rsidRPr="00B73671">
        <w:rPr>
          <w:sz w:val="24"/>
          <w:szCs w:val="24"/>
        </w:rPr>
        <w:t xml:space="preserve"> Czinkota, M., 2004. The Drive to Internationalisation. In: The Export Marketing Imperative. Thomson Learning, pp. 1-12.</w:t>
      </w:r>
    </w:p>
    <w:p w14:paraId="3049B498" w14:textId="77777777" w:rsidR="00B73671" w:rsidRPr="00B73671" w:rsidRDefault="00B73671" w:rsidP="00B73671">
      <w:pPr>
        <w:rPr>
          <w:sz w:val="24"/>
          <w:szCs w:val="24"/>
        </w:rPr>
      </w:pPr>
      <w:r w:rsidRPr="00B73671">
        <w:rPr>
          <w:b/>
          <w:bCs/>
          <w:sz w:val="24"/>
          <w:szCs w:val="24"/>
        </w:rPr>
        <w:t>11.</w:t>
      </w:r>
      <w:r w:rsidRPr="00B73671">
        <w:rPr>
          <w:sz w:val="24"/>
          <w:szCs w:val="24"/>
        </w:rPr>
        <w:t xml:space="preserve"> Ceil, C., 2019. </w:t>
      </w:r>
      <w:r w:rsidRPr="00B73671">
        <w:rPr>
          <w:i/>
          <w:iCs/>
          <w:sz w:val="24"/>
          <w:szCs w:val="24"/>
        </w:rPr>
        <w:t xml:space="preserve">Strategic Report on British Petroleum, </w:t>
      </w:r>
      <w:r w:rsidRPr="00B73671">
        <w:rPr>
          <w:sz w:val="24"/>
          <w:szCs w:val="24"/>
        </w:rPr>
        <w:t>s.l.: SSRN Electronic Journal.</w:t>
      </w:r>
    </w:p>
    <w:p w14:paraId="16A20775" w14:textId="77777777" w:rsidR="00B73671" w:rsidRPr="00B73671" w:rsidRDefault="00B73671" w:rsidP="00B73671">
      <w:pPr>
        <w:rPr>
          <w:sz w:val="24"/>
          <w:szCs w:val="24"/>
          <w:lang w:val="en-US"/>
        </w:rPr>
      </w:pPr>
      <w:r w:rsidRPr="00B73671">
        <w:rPr>
          <w:b/>
          <w:bCs/>
          <w:sz w:val="24"/>
          <w:szCs w:val="24"/>
          <w:lang w:val="en-US"/>
        </w:rPr>
        <w:t>12.</w:t>
      </w:r>
      <w:r w:rsidRPr="00B73671">
        <w:rPr>
          <w:sz w:val="24"/>
          <w:szCs w:val="24"/>
          <w:lang w:val="en-US"/>
        </w:rPr>
        <w:t xml:space="preserve"> Corporate finacial Institue, 2022. Working Capital Formula. [Online] </w:t>
      </w:r>
    </w:p>
    <w:p w14:paraId="6104DDFB" w14:textId="77777777" w:rsidR="00B73671" w:rsidRPr="00B73671" w:rsidRDefault="00B73671" w:rsidP="00B73671">
      <w:pPr>
        <w:rPr>
          <w:sz w:val="24"/>
          <w:szCs w:val="24"/>
          <w:lang w:val="en-US"/>
        </w:rPr>
      </w:pPr>
      <w:r w:rsidRPr="00B73671">
        <w:rPr>
          <w:sz w:val="24"/>
          <w:szCs w:val="24"/>
          <w:lang w:val="en-US"/>
        </w:rPr>
        <w:t xml:space="preserve">Available at: </w:t>
      </w:r>
      <w:hyperlink r:id="rId10" w:history="1">
        <w:r w:rsidRPr="00B73671">
          <w:rPr>
            <w:rStyle w:val="Hyperlink"/>
            <w:sz w:val="24"/>
            <w:szCs w:val="24"/>
            <w:lang w:val="en-US"/>
          </w:rPr>
          <w:t>https://corporatefinanceinstitute.com/resources/knowledge/modeling/working-capital-formula/</w:t>
        </w:r>
      </w:hyperlink>
    </w:p>
    <w:p w14:paraId="12C4D528" w14:textId="77777777" w:rsidR="00B73671" w:rsidRPr="00B73671" w:rsidRDefault="00B73671" w:rsidP="00B73671">
      <w:pPr>
        <w:rPr>
          <w:sz w:val="24"/>
          <w:szCs w:val="24"/>
          <w:lang w:val="en-US"/>
        </w:rPr>
      </w:pPr>
      <w:r w:rsidRPr="00B73671">
        <w:rPr>
          <w:b/>
          <w:bCs/>
          <w:sz w:val="24"/>
          <w:szCs w:val="24"/>
          <w:lang w:val="en-US"/>
        </w:rPr>
        <w:lastRenderedPageBreak/>
        <w:t>13.</w:t>
      </w:r>
      <w:r w:rsidRPr="00B73671">
        <w:rPr>
          <w:sz w:val="24"/>
          <w:szCs w:val="24"/>
        </w:rPr>
        <w:t xml:space="preserve"> </w:t>
      </w:r>
      <w:r w:rsidRPr="00B73671">
        <w:rPr>
          <w:sz w:val="24"/>
          <w:szCs w:val="24"/>
          <w:lang w:val="en-US"/>
        </w:rPr>
        <w:t>Dobrovolsky, S. P., 1951. Internal versus External Sources of Financing. In: Corporate Income Retention. New York: NBER, pp. 64-81.</w:t>
      </w:r>
    </w:p>
    <w:p w14:paraId="24321362" w14:textId="77777777" w:rsidR="00B73671" w:rsidRPr="00B73671" w:rsidRDefault="00B73671" w:rsidP="00B73671">
      <w:pPr>
        <w:rPr>
          <w:sz w:val="24"/>
          <w:szCs w:val="24"/>
          <w:lang w:val="en-US"/>
        </w:rPr>
      </w:pPr>
      <w:r w:rsidRPr="00B73671">
        <w:rPr>
          <w:b/>
          <w:bCs/>
          <w:sz w:val="24"/>
          <w:szCs w:val="24"/>
          <w:lang w:val="en-US"/>
        </w:rPr>
        <w:t>14</w:t>
      </w:r>
      <w:r w:rsidRPr="00B73671">
        <w:rPr>
          <w:sz w:val="24"/>
          <w:szCs w:val="24"/>
          <w:lang w:val="en-US"/>
        </w:rPr>
        <w:t>. Eun, C. S, Resnick, B.G &amp; Sabherwal S, International Finance: Global edition (sixth), McGraw-Hill, 2012.</w:t>
      </w:r>
    </w:p>
    <w:p w14:paraId="301E64C1" w14:textId="77777777" w:rsidR="00B73671" w:rsidRPr="00B73671" w:rsidRDefault="00B73671" w:rsidP="00B73671">
      <w:pPr>
        <w:rPr>
          <w:sz w:val="24"/>
          <w:szCs w:val="24"/>
          <w:lang w:val="en-US"/>
        </w:rPr>
      </w:pPr>
      <w:r w:rsidRPr="00B73671">
        <w:rPr>
          <w:b/>
          <w:bCs/>
          <w:sz w:val="24"/>
          <w:szCs w:val="24"/>
          <w:lang w:val="en-US"/>
        </w:rPr>
        <w:t>15.</w:t>
      </w:r>
      <w:r w:rsidRPr="00B73671">
        <w:rPr>
          <w:sz w:val="24"/>
          <w:szCs w:val="24"/>
          <w:lang w:val="en-US"/>
        </w:rPr>
        <w:t>Gerschewski, S., Rose, E. L. &amp; Lindsay, V. J., 2019. Understanding the drivers of international performance for born global firms: an integrated perspective. Journal of World Business, 50(3), pp. 558-575.</w:t>
      </w:r>
    </w:p>
    <w:p w14:paraId="190C04E6" w14:textId="77777777" w:rsidR="00B73671" w:rsidRPr="00B73671" w:rsidRDefault="00B73671" w:rsidP="00B73671">
      <w:pPr>
        <w:rPr>
          <w:sz w:val="24"/>
          <w:szCs w:val="24"/>
          <w:lang w:val="en-US"/>
        </w:rPr>
      </w:pPr>
      <w:r w:rsidRPr="00B73671">
        <w:rPr>
          <w:b/>
          <w:bCs/>
          <w:sz w:val="24"/>
          <w:szCs w:val="24"/>
          <w:lang w:val="en-US"/>
        </w:rPr>
        <w:t>16</w:t>
      </w:r>
      <w:r w:rsidRPr="00B73671">
        <w:rPr>
          <w:sz w:val="24"/>
          <w:szCs w:val="24"/>
          <w:lang w:val="en-US"/>
        </w:rPr>
        <w:t xml:space="preserve">.Guzman, R., 2019. Internationalisation of National Oil Companies. [Online] </w:t>
      </w:r>
    </w:p>
    <w:p w14:paraId="7D24BBA6" w14:textId="77777777" w:rsidR="00B73671" w:rsidRPr="00B73671" w:rsidRDefault="00B73671" w:rsidP="00B73671">
      <w:pPr>
        <w:rPr>
          <w:sz w:val="24"/>
          <w:szCs w:val="24"/>
          <w:lang w:val="en-US"/>
        </w:rPr>
      </w:pPr>
      <w:r w:rsidRPr="00B73671">
        <w:rPr>
          <w:sz w:val="24"/>
          <w:szCs w:val="24"/>
          <w:lang w:val="en-US"/>
        </w:rPr>
        <w:t>Available at: https://www.adlittle.com/en/insights/viewpoints/internationalization-national-oil-companies</w:t>
      </w:r>
    </w:p>
    <w:p w14:paraId="053FD62E" w14:textId="77777777" w:rsidR="00B73671" w:rsidRPr="00B73671" w:rsidRDefault="00B73671" w:rsidP="00B73671">
      <w:pPr>
        <w:rPr>
          <w:sz w:val="24"/>
          <w:szCs w:val="24"/>
          <w:lang w:val="en-US"/>
        </w:rPr>
      </w:pPr>
      <w:r w:rsidRPr="00B73671">
        <w:rPr>
          <w:sz w:val="24"/>
          <w:szCs w:val="24"/>
          <w:lang w:val="en-US"/>
        </w:rPr>
        <w:t>[Accessed 27 April 2022].</w:t>
      </w:r>
    </w:p>
    <w:p w14:paraId="7D085463" w14:textId="77777777" w:rsidR="00B73671" w:rsidRPr="00B73671" w:rsidRDefault="00B73671" w:rsidP="00B73671">
      <w:pPr>
        <w:rPr>
          <w:sz w:val="24"/>
          <w:szCs w:val="24"/>
        </w:rPr>
      </w:pPr>
      <w:r w:rsidRPr="00B73671">
        <w:rPr>
          <w:b/>
          <w:bCs/>
          <w:sz w:val="24"/>
          <w:szCs w:val="24"/>
          <w:lang w:val="en-US"/>
        </w:rPr>
        <w:t>17</w:t>
      </w:r>
      <w:r w:rsidRPr="00B73671">
        <w:rPr>
          <w:sz w:val="24"/>
          <w:szCs w:val="24"/>
          <w:lang w:val="en-US"/>
        </w:rPr>
        <w:t xml:space="preserve">. </w:t>
      </w:r>
      <w:r w:rsidRPr="00B73671">
        <w:rPr>
          <w:sz w:val="24"/>
          <w:szCs w:val="24"/>
        </w:rPr>
        <w:t xml:space="preserve">Grace, D. J., 2013. </w:t>
      </w:r>
      <w:r w:rsidRPr="00B73671">
        <w:rPr>
          <w:i/>
          <w:iCs/>
          <w:sz w:val="24"/>
          <w:szCs w:val="24"/>
        </w:rPr>
        <w:t>What change management strategies can be undertaken by British Petroleum after undertaking strategic analysis to help them gain competitive advantage,</w:t>
      </w:r>
      <w:r w:rsidRPr="00B73671">
        <w:rPr>
          <w:sz w:val="24"/>
          <w:szCs w:val="24"/>
        </w:rPr>
        <w:t xml:space="preserve"> Business Administration.</w:t>
      </w:r>
    </w:p>
    <w:p w14:paraId="439A4437" w14:textId="77777777" w:rsidR="00B73671" w:rsidRPr="00B73671" w:rsidRDefault="00B73671" w:rsidP="00B73671">
      <w:pPr>
        <w:rPr>
          <w:sz w:val="24"/>
          <w:szCs w:val="24"/>
          <w:lang w:val="en-US"/>
        </w:rPr>
      </w:pPr>
      <w:r w:rsidRPr="00B73671">
        <w:rPr>
          <w:b/>
          <w:bCs/>
          <w:sz w:val="24"/>
          <w:szCs w:val="24"/>
        </w:rPr>
        <w:t>18</w:t>
      </w:r>
      <w:r w:rsidRPr="00B73671">
        <w:rPr>
          <w:sz w:val="24"/>
          <w:szCs w:val="24"/>
        </w:rPr>
        <w:t xml:space="preserve">. </w:t>
      </w:r>
      <w:r w:rsidRPr="00B73671">
        <w:rPr>
          <w:sz w:val="24"/>
          <w:szCs w:val="24"/>
          <w:lang w:val="en-US"/>
        </w:rPr>
        <w:t xml:space="preserve">Johanson, J. &amp; Mattson, L.-G., 2016. Internationalisation in industrial systems - A network approach. </w:t>
      </w:r>
      <w:r w:rsidRPr="00B73671">
        <w:rPr>
          <w:i/>
          <w:iCs/>
          <w:sz w:val="24"/>
          <w:szCs w:val="24"/>
          <w:lang w:val="en-US"/>
        </w:rPr>
        <w:t>International Journal of Management and Organisation .</w:t>
      </w:r>
    </w:p>
    <w:p w14:paraId="1037BB57" w14:textId="77777777" w:rsidR="00B73671" w:rsidRPr="00B73671" w:rsidRDefault="00B73671" w:rsidP="00B73671">
      <w:pPr>
        <w:rPr>
          <w:sz w:val="24"/>
          <w:szCs w:val="24"/>
          <w:lang w:val="en"/>
        </w:rPr>
      </w:pPr>
      <w:r w:rsidRPr="00B73671">
        <w:rPr>
          <w:b/>
          <w:bCs/>
          <w:sz w:val="24"/>
          <w:szCs w:val="24"/>
          <w:lang w:val="en-US"/>
        </w:rPr>
        <w:t xml:space="preserve">19. </w:t>
      </w:r>
      <w:r w:rsidRPr="00B73671">
        <w:rPr>
          <w:sz w:val="24"/>
          <w:szCs w:val="24"/>
        </w:rPr>
        <w:t xml:space="preserve">Kim, S., Lee, G., &amp; Kang, H. G. (2021). Risk management and corporate social responsibility. </w:t>
      </w:r>
      <w:r w:rsidRPr="00B73671">
        <w:rPr>
          <w:i/>
          <w:sz w:val="24"/>
          <w:szCs w:val="24"/>
        </w:rPr>
        <w:t>Strategic Management Journal</w:t>
      </w:r>
      <w:r w:rsidRPr="00B73671">
        <w:rPr>
          <w:sz w:val="24"/>
          <w:szCs w:val="24"/>
        </w:rPr>
        <w:t xml:space="preserve">, </w:t>
      </w:r>
      <w:r w:rsidRPr="00B73671">
        <w:rPr>
          <w:i/>
          <w:sz w:val="24"/>
          <w:szCs w:val="24"/>
        </w:rPr>
        <w:t>42</w:t>
      </w:r>
      <w:r w:rsidRPr="00B73671">
        <w:rPr>
          <w:sz w:val="24"/>
          <w:szCs w:val="24"/>
        </w:rPr>
        <w:t>(1), 202-230.</w:t>
      </w:r>
      <w:hyperlink r:id="rId11" w:history="1">
        <w:r w:rsidRPr="00B73671">
          <w:rPr>
            <w:rStyle w:val="Hyperlink"/>
            <w:sz w:val="24"/>
            <w:szCs w:val="24"/>
          </w:rPr>
          <w:t xml:space="preserve"> </w:t>
        </w:r>
      </w:hyperlink>
      <w:hyperlink r:id="rId12" w:history="1">
        <w:r w:rsidRPr="00B73671">
          <w:rPr>
            <w:rStyle w:val="Hyperlink"/>
            <w:sz w:val="24"/>
            <w:szCs w:val="24"/>
          </w:rPr>
          <w:t>https://onlinelibrary.wiley.com/doi/abs/10.1002/smj.3224</w:t>
        </w:r>
      </w:hyperlink>
    </w:p>
    <w:p w14:paraId="451AA56A" w14:textId="77777777" w:rsidR="00B73671" w:rsidRPr="00B73671" w:rsidRDefault="00B73671" w:rsidP="00B73671">
      <w:pPr>
        <w:rPr>
          <w:sz w:val="24"/>
          <w:szCs w:val="24"/>
          <w:lang w:val="en"/>
        </w:rPr>
      </w:pPr>
      <w:r w:rsidRPr="00B73671">
        <w:rPr>
          <w:b/>
          <w:bCs/>
          <w:sz w:val="24"/>
          <w:szCs w:val="24"/>
          <w:lang w:val="en"/>
        </w:rPr>
        <w:t xml:space="preserve">20. </w:t>
      </w:r>
      <w:r w:rsidRPr="00B73671">
        <w:rPr>
          <w:sz w:val="24"/>
          <w:szCs w:val="24"/>
          <w:lang w:val="en"/>
        </w:rPr>
        <w:t xml:space="preserve">Macroaxis Funadmental Analysis, 2022. About BP Plc Fundamental Analysis. [Online] </w:t>
      </w:r>
    </w:p>
    <w:p w14:paraId="2A489ED0" w14:textId="77777777" w:rsidR="00B73671" w:rsidRPr="00B73671" w:rsidRDefault="00B73671" w:rsidP="00B73671">
      <w:pPr>
        <w:rPr>
          <w:sz w:val="24"/>
          <w:szCs w:val="24"/>
          <w:lang w:val="en"/>
        </w:rPr>
      </w:pPr>
      <w:r w:rsidRPr="00B73671">
        <w:rPr>
          <w:sz w:val="24"/>
          <w:szCs w:val="24"/>
          <w:lang w:val="en"/>
        </w:rPr>
        <w:t xml:space="preserve">Available at: </w:t>
      </w:r>
      <w:hyperlink r:id="rId13" w:history="1">
        <w:r w:rsidRPr="00B73671">
          <w:rPr>
            <w:rStyle w:val="Hyperlink"/>
            <w:sz w:val="24"/>
            <w:szCs w:val="24"/>
            <w:lang w:val="en"/>
          </w:rPr>
          <w:t>https://www.macroaxis.com/invest/ratio/BP/Working-Capital</w:t>
        </w:r>
      </w:hyperlink>
    </w:p>
    <w:p w14:paraId="3F015A18" w14:textId="77777777" w:rsidR="00B73671" w:rsidRPr="00B73671" w:rsidRDefault="00B73671" w:rsidP="00B73671">
      <w:pPr>
        <w:rPr>
          <w:sz w:val="24"/>
          <w:szCs w:val="24"/>
          <w:lang w:val="en-US"/>
        </w:rPr>
      </w:pPr>
      <w:r w:rsidRPr="00B73671">
        <w:rPr>
          <w:b/>
          <w:bCs/>
          <w:sz w:val="24"/>
          <w:szCs w:val="24"/>
          <w:lang w:val="en"/>
        </w:rPr>
        <w:t>21</w:t>
      </w:r>
      <w:r w:rsidRPr="00B73671">
        <w:rPr>
          <w:sz w:val="24"/>
          <w:szCs w:val="24"/>
          <w:lang w:val="en"/>
        </w:rPr>
        <w:t xml:space="preserve">. </w:t>
      </w:r>
      <w:r w:rsidRPr="00B73671">
        <w:rPr>
          <w:sz w:val="24"/>
          <w:szCs w:val="24"/>
          <w:lang w:val="en-US"/>
        </w:rPr>
        <w:t xml:space="preserve">Meldrum, D. H., 2000. </w:t>
      </w:r>
      <w:r w:rsidRPr="00B73671">
        <w:rPr>
          <w:i/>
          <w:iCs/>
          <w:sz w:val="24"/>
          <w:szCs w:val="24"/>
          <w:lang w:val="en-US"/>
        </w:rPr>
        <w:t xml:space="preserve">Country risk and foreign direct investment, </w:t>
      </w:r>
      <w:r w:rsidRPr="00B73671">
        <w:rPr>
          <w:sz w:val="24"/>
          <w:szCs w:val="24"/>
          <w:lang w:val="en-US"/>
        </w:rPr>
        <w:t>London: Business economics: the journal of the National Association for Business Economists..</w:t>
      </w:r>
    </w:p>
    <w:p w14:paraId="31EA1DF7" w14:textId="77777777" w:rsidR="00B73671" w:rsidRPr="00B73671" w:rsidRDefault="00B73671" w:rsidP="00B73671">
      <w:pPr>
        <w:rPr>
          <w:sz w:val="24"/>
          <w:szCs w:val="24"/>
        </w:rPr>
      </w:pPr>
      <w:r w:rsidRPr="00B73671">
        <w:rPr>
          <w:b/>
          <w:bCs/>
          <w:sz w:val="24"/>
          <w:szCs w:val="24"/>
          <w:lang w:val="en-US"/>
        </w:rPr>
        <w:t>22.</w:t>
      </w:r>
      <w:r w:rsidRPr="00B73671">
        <w:rPr>
          <w:sz w:val="24"/>
          <w:szCs w:val="24"/>
          <w:lang w:val="en-US"/>
        </w:rPr>
        <w:t xml:space="preserve"> Statista, 2021. </w:t>
      </w:r>
      <w:r w:rsidRPr="00B73671">
        <w:rPr>
          <w:i/>
          <w:iCs/>
          <w:sz w:val="24"/>
          <w:szCs w:val="24"/>
          <w:lang w:val="en-US"/>
        </w:rPr>
        <w:t xml:space="preserve">Leading oil and gas companies worldwide based on revenue as of 2021(in billion U.S. dollars). </w:t>
      </w:r>
      <w:r w:rsidRPr="00B73671">
        <w:rPr>
          <w:sz w:val="24"/>
          <w:szCs w:val="24"/>
          <w:lang w:val="en-US"/>
        </w:rPr>
        <w:t xml:space="preserve">[Online] </w:t>
      </w:r>
      <w:r w:rsidRPr="00B73671">
        <w:rPr>
          <w:sz w:val="24"/>
          <w:szCs w:val="24"/>
          <w:lang w:val="en-US"/>
        </w:rPr>
        <w:br/>
        <w:t xml:space="preserve">Available at: </w:t>
      </w:r>
      <w:r w:rsidRPr="00B73671">
        <w:rPr>
          <w:sz w:val="24"/>
          <w:szCs w:val="24"/>
          <w:u w:val="single"/>
          <w:lang w:val="en-US"/>
        </w:rPr>
        <w:t>https://www.statista.com/statistics/272710/top-10-oil-and-gas-companies-worldwide-based-on-revenue/</w:t>
      </w:r>
      <w:r w:rsidRPr="00B73671">
        <w:rPr>
          <w:sz w:val="24"/>
          <w:szCs w:val="24"/>
          <w:lang w:val="en-US"/>
        </w:rPr>
        <w:br/>
        <w:t>[Accessed 08 April 2022].</w:t>
      </w:r>
    </w:p>
    <w:p w14:paraId="7D8C5F00" w14:textId="77777777" w:rsidR="00B73671" w:rsidRPr="00B73671" w:rsidRDefault="00B73671" w:rsidP="00B73671">
      <w:pPr>
        <w:rPr>
          <w:sz w:val="24"/>
          <w:szCs w:val="24"/>
          <w:lang w:val="en-US"/>
        </w:rPr>
      </w:pPr>
      <w:r w:rsidRPr="00B73671">
        <w:rPr>
          <w:b/>
          <w:bCs/>
          <w:sz w:val="24"/>
          <w:szCs w:val="24"/>
          <w:lang w:val="en-US"/>
        </w:rPr>
        <w:t>23.</w:t>
      </w:r>
      <w:r w:rsidRPr="00B73671">
        <w:rPr>
          <w:sz w:val="24"/>
          <w:szCs w:val="24"/>
          <w:lang w:val="en-US"/>
        </w:rPr>
        <w:t xml:space="preserve"> </w:t>
      </w:r>
      <w:r w:rsidRPr="00B73671">
        <w:rPr>
          <w:sz w:val="24"/>
          <w:szCs w:val="24"/>
        </w:rPr>
        <w:t xml:space="preserve">Wang, G., Wang, L., Mohammed, B. S., &amp; Hamad, A. A. (2022). An investigation of the risk awareness model and the economic development of the financial sector. </w:t>
      </w:r>
      <w:r w:rsidRPr="00B73671">
        <w:rPr>
          <w:i/>
          <w:sz w:val="24"/>
          <w:szCs w:val="24"/>
        </w:rPr>
        <w:t>Annals of Operations Research</w:t>
      </w:r>
      <w:r w:rsidRPr="00B73671">
        <w:rPr>
          <w:sz w:val="24"/>
          <w:szCs w:val="24"/>
        </w:rPr>
        <w:t>, 1-23.</w:t>
      </w:r>
      <w:hyperlink r:id="rId14" w:history="1">
        <w:r w:rsidRPr="00B73671">
          <w:rPr>
            <w:rStyle w:val="Hyperlink"/>
            <w:sz w:val="24"/>
            <w:szCs w:val="24"/>
          </w:rPr>
          <w:t xml:space="preserve"> </w:t>
        </w:r>
      </w:hyperlink>
      <w:hyperlink r:id="rId15" w:history="1">
        <w:r w:rsidRPr="00B73671">
          <w:rPr>
            <w:rStyle w:val="Hyperlink"/>
            <w:sz w:val="24"/>
            <w:szCs w:val="24"/>
          </w:rPr>
          <w:t>https://link.springer.com/article/10.1007/s10479-021-04517-y</w:t>
        </w:r>
      </w:hyperlink>
      <w:r w:rsidRPr="00B73671">
        <w:rPr>
          <w:sz w:val="24"/>
          <w:szCs w:val="24"/>
          <w:lang w:val="en-US"/>
        </w:rPr>
        <w:t xml:space="preserve"> </w:t>
      </w:r>
    </w:p>
    <w:p w14:paraId="0D256DC7" w14:textId="77777777" w:rsidR="00B73671" w:rsidRPr="00B73671" w:rsidRDefault="00B73671" w:rsidP="00B73671">
      <w:pPr>
        <w:rPr>
          <w:sz w:val="24"/>
          <w:szCs w:val="24"/>
        </w:rPr>
      </w:pPr>
      <w:r w:rsidRPr="00B73671">
        <w:rPr>
          <w:b/>
          <w:bCs/>
          <w:sz w:val="24"/>
          <w:szCs w:val="24"/>
          <w:lang w:val="en-US"/>
        </w:rPr>
        <w:t>24.</w:t>
      </w:r>
      <w:r w:rsidRPr="00B73671">
        <w:rPr>
          <w:sz w:val="24"/>
          <w:szCs w:val="24"/>
          <w:lang w:val="en-US"/>
        </w:rPr>
        <w:t xml:space="preserve"> </w:t>
      </w:r>
      <w:r w:rsidRPr="00B73671">
        <w:rPr>
          <w:sz w:val="24"/>
          <w:szCs w:val="24"/>
        </w:rPr>
        <w:t xml:space="preserve">Watson, D. &amp; Head, A., 2016. </w:t>
      </w:r>
      <w:r w:rsidRPr="00B73671">
        <w:rPr>
          <w:i/>
          <w:iCs/>
          <w:sz w:val="24"/>
          <w:szCs w:val="24"/>
        </w:rPr>
        <w:t xml:space="preserve">Corporate Finance PDF Ebook: Principles and Practice. </w:t>
      </w:r>
      <w:r w:rsidRPr="00B73671">
        <w:rPr>
          <w:sz w:val="24"/>
          <w:szCs w:val="24"/>
        </w:rPr>
        <w:t>7th Edition ed. Harlow: Pearson Education.</w:t>
      </w:r>
    </w:p>
    <w:p w14:paraId="6FF1189F" w14:textId="77777777" w:rsidR="00B73671" w:rsidRPr="00B73671" w:rsidRDefault="00B73671" w:rsidP="00B73671">
      <w:pPr>
        <w:rPr>
          <w:b/>
          <w:bCs/>
          <w:sz w:val="24"/>
          <w:szCs w:val="24"/>
          <w:lang w:val="en-US"/>
        </w:rPr>
      </w:pPr>
      <w:r w:rsidRPr="00B73671">
        <w:rPr>
          <w:b/>
          <w:bCs/>
          <w:sz w:val="24"/>
          <w:szCs w:val="24"/>
        </w:rPr>
        <w:t xml:space="preserve">25. </w:t>
      </w:r>
      <w:r w:rsidRPr="00B73671">
        <w:rPr>
          <w:sz w:val="24"/>
          <w:szCs w:val="24"/>
          <w:lang w:val="en-US"/>
        </w:rPr>
        <w:t xml:space="preserve">Zahariev, A., 2019. Analysis of a company working capital. In: </w:t>
      </w:r>
      <w:r w:rsidRPr="00B73671">
        <w:rPr>
          <w:i/>
          <w:iCs/>
          <w:sz w:val="24"/>
          <w:szCs w:val="24"/>
          <w:lang w:val="en-US"/>
        </w:rPr>
        <w:t xml:space="preserve">Financial Analysis . </w:t>
      </w:r>
      <w:r w:rsidRPr="00B73671">
        <w:rPr>
          <w:sz w:val="24"/>
          <w:szCs w:val="24"/>
          <w:lang w:val="en-US"/>
        </w:rPr>
        <w:t>Svishtov : "Tsenov"Academic Publishing House , pp. 149-190.</w:t>
      </w:r>
    </w:p>
    <w:p w14:paraId="7255AF77" w14:textId="77777777" w:rsidR="00B73671" w:rsidRPr="000F5151" w:rsidRDefault="00B73671">
      <w:pPr>
        <w:rPr>
          <w:sz w:val="24"/>
          <w:szCs w:val="24"/>
        </w:rPr>
      </w:pPr>
    </w:p>
    <w:sectPr w:rsidR="00B73671" w:rsidRPr="000F515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9577E" w14:textId="77777777" w:rsidR="001F5B58" w:rsidRDefault="001F5B58" w:rsidP="001E224E">
      <w:pPr>
        <w:spacing w:after="0" w:line="240" w:lineRule="auto"/>
      </w:pPr>
      <w:r>
        <w:separator/>
      </w:r>
    </w:p>
  </w:endnote>
  <w:endnote w:type="continuationSeparator" w:id="0">
    <w:p w14:paraId="6F2D5AA4" w14:textId="77777777" w:rsidR="001F5B58" w:rsidRDefault="001F5B58" w:rsidP="001E2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568858"/>
      <w:docPartObj>
        <w:docPartGallery w:val="Page Numbers (Bottom of Page)"/>
        <w:docPartUnique/>
      </w:docPartObj>
    </w:sdtPr>
    <w:sdtEndPr>
      <w:rPr>
        <w:noProof/>
      </w:rPr>
    </w:sdtEndPr>
    <w:sdtContent>
      <w:p w14:paraId="62A1E348" w14:textId="71F608B3" w:rsidR="001E224E" w:rsidRDefault="001E224E">
        <w:pPr>
          <w:pStyle w:val="Footer"/>
        </w:pPr>
        <w:r>
          <w:fldChar w:fldCharType="begin"/>
        </w:r>
        <w:r>
          <w:instrText xml:space="preserve"> PAGE   \* MERGEFORMAT </w:instrText>
        </w:r>
        <w:r>
          <w:fldChar w:fldCharType="separate"/>
        </w:r>
        <w:r>
          <w:rPr>
            <w:noProof/>
          </w:rPr>
          <w:t>2</w:t>
        </w:r>
        <w:r>
          <w:rPr>
            <w:noProof/>
          </w:rPr>
          <w:fldChar w:fldCharType="end"/>
        </w:r>
      </w:p>
    </w:sdtContent>
  </w:sdt>
  <w:p w14:paraId="33B2F4EC" w14:textId="77777777" w:rsidR="001E224E" w:rsidRDefault="001E2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193AA" w14:textId="77777777" w:rsidR="001F5B58" w:rsidRDefault="001F5B58" w:rsidP="001E224E">
      <w:pPr>
        <w:spacing w:after="0" w:line="240" w:lineRule="auto"/>
      </w:pPr>
      <w:r>
        <w:separator/>
      </w:r>
    </w:p>
  </w:footnote>
  <w:footnote w:type="continuationSeparator" w:id="0">
    <w:p w14:paraId="5432FC7D" w14:textId="77777777" w:rsidR="001F5B58" w:rsidRDefault="001F5B58" w:rsidP="001E2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3B22"/>
    <w:multiLevelType w:val="hybridMultilevel"/>
    <w:tmpl w:val="B6568994"/>
    <w:lvl w:ilvl="0" w:tplc="FC6C81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C826767"/>
    <w:multiLevelType w:val="hybridMultilevel"/>
    <w:tmpl w:val="672A1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77948EC"/>
    <w:multiLevelType w:val="hybridMultilevel"/>
    <w:tmpl w:val="77EAB4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570010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4899478">
    <w:abstractNumId w:val="1"/>
  </w:num>
  <w:num w:numId="3" w16cid:durableId="1918005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BBB"/>
    <w:rsid w:val="000612A9"/>
    <w:rsid w:val="000D5F5D"/>
    <w:rsid w:val="000F5151"/>
    <w:rsid w:val="001E224E"/>
    <w:rsid w:val="001F0D3A"/>
    <w:rsid w:val="001F5B58"/>
    <w:rsid w:val="0022324C"/>
    <w:rsid w:val="002432B5"/>
    <w:rsid w:val="00251E1C"/>
    <w:rsid w:val="002F1BEC"/>
    <w:rsid w:val="003A64EE"/>
    <w:rsid w:val="004658D6"/>
    <w:rsid w:val="004E2327"/>
    <w:rsid w:val="0055783C"/>
    <w:rsid w:val="00641562"/>
    <w:rsid w:val="00880AF0"/>
    <w:rsid w:val="008824A9"/>
    <w:rsid w:val="008F1E92"/>
    <w:rsid w:val="0091016E"/>
    <w:rsid w:val="009B3BBB"/>
    <w:rsid w:val="00A140E1"/>
    <w:rsid w:val="00AA2929"/>
    <w:rsid w:val="00B07FEE"/>
    <w:rsid w:val="00B52C92"/>
    <w:rsid w:val="00B73671"/>
    <w:rsid w:val="00BB21B2"/>
    <w:rsid w:val="00BC1BEF"/>
    <w:rsid w:val="00C41E59"/>
    <w:rsid w:val="00C51AB0"/>
    <w:rsid w:val="00CF0FF9"/>
    <w:rsid w:val="00D17ADB"/>
    <w:rsid w:val="00D54FC5"/>
    <w:rsid w:val="00D558D3"/>
    <w:rsid w:val="00DB21DC"/>
    <w:rsid w:val="00E37F9A"/>
    <w:rsid w:val="00EA19CA"/>
    <w:rsid w:val="00F546B1"/>
    <w:rsid w:val="00F87F8A"/>
    <w:rsid w:val="00FC1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16060"/>
  <w15:chartTrackingRefBased/>
  <w15:docId w15:val="{0877DEA3-B8F5-4A42-A992-77D05118B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1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2C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2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24E"/>
  </w:style>
  <w:style w:type="paragraph" w:styleId="Footer">
    <w:name w:val="footer"/>
    <w:basedOn w:val="Normal"/>
    <w:link w:val="FooterChar"/>
    <w:uiPriority w:val="99"/>
    <w:unhideWhenUsed/>
    <w:rsid w:val="001E2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24E"/>
  </w:style>
  <w:style w:type="character" w:customStyle="1" w:styleId="Heading1Char">
    <w:name w:val="Heading 1 Char"/>
    <w:basedOn w:val="DefaultParagraphFont"/>
    <w:link w:val="Heading1"/>
    <w:uiPriority w:val="9"/>
    <w:rsid w:val="000F51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5151"/>
    <w:pPr>
      <w:outlineLvl w:val="9"/>
    </w:pPr>
    <w:rPr>
      <w:lang w:val="en-US"/>
    </w:rPr>
  </w:style>
  <w:style w:type="paragraph" w:styleId="TOC2">
    <w:name w:val="toc 2"/>
    <w:basedOn w:val="Normal"/>
    <w:next w:val="Normal"/>
    <w:autoRedefine/>
    <w:uiPriority w:val="39"/>
    <w:unhideWhenUsed/>
    <w:rsid w:val="004E23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E2327"/>
    <w:pPr>
      <w:spacing w:after="100"/>
    </w:pPr>
    <w:rPr>
      <w:rFonts w:eastAsiaTheme="minorEastAsia" w:cs="Times New Roman"/>
      <w:lang w:val="en-US"/>
    </w:rPr>
  </w:style>
  <w:style w:type="paragraph" w:styleId="TOC3">
    <w:name w:val="toc 3"/>
    <w:basedOn w:val="Normal"/>
    <w:next w:val="Normal"/>
    <w:autoRedefine/>
    <w:uiPriority w:val="39"/>
    <w:unhideWhenUsed/>
    <w:rsid w:val="004E2327"/>
    <w:pPr>
      <w:spacing w:after="100"/>
      <w:ind w:left="440"/>
    </w:pPr>
    <w:rPr>
      <w:rFonts w:eastAsiaTheme="minorEastAsia" w:cs="Times New Roman"/>
      <w:lang w:val="en-US"/>
    </w:rPr>
  </w:style>
  <w:style w:type="character" w:styleId="Hyperlink">
    <w:name w:val="Hyperlink"/>
    <w:basedOn w:val="DefaultParagraphFont"/>
    <w:uiPriority w:val="99"/>
    <w:unhideWhenUsed/>
    <w:rsid w:val="00B73671"/>
    <w:rPr>
      <w:color w:val="0563C1" w:themeColor="hyperlink"/>
      <w:u w:val="single"/>
    </w:rPr>
  </w:style>
  <w:style w:type="character" w:styleId="UnresolvedMention">
    <w:name w:val="Unresolved Mention"/>
    <w:basedOn w:val="DefaultParagraphFont"/>
    <w:uiPriority w:val="99"/>
    <w:semiHidden/>
    <w:unhideWhenUsed/>
    <w:rsid w:val="00B73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01377">
      <w:bodyDiv w:val="1"/>
      <w:marLeft w:val="0"/>
      <w:marRight w:val="0"/>
      <w:marTop w:val="0"/>
      <w:marBottom w:val="0"/>
      <w:divBdr>
        <w:top w:val="none" w:sz="0" w:space="0" w:color="auto"/>
        <w:left w:val="none" w:sz="0" w:space="0" w:color="auto"/>
        <w:bottom w:val="none" w:sz="0" w:space="0" w:color="auto"/>
        <w:right w:val="none" w:sz="0" w:space="0" w:color="auto"/>
      </w:divBdr>
    </w:div>
    <w:div w:id="235290764">
      <w:bodyDiv w:val="1"/>
      <w:marLeft w:val="0"/>
      <w:marRight w:val="0"/>
      <w:marTop w:val="0"/>
      <w:marBottom w:val="0"/>
      <w:divBdr>
        <w:top w:val="none" w:sz="0" w:space="0" w:color="auto"/>
        <w:left w:val="none" w:sz="0" w:space="0" w:color="auto"/>
        <w:bottom w:val="none" w:sz="0" w:space="0" w:color="auto"/>
        <w:right w:val="none" w:sz="0" w:space="0" w:color="auto"/>
      </w:divBdr>
    </w:div>
    <w:div w:id="249891025">
      <w:bodyDiv w:val="1"/>
      <w:marLeft w:val="0"/>
      <w:marRight w:val="0"/>
      <w:marTop w:val="0"/>
      <w:marBottom w:val="0"/>
      <w:divBdr>
        <w:top w:val="none" w:sz="0" w:space="0" w:color="auto"/>
        <w:left w:val="none" w:sz="0" w:space="0" w:color="auto"/>
        <w:bottom w:val="none" w:sz="0" w:space="0" w:color="auto"/>
        <w:right w:val="none" w:sz="0" w:space="0" w:color="auto"/>
      </w:divBdr>
    </w:div>
    <w:div w:id="253319403">
      <w:bodyDiv w:val="1"/>
      <w:marLeft w:val="0"/>
      <w:marRight w:val="0"/>
      <w:marTop w:val="0"/>
      <w:marBottom w:val="0"/>
      <w:divBdr>
        <w:top w:val="none" w:sz="0" w:space="0" w:color="auto"/>
        <w:left w:val="none" w:sz="0" w:space="0" w:color="auto"/>
        <w:bottom w:val="none" w:sz="0" w:space="0" w:color="auto"/>
        <w:right w:val="none" w:sz="0" w:space="0" w:color="auto"/>
      </w:divBdr>
    </w:div>
    <w:div w:id="455760479">
      <w:bodyDiv w:val="1"/>
      <w:marLeft w:val="0"/>
      <w:marRight w:val="0"/>
      <w:marTop w:val="0"/>
      <w:marBottom w:val="0"/>
      <w:divBdr>
        <w:top w:val="none" w:sz="0" w:space="0" w:color="auto"/>
        <w:left w:val="none" w:sz="0" w:space="0" w:color="auto"/>
        <w:bottom w:val="none" w:sz="0" w:space="0" w:color="auto"/>
        <w:right w:val="none" w:sz="0" w:space="0" w:color="auto"/>
      </w:divBdr>
    </w:div>
    <w:div w:id="491413807">
      <w:bodyDiv w:val="1"/>
      <w:marLeft w:val="0"/>
      <w:marRight w:val="0"/>
      <w:marTop w:val="0"/>
      <w:marBottom w:val="0"/>
      <w:divBdr>
        <w:top w:val="none" w:sz="0" w:space="0" w:color="auto"/>
        <w:left w:val="none" w:sz="0" w:space="0" w:color="auto"/>
        <w:bottom w:val="none" w:sz="0" w:space="0" w:color="auto"/>
        <w:right w:val="none" w:sz="0" w:space="0" w:color="auto"/>
      </w:divBdr>
    </w:div>
    <w:div w:id="658844054">
      <w:bodyDiv w:val="1"/>
      <w:marLeft w:val="0"/>
      <w:marRight w:val="0"/>
      <w:marTop w:val="0"/>
      <w:marBottom w:val="0"/>
      <w:divBdr>
        <w:top w:val="none" w:sz="0" w:space="0" w:color="auto"/>
        <w:left w:val="none" w:sz="0" w:space="0" w:color="auto"/>
        <w:bottom w:val="none" w:sz="0" w:space="0" w:color="auto"/>
        <w:right w:val="none" w:sz="0" w:space="0" w:color="auto"/>
      </w:divBdr>
    </w:div>
    <w:div w:id="784814144">
      <w:bodyDiv w:val="1"/>
      <w:marLeft w:val="0"/>
      <w:marRight w:val="0"/>
      <w:marTop w:val="0"/>
      <w:marBottom w:val="0"/>
      <w:divBdr>
        <w:top w:val="none" w:sz="0" w:space="0" w:color="auto"/>
        <w:left w:val="none" w:sz="0" w:space="0" w:color="auto"/>
        <w:bottom w:val="none" w:sz="0" w:space="0" w:color="auto"/>
        <w:right w:val="none" w:sz="0" w:space="0" w:color="auto"/>
      </w:divBdr>
    </w:div>
    <w:div w:id="814250868">
      <w:bodyDiv w:val="1"/>
      <w:marLeft w:val="0"/>
      <w:marRight w:val="0"/>
      <w:marTop w:val="0"/>
      <w:marBottom w:val="0"/>
      <w:divBdr>
        <w:top w:val="none" w:sz="0" w:space="0" w:color="auto"/>
        <w:left w:val="none" w:sz="0" w:space="0" w:color="auto"/>
        <w:bottom w:val="none" w:sz="0" w:space="0" w:color="auto"/>
        <w:right w:val="none" w:sz="0" w:space="0" w:color="auto"/>
      </w:divBdr>
    </w:div>
    <w:div w:id="916943765">
      <w:bodyDiv w:val="1"/>
      <w:marLeft w:val="0"/>
      <w:marRight w:val="0"/>
      <w:marTop w:val="0"/>
      <w:marBottom w:val="0"/>
      <w:divBdr>
        <w:top w:val="none" w:sz="0" w:space="0" w:color="auto"/>
        <w:left w:val="none" w:sz="0" w:space="0" w:color="auto"/>
        <w:bottom w:val="none" w:sz="0" w:space="0" w:color="auto"/>
        <w:right w:val="none" w:sz="0" w:space="0" w:color="auto"/>
      </w:divBdr>
    </w:div>
    <w:div w:id="921254804">
      <w:bodyDiv w:val="1"/>
      <w:marLeft w:val="0"/>
      <w:marRight w:val="0"/>
      <w:marTop w:val="0"/>
      <w:marBottom w:val="0"/>
      <w:divBdr>
        <w:top w:val="none" w:sz="0" w:space="0" w:color="auto"/>
        <w:left w:val="none" w:sz="0" w:space="0" w:color="auto"/>
        <w:bottom w:val="none" w:sz="0" w:space="0" w:color="auto"/>
        <w:right w:val="none" w:sz="0" w:space="0" w:color="auto"/>
      </w:divBdr>
    </w:div>
    <w:div w:id="939996426">
      <w:bodyDiv w:val="1"/>
      <w:marLeft w:val="0"/>
      <w:marRight w:val="0"/>
      <w:marTop w:val="0"/>
      <w:marBottom w:val="0"/>
      <w:divBdr>
        <w:top w:val="none" w:sz="0" w:space="0" w:color="auto"/>
        <w:left w:val="none" w:sz="0" w:space="0" w:color="auto"/>
        <w:bottom w:val="none" w:sz="0" w:space="0" w:color="auto"/>
        <w:right w:val="none" w:sz="0" w:space="0" w:color="auto"/>
      </w:divBdr>
    </w:div>
    <w:div w:id="988900547">
      <w:bodyDiv w:val="1"/>
      <w:marLeft w:val="0"/>
      <w:marRight w:val="0"/>
      <w:marTop w:val="0"/>
      <w:marBottom w:val="0"/>
      <w:divBdr>
        <w:top w:val="none" w:sz="0" w:space="0" w:color="auto"/>
        <w:left w:val="none" w:sz="0" w:space="0" w:color="auto"/>
        <w:bottom w:val="none" w:sz="0" w:space="0" w:color="auto"/>
        <w:right w:val="none" w:sz="0" w:space="0" w:color="auto"/>
      </w:divBdr>
    </w:div>
    <w:div w:id="1245725533">
      <w:bodyDiv w:val="1"/>
      <w:marLeft w:val="0"/>
      <w:marRight w:val="0"/>
      <w:marTop w:val="0"/>
      <w:marBottom w:val="0"/>
      <w:divBdr>
        <w:top w:val="none" w:sz="0" w:space="0" w:color="auto"/>
        <w:left w:val="none" w:sz="0" w:space="0" w:color="auto"/>
        <w:bottom w:val="none" w:sz="0" w:space="0" w:color="auto"/>
        <w:right w:val="none" w:sz="0" w:space="0" w:color="auto"/>
      </w:divBdr>
    </w:div>
    <w:div w:id="1307470456">
      <w:bodyDiv w:val="1"/>
      <w:marLeft w:val="0"/>
      <w:marRight w:val="0"/>
      <w:marTop w:val="0"/>
      <w:marBottom w:val="0"/>
      <w:divBdr>
        <w:top w:val="none" w:sz="0" w:space="0" w:color="auto"/>
        <w:left w:val="none" w:sz="0" w:space="0" w:color="auto"/>
        <w:bottom w:val="none" w:sz="0" w:space="0" w:color="auto"/>
        <w:right w:val="none" w:sz="0" w:space="0" w:color="auto"/>
      </w:divBdr>
    </w:div>
    <w:div w:id="1354764807">
      <w:bodyDiv w:val="1"/>
      <w:marLeft w:val="0"/>
      <w:marRight w:val="0"/>
      <w:marTop w:val="0"/>
      <w:marBottom w:val="0"/>
      <w:divBdr>
        <w:top w:val="none" w:sz="0" w:space="0" w:color="auto"/>
        <w:left w:val="none" w:sz="0" w:space="0" w:color="auto"/>
        <w:bottom w:val="none" w:sz="0" w:space="0" w:color="auto"/>
        <w:right w:val="none" w:sz="0" w:space="0" w:color="auto"/>
      </w:divBdr>
    </w:div>
    <w:div w:id="1540587437">
      <w:bodyDiv w:val="1"/>
      <w:marLeft w:val="0"/>
      <w:marRight w:val="0"/>
      <w:marTop w:val="0"/>
      <w:marBottom w:val="0"/>
      <w:divBdr>
        <w:top w:val="none" w:sz="0" w:space="0" w:color="auto"/>
        <w:left w:val="none" w:sz="0" w:space="0" w:color="auto"/>
        <w:bottom w:val="none" w:sz="0" w:space="0" w:color="auto"/>
        <w:right w:val="none" w:sz="0" w:space="0" w:color="auto"/>
      </w:divBdr>
    </w:div>
    <w:div w:id="1549951209">
      <w:bodyDiv w:val="1"/>
      <w:marLeft w:val="0"/>
      <w:marRight w:val="0"/>
      <w:marTop w:val="0"/>
      <w:marBottom w:val="0"/>
      <w:divBdr>
        <w:top w:val="none" w:sz="0" w:space="0" w:color="auto"/>
        <w:left w:val="none" w:sz="0" w:space="0" w:color="auto"/>
        <w:bottom w:val="none" w:sz="0" w:space="0" w:color="auto"/>
        <w:right w:val="none" w:sz="0" w:space="0" w:color="auto"/>
      </w:divBdr>
    </w:div>
    <w:div w:id="1598127496">
      <w:bodyDiv w:val="1"/>
      <w:marLeft w:val="0"/>
      <w:marRight w:val="0"/>
      <w:marTop w:val="0"/>
      <w:marBottom w:val="0"/>
      <w:divBdr>
        <w:top w:val="none" w:sz="0" w:space="0" w:color="auto"/>
        <w:left w:val="none" w:sz="0" w:space="0" w:color="auto"/>
        <w:bottom w:val="none" w:sz="0" w:space="0" w:color="auto"/>
        <w:right w:val="none" w:sz="0" w:space="0" w:color="auto"/>
      </w:divBdr>
    </w:div>
    <w:div w:id="1616014527">
      <w:bodyDiv w:val="1"/>
      <w:marLeft w:val="0"/>
      <w:marRight w:val="0"/>
      <w:marTop w:val="0"/>
      <w:marBottom w:val="0"/>
      <w:divBdr>
        <w:top w:val="none" w:sz="0" w:space="0" w:color="auto"/>
        <w:left w:val="none" w:sz="0" w:space="0" w:color="auto"/>
        <w:bottom w:val="none" w:sz="0" w:space="0" w:color="auto"/>
        <w:right w:val="none" w:sz="0" w:space="0" w:color="auto"/>
      </w:divBdr>
    </w:div>
    <w:div w:id="1723552317">
      <w:bodyDiv w:val="1"/>
      <w:marLeft w:val="0"/>
      <w:marRight w:val="0"/>
      <w:marTop w:val="0"/>
      <w:marBottom w:val="0"/>
      <w:divBdr>
        <w:top w:val="none" w:sz="0" w:space="0" w:color="auto"/>
        <w:left w:val="none" w:sz="0" w:space="0" w:color="auto"/>
        <w:bottom w:val="none" w:sz="0" w:space="0" w:color="auto"/>
        <w:right w:val="none" w:sz="0" w:space="0" w:color="auto"/>
      </w:divBdr>
    </w:div>
    <w:div w:id="1726030095">
      <w:bodyDiv w:val="1"/>
      <w:marLeft w:val="0"/>
      <w:marRight w:val="0"/>
      <w:marTop w:val="0"/>
      <w:marBottom w:val="0"/>
      <w:divBdr>
        <w:top w:val="none" w:sz="0" w:space="0" w:color="auto"/>
        <w:left w:val="none" w:sz="0" w:space="0" w:color="auto"/>
        <w:bottom w:val="none" w:sz="0" w:space="0" w:color="auto"/>
        <w:right w:val="none" w:sz="0" w:space="0" w:color="auto"/>
      </w:divBdr>
    </w:div>
    <w:div w:id="1894580968">
      <w:bodyDiv w:val="1"/>
      <w:marLeft w:val="0"/>
      <w:marRight w:val="0"/>
      <w:marTop w:val="0"/>
      <w:marBottom w:val="0"/>
      <w:divBdr>
        <w:top w:val="none" w:sz="0" w:space="0" w:color="auto"/>
        <w:left w:val="none" w:sz="0" w:space="0" w:color="auto"/>
        <w:bottom w:val="none" w:sz="0" w:space="0" w:color="auto"/>
        <w:right w:val="none" w:sz="0" w:space="0" w:color="auto"/>
      </w:divBdr>
    </w:div>
    <w:div w:id="202729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com/en/global/corporate/news-and-insights/press-releases/bp-forecasts-robust-global-energy-demand-to-2030-despite-efficiency-gains.html" TargetMode="External"/><Relationship Id="rId13" Type="http://schemas.openxmlformats.org/officeDocument/2006/relationships/hyperlink" Target="https://www.macroaxis.com/invest/ratio/BP/Working-Capita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library.wiley.com/doi/abs/10.1002/smj.32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abs/10.1002/smj.3224" TargetMode="External"/><Relationship Id="rId5" Type="http://schemas.openxmlformats.org/officeDocument/2006/relationships/webSettings" Target="webSettings.xml"/><Relationship Id="rId15" Type="http://schemas.openxmlformats.org/officeDocument/2006/relationships/hyperlink" Target="https://link.springer.com/article/10.1007/s10479-021-04517-y" TargetMode="External"/><Relationship Id="rId10" Type="http://schemas.openxmlformats.org/officeDocument/2006/relationships/hyperlink" Target="https://corporatefinanceinstitute.com/resources/knowledge/modeling/working-capital-formula/" TargetMode="External"/><Relationship Id="rId4" Type="http://schemas.openxmlformats.org/officeDocument/2006/relationships/settings" Target="settings.xml"/><Relationship Id="rId9" Type="http://schemas.openxmlformats.org/officeDocument/2006/relationships/hyperlink" Target="https://www.bp.com/content/dam/bp/business-sites/en/global/corporate/pdfs/investors/bp-third-quarter-2021-results.pdf" TargetMode="External"/><Relationship Id="rId14" Type="http://schemas.openxmlformats.org/officeDocument/2006/relationships/hyperlink" Target="https://link.springer.com/article/10.1007/s10479-021-04517-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FD642-FA2E-45C1-8E24-B7EDDBECE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14</Pages>
  <Words>4055</Words>
  <Characters>23114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gore</dc:creator>
  <cp:keywords/>
  <dc:description/>
  <cp:lastModifiedBy>vasile gore</cp:lastModifiedBy>
  <cp:revision>11</cp:revision>
  <dcterms:created xsi:type="dcterms:W3CDTF">2022-05-03T14:24:00Z</dcterms:created>
  <dcterms:modified xsi:type="dcterms:W3CDTF">2022-05-05T17:02:00Z</dcterms:modified>
</cp:coreProperties>
</file>