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b w:val="1"/>
          <w:bCs w:val="1"/>
          <w:rtl w:val="0"/>
        </w:rPr>
        <w:t xml:space="preserve">Article Review: Broodbank (1993) ‘Ulysses without Sails: Trade, Distance, Knowledge and Power in the Early Cyclades’</w:t>
      </w:r>
    </w:p>
    <w:p w:rsidR="00000000" w:rsidDel="00000000" w:rsidP="00000000" w:rsidRDefault="00000000" w:rsidRPr="00000000" w14:paraId="00000002">
      <w:pPr>
        <w:rPr>
          <w:b w:val="1"/>
          <w:bCs w:val="1"/>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Cyprian Broodbank’s paper </w:t>
      </w:r>
      <w:r w:rsidDel="00000000" w:rsidR="00000000" w:rsidRPr="00000000">
        <w:rPr>
          <w:i w:val="1"/>
          <w:iCs w:val="1"/>
          <w:rtl w:val="0"/>
        </w:rPr>
        <w:t xml:space="preserve">Ulysses without Sails: Trade, Distance, Knowledge and Power in the Early Cyclades </w:t>
      </w:r>
      <w:r w:rsidDel="00000000" w:rsidR="00000000" w:rsidRPr="00000000">
        <w:rPr>
          <w:rtl w:val="0"/>
        </w:rPr>
        <w:t xml:space="preserve">(Broodbank, 1993) is an important work in the discussion of interconnectedness and trade within Mediterranean Bronze Age, specifically in the Cycladic Keros-Syros period (c. 2700-2300 cal. BCE) (ibid., p. 316). Importantly, here Broodbank postulates an idea of power in Keros-Syros culture as being derived “primarily in the very activity and practice of maritime movement itself” (ibid., p. 323), putting forth a theoretically informed argument of a study towards the immaterial aspects of power and trade. This review will critique the arguments made, how they fit into broader literature and how it can be viewed in a contemporary light within later theoretical frameworks. </w:t>
      </w:r>
    </w:p>
    <w:p w:rsidR="00000000" w:rsidDel="00000000" w:rsidP="00000000" w:rsidRDefault="00000000" w:rsidRPr="00000000" w14:paraId="00000004">
      <w:pPr>
        <w:rPr/>
      </w:pPr>
      <w:r w:rsidDel="00000000" w:rsidR="00000000" w:rsidRPr="00000000">
        <w:rPr>
          <w:rtl w:val="0"/>
        </w:rPr>
        <w:tab/>
        <w:t xml:space="preserve">Cyprian Broodbank is an archaeologist who has published research on Aegean archaeology (University of Cambridge, 2024). Whilst having now published a wide spanning and relatively extensive corpus (ibid.), at the time of publishing Ulysses without Sails in 1993 he had a much more limited range of research. This work is largely a continuation of research put forth in an earlier publication by him in 1989 </w:t>
      </w:r>
      <w:r w:rsidDel="00000000" w:rsidR="00000000" w:rsidRPr="00000000">
        <w:rPr>
          <w:i w:val="1"/>
          <w:iCs w:val="1"/>
          <w:rtl w:val="0"/>
        </w:rPr>
        <w:t xml:space="preserve">“The Longboat and Society in the Cyclades in the Keros-Syros Culture”</w:t>
      </w:r>
      <w:r w:rsidDel="00000000" w:rsidR="00000000" w:rsidRPr="00000000">
        <w:rPr>
          <w:rtl w:val="0"/>
        </w:rPr>
        <w:t xml:space="preserve">, where he suggests that maritime trade in the Cyclades was facilitated by trading longboats with a coercive ability to manipulate trade (Broodbank, 1989, p. 319; Broodbank, 1993, p. 316). Broodbank (1993, p. 316) states that he failed to explain why</w:t>
      </w:r>
      <w:r w:rsidDel="00000000" w:rsidR="00000000" w:rsidRPr="00000000">
        <w:rPr>
          <w:i w:val="1"/>
          <w:iCs w:val="1"/>
          <w:rtl w:val="0"/>
        </w:rPr>
        <w:t xml:space="preserve"> </w:t>
      </w:r>
      <w:r w:rsidDel="00000000" w:rsidR="00000000" w:rsidRPr="00000000">
        <w:rPr>
          <w:rtl w:val="0"/>
        </w:rPr>
        <w:t xml:space="preserve">this means of control was effective, with the aim of </w:t>
      </w:r>
      <w:r w:rsidDel="00000000" w:rsidR="00000000" w:rsidRPr="00000000">
        <w:rPr>
          <w:i w:val="1"/>
          <w:iCs w:val="1"/>
          <w:rtl w:val="0"/>
        </w:rPr>
        <w:t xml:space="preserve">Ulysses without Sails</w:t>
      </w:r>
      <w:r w:rsidDel="00000000" w:rsidR="00000000" w:rsidRPr="00000000">
        <w:rPr>
          <w:rtl w:val="0"/>
        </w:rPr>
        <w:t xml:space="preserve"> to answer this. </w:t>
      </w:r>
      <w:r w:rsidDel="00000000" w:rsidR="00000000" w:rsidRPr="00000000">
        <w:rPr>
          <w:i w:val="1"/>
          <w:iCs w:val="1"/>
          <w:rtl w:val="0"/>
        </w:rPr>
        <w:t xml:space="preserve">Ulysses without Sails</w:t>
      </w:r>
      <w:r w:rsidDel="00000000" w:rsidR="00000000" w:rsidRPr="00000000">
        <w:rPr>
          <w:rtl w:val="0"/>
        </w:rPr>
        <w:t xml:space="preserve"> fits itself firmly within a broadly </w:t>
      </w:r>
      <w:r w:rsidDel="00000000" w:rsidR="00000000" w:rsidRPr="00000000">
        <w:rPr>
          <w:i w:val="1"/>
          <w:iCs w:val="1"/>
          <w:rtl w:val="0"/>
        </w:rPr>
        <w:t xml:space="preserve">postprocessualist</w:t>
      </w:r>
      <w:r w:rsidDel="00000000" w:rsidR="00000000" w:rsidRPr="00000000">
        <w:rPr>
          <w:rtl w:val="0"/>
        </w:rPr>
        <w:t xml:space="preserve"> framework, specifically discussing how Keros-Syros people held knowledge and power, and how they both maintained and exhibited this (Shanks, 2007, p. 136). He also situates himself within anthropological theory of the 1980s, specifically Mary Helms’ </w:t>
      </w:r>
      <w:r w:rsidDel="00000000" w:rsidR="00000000" w:rsidRPr="00000000">
        <w:rPr>
          <w:i w:val="1"/>
          <w:iCs w:val="1"/>
          <w:rtl w:val="0"/>
        </w:rPr>
        <w:t xml:space="preserve">Ulysses’ Sails: An Ethnographic Odyssey of Power, Knowledge, and Geographical Distance </w:t>
      </w:r>
      <w:r w:rsidDel="00000000" w:rsidR="00000000" w:rsidRPr="00000000">
        <w:rPr>
          <w:rtl w:val="0"/>
        </w:rPr>
        <w:t xml:space="preserve">(1988, pp. 7-9) and her discussion of the exchange and aura of intangible knowledge of the distant, an idea fully realised in </w:t>
      </w:r>
      <w:r w:rsidDel="00000000" w:rsidR="00000000" w:rsidRPr="00000000">
        <w:rPr>
          <w:i w:val="1"/>
          <w:iCs w:val="1"/>
          <w:rtl w:val="0"/>
        </w:rPr>
        <w:t xml:space="preserve">Craft and the Kingly Ideal: Art, Trade and Power </w:t>
      </w:r>
      <w:r w:rsidDel="00000000" w:rsidR="00000000" w:rsidRPr="00000000">
        <w:rPr>
          <w:rtl w:val="0"/>
        </w:rPr>
        <w:t xml:space="preserve">(1993, p. 80), whereby the exotic riches of geographically distant worlds cosmologically enrich their own world. Arjun Appadurai (1986, pp. 14-16) is also discussed by Broodbank, specifically the ideas of </w:t>
      </w:r>
      <w:r w:rsidDel="00000000" w:rsidR="00000000" w:rsidRPr="00000000">
        <w:rPr>
          <w:i w:val="1"/>
          <w:iCs w:val="1"/>
          <w:rtl w:val="0"/>
        </w:rPr>
        <w:t xml:space="preserve">regimes of value </w:t>
      </w:r>
      <w:r w:rsidDel="00000000" w:rsidR="00000000" w:rsidRPr="00000000">
        <w:rPr>
          <w:rtl w:val="0"/>
        </w:rPr>
        <w:t xml:space="preserve">and </w:t>
      </w:r>
      <w:r w:rsidDel="00000000" w:rsidR="00000000" w:rsidRPr="00000000">
        <w:rPr>
          <w:i w:val="1"/>
          <w:iCs w:val="1"/>
          <w:rtl w:val="0"/>
        </w:rPr>
        <w:t xml:space="preserve">commodity context, </w:t>
      </w:r>
      <w:r w:rsidDel="00000000" w:rsidR="00000000" w:rsidRPr="00000000">
        <w:rPr>
          <w:rtl w:val="0"/>
        </w:rPr>
        <w:t xml:space="preserve">in which the value of commodities are not intrinsic but are culturally constituted; importantly, this demands knowledge of these regimes and context by its participants, creating a “theatre for the human actors involved” (Broodbank, 1993, p. 315). The material remains of Keros-Syros culture are remnants and </w:t>
      </w:r>
      <w:r w:rsidDel="00000000" w:rsidR="00000000" w:rsidRPr="00000000">
        <w:rPr>
          <w:i w:val="1"/>
          <w:iCs w:val="1"/>
          <w:rtl w:val="0"/>
        </w:rPr>
        <w:t xml:space="preserve">symbols</w:t>
      </w:r>
      <w:r w:rsidDel="00000000" w:rsidR="00000000" w:rsidRPr="00000000">
        <w:rPr>
          <w:rtl w:val="0"/>
        </w:rPr>
        <w:t xml:space="preserve"> of their past theatre (ibid.). </w:t>
      </w:r>
    </w:p>
    <w:p w:rsidR="00000000" w:rsidDel="00000000" w:rsidP="00000000" w:rsidRDefault="00000000" w:rsidRPr="00000000" w14:paraId="00000005">
      <w:pPr>
        <w:rPr/>
      </w:pPr>
      <w:r w:rsidDel="00000000" w:rsidR="00000000" w:rsidRPr="00000000">
        <w:rPr>
          <w:rtl w:val="0"/>
        </w:rPr>
        <w:tab/>
        <w:t xml:space="preserve">With this theoretical framework Broodbank (1993, pp. 316-318) assesses the material remains of three trader sites in the Cyclades: Chalandriani on Syros, Ayia Irini on Kea and Dhaskalio-Kavos on Keros. These sites are “not only relatively large in size, but are also unusually rich in marble, pottery and/or metal finds” (ibid.). Notably, the sites are lacking in both arable land and are situated away from mines, indicating that any material remains from these sites must have been imported (ibid., p. 319). This naturally puts forth a question of why these sites are where they are and what is exceptional enough about them to have rich deposits of artefacts? (ibid., p. 318). Broodbank (ibid., p. 321) takes a demographical and geographical approach to analysing trade; the technique used being </w:t>
      </w:r>
      <w:r w:rsidDel="00000000" w:rsidR="00000000" w:rsidRPr="00000000">
        <w:rPr>
          <w:i w:val="1"/>
          <w:iCs w:val="1"/>
          <w:rtl w:val="0"/>
        </w:rPr>
        <w:t xml:space="preserve">proximal point analysis,</w:t>
      </w:r>
      <w:r w:rsidDel="00000000" w:rsidR="00000000" w:rsidRPr="00000000">
        <w:rPr>
          <w:rtl w:val="0"/>
        </w:rPr>
        <w:t xml:space="preserve"> a “means of assessing the relations between localities by reducing them to points and linking each other to their three closest neighbours on a map” (ibid.; see </w:t>
      </w:r>
      <w:r w:rsidDel="00000000" w:rsidR="00000000" w:rsidRPr="00000000">
        <w:rPr>
          <w:i w:val="1"/>
          <w:iCs w:val="1"/>
          <w:rtl w:val="0"/>
        </w:rPr>
        <w:t xml:space="preserve">Figure 1</w:t>
      </w:r>
      <w:r w:rsidDel="00000000" w:rsidR="00000000" w:rsidRPr="00000000">
        <w:rPr>
          <w:rtl w:val="0"/>
        </w:rPr>
        <w:t xml:space="preserve">). The results of this state that the three sites of Chalandriani, Ayia Irini and Dhaskalio-Kavos are all on islands of varying degrees of “peak linkage of a maritime nature” (ibid., p. 322). Here he postulates that the </w:t>
      </w:r>
      <w:r w:rsidDel="00000000" w:rsidR="00000000" w:rsidRPr="00000000">
        <w:rPr>
          <w:i w:val="1"/>
          <w:iCs w:val="1"/>
          <w:rtl w:val="0"/>
        </w:rPr>
        <w:t xml:space="preserve">physical </w:t>
      </w:r>
      <w:r w:rsidDel="00000000" w:rsidR="00000000" w:rsidRPr="00000000">
        <w:rPr>
          <w:rtl w:val="0"/>
        </w:rPr>
        <w:t xml:space="preserve">location of these sites and its unequal linkage and extreme geography can be directly associated with </w:t>
      </w:r>
      <w:r w:rsidDel="00000000" w:rsidR="00000000" w:rsidRPr="00000000">
        <w:rPr>
          <w:i w:val="1"/>
          <w:iCs w:val="1"/>
          <w:rtl w:val="0"/>
        </w:rPr>
        <w:t xml:space="preserve">ideological </w:t>
      </w:r>
      <w:r w:rsidDel="00000000" w:rsidR="00000000" w:rsidRPr="00000000">
        <w:rPr>
          <w:rtl w:val="0"/>
        </w:rPr>
        <w:t xml:space="preserve">loci of power (ibid., p. 323). With this noted, his key argument (that has been previously stated) is outlined: that the “sources of power in Keros-Syros Cyclades lay primarily in the very activity and practice of maritime movement itself”, and that importantly movement itself is a commodity, something to be made available or denied depending on the technology that you possess (ibid., pp. 323-324). </w:t>
      </w:r>
    </w:p>
    <w:p w:rsidR="00000000" w:rsidDel="00000000" w:rsidP="00000000" w:rsidRDefault="00000000" w:rsidRPr="00000000" w14:paraId="00000006">
      <w:pPr>
        <w:rPr/>
      </w:pPr>
      <w:r w:rsidDel="00000000" w:rsidR="00000000" w:rsidRPr="00000000">
        <w:rPr>
          <w:rtl w:val="0"/>
        </w:rPr>
        <w:tab/>
      </w:r>
      <w:r w:rsidDel="00000000" w:rsidR="00000000" w:rsidRPr="00000000">
        <w:rPr>
          <w:i w:val="1"/>
          <w:iCs w:val="1"/>
          <w:rtl w:val="0"/>
        </w:rPr>
        <w:t xml:space="preserve">Ulysses without Sails </w:t>
      </w:r>
      <w:r w:rsidDel="00000000" w:rsidR="00000000" w:rsidRPr="00000000">
        <w:rPr>
          <w:rtl w:val="0"/>
        </w:rPr>
        <w:t xml:space="preserve">puts forth a strong reconceptualisation of maritime connections in the Cyclades. The application of anthropological theory out of processual (see Watson, 2007) and postprocessual (see Shanks, 2007) movements is highly effective towards viewing the actual social processes of Keros-Syros culture, bringing light to the immaterial that might otherwise have been missed. The use of anthropological theory in this light was radical for its time and still today gives a fresh outlook on Cycladic interaction, with it written in an accessible and clear style and format. His study of the Cyclades as a series of nodes in a network is effective, but a more fully realised idea of a network, specifically from Bruno Latour’s </w:t>
      </w:r>
      <w:r w:rsidDel="00000000" w:rsidR="00000000" w:rsidRPr="00000000">
        <w:rPr>
          <w:i w:val="1"/>
          <w:iCs w:val="1"/>
          <w:rtl w:val="0"/>
        </w:rPr>
        <w:t xml:space="preserve">Actor Network Theory</w:t>
      </w:r>
      <w:r w:rsidDel="00000000" w:rsidR="00000000" w:rsidRPr="00000000">
        <w:rPr>
          <w:rtl w:val="0"/>
        </w:rPr>
        <w:t xml:space="preserve"> (see Latour 1996) would be a useful theory to utilise here, specifically his discussion of highly complex agential actants within a network (Latour, 1996, pp. 369-370). A further discussion of the agency of nonhumans such as the actual geography of the land and the boats themselves would make a better theoretical basis. Other later works on the agency of nonhumans would also be very effective here, namely Alfred Gell’s (1998, pp. 14-17) idea of objects as </w:t>
      </w:r>
      <w:r w:rsidDel="00000000" w:rsidR="00000000" w:rsidRPr="00000000">
        <w:rPr>
          <w:i w:val="1"/>
          <w:iCs w:val="1"/>
          <w:rtl w:val="0"/>
        </w:rPr>
        <w:t xml:space="preserve">indices, </w:t>
      </w:r>
      <w:r w:rsidDel="00000000" w:rsidR="00000000" w:rsidRPr="00000000">
        <w:rPr>
          <w:rtl w:val="0"/>
        </w:rPr>
        <w:t xml:space="preserve">as signifiers of social agency and Lambros Malafouris’ (2004, p. 58) </w:t>
      </w:r>
      <w:r w:rsidDel="00000000" w:rsidR="00000000" w:rsidRPr="00000000">
        <w:rPr>
          <w:i w:val="1"/>
          <w:iCs w:val="1"/>
          <w:rtl w:val="0"/>
        </w:rPr>
        <w:t xml:space="preserve">Material Engagement Theory</w:t>
      </w:r>
      <w:r w:rsidDel="00000000" w:rsidR="00000000" w:rsidRPr="00000000">
        <w:rPr>
          <w:rtl w:val="0"/>
        </w:rPr>
        <w:t xml:space="preserve">, of the cognitive interactions and agential capabilities of the material world would both be highly effective of a discussion of the agential qualities of Keros-Syros longboats and their ability to facilitate trade. These theories just mentioned are all broad challenges of anthropocentrism which Broodbank fails to do and creates a clear theoretical limitation of the paper, although this is due to its time of publication and the context of its writing.</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1103475</wp:posOffset>
                </wp:positionH>
                <wp:positionV relativeFrom="paragraph">
                  <wp:posOffset>238125</wp:posOffset>
                </wp:positionV>
                <wp:extent cx="3524250" cy="5553075"/>
                <wp:effectExtent b="0" l="0" r="0" t="0"/>
                <wp:wrapTopAndBottom distB="114300" distT="114300"/>
                <wp:docPr id="1" name=""/>
                <a:graphic>
                  <a:graphicData uri="http://schemas.microsoft.com/office/word/2010/wordprocessingGroup">
                    <wpg:wgp>
                      <wpg:cNvGrpSpPr/>
                      <wpg:grpSpPr>
                        <a:xfrm>
                          <a:off x="152400" y="152400"/>
                          <a:ext cx="3524250" cy="5553075"/>
                          <a:chOff x="152400" y="152400"/>
                          <a:chExt cx="3505350" cy="5533850"/>
                        </a:xfrm>
                      </wpg:grpSpPr>
                      <pic:pic>
                        <pic:nvPicPr>
                          <pic:cNvPr id="2" name="Shape 2"/>
                          <pic:cNvPicPr preferRelativeResize="0"/>
                        </pic:nvPicPr>
                        <pic:blipFill>
                          <a:blip r:embed="rId6">
                            <a:alphaModFix/>
                          </a:blip>
                          <a:stretch>
                            <a:fillRect/>
                          </a:stretch>
                        </pic:blipFill>
                        <pic:spPr>
                          <a:xfrm>
                            <a:off x="152400" y="152400"/>
                            <a:ext cx="3505200" cy="4829175"/>
                          </a:xfrm>
                          <a:prstGeom prst="rect">
                            <a:avLst/>
                          </a:prstGeom>
                          <a:noFill/>
                          <a:ln>
                            <a:noFill/>
                          </a:ln>
                        </pic:spPr>
                      </pic:pic>
                      <wps:wsp>
                        <wps:cNvSpPr txBox="1"/>
                        <wps:cNvPr id="3" name="Shape 3"/>
                        <wps:spPr>
                          <a:xfrm>
                            <a:off x="210150" y="4993550"/>
                            <a:ext cx="3447600" cy="692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1: </w:t>
                              </w:r>
                              <w:r w:rsidDel="00000000" w:rsidR="00000000" w:rsidRPr="00000000">
                                <w:rPr>
                                  <w:rFonts w:ascii="Arial" w:cs="Arial" w:eastAsia="Arial" w:hAnsi="Arial"/>
                                  <w:b w:val="0"/>
                                  <w:i w:val="0"/>
                                  <w:smallCaps w:val="0"/>
                                  <w:strike w:val="0"/>
                                  <w:color w:val="000000"/>
                                  <w:sz w:val="22"/>
                                  <w:vertAlign w:val="baseline"/>
                                </w:rPr>
                                <w:t xml:space="preserve">“A proximal point graph analysis for the Cyclades, simulating local patterns of interaction within the island group” (Broodbank, 1993, p. 320).</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1103475</wp:posOffset>
                </wp:positionH>
                <wp:positionV relativeFrom="paragraph">
                  <wp:posOffset>238125</wp:posOffset>
                </wp:positionV>
                <wp:extent cx="3524250" cy="5553075"/>
                <wp:effectExtent b="0" l="0" r="0" t="0"/>
                <wp:wrapTopAndBottom distB="114300" distT="11430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3524250" cy="5553075"/>
                        </a:xfrm>
                        <a:prstGeom prst="rect"/>
                        <a:ln/>
                      </pic:spPr>
                    </pic:pic>
                  </a:graphicData>
                </a:graphic>
              </wp:anchor>
            </w:drawing>
          </mc:Fallback>
        </mc:AlternateContent>
      </w:r>
    </w:p>
    <w:p w:rsidR="00000000" w:rsidDel="00000000" w:rsidP="00000000" w:rsidRDefault="00000000" w:rsidRPr="00000000" w14:paraId="00000007">
      <w:pPr>
        <w:rPr/>
      </w:pPr>
      <w:r w:rsidDel="00000000" w:rsidR="00000000" w:rsidRPr="00000000">
        <w:rPr>
          <w:rtl w:val="0"/>
        </w:rPr>
        <w:tab/>
        <w:t xml:space="preserve">Overall, </w:t>
      </w:r>
      <w:r w:rsidDel="00000000" w:rsidR="00000000" w:rsidRPr="00000000">
        <w:rPr>
          <w:i w:val="1"/>
          <w:iCs w:val="1"/>
          <w:rtl w:val="0"/>
        </w:rPr>
        <w:t xml:space="preserve">Ulysses without Sails </w:t>
      </w:r>
      <w:r w:rsidDel="00000000" w:rsidR="00000000" w:rsidRPr="00000000">
        <w:rPr>
          <w:rtl w:val="0"/>
        </w:rPr>
        <w:t xml:space="preserve">remains an influential interpretation of Early Cycladic exchange, specifically the Keros-Syros culture. The paper is attentive to movement as a commodity, that facilitates the spread of knowledge and power. He opened new possibilities for understanding Keros-Syros culture through the application of anthropological theory and proximal point graph analysis but when viewed through later theoretical developments by Gell and Malafouris the largely anthropocentric viewpoint of the paper is seen as a limitation. Nevertheless, this remains as a key text in shaping debates on movement in the Cyclades and what and how is facilitated through maritime movement and trade. </w:t>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ab/>
      </w:r>
      <w:r w:rsidDel="00000000" w:rsidR="00000000" w:rsidRPr="00000000">
        <w:rPr>
          <w:rtl w:val="0"/>
        </w:rPr>
      </w:r>
    </w:p>
    <w:p w:rsidR="00000000" w:rsidDel="00000000" w:rsidP="00000000" w:rsidRDefault="00000000" w:rsidRPr="00000000" w14:paraId="0000000B">
      <w:pPr>
        <w:rPr/>
      </w:pPr>
      <w:r w:rsidDel="00000000" w:rsidR="00000000" w:rsidRPr="00000000">
        <w:br w:type="page"/>
      </w:r>
      <w:r w:rsidDel="00000000" w:rsidR="00000000" w:rsidRPr="00000000">
        <w:rPr>
          <w:rtl w:val="0"/>
        </w:rPr>
      </w:r>
    </w:p>
    <w:p w:rsidR="00000000" w:rsidDel="00000000" w:rsidP="00000000" w:rsidRDefault="00000000" w:rsidRPr="00000000" w14:paraId="0000000C">
      <w:pPr>
        <w:rPr>
          <w:b w:val="1"/>
          <w:bCs w:val="1"/>
        </w:rPr>
      </w:pPr>
      <w:r w:rsidDel="00000000" w:rsidR="00000000" w:rsidRPr="00000000">
        <w:rPr>
          <w:b w:val="1"/>
          <w:bCs w:val="1"/>
          <w:rtl w:val="0"/>
        </w:rPr>
        <w:t xml:space="preserve">Bibliography </w:t>
      </w:r>
    </w:p>
    <w:p w:rsidR="00000000" w:rsidDel="00000000" w:rsidP="00000000" w:rsidRDefault="00000000" w:rsidRPr="00000000" w14:paraId="0000000D">
      <w:pPr>
        <w:rPr>
          <w:b w:val="1"/>
          <w:bCs w:val="1"/>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Broodbank, C. (1989) ‘The Longboat and Society in the Cyclades in the Keros-Syros Culture’, </w:t>
      </w:r>
      <w:r w:rsidDel="00000000" w:rsidR="00000000" w:rsidRPr="00000000">
        <w:rPr>
          <w:i w:val="1"/>
          <w:iCs w:val="1"/>
          <w:rtl w:val="0"/>
        </w:rPr>
        <w:t xml:space="preserve">American Journal of Archaeology, </w:t>
      </w:r>
      <w:r w:rsidDel="00000000" w:rsidR="00000000" w:rsidRPr="00000000">
        <w:rPr>
          <w:rtl w:val="0"/>
        </w:rPr>
        <w:t xml:space="preserve">93(3), pp. 319-337.</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Broodbank, C. (1993) ‘Ulysses without Sails: Trade, Distance, Knowledge and Power in the Early Cyclades’, World Archaeology, 24(3), pp. 315-331. Available at: </w:t>
      </w:r>
      <w:hyperlink r:id="rId8">
        <w:r w:rsidDel="00000000" w:rsidR="00000000" w:rsidRPr="00000000">
          <w:rPr>
            <w:color w:val="1155cc"/>
            <w:u w:val="single"/>
            <w:rtl w:val="0"/>
          </w:rPr>
          <w:t xml:space="preserve">https://www.jstor.org/stable/124711?seq=1</w:t>
        </w:r>
      </w:hyperlink>
      <w:r w:rsidDel="00000000" w:rsidR="00000000" w:rsidRPr="00000000">
        <w:rPr>
          <w:rtl w:val="0"/>
        </w:rPr>
        <w:t xml:space="preserve"> (Accessed on 14th of November 2025).</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Gell, A. (1998) </w:t>
      </w:r>
      <w:r w:rsidDel="00000000" w:rsidR="00000000" w:rsidRPr="00000000">
        <w:rPr>
          <w:i w:val="1"/>
          <w:iCs w:val="1"/>
          <w:rtl w:val="0"/>
        </w:rPr>
        <w:t xml:space="preserve">Art and Agency: An Anthropological Theory. </w:t>
      </w:r>
      <w:r w:rsidDel="00000000" w:rsidR="00000000" w:rsidRPr="00000000">
        <w:rPr>
          <w:rtl w:val="0"/>
        </w:rPr>
        <w:t xml:space="preserve">Oxford: Oxford University Press.</w:t>
      </w:r>
      <w:r w:rsidDel="00000000" w:rsidR="00000000" w:rsidRPr="00000000">
        <w:rPr>
          <w:rtl w:val="0"/>
        </w:rPr>
        <w:t xml:space="preserve">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Helms, M. (1988) </w:t>
      </w:r>
      <w:r w:rsidDel="00000000" w:rsidR="00000000" w:rsidRPr="00000000">
        <w:rPr>
          <w:i w:val="1"/>
          <w:iCs w:val="1"/>
          <w:rtl w:val="0"/>
        </w:rPr>
        <w:t xml:space="preserve">Ulysses’ Sails: An Ethnographic Odyssey of Power, Knowledge, and Geographical Distance. </w:t>
      </w:r>
      <w:r w:rsidDel="00000000" w:rsidR="00000000" w:rsidRPr="00000000">
        <w:rPr>
          <w:rtl w:val="0"/>
        </w:rPr>
        <w:t xml:space="preserve">Surrey: Princeton University Press.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Helms, M. (1993) </w:t>
      </w:r>
      <w:r w:rsidDel="00000000" w:rsidR="00000000" w:rsidRPr="00000000">
        <w:rPr>
          <w:i w:val="1"/>
          <w:iCs w:val="1"/>
          <w:rtl w:val="0"/>
        </w:rPr>
        <w:t xml:space="preserve">Craft and the Kingly Ideal: Art, Trade and Power. </w:t>
      </w:r>
      <w:r w:rsidDel="00000000" w:rsidR="00000000" w:rsidRPr="00000000">
        <w:rPr>
          <w:rtl w:val="0"/>
        </w:rPr>
        <w:t xml:space="preserve">Austin: University of Texas Press. Available at: </w:t>
      </w:r>
      <w:hyperlink r:id="rId9">
        <w:r w:rsidDel="00000000" w:rsidR="00000000" w:rsidRPr="00000000">
          <w:rPr>
            <w:color w:val="1155cc"/>
            <w:u w:val="single"/>
            <w:rtl w:val="0"/>
          </w:rPr>
          <w:t xml:space="preserve">https://archive.org/details/mary-helms-craft-and-the-kingly-ideal-art-trade-and-power-1993</w:t>
        </w:r>
      </w:hyperlink>
      <w:r w:rsidDel="00000000" w:rsidR="00000000" w:rsidRPr="00000000">
        <w:rPr>
          <w:rtl w:val="0"/>
        </w:rPr>
        <w:t xml:space="preserve"> (Accessed on 14th of November 2025).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Latour, B. (1996) ‘On actor-network theory: A few clarifications’, </w:t>
      </w:r>
      <w:r w:rsidDel="00000000" w:rsidR="00000000" w:rsidRPr="00000000">
        <w:rPr>
          <w:i w:val="1"/>
          <w:iCs w:val="1"/>
          <w:rtl w:val="0"/>
        </w:rPr>
        <w:t xml:space="preserve">Soziale Welt, </w:t>
      </w:r>
      <w:r w:rsidDel="00000000" w:rsidR="00000000" w:rsidRPr="00000000">
        <w:rPr>
          <w:rtl w:val="0"/>
        </w:rPr>
        <w:t xml:space="preserve">47(4), pp. 369-381. Available at: </w:t>
      </w:r>
      <w:hyperlink r:id="rId10">
        <w:r w:rsidDel="00000000" w:rsidR="00000000" w:rsidRPr="00000000">
          <w:rPr>
            <w:color w:val="1155cc"/>
            <w:u w:val="single"/>
            <w:rtl w:val="0"/>
          </w:rPr>
          <w:t xml:space="preserve">https://www.jstor.org/stable/40878163</w:t>
        </w:r>
      </w:hyperlink>
      <w:r w:rsidDel="00000000" w:rsidR="00000000" w:rsidRPr="00000000">
        <w:rPr>
          <w:rtl w:val="0"/>
        </w:rPr>
        <w:t xml:space="preserve"> (Accessed on 16th of November 2025).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Malafouris, L. (2004) ‘The cognitive basis of material engagement: where brain, body and culture conflate.’ in DeMarrais, E., Gosden, C., and Renfrew, C. (eds.)</w:t>
      </w:r>
      <w:r w:rsidDel="00000000" w:rsidR="00000000" w:rsidRPr="00000000">
        <w:rPr>
          <w:i w:val="1"/>
          <w:iCs w:val="1"/>
          <w:rtl w:val="0"/>
        </w:rPr>
        <w:t xml:space="preserve"> Rethinking Materiality: Engagement of Mind with Material World.</w:t>
      </w:r>
      <w:r w:rsidDel="00000000" w:rsidR="00000000" w:rsidRPr="00000000">
        <w:rPr>
          <w:rtl w:val="0"/>
        </w:rPr>
        <w:t xml:space="preserve"> Cambridge: McDonald Institute for Archaeological Research.</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Shanks, M. (2007) ‘Post-Processual Archaeology and After’ in Bentley, R.A., Maschner, H.D.G. and Chippindale, C. (eds.) </w:t>
      </w:r>
      <w:r w:rsidDel="00000000" w:rsidR="00000000" w:rsidRPr="00000000">
        <w:rPr>
          <w:i w:val="1"/>
          <w:iCs w:val="1"/>
          <w:rtl w:val="0"/>
        </w:rPr>
        <w:t xml:space="preserve">Handbook of Archaeological Theories. </w:t>
      </w:r>
      <w:r w:rsidDel="00000000" w:rsidR="00000000" w:rsidRPr="00000000">
        <w:rPr>
          <w:rtl w:val="0"/>
        </w:rPr>
        <w:t xml:space="preserve">Plymouth: AltaMira Press.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Watson, P.J. (2007) ‘Processualism and After’ in Bentley, R.A., Maschner, H.D.G. and Chippindale, C. (eds.) </w:t>
      </w:r>
      <w:r w:rsidDel="00000000" w:rsidR="00000000" w:rsidRPr="00000000">
        <w:rPr>
          <w:i w:val="1"/>
          <w:iCs w:val="1"/>
          <w:rtl w:val="0"/>
        </w:rPr>
        <w:t xml:space="preserve">Handbook of Archaeological Theories. </w:t>
      </w:r>
      <w:r w:rsidDel="00000000" w:rsidR="00000000" w:rsidRPr="00000000">
        <w:rPr>
          <w:rtl w:val="0"/>
        </w:rPr>
        <w:t xml:space="preserve">Plymouth: AltaMira Press.</w:t>
      </w:r>
    </w:p>
    <w:p w:rsidR="00000000" w:rsidDel="00000000" w:rsidP="00000000" w:rsidRDefault="00000000" w:rsidRPr="00000000" w14:paraId="0000001F">
      <w:pPr>
        <w:rPr/>
      </w:pPr>
      <w:r w:rsidDel="00000000" w:rsidR="00000000" w:rsidRPr="00000000">
        <w:rPr>
          <w:rtl w:val="0"/>
        </w:rPr>
        <w:t xml:space="preserve">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jstor.org/stable/40878163" TargetMode="External"/><Relationship Id="rId9" Type="http://schemas.openxmlformats.org/officeDocument/2006/relationships/hyperlink" Target="https://archive.org/details/mary-helms-craft-and-the-kingly-ideal-art-trade-and-power-1993"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yperlink" Target="https://www.jstor.org/stable/124711?se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