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22B14" w:rsidRDefault="00722B14" w:rsidP="00380530">
      <w:pPr>
        <w:pStyle w:val="BodyA"/>
        <w:spacing w:line="360" w:lineRule="auto"/>
        <w:rPr>
          <w:rFonts w:ascii="Calibri" w:eastAsia="Calibri" w:hAnsi="Calibri" w:cs="Calibri"/>
          <w:b/>
          <w:bCs/>
          <w:color w:val="598A38"/>
          <w:u w:color="598A38"/>
        </w:rPr>
      </w:pPr>
    </w:p>
    <w:p w:rsidR="00722B14" w:rsidRPr="00380530" w:rsidRDefault="00C741BA" w:rsidP="00D222A8">
      <w:pPr>
        <w:pStyle w:val="BodyA"/>
        <w:spacing w:line="360" w:lineRule="auto"/>
        <w:rPr>
          <w:rFonts w:ascii="Calibri" w:eastAsia="Calibri" w:hAnsi="Calibri" w:cs="Calibri"/>
          <w:b/>
          <w:bCs/>
          <w:sz w:val="28"/>
          <w:szCs w:val="28"/>
        </w:rPr>
      </w:pPr>
      <w:r w:rsidRPr="00380530">
        <w:rPr>
          <w:rFonts w:ascii="Calibri" w:eastAsia="Calibri" w:hAnsi="Calibri" w:cs="Calibri"/>
          <w:b/>
          <w:bCs/>
          <w:sz w:val="28"/>
          <w:szCs w:val="28"/>
        </w:rPr>
        <w:t xml:space="preserve">Rationale </w:t>
      </w:r>
    </w:p>
    <w:p w:rsidR="00722B14" w:rsidRPr="00651BF6" w:rsidRDefault="00C741BA" w:rsidP="00D222A8">
      <w:pPr>
        <w:pStyle w:val="BodyA"/>
        <w:spacing w:line="360" w:lineRule="auto"/>
        <w:rPr>
          <w:rFonts w:ascii="Calibri" w:eastAsia="Calibri" w:hAnsi="Calibri" w:cs="Calibri"/>
          <w:lang w:val="en-GB"/>
        </w:rPr>
      </w:pPr>
      <w:r w:rsidRPr="00651BF6">
        <w:rPr>
          <w:rFonts w:ascii="Calibri" w:eastAsia="Calibri" w:hAnsi="Calibri" w:cs="Calibri"/>
          <w:lang w:val="en-GB"/>
        </w:rPr>
        <w:t xml:space="preserve">This teaching resource will be used for children in a year one class and the strand being included within the resource is using number skills, which states that by year one learners should have the ability to count, read and write up to the number twenty (Welsh Government, 2016). Multi-link cubes are the teaching resource which will be used in three individual activities. These cubes are also known as mathematic manipulatives and, according to Laski et al (2015), they are a concrete material which can be used in aid of supporting a mathematical strategy. </w:t>
      </w:r>
      <w:r w:rsidRPr="00C903C1">
        <w:rPr>
          <w:rFonts w:ascii="Calibri" w:eastAsia="Calibri" w:hAnsi="Calibri" w:cs="Calibri"/>
          <w:color w:val="000000" w:themeColor="text1"/>
          <w:u w:color="FF0000"/>
          <w:lang w:val="en-GB"/>
        </w:rPr>
        <w:t xml:space="preserve">Clements (1991) agrees with this, arguing that if the children are using ‘concrete’ materials, also known as math manipulatives, they would be getting an awareness of personal </w:t>
      </w:r>
      <w:r w:rsidR="00651BF6" w:rsidRPr="00C903C1">
        <w:rPr>
          <w:rFonts w:ascii="Calibri" w:eastAsia="Calibri" w:hAnsi="Calibri" w:cs="Calibri"/>
          <w:color w:val="000000" w:themeColor="text1"/>
          <w:u w:color="FF0000"/>
          <w:lang w:val="en-GB"/>
        </w:rPr>
        <w:t>self-help</w:t>
      </w:r>
      <w:r w:rsidRPr="00C903C1">
        <w:rPr>
          <w:rFonts w:ascii="Calibri" w:eastAsia="Calibri" w:hAnsi="Calibri" w:cs="Calibri"/>
          <w:color w:val="000000" w:themeColor="text1"/>
          <w:u w:color="FF0000"/>
          <w:lang w:val="en-GB"/>
        </w:rPr>
        <w:t xml:space="preserve"> which, again, would help with the understanding of their work. </w:t>
      </w:r>
      <w:r w:rsidRPr="00651BF6">
        <w:rPr>
          <w:rFonts w:ascii="Calibri" w:eastAsia="Calibri" w:hAnsi="Calibri" w:cs="Calibri"/>
          <w:lang w:val="en-GB"/>
        </w:rPr>
        <w:t xml:space="preserve">This links in with Vygotsky’s Zone of Proximal Development (ZPD) theory, which is based around what a child can do, and what they can do if aided with support. The children using the multi-link cubes will be able to expand on their proximal development which means, eventually, they will be able to do certain mathematical tasks unaided (Pound, 2006). Using the resource can improve the children’s fine motor skills as these involve grasping the cubes, snapping them on and off and will develop with their manipulative skills (Woodfield, 2004). Jones and Tiller (2017) suggests that using the multi-link cubes is seen as a ‘hands-on’ approach and that children could gain a more positive perspective towards mathematical education. Moyer (2001) suggests that these manipulative materials are seen as objects which represent mathematical </w:t>
      </w:r>
      <w:bookmarkStart w:id="0" w:name="_GoBack"/>
      <w:bookmarkEnd w:id="0"/>
      <w:r w:rsidRPr="00651BF6">
        <w:rPr>
          <w:rFonts w:ascii="Calibri" w:eastAsia="Calibri" w:hAnsi="Calibri" w:cs="Calibri"/>
          <w:lang w:val="en-GB"/>
        </w:rPr>
        <w:t xml:space="preserve">ideas and that these mathematical ideas are seen more clearly for children who might struggle to understand </w:t>
      </w:r>
      <w:r w:rsidRPr="00C903C1">
        <w:rPr>
          <w:rFonts w:ascii="Calibri" w:eastAsia="Calibri" w:hAnsi="Calibri" w:cs="Calibri"/>
          <w:color w:val="000000" w:themeColor="text1"/>
          <w:lang w:val="en-GB"/>
        </w:rPr>
        <w:t xml:space="preserve">maths. These children will have the opportunity to use a visual aid and a ‘hands-on’ approach. </w:t>
      </w:r>
      <w:r w:rsidRPr="00C903C1">
        <w:rPr>
          <w:rFonts w:ascii="Calibri" w:eastAsia="Calibri" w:hAnsi="Calibri" w:cs="Calibri"/>
          <w:color w:val="000000" w:themeColor="text1"/>
          <w:u w:color="FF0000"/>
          <w:lang w:val="en-GB"/>
        </w:rPr>
        <w:t xml:space="preserve">Burns (1996) suggests that if children have a physical connection with the cubes, they will be able to build a stronger understanding of their work. </w:t>
      </w:r>
      <w:r w:rsidRPr="00651BF6">
        <w:rPr>
          <w:rFonts w:ascii="Calibri" w:eastAsia="Calibri" w:hAnsi="Calibri" w:cs="Calibri"/>
          <w:lang w:val="en-GB"/>
        </w:rPr>
        <w:t>According to Perry and Howard (1997), the main two reasons why the teachers use manipulatives is because these materials would benefit the children’s learning of mathematics and that teachers are already confident because these are seen as a visual aid, the children would enjoy using them.</w:t>
      </w:r>
    </w:p>
    <w:p w:rsidR="00012B3C" w:rsidRDefault="00012B3C"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Fonts w:ascii="Calibri" w:eastAsia="Calibri" w:hAnsi="Calibri" w:cs="Calibri"/>
          <w:lang w:val="en-GB"/>
        </w:rPr>
      </w:pPr>
      <w:r w:rsidRPr="00651BF6">
        <w:rPr>
          <w:rFonts w:ascii="Calibri" w:eastAsia="Calibri" w:hAnsi="Calibri" w:cs="Calibri"/>
          <w:lang w:val="en-GB"/>
        </w:rPr>
        <w:lastRenderedPageBreak/>
        <w:t xml:space="preserve">One of the activities undertaken with this resource will be sequencing different coloured cubes together by following the pattern on a worksheet. Mason et al (2010) suggests that by using patterns within a mathematical game undertakes a considerable amount of thinking as the children will be investigating different forms of patterns which they would need to imitate to complete the sequence. Swan and White (2006) also advise that children should be able to identify, reproduce and recognise when trying to produce a pattern and that these are the foundations of the mathematical idea. Lucas (2001) stresses the importance of how the brain works successfully with different mathematical circumstances, for example patterns, imitations and connections. Creating patterns with the multi-link cubes could, however, be seen as stressful for some children because, if the colours are different, the child might not have the ability to put them together. For this reason, on the worksheet, there are tasks that involve same-coloured cubes as well as different coloured cubes which will try to push the </w:t>
      </w:r>
      <w:r w:rsidR="00651BF6" w:rsidRPr="00651BF6">
        <w:rPr>
          <w:rFonts w:ascii="Calibri" w:eastAsia="Calibri" w:hAnsi="Calibri" w:cs="Calibri"/>
          <w:lang w:val="en-GB"/>
        </w:rPr>
        <w:t>children’s</w:t>
      </w:r>
      <w:r w:rsidRPr="00651BF6">
        <w:rPr>
          <w:rFonts w:ascii="Calibri" w:eastAsia="Calibri" w:hAnsi="Calibri" w:cs="Calibri"/>
          <w:lang w:val="en-GB"/>
        </w:rPr>
        <w:t xml:space="preserve">’ ability to see if they can complete the more complex task (Papic </w:t>
      </w:r>
      <w:r w:rsidRPr="00651BF6">
        <w:rPr>
          <w:rFonts w:ascii="Calibri" w:eastAsia="Calibri" w:hAnsi="Calibri" w:cs="Calibri"/>
          <w:i/>
          <w:iCs/>
          <w:lang w:val="en-GB"/>
        </w:rPr>
        <w:t>et al</w:t>
      </w:r>
      <w:r w:rsidRPr="00651BF6">
        <w:rPr>
          <w:rFonts w:ascii="Calibri" w:eastAsia="Calibri" w:hAnsi="Calibri" w:cs="Calibri"/>
          <w:lang w:val="en-GB"/>
        </w:rPr>
        <w:t xml:space="preserve">, 2011).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Fonts w:ascii="Calibri" w:eastAsia="Calibri" w:hAnsi="Calibri" w:cs="Calibri"/>
          <w:lang w:val="en-GB"/>
        </w:rPr>
      </w:pPr>
      <w:r w:rsidRPr="00651BF6">
        <w:rPr>
          <w:rFonts w:ascii="Calibri" w:eastAsia="Calibri" w:hAnsi="Calibri" w:cs="Calibri"/>
          <w:lang w:val="en-GB"/>
        </w:rPr>
        <w:t xml:space="preserve">The second activity will be a game of adding and subtracting up to twenty, the children would take it in turns to answer the question with the aid of the multi-link cubes if they need support. This activity involves mental arithmetic as the children are expanding on their knowledge of adding and subtracting up to twenty which will become an essential part of their lives (The Guardian, 2014). According to Webber and Haigh (2010), for children to become successful learners of mental maths they would need to be actively involved with teachers and peers, as well as have an excitement for the lessons. This is why this game has mental maths questions requiring the children to constantly think when playing it. </w:t>
      </w:r>
    </w:p>
    <w:p w:rsidR="00722B14" w:rsidRPr="00651BF6" w:rsidRDefault="00722B14" w:rsidP="00D222A8">
      <w:pPr>
        <w:pStyle w:val="BodyA"/>
        <w:spacing w:line="360" w:lineRule="auto"/>
        <w:rPr>
          <w:rFonts w:ascii="Calibri" w:eastAsia="Calibri" w:hAnsi="Calibri" w:cs="Calibri"/>
          <w:lang w:val="en-GB"/>
        </w:rPr>
      </w:pPr>
    </w:p>
    <w:p w:rsidR="00722B14" w:rsidRPr="00C903C1" w:rsidRDefault="00C741BA" w:rsidP="00D222A8">
      <w:pPr>
        <w:pStyle w:val="BodyA"/>
        <w:spacing w:line="360" w:lineRule="auto"/>
        <w:rPr>
          <w:rFonts w:ascii="Calibri" w:eastAsia="Calibri" w:hAnsi="Calibri" w:cs="Calibri"/>
          <w:color w:val="000000" w:themeColor="text1"/>
          <w:u w:color="FF0000"/>
          <w:lang w:val="en-GB"/>
        </w:rPr>
      </w:pPr>
      <w:r w:rsidRPr="00651BF6">
        <w:rPr>
          <w:rFonts w:ascii="Calibri" w:eastAsia="Calibri" w:hAnsi="Calibri" w:cs="Calibri"/>
          <w:lang w:val="en-GB"/>
        </w:rPr>
        <w:t>The third activity involves a set of questions about halves. Each child would need to pick up a card and see if they could answer the question correctly, again this would use the aid of multi-link cubes</w:t>
      </w:r>
      <w:r w:rsidR="0050231D">
        <w:rPr>
          <w:rFonts w:ascii="Calibri" w:eastAsia="Calibri" w:hAnsi="Calibri" w:cs="Calibri"/>
          <w:lang w:val="en-GB"/>
        </w:rPr>
        <w:t xml:space="preserve"> to help find their answer</w:t>
      </w:r>
      <w:r w:rsidRPr="00651BF6">
        <w:rPr>
          <w:rFonts w:ascii="Calibri" w:eastAsia="Calibri" w:hAnsi="Calibri" w:cs="Calibri"/>
          <w:lang w:val="en-GB"/>
        </w:rPr>
        <w:t>. Froebel</w:t>
      </w:r>
      <w:r w:rsidRPr="00651BF6">
        <w:rPr>
          <w:rFonts w:ascii="Calibri" w:eastAsia="Calibri" w:hAnsi="Calibri" w:cs="Calibri"/>
          <w:color w:val="598A38"/>
          <w:u w:color="598A38"/>
          <w:lang w:val="en-GB"/>
        </w:rPr>
        <w:t xml:space="preserve"> </w:t>
      </w:r>
      <w:r w:rsidRPr="00C903C1">
        <w:rPr>
          <w:rFonts w:ascii="Calibri" w:eastAsia="Calibri" w:hAnsi="Calibri" w:cs="Calibri"/>
          <w:color w:val="000000" w:themeColor="text1"/>
          <w:u w:color="FF2600"/>
          <w:lang w:val="en-GB"/>
        </w:rPr>
        <w:t>(cited in Sangster and Catterall, 2009)</w:t>
      </w:r>
      <w:r w:rsidRPr="00C903C1">
        <w:rPr>
          <w:rFonts w:ascii="Calibri" w:eastAsia="Calibri" w:hAnsi="Calibri" w:cs="Calibri"/>
          <w:color w:val="000000" w:themeColor="text1"/>
          <w:u w:color="598A38"/>
          <w:lang w:val="en-GB"/>
        </w:rPr>
        <w:t xml:space="preserve"> </w:t>
      </w:r>
      <w:r w:rsidRPr="00651BF6">
        <w:rPr>
          <w:rFonts w:ascii="Calibri" w:eastAsia="Calibri" w:hAnsi="Calibri" w:cs="Calibri"/>
          <w:lang w:val="en-GB"/>
        </w:rPr>
        <w:t xml:space="preserve">speaks highly of using cubes within mathematics, although this can be seen as difficult for some children as they might struggle to count the cubes when they are not in a line as they would then not be a visual aid for them (Sangster and Catterall, 2009). </w:t>
      </w:r>
      <w:r w:rsidRPr="00C903C1">
        <w:rPr>
          <w:rFonts w:ascii="Calibri" w:eastAsia="Calibri" w:hAnsi="Calibri" w:cs="Calibri"/>
          <w:color w:val="000000" w:themeColor="text1"/>
          <w:u w:color="FF0000"/>
          <w:lang w:val="en-GB"/>
        </w:rPr>
        <w:t xml:space="preserve">According to Willingham (2017), this will all depend on the children and their effectiveness. If they are not engaged with the cubes then they will become disengaged with their learning, but if the </w:t>
      </w:r>
      <w:r w:rsidRPr="00C903C1">
        <w:rPr>
          <w:rFonts w:ascii="Calibri" w:eastAsia="Calibri" w:hAnsi="Calibri" w:cs="Calibri"/>
          <w:color w:val="000000" w:themeColor="text1"/>
          <w:u w:color="FF0000"/>
          <w:lang w:val="en-GB"/>
        </w:rPr>
        <w:lastRenderedPageBreak/>
        <w:t xml:space="preserve">teacher provides motivation to use the cubes, the children may feel more open to using them. </w:t>
      </w:r>
    </w:p>
    <w:p w:rsidR="00722B14" w:rsidRPr="00651BF6" w:rsidRDefault="00722B14" w:rsidP="00D222A8">
      <w:pPr>
        <w:pStyle w:val="BodyA"/>
        <w:spacing w:line="360" w:lineRule="auto"/>
        <w:rPr>
          <w:rFonts w:ascii="Calibri" w:eastAsia="Calibri" w:hAnsi="Calibri" w:cs="Calibri"/>
          <w:lang w:val="en-GB"/>
        </w:rPr>
      </w:pPr>
    </w:p>
    <w:p w:rsidR="00722B14" w:rsidRPr="00C903C1" w:rsidRDefault="00C741BA" w:rsidP="00D222A8">
      <w:pPr>
        <w:pStyle w:val="BodyA"/>
        <w:spacing w:line="360" w:lineRule="auto"/>
        <w:rPr>
          <w:rFonts w:ascii="Calibri" w:eastAsia="Calibri" w:hAnsi="Calibri" w:cs="Calibri"/>
          <w:color w:val="000000" w:themeColor="text1"/>
          <w:u w:color="FF0000"/>
          <w:lang w:val="en-GB"/>
        </w:rPr>
      </w:pPr>
      <w:r w:rsidRPr="00651BF6">
        <w:rPr>
          <w:rFonts w:ascii="Calibri" w:eastAsia="Calibri" w:hAnsi="Calibri" w:cs="Calibri"/>
          <w:lang w:val="en-GB"/>
        </w:rPr>
        <w:t xml:space="preserve">One of the main aims considered when creating the resource was that it should be fun and engaging so the children can enjoy themselves whilst learning. According to Taylor and Harris (2014), play is vital for personal development and, with this in mind, it can achieve positive learning outcomes. Another aim was for children to be aware of their education which links in with </w:t>
      </w:r>
      <w:r w:rsidRPr="00C903C1">
        <w:rPr>
          <w:rFonts w:ascii="Calibri" w:eastAsia="Calibri" w:hAnsi="Calibri" w:cs="Calibri"/>
          <w:color w:val="000000" w:themeColor="text1"/>
          <w:u w:color="FF0000"/>
          <w:lang w:val="en-GB"/>
        </w:rPr>
        <w:t xml:space="preserve">Montessori </w:t>
      </w:r>
      <w:r w:rsidRPr="00C903C1">
        <w:rPr>
          <w:rFonts w:ascii="Calibri" w:eastAsia="Calibri" w:hAnsi="Calibri" w:cs="Calibri"/>
          <w:color w:val="000000" w:themeColor="text1"/>
          <w:u w:color="FF2600"/>
          <w:lang w:val="en-GB"/>
        </w:rPr>
        <w:t>(cited in Pound, 2006)</w:t>
      </w:r>
      <w:r w:rsidRPr="00C903C1">
        <w:rPr>
          <w:rFonts w:ascii="Calibri" w:eastAsia="Calibri" w:hAnsi="Calibri" w:cs="Calibri"/>
          <w:color w:val="000000" w:themeColor="text1"/>
          <w:lang w:val="en-GB"/>
        </w:rPr>
        <w:t xml:space="preserve"> </w:t>
      </w:r>
      <w:r w:rsidRPr="00651BF6">
        <w:rPr>
          <w:rFonts w:ascii="Calibri" w:eastAsia="Calibri" w:hAnsi="Calibri" w:cs="Calibri"/>
          <w:lang w:val="en-GB"/>
        </w:rPr>
        <w:t xml:space="preserve">as she believes that children have a sense of caring when it comes to themselves, education and community, which means that if they learn by doing and observing others they will be able to achieve learning and understanding within their education (Pound, 2006). Another reason behind the use of multi-link cubes for this resource was that Jones and Tiller (2017) stress the importance of children needing to see and touch objects to understand maths better. Furthermore, using an object such as a </w:t>
      </w:r>
      <w:r w:rsidR="00651BF6" w:rsidRPr="00651BF6">
        <w:rPr>
          <w:rFonts w:ascii="Calibri" w:eastAsia="Calibri" w:hAnsi="Calibri" w:cs="Calibri"/>
          <w:lang w:val="en-GB"/>
        </w:rPr>
        <w:t>multi-link</w:t>
      </w:r>
      <w:r w:rsidRPr="00651BF6">
        <w:rPr>
          <w:rFonts w:ascii="Calibri" w:eastAsia="Calibri" w:hAnsi="Calibri" w:cs="Calibri"/>
          <w:lang w:val="en-GB"/>
        </w:rPr>
        <w:t xml:space="preserve"> cube connects with Piaget’s theory about how children aged between seven and ten learn better when using concrete materials. In this way maths becomes more accessible by doing practical activities (Piaget, 1951). There was an importance when creating the activities that they would be colourful, clear and easy for children to understand, as some children might struggle with too many words within a sentence and might not be able to follow instructions (I CAN, 2008). According to Ollerton and Sykes (2012) communication is key when it comes to mathematics as children are acknowledging and understanding a new vocabulary, signs and symbols. They would also be communicating with peers about how they feel about the activities they are doing. </w:t>
      </w:r>
      <w:r w:rsidRPr="00C903C1">
        <w:rPr>
          <w:rFonts w:ascii="Calibri" w:eastAsia="Calibri" w:hAnsi="Calibri" w:cs="Calibri"/>
          <w:color w:val="000000" w:themeColor="text1"/>
          <w:u w:color="FF0000"/>
          <w:lang w:val="en-GB"/>
        </w:rPr>
        <w:t>Diachenko and Veraksa (cited in Dolya, 2010) stresses the</w:t>
      </w:r>
      <w:r w:rsidRPr="00C903C1">
        <w:rPr>
          <w:rFonts w:ascii="Calibri" w:eastAsia="Calibri" w:hAnsi="Calibri" w:cs="Calibri"/>
          <w:color w:val="000000" w:themeColor="text1"/>
          <w:u w:color="598A38"/>
          <w:lang w:val="en-GB"/>
        </w:rPr>
        <w:t xml:space="preserve"> </w:t>
      </w:r>
      <w:r w:rsidRPr="00651BF6">
        <w:rPr>
          <w:rFonts w:ascii="Calibri" w:eastAsia="Calibri" w:hAnsi="Calibri" w:cs="Calibri"/>
          <w:lang w:val="en-GB"/>
        </w:rPr>
        <w:t xml:space="preserve">importance of young children communicating and that, through achieving this goal, they would learn to make themselves understood and are learning to understand other </w:t>
      </w:r>
      <w:r w:rsidR="00651BF6" w:rsidRPr="00651BF6">
        <w:rPr>
          <w:rFonts w:ascii="Calibri" w:eastAsia="Calibri" w:hAnsi="Calibri" w:cs="Calibri"/>
          <w:lang w:val="en-GB"/>
        </w:rPr>
        <w:t>children’s</w:t>
      </w:r>
      <w:r w:rsidRPr="00651BF6">
        <w:rPr>
          <w:rFonts w:ascii="Calibri" w:eastAsia="Calibri" w:hAnsi="Calibri" w:cs="Calibri"/>
          <w:lang w:val="en-GB"/>
        </w:rPr>
        <w:t xml:space="preserve">’ needs (Dolya, 2010). The children will be achieving the communication aspect when doing these three activities as they will be using the frequently used mathematical terms ‘add’ and ‘subtract’. These terms can be seen as frightening for some children who have never come across them before, which is why it is vital for children to understand these terms which they will be doing when taking part in the activities outlined above (Pollock </w:t>
      </w:r>
      <w:r w:rsidRPr="00651BF6">
        <w:rPr>
          <w:rFonts w:ascii="Calibri" w:eastAsia="Calibri" w:hAnsi="Calibri" w:cs="Calibri"/>
          <w:i/>
          <w:iCs/>
          <w:lang w:val="en-GB"/>
        </w:rPr>
        <w:t>et al,</w:t>
      </w:r>
      <w:r w:rsidRPr="00651BF6">
        <w:rPr>
          <w:rFonts w:ascii="Calibri" w:eastAsia="Calibri" w:hAnsi="Calibri" w:cs="Calibri"/>
          <w:lang w:val="en-GB"/>
        </w:rPr>
        <w:t xml:space="preserve"> 2004). By communicating in this way, the children will also be expanding on their social skills as they would be talking to their peers during the activities and may build the confidence to form friendships which </w:t>
      </w:r>
      <w:r w:rsidRPr="00651BF6">
        <w:rPr>
          <w:rFonts w:ascii="Calibri" w:eastAsia="Calibri" w:hAnsi="Calibri" w:cs="Calibri"/>
          <w:lang w:val="en-GB"/>
        </w:rPr>
        <w:lastRenderedPageBreak/>
        <w:t xml:space="preserve">they may not have experienced before (Plummer, 2008). Overall, these three activities are practical and give children the vital opportunity to have practical activities through which they can explore their </w:t>
      </w:r>
      <w:r w:rsidR="00651BF6" w:rsidRPr="00651BF6">
        <w:rPr>
          <w:rFonts w:ascii="Calibri" w:eastAsia="Calibri" w:hAnsi="Calibri" w:cs="Calibri"/>
          <w:lang w:val="en-GB"/>
        </w:rPr>
        <w:t>curiosity</w:t>
      </w:r>
      <w:r w:rsidRPr="00651BF6">
        <w:rPr>
          <w:rFonts w:ascii="Calibri" w:eastAsia="Calibri" w:hAnsi="Calibri" w:cs="Calibri"/>
          <w:lang w:val="en-GB"/>
        </w:rPr>
        <w:t xml:space="preserve"> of ‘what’, ‘why' and ‘how’. Using the resource and having physical contact with the cubes will help children to excel and reach their maximum potential (Taylor, 2014).</w:t>
      </w:r>
      <w:r w:rsidRPr="00C903C1">
        <w:rPr>
          <w:rFonts w:ascii="Calibri" w:eastAsia="Calibri" w:hAnsi="Calibri" w:cs="Calibri"/>
          <w:color w:val="000000" w:themeColor="text1"/>
          <w:lang w:val="en-GB"/>
        </w:rPr>
        <w:t xml:space="preserve"> </w:t>
      </w:r>
      <w:r w:rsidRPr="00C903C1">
        <w:rPr>
          <w:rFonts w:ascii="Calibri" w:eastAsia="Calibri" w:hAnsi="Calibri" w:cs="Calibri"/>
          <w:color w:val="000000" w:themeColor="text1"/>
          <w:u w:color="FF0000"/>
          <w:lang w:val="en-GB"/>
        </w:rPr>
        <w:t xml:space="preserve">Ideally, the end goal is for children to become confident and ambitious learners and, according to Burns (1996), through using these multi-link cubes they will be able to achieve these outcomes as their use will eventually build the children’s confidence through the process of checking if they are right or wrong. This links in with Donaldson’s Successful Futures (2015) as one of the four purposes in the new curriculum is for all children to be ambitious, capable learners who are eager to learn constantly throughout their lives.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Fonts w:ascii="Calibri" w:eastAsia="Calibri" w:hAnsi="Calibri" w:cs="Calibri"/>
          <w:b/>
          <w:bCs/>
          <w:lang w:val="en-GB"/>
        </w:rPr>
      </w:pPr>
      <w:r w:rsidRPr="00651BF6">
        <w:rPr>
          <w:rFonts w:ascii="Calibri" w:eastAsia="Calibri" w:hAnsi="Calibri" w:cs="Calibri"/>
          <w:b/>
          <w:bCs/>
          <w:lang w:val="en-GB"/>
        </w:rPr>
        <w:t>Reference List</w:t>
      </w:r>
    </w:p>
    <w:p w:rsidR="00722B14" w:rsidRPr="00651BF6" w:rsidRDefault="00C741BA" w:rsidP="00D222A8">
      <w:pPr>
        <w:pStyle w:val="BodyA"/>
        <w:spacing w:line="360" w:lineRule="auto"/>
        <w:rPr>
          <w:rFonts w:ascii="Calibri" w:eastAsia="Calibri" w:hAnsi="Calibri" w:cs="Calibri"/>
          <w:lang w:val="en-GB"/>
        </w:rPr>
      </w:pPr>
      <w:r w:rsidRPr="00651BF6">
        <w:rPr>
          <w:rFonts w:ascii="Calibri" w:eastAsia="Calibri" w:hAnsi="Calibri" w:cs="Calibri"/>
          <w:lang w:val="en-GB"/>
        </w:rPr>
        <w:t xml:space="preserve">Burns, M. (1996) </w:t>
      </w:r>
      <w:r w:rsidRPr="00651BF6">
        <w:rPr>
          <w:rFonts w:ascii="Calibri" w:eastAsia="Calibri" w:hAnsi="Calibri" w:cs="Calibri"/>
          <w:i/>
          <w:iCs/>
          <w:lang w:val="en-GB"/>
        </w:rPr>
        <w:t xml:space="preserve">How to make the most of math manipulatives. </w:t>
      </w:r>
      <w:r w:rsidRPr="00651BF6">
        <w:rPr>
          <w:rFonts w:ascii="Calibri" w:eastAsia="Calibri" w:hAnsi="Calibri" w:cs="Calibri"/>
          <w:lang w:val="en-GB"/>
        </w:rPr>
        <w:t xml:space="preserve">[Online] Available at: </w:t>
      </w:r>
      <w:hyperlink r:id="rId6" w:history="1">
        <w:r w:rsidRPr="00651BF6">
          <w:rPr>
            <w:rStyle w:val="Hyperlink0"/>
            <w:lang w:val="en-GB"/>
          </w:rPr>
          <w:t>http://www.mathsolutions.com/documents/1996_Hands_on_Help.pdf</w:t>
        </w:r>
      </w:hyperlink>
      <w:r w:rsidRPr="00651BF6">
        <w:rPr>
          <w:rFonts w:ascii="Calibri" w:eastAsia="Calibri" w:hAnsi="Calibri" w:cs="Calibri"/>
          <w:lang w:val="en-GB"/>
        </w:rPr>
        <w:t xml:space="preserve"> (Accessed: 20</w:t>
      </w:r>
      <w:r w:rsidRPr="00651BF6">
        <w:rPr>
          <w:rFonts w:ascii="Calibri" w:eastAsia="Calibri" w:hAnsi="Calibri" w:cs="Calibri"/>
          <w:vertAlign w:val="superscript"/>
          <w:lang w:val="en-GB"/>
        </w:rPr>
        <w:t>th</w:t>
      </w:r>
      <w:r w:rsidRPr="00651BF6">
        <w:rPr>
          <w:rFonts w:ascii="Calibri" w:eastAsia="Calibri" w:hAnsi="Calibri" w:cs="Calibri"/>
          <w:lang w:val="en-GB"/>
        </w:rPr>
        <w:t xml:space="preserve"> March 2019). </w:t>
      </w:r>
    </w:p>
    <w:p w:rsidR="00651BF6" w:rsidRDefault="00651BF6"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Fonts w:ascii="Calibri" w:eastAsia="Calibri" w:hAnsi="Calibri" w:cs="Calibri"/>
          <w:lang w:val="en-GB"/>
        </w:rPr>
      </w:pPr>
      <w:r w:rsidRPr="00651BF6">
        <w:rPr>
          <w:rFonts w:ascii="Calibri" w:eastAsia="Calibri" w:hAnsi="Calibri" w:cs="Calibri"/>
          <w:lang w:val="en-GB"/>
        </w:rPr>
        <w:t xml:space="preserve">Clements, H. D. (1991) ‘Concrete’ Manipulatives, Concrete Ideas. </w:t>
      </w:r>
      <w:r w:rsidRPr="00F64CDA">
        <w:rPr>
          <w:rFonts w:ascii="Calibri" w:eastAsia="Calibri" w:hAnsi="Calibri" w:cs="Calibri"/>
          <w:i/>
          <w:lang w:val="en-GB"/>
        </w:rPr>
        <w:t>Contemporary Issues in Early Childhood</w:t>
      </w:r>
      <w:r w:rsidRPr="00651BF6">
        <w:rPr>
          <w:rFonts w:ascii="Calibri" w:eastAsia="Calibri" w:hAnsi="Calibri" w:cs="Calibri"/>
          <w:lang w:val="en-GB"/>
        </w:rPr>
        <w:t>, 1(1). pp.45-56.</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Fonts w:ascii="Calibri" w:eastAsia="Calibri" w:hAnsi="Calibri" w:cs="Calibri"/>
          <w:lang w:val="en-GB"/>
        </w:rPr>
      </w:pPr>
      <w:r w:rsidRPr="00651BF6">
        <w:rPr>
          <w:rFonts w:ascii="Calibri" w:eastAsia="Calibri" w:hAnsi="Calibri" w:cs="Calibri"/>
          <w:lang w:val="en-GB"/>
        </w:rPr>
        <w:t xml:space="preserve">Dolya, G. (2010) </w:t>
      </w:r>
      <w:r w:rsidRPr="00651BF6">
        <w:rPr>
          <w:rFonts w:ascii="Calibri" w:eastAsia="Calibri" w:hAnsi="Calibri" w:cs="Calibri"/>
          <w:i/>
          <w:iCs/>
          <w:lang w:val="en-GB"/>
        </w:rPr>
        <w:t>Vygotsky in Action in the Early Years.</w:t>
      </w:r>
      <w:r w:rsidRPr="00651BF6">
        <w:rPr>
          <w:rFonts w:ascii="Calibri" w:eastAsia="Calibri" w:hAnsi="Calibri" w:cs="Calibri"/>
          <w:lang w:val="en-GB"/>
        </w:rPr>
        <w:t xml:space="preserve"> Oxon: Routledge.</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Fonts w:ascii="Calibri" w:eastAsia="Calibri" w:hAnsi="Calibri" w:cs="Calibri"/>
          <w:lang w:val="en-GB"/>
        </w:rPr>
      </w:pPr>
      <w:r w:rsidRPr="00651BF6">
        <w:rPr>
          <w:rFonts w:ascii="Calibri" w:eastAsia="Calibri" w:hAnsi="Calibri" w:cs="Calibri"/>
          <w:lang w:val="en-GB"/>
        </w:rPr>
        <w:t xml:space="preserve">Donaldson, G. (2015) </w:t>
      </w:r>
      <w:r w:rsidRPr="00651BF6">
        <w:rPr>
          <w:rFonts w:ascii="Calibri" w:eastAsia="Calibri" w:hAnsi="Calibri" w:cs="Calibri"/>
          <w:i/>
          <w:iCs/>
          <w:lang w:val="en-GB"/>
        </w:rPr>
        <w:t xml:space="preserve">Successful Futures. </w:t>
      </w:r>
      <w:r w:rsidRPr="00651BF6">
        <w:rPr>
          <w:rFonts w:ascii="Calibri" w:eastAsia="Calibri" w:hAnsi="Calibri" w:cs="Calibri"/>
          <w:lang w:val="en-GB"/>
        </w:rPr>
        <w:t xml:space="preserve">[Online] Available at: </w:t>
      </w:r>
      <w:hyperlink r:id="rId7" w:history="1">
        <w:r w:rsidRPr="00651BF6">
          <w:rPr>
            <w:rStyle w:val="Hyperlink0"/>
            <w:lang w:val="en-GB"/>
          </w:rPr>
          <w:t>https://gov.wales/sites/default/files/publications/2018-03/succesful-futures-a-summary-of-professor-graham-donaldsons-report.pdf</w:t>
        </w:r>
      </w:hyperlink>
      <w:r w:rsidRPr="00651BF6">
        <w:rPr>
          <w:rFonts w:ascii="Calibri" w:eastAsia="Calibri" w:hAnsi="Calibri" w:cs="Calibri"/>
          <w:lang w:val="en-GB"/>
        </w:rPr>
        <w:t xml:space="preserve"> (Accessed: 15</w:t>
      </w:r>
      <w:r w:rsidRPr="00651BF6">
        <w:rPr>
          <w:rFonts w:ascii="Calibri" w:eastAsia="Calibri" w:hAnsi="Calibri" w:cs="Calibri"/>
          <w:vertAlign w:val="superscript"/>
          <w:lang w:val="en-GB"/>
        </w:rPr>
        <w:t>th</w:t>
      </w:r>
      <w:r w:rsidRPr="00651BF6">
        <w:rPr>
          <w:rFonts w:ascii="Calibri" w:eastAsia="Calibri" w:hAnsi="Calibri" w:cs="Calibri"/>
          <w:lang w:val="en-GB"/>
        </w:rPr>
        <w:t xml:space="preserve"> March 2019).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Fonts w:ascii="Calibri" w:eastAsia="Calibri" w:hAnsi="Calibri" w:cs="Calibri"/>
          <w:lang w:val="en-GB"/>
        </w:rPr>
        <w:t xml:space="preserve">I CAN (2008) </w:t>
      </w:r>
      <w:r w:rsidRPr="00651BF6">
        <w:rPr>
          <w:rFonts w:ascii="Calibri" w:eastAsia="Calibri" w:hAnsi="Calibri" w:cs="Calibri"/>
          <w:i/>
          <w:iCs/>
          <w:lang w:val="en-GB"/>
        </w:rPr>
        <w:t xml:space="preserve">Speech, Language and Communication Needs and Primary School-aged Children. </w:t>
      </w:r>
      <w:r w:rsidRPr="00651BF6">
        <w:rPr>
          <w:rFonts w:ascii="Calibri" w:eastAsia="Calibri" w:hAnsi="Calibri" w:cs="Calibri"/>
          <w:lang w:val="en-GB"/>
        </w:rPr>
        <w:t xml:space="preserve">[Online] Available at: </w:t>
      </w:r>
      <w:hyperlink r:id="rId8" w:history="1">
        <w:r w:rsidRPr="00651BF6">
          <w:rPr>
            <w:rStyle w:val="Hyperlink1"/>
            <w:lang w:val="en-GB"/>
          </w:rPr>
          <w:t>http://licensing.ican.org.uk/sites/licensing.ican.org.uk/files/Evidence/6_Speech_Language_and_Communication_Needs_and_Primary_School_aged_Children.pdf</w:t>
        </w:r>
      </w:hyperlink>
      <w:r w:rsidRPr="00651BF6">
        <w:rPr>
          <w:rStyle w:val="None"/>
          <w:rFonts w:ascii="Calibri" w:eastAsia="Calibri" w:hAnsi="Calibri" w:cs="Calibri"/>
          <w:lang w:val="en-GB"/>
        </w:rPr>
        <w:t xml:space="preserve"> (Accessed: 14</w:t>
      </w:r>
      <w:r w:rsidRPr="00651BF6">
        <w:rPr>
          <w:rStyle w:val="None"/>
          <w:rFonts w:ascii="Calibri" w:eastAsia="Calibri" w:hAnsi="Calibri" w:cs="Calibri"/>
          <w:vertAlign w:val="superscript"/>
          <w:lang w:val="en-GB"/>
        </w:rPr>
        <w:t>th</w:t>
      </w:r>
      <w:r w:rsidRPr="00651BF6">
        <w:rPr>
          <w:rStyle w:val="None"/>
          <w:rFonts w:ascii="Calibri" w:eastAsia="Calibri" w:hAnsi="Calibri" w:cs="Calibri"/>
          <w:lang w:val="en-GB"/>
        </w:rPr>
        <w:t xml:space="preserve"> March 2019). </w:t>
      </w:r>
    </w:p>
    <w:p w:rsidR="00651BF6" w:rsidRDefault="00651BF6" w:rsidP="00D222A8">
      <w:pPr>
        <w:pStyle w:val="BodyA"/>
        <w:spacing w:line="360" w:lineRule="auto"/>
        <w:rPr>
          <w:rFonts w:ascii="Calibri" w:eastAsia="Calibri" w:hAnsi="Calibri" w:cs="Calibri"/>
          <w:b/>
          <w:bCs/>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lastRenderedPageBreak/>
        <w:t xml:space="preserve">Jones, J. P. &amp; Tiller, M. (2017) Using Concrete Manipulatives in Mathematical Instruction. </w:t>
      </w:r>
      <w:r w:rsidRPr="00651BF6">
        <w:rPr>
          <w:rStyle w:val="None"/>
          <w:rFonts w:ascii="Calibri" w:eastAsia="Calibri" w:hAnsi="Calibri" w:cs="Calibri"/>
          <w:i/>
          <w:iCs/>
          <w:lang w:val="en-GB"/>
        </w:rPr>
        <w:t xml:space="preserve">Dimensions of Early Childhood, </w:t>
      </w:r>
      <w:r w:rsidRPr="00651BF6">
        <w:rPr>
          <w:rStyle w:val="None"/>
          <w:rFonts w:ascii="Calibri" w:eastAsia="Calibri" w:hAnsi="Calibri" w:cs="Calibri"/>
          <w:lang w:val="en-GB"/>
        </w:rPr>
        <w:t xml:space="preserve">45(1), pp.18-23. </w:t>
      </w:r>
    </w:p>
    <w:p w:rsidR="00722B14" w:rsidRPr="00651BF6" w:rsidRDefault="00722B14" w:rsidP="00D222A8">
      <w:pPr>
        <w:pStyle w:val="BodyA"/>
        <w:spacing w:line="360" w:lineRule="auto"/>
        <w:rPr>
          <w:rFonts w:ascii="Calibri" w:eastAsia="Calibri" w:hAnsi="Calibri" w:cs="Calibri"/>
          <w:b/>
          <w:bCs/>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Laski, V, E., Jor’dan, R, J., Daoust, C. &amp; Murray, K, A. (2015) ‘What Makes Mathematics Manipulatives Effective?’ </w:t>
      </w:r>
      <w:r w:rsidRPr="00651BF6">
        <w:rPr>
          <w:rStyle w:val="None"/>
          <w:rFonts w:ascii="Calibri" w:eastAsia="Calibri" w:hAnsi="Calibri" w:cs="Calibri"/>
          <w:i/>
          <w:iCs/>
          <w:lang w:val="en-GB"/>
        </w:rPr>
        <w:t xml:space="preserve">Lessons from Cognitive Science and Montessori Education. </w:t>
      </w:r>
      <w:r w:rsidRPr="00651BF6">
        <w:rPr>
          <w:rStyle w:val="None"/>
          <w:rFonts w:ascii="Calibri" w:eastAsia="Calibri" w:hAnsi="Calibri" w:cs="Calibri"/>
          <w:lang w:val="en-GB"/>
        </w:rPr>
        <w:t>5(2) pp. 1-2. DOI: 10.1177/2158244015589588</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Lucas, B. (2001) </w:t>
      </w:r>
      <w:r w:rsidRPr="00651BF6">
        <w:rPr>
          <w:rStyle w:val="None"/>
          <w:rFonts w:ascii="Calibri" w:eastAsia="Calibri" w:hAnsi="Calibri" w:cs="Calibri"/>
          <w:i/>
          <w:iCs/>
          <w:lang w:val="en-GB"/>
        </w:rPr>
        <w:t>Power up your Mind.</w:t>
      </w:r>
      <w:r w:rsidRPr="00651BF6">
        <w:rPr>
          <w:rStyle w:val="None"/>
          <w:rFonts w:ascii="Calibri" w:eastAsia="Calibri" w:hAnsi="Calibri" w:cs="Calibri"/>
          <w:lang w:val="en-GB"/>
        </w:rPr>
        <w:t xml:space="preserve"> London: Nicholas Brealey Publishing.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Mason, J., Burton, L. and Stacey, K. (2010) </w:t>
      </w:r>
      <w:r w:rsidRPr="00651BF6">
        <w:rPr>
          <w:rStyle w:val="None"/>
          <w:rFonts w:ascii="Calibri" w:eastAsia="Calibri" w:hAnsi="Calibri" w:cs="Calibri"/>
          <w:i/>
          <w:iCs/>
          <w:lang w:val="en-GB"/>
        </w:rPr>
        <w:t xml:space="preserve">Thinking Mathematically. </w:t>
      </w:r>
      <w:r w:rsidRPr="00651BF6">
        <w:rPr>
          <w:rStyle w:val="None"/>
          <w:rFonts w:ascii="Calibri" w:eastAsia="Calibri" w:hAnsi="Calibri" w:cs="Calibri"/>
          <w:lang w:val="en-GB"/>
        </w:rPr>
        <w:t>2</w:t>
      </w:r>
      <w:r w:rsidRPr="00651BF6">
        <w:rPr>
          <w:rStyle w:val="None"/>
          <w:rFonts w:ascii="Calibri" w:eastAsia="Calibri" w:hAnsi="Calibri" w:cs="Calibri"/>
          <w:vertAlign w:val="superscript"/>
          <w:lang w:val="en-GB"/>
        </w:rPr>
        <w:t>nd</w:t>
      </w:r>
      <w:r w:rsidRPr="00651BF6">
        <w:rPr>
          <w:rStyle w:val="None"/>
          <w:rFonts w:ascii="Calibri" w:eastAsia="Calibri" w:hAnsi="Calibri" w:cs="Calibri"/>
          <w:lang w:val="en-GB"/>
        </w:rPr>
        <w:t xml:space="preserve"> Edition. Harlow: Pearson.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Moyer, P. (2001) Are we having fun yet? How teachers use manipulatives to teach mathematics. </w:t>
      </w:r>
      <w:r w:rsidRPr="00651BF6">
        <w:rPr>
          <w:rStyle w:val="None"/>
          <w:rFonts w:ascii="Calibri" w:eastAsia="Calibri" w:hAnsi="Calibri" w:cs="Calibri"/>
          <w:i/>
          <w:iCs/>
          <w:lang w:val="en-GB"/>
        </w:rPr>
        <w:t>Educational Studies in Mathematics 47</w:t>
      </w:r>
      <w:r w:rsidRPr="00651BF6">
        <w:rPr>
          <w:rStyle w:val="None"/>
          <w:rFonts w:ascii="Calibri" w:eastAsia="Calibri" w:hAnsi="Calibri" w:cs="Calibri"/>
          <w:lang w:val="en-GB"/>
        </w:rPr>
        <w:t xml:space="preserve">: 157-197. Netherlands: Kluwer.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Ollerton, M. &amp; Sykes, P. (2012) </w:t>
      </w:r>
      <w:r w:rsidRPr="00651BF6">
        <w:rPr>
          <w:rStyle w:val="None"/>
          <w:rFonts w:ascii="Calibri" w:eastAsia="Calibri" w:hAnsi="Calibri" w:cs="Calibri"/>
          <w:i/>
          <w:iCs/>
          <w:lang w:val="en-GB"/>
        </w:rPr>
        <w:t xml:space="preserve">Getting the Buggers to Add Up. </w:t>
      </w:r>
      <w:r w:rsidRPr="00651BF6">
        <w:rPr>
          <w:rStyle w:val="None"/>
          <w:rFonts w:ascii="Calibri" w:eastAsia="Calibri" w:hAnsi="Calibri" w:cs="Calibri"/>
          <w:lang w:val="en-GB"/>
        </w:rPr>
        <w:t>3</w:t>
      </w:r>
      <w:r w:rsidRPr="00651BF6">
        <w:rPr>
          <w:rStyle w:val="None"/>
          <w:rFonts w:ascii="Calibri" w:eastAsia="Calibri" w:hAnsi="Calibri" w:cs="Calibri"/>
          <w:vertAlign w:val="superscript"/>
          <w:lang w:val="en-GB"/>
        </w:rPr>
        <w:t>rd</w:t>
      </w:r>
      <w:r w:rsidRPr="00651BF6">
        <w:rPr>
          <w:rStyle w:val="None"/>
          <w:rFonts w:ascii="Calibri" w:eastAsia="Calibri" w:hAnsi="Calibri" w:cs="Calibri"/>
          <w:lang w:val="en-GB"/>
        </w:rPr>
        <w:t xml:space="preserve"> Edition. London: Continuum.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Papic, M., Mulligan, J., &amp; Mitchelmore, M. (2011) Assessing the development of pre-schoolers’ mathematical patterning. </w:t>
      </w:r>
      <w:r w:rsidRPr="00F64CDA">
        <w:rPr>
          <w:rStyle w:val="None"/>
          <w:rFonts w:ascii="Calibri" w:eastAsia="Calibri" w:hAnsi="Calibri" w:cs="Calibri"/>
          <w:i/>
          <w:lang w:val="en-GB"/>
        </w:rPr>
        <w:t>Journal for Research in Mathematics Education</w:t>
      </w:r>
      <w:r w:rsidRPr="00651BF6">
        <w:rPr>
          <w:rStyle w:val="None"/>
          <w:rFonts w:ascii="Calibri" w:eastAsia="Calibri" w:hAnsi="Calibri" w:cs="Calibri"/>
          <w:lang w:val="en-GB"/>
        </w:rPr>
        <w:t xml:space="preserve">, 42(3), pp.237-268.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Perry, B. &amp; Howard, P. (1997) Manipulatives in primary mathematics: Implications for teaching and learning. </w:t>
      </w:r>
      <w:r w:rsidRPr="00651BF6">
        <w:rPr>
          <w:rStyle w:val="None"/>
          <w:rFonts w:ascii="Calibri" w:eastAsia="Calibri" w:hAnsi="Calibri" w:cs="Calibri"/>
          <w:i/>
          <w:iCs/>
          <w:lang w:val="en-GB"/>
        </w:rPr>
        <w:t>Australian Primary Mathematics Classroom,</w:t>
      </w:r>
      <w:r w:rsidRPr="00651BF6">
        <w:rPr>
          <w:rStyle w:val="None"/>
          <w:rFonts w:ascii="Calibri" w:eastAsia="Calibri" w:hAnsi="Calibri" w:cs="Calibri"/>
          <w:lang w:val="en-GB"/>
        </w:rPr>
        <w:t xml:space="preserve"> 2(2), pp.25-30.</w:t>
      </w:r>
    </w:p>
    <w:p w:rsidR="00722B14" w:rsidRPr="00651BF6" w:rsidRDefault="00722B14" w:rsidP="00D222A8">
      <w:pPr>
        <w:pStyle w:val="BodyA"/>
        <w:spacing w:line="360" w:lineRule="auto"/>
        <w:rPr>
          <w:rFonts w:ascii="Calibri" w:eastAsia="Calibri" w:hAnsi="Calibri" w:cs="Calibri"/>
          <w:lang w:val="en-GB"/>
        </w:rPr>
      </w:pPr>
    </w:p>
    <w:p w:rsidR="00722B14"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Piaget, J. (1951) </w:t>
      </w:r>
      <w:r w:rsidRPr="00651BF6">
        <w:rPr>
          <w:rStyle w:val="None"/>
          <w:rFonts w:ascii="Calibri" w:eastAsia="Calibri" w:hAnsi="Calibri" w:cs="Calibri"/>
          <w:i/>
          <w:iCs/>
          <w:lang w:val="en-GB"/>
        </w:rPr>
        <w:t>The Child’s Conception of Number</w:t>
      </w:r>
      <w:r w:rsidRPr="00651BF6">
        <w:rPr>
          <w:rStyle w:val="None"/>
          <w:rFonts w:ascii="Calibri" w:eastAsia="Calibri" w:hAnsi="Calibri" w:cs="Calibri"/>
          <w:lang w:val="en-GB"/>
        </w:rPr>
        <w:t xml:space="preserve">. New York: Humanities Press. </w:t>
      </w:r>
    </w:p>
    <w:p w:rsidR="00380530" w:rsidRDefault="00380530" w:rsidP="00D222A8">
      <w:pPr>
        <w:pStyle w:val="BodyA"/>
        <w:spacing w:line="360" w:lineRule="auto"/>
        <w:rPr>
          <w:rStyle w:val="None"/>
          <w:rFonts w:ascii="Calibri" w:eastAsia="Calibri" w:hAnsi="Calibri" w:cs="Calibri"/>
          <w:lang w:val="en-GB"/>
        </w:rPr>
      </w:pPr>
    </w:p>
    <w:p w:rsidR="00380530" w:rsidRPr="00651BF6" w:rsidRDefault="00380530"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Plummer, M. D. (2008) </w:t>
      </w:r>
      <w:r w:rsidRPr="00651BF6">
        <w:rPr>
          <w:rStyle w:val="None"/>
          <w:rFonts w:ascii="Calibri" w:eastAsia="Calibri" w:hAnsi="Calibri" w:cs="Calibri"/>
          <w:i/>
          <w:iCs/>
          <w:lang w:val="en-GB"/>
        </w:rPr>
        <w:t xml:space="preserve">Social Skills Games for Children. </w:t>
      </w:r>
      <w:r w:rsidRPr="00651BF6">
        <w:rPr>
          <w:rStyle w:val="None"/>
          <w:rFonts w:ascii="Calibri" w:eastAsia="Calibri" w:hAnsi="Calibri" w:cs="Calibri"/>
          <w:lang w:val="en-GB"/>
        </w:rPr>
        <w:t xml:space="preserve">London: Jessica Kingsley Publishers. </w:t>
      </w:r>
    </w:p>
    <w:p w:rsidR="00380530" w:rsidRDefault="00380530" w:rsidP="00D222A8">
      <w:pPr>
        <w:pStyle w:val="BodyA"/>
        <w:spacing w:line="360" w:lineRule="auto"/>
        <w:rPr>
          <w:rStyle w:val="None"/>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Pollock, J., Waller, E., &amp; Politt, R. (2004) </w:t>
      </w:r>
      <w:r w:rsidRPr="00651BF6">
        <w:rPr>
          <w:rStyle w:val="None"/>
          <w:rFonts w:ascii="Calibri" w:eastAsia="Calibri" w:hAnsi="Calibri" w:cs="Calibri"/>
          <w:i/>
          <w:iCs/>
          <w:lang w:val="en-GB"/>
        </w:rPr>
        <w:t>Day-to-Day Dyslexia in the Classroom</w:t>
      </w:r>
      <w:r w:rsidRPr="00651BF6">
        <w:rPr>
          <w:rStyle w:val="None"/>
          <w:rFonts w:ascii="Calibri" w:eastAsia="Calibri" w:hAnsi="Calibri" w:cs="Calibri"/>
          <w:lang w:val="en-GB"/>
        </w:rPr>
        <w:t>. 2</w:t>
      </w:r>
      <w:r w:rsidRPr="00651BF6">
        <w:rPr>
          <w:rStyle w:val="None"/>
          <w:rFonts w:ascii="Calibri" w:eastAsia="Calibri" w:hAnsi="Calibri" w:cs="Calibri"/>
          <w:vertAlign w:val="superscript"/>
          <w:lang w:val="en-GB"/>
        </w:rPr>
        <w:t>nd</w:t>
      </w:r>
      <w:r w:rsidRPr="00651BF6">
        <w:rPr>
          <w:rStyle w:val="None"/>
          <w:rFonts w:ascii="Calibri" w:eastAsia="Calibri" w:hAnsi="Calibri" w:cs="Calibri"/>
          <w:lang w:val="en-GB"/>
        </w:rPr>
        <w:t xml:space="preserve"> Edition. London: Routledge.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lastRenderedPageBreak/>
        <w:t xml:space="preserve">Pound, L. (2006) </w:t>
      </w:r>
      <w:r w:rsidRPr="00651BF6">
        <w:rPr>
          <w:rStyle w:val="None"/>
          <w:rFonts w:ascii="Calibri" w:eastAsia="Calibri" w:hAnsi="Calibri" w:cs="Calibri"/>
          <w:i/>
          <w:iCs/>
          <w:lang w:val="en-GB"/>
        </w:rPr>
        <w:t>How Children Learn.</w:t>
      </w:r>
      <w:r w:rsidRPr="00651BF6">
        <w:rPr>
          <w:rStyle w:val="None"/>
          <w:rFonts w:ascii="Calibri" w:eastAsia="Calibri" w:hAnsi="Calibri" w:cs="Calibri"/>
          <w:lang w:val="en-GB"/>
        </w:rPr>
        <w:t xml:space="preserve"> London: MA Education Ltd.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Sangster, M. &amp; Catterall, R. (2009) </w:t>
      </w:r>
      <w:r w:rsidRPr="00651BF6">
        <w:rPr>
          <w:rStyle w:val="None"/>
          <w:rFonts w:ascii="Calibri" w:eastAsia="Calibri" w:hAnsi="Calibri" w:cs="Calibri"/>
          <w:i/>
          <w:iCs/>
          <w:lang w:val="en-GB"/>
        </w:rPr>
        <w:t>Early Numeracy: Mathematical Activities for 3 to 5-year olds.</w:t>
      </w:r>
      <w:r w:rsidRPr="00651BF6">
        <w:rPr>
          <w:rStyle w:val="None"/>
          <w:rFonts w:ascii="Calibri" w:eastAsia="Calibri" w:hAnsi="Calibri" w:cs="Calibri"/>
          <w:lang w:val="en-GB"/>
        </w:rPr>
        <w:t xml:space="preserve"> London: Continuum.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Swan, P. &amp; White, G. (2006) </w:t>
      </w:r>
      <w:r w:rsidRPr="00651BF6">
        <w:rPr>
          <w:rStyle w:val="None"/>
          <w:rFonts w:ascii="Calibri" w:eastAsia="Calibri" w:hAnsi="Calibri" w:cs="Calibri"/>
          <w:i/>
          <w:iCs/>
          <w:lang w:val="en-GB"/>
        </w:rPr>
        <w:t>Developing Mathematics with Unifix</w:t>
      </w:r>
      <w:r w:rsidRPr="00651BF6">
        <w:rPr>
          <w:rStyle w:val="None"/>
          <w:rFonts w:ascii="Calibri" w:eastAsia="Calibri" w:hAnsi="Calibri" w:cs="Calibri"/>
          <w:lang w:val="en-GB"/>
        </w:rPr>
        <w:t xml:space="preserve">. Australia: RIC Publications Pty Ltd.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Taylor, H. &amp; Harris, A.  (2014) ‘Play and Mathematics’, in Wiseman, C. &amp; Vincent, K.</w:t>
      </w: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 (ed.) </w:t>
      </w:r>
      <w:r w:rsidRPr="00651BF6">
        <w:rPr>
          <w:rStyle w:val="None"/>
          <w:rFonts w:ascii="Calibri" w:eastAsia="Calibri" w:hAnsi="Calibri" w:cs="Calibri"/>
          <w:i/>
          <w:iCs/>
          <w:lang w:val="en-GB"/>
        </w:rPr>
        <w:t>Learning and Teaching Mathematics 0-8.</w:t>
      </w:r>
      <w:r w:rsidRPr="00651BF6">
        <w:rPr>
          <w:rStyle w:val="None"/>
          <w:rFonts w:ascii="Calibri" w:eastAsia="Calibri" w:hAnsi="Calibri" w:cs="Calibri"/>
          <w:lang w:val="en-GB"/>
        </w:rPr>
        <w:t xml:space="preserve"> London: SAGE.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Taylor, H. (2014) ‘How Children Learn Mathematics and the Implications for Teaching’, in Wiseman, C. &amp; Vincent, K. (ed.) </w:t>
      </w:r>
      <w:r w:rsidRPr="00651BF6">
        <w:rPr>
          <w:rStyle w:val="None"/>
          <w:rFonts w:ascii="Calibri" w:eastAsia="Calibri" w:hAnsi="Calibri" w:cs="Calibri"/>
          <w:i/>
          <w:iCs/>
          <w:lang w:val="en-GB"/>
        </w:rPr>
        <w:t>Learning and Teaching Mathematics 0-8</w:t>
      </w:r>
      <w:r w:rsidRPr="00651BF6">
        <w:rPr>
          <w:rStyle w:val="None"/>
          <w:rFonts w:ascii="Calibri" w:eastAsia="Calibri" w:hAnsi="Calibri" w:cs="Calibri"/>
          <w:lang w:val="en-GB"/>
        </w:rPr>
        <w:t xml:space="preserve">. London: SAGE. </w:t>
      </w:r>
    </w:p>
    <w:p w:rsidR="00722B14" w:rsidRPr="00651BF6" w:rsidRDefault="00722B14" w:rsidP="00D222A8">
      <w:pPr>
        <w:pStyle w:val="BodyA"/>
        <w:spacing w:line="360" w:lineRule="auto"/>
        <w:rPr>
          <w:rFonts w:ascii="Calibri" w:eastAsia="Calibri" w:hAnsi="Calibri" w:cs="Calibri"/>
          <w:lang w:val="en-GB"/>
        </w:rPr>
      </w:pPr>
    </w:p>
    <w:p w:rsidR="00722B14"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The Guardian (2014) </w:t>
      </w:r>
      <w:r w:rsidRPr="00651BF6">
        <w:rPr>
          <w:rStyle w:val="None"/>
          <w:rFonts w:ascii="Calibri" w:eastAsia="Calibri" w:hAnsi="Calibri" w:cs="Calibri"/>
          <w:i/>
          <w:iCs/>
          <w:lang w:val="en-GB"/>
        </w:rPr>
        <w:t>How to teach… mental arithmetic.</w:t>
      </w:r>
      <w:r w:rsidRPr="00651BF6">
        <w:rPr>
          <w:rStyle w:val="None"/>
          <w:rFonts w:ascii="Calibri" w:eastAsia="Calibri" w:hAnsi="Calibri" w:cs="Calibri"/>
          <w:lang w:val="en-GB"/>
        </w:rPr>
        <w:t xml:space="preserve"> [Online] Available at: </w:t>
      </w:r>
      <w:hyperlink r:id="rId9" w:history="1">
        <w:r w:rsidRPr="00651BF6">
          <w:rPr>
            <w:rStyle w:val="Hyperlink1"/>
            <w:lang w:val="en-GB"/>
          </w:rPr>
          <w:t>https://www.theguardian.com/teacher-network/teacher-blog/2014/may/19/how-to-teach-mental-arithmetic-maths</w:t>
        </w:r>
      </w:hyperlink>
      <w:r w:rsidRPr="00651BF6">
        <w:rPr>
          <w:rStyle w:val="None"/>
          <w:rFonts w:ascii="Calibri" w:eastAsia="Calibri" w:hAnsi="Calibri" w:cs="Calibri"/>
          <w:lang w:val="en-GB"/>
        </w:rPr>
        <w:t xml:space="preserve"> (Accessed: 12</w:t>
      </w:r>
      <w:r w:rsidRPr="00651BF6">
        <w:rPr>
          <w:rStyle w:val="None"/>
          <w:rFonts w:ascii="Calibri" w:eastAsia="Calibri" w:hAnsi="Calibri" w:cs="Calibri"/>
          <w:vertAlign w:val="superscript"/>
          <w:lang w:val="en-GB"/>
        </w:rPr>
        <w:t>th</w:t>
      </w:r>
      <w:r w:rsidRPr="00651BF6">
        <w:rPr>
          <w:rStyle w:val="None"/>
          <w:rFonts w:ascii="Calibri" w:eastAsia="Calibri" w:hAnsi="Calibri" w:cs="Calibri"/>
          <w:lang w:val="en-GB"/>
        </w:rPr>
        <w:t xml:space="preserve"> March 2019). </w:t>
      </w:r>
    </w:p>
    <w:p w:rsidR="00380530" w:rsidRDefault="00380530" w:rsidP="00D222A8">
      <w:pPr>
        <w:pStyle w:val="BodyA"/>
        <w:spacing w:line="360" w:lineRule="auto"/>
        <w:rPr>
          <w:rStyle w:val="None"/>
          <w:rFonts w:ascii="Calibri" w:eastAsia="Calibri" w:hAnsi="Calibri" w:cs="Calibri"/>
          <w:lang w:val="en-GB"/>
        </w:rPr>
      </w:pPr>
    </w:p>
    <w:p w:rsidR="00380530" w:rsidRPr="00651BF6" w:rsidRDefault="00380530"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Webber, B., &amp; Haigh, J. (2010) </w:t>
      </w:r>
      <w:r w:rsidRPr="00651BF6">
        <w:rPr>
          <w:rStyle w:val="None"/>
          <w:rFonts w:ascii="Calibri" w:eastAsia="Calibri" w:hAnsi="Calibri" w:cs="Calibri"/>
          <w:i/>
          <w:iCs/>
          <w:lang w:val="en-GB"/>
        </w:rPr>
        <w:t>How to be Brilliant at Mental Arithmetic.</w:t>
      </w:r>
      <w:r w:rsidRPr="00651BF6">
        <w:rPr>
          <w:rStyle w:val="None"/>
          <w:rFonts w:ascii="Calibri" w:eastAsia="Calibri" w:hAnsi="Calibri" w:cs="Calibri"/>
          <w:lang w:val="en-GB"/>
        </w:rPr>
        <w:t xml:space="preserve"> Bedfordshire: Brilliant Publications. </w:t>
      </w:r>
    </w:p>
    <w:p w:rsidR="00380530" w:rsidRDefault="00380530" w:rsidP="00D222A8">
      <w:pPr>
        <w:pStyle w:val="BodyA"/>
        <w:spacing w:line="360" w:lineRule="auto"/>
        <w:rPr>
          <w:rStyle w:val="None"/>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Welsh Government (2016) </w:t>
      </w:r>
      <w:r w:rsidRPr="00651BF6">
        <w:rPr>
          <w:rStyle w:val="None"/>
          <w:rFonts w:ascii="Calibri" w:eastAsia="Calibri" w:hAnsi="Calibri" w:cs="Calibri"/>
          <w:i/>
          <w:iCs/>
          <w:lang w:val="en-GB"/>
        </w:rPr>
        <w:t xml:space="preserve">National Literacy and Numeracy Framework. </w:t>
      </w:r>
      <w:r w:rsidRPr="00651BF6">
        <w:rPr>
          <w:rStyle w:val="None"/>
          <w:rFonts w:ascii="Calibri" w:eastAsia="Calibri" w:hAnsi="Calibri" w:cs="Calibri"/>
          <w:lang w:val="en-GB"/>
        </w:rPr>
        <w:t xml:space="preserve">[Online] Available at: </w:t>
      </w:r>
      <w:hyperlink r:id="rId10" w:history="1">
        <w:r w:rsidRPr="00651BF6">
          <w:rPr>
            <w:rStyle w:val="Hyperlink1"/>
            <w:lang w:val="en-GB"/>
          </w:rPr>
          <w:t>https://learning.gov.wales/resources/browse-all/nlnf/framework?component=numeracy&amp;year=6938344_2&amp;selectedYear=col_7&amp;lang=en</w:t>
        </w:r>
      </w:hyperlink>
      <w:r w:rsidRPr="00651BF6">
        <w:rPr>
          <w:rStyle w:val="None"/>
          <w:rFonts w:ascii="Calibri" w:eastAsia="Calibri" w:hAnsi="Calibri" w:cs="Calibri"/>
          <w:lang w:val="en-GB"/>
        </w:rPr>
        <w:t xml:space="preserve"> (Accessed: 13</w:t>
      </w:r>
      <w:r w:rsidRPr="00651BF6">
        <w:rPr>
          <w:rStyle w:val="None"/>
          <w:rFonts w:ascii="Calibri" w:eastAsia="Calibri" w:hAnsi="Calibri" w:cs="Calibri"/>
          <w:vertAlign w:val="superscript"/>
          <w:lang w:val="en-GB"/>
        </w:rPr>
        <w:t>th</w:t>
      </w:r>
      <w:r w:rsidRPr="00651BF6">
        <w:rPr>
          <w:rStyle w:val="None"/>
          <w:rFonts w:ascii="Calibri" w:eastAsia="Calibri" w:hAnsi="Calibri" w:cs="Calibri"/>
          <w:lang w:val="en-GB"/>
        </w:rPr>
        <w:t xml:space="preserve"> March 2019).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Willingham, T. D. (2017) </w:t>
      </w:r>
      <w:r w:rsidRPr="00F64CDA">
        <w:rPr>
          <w:rStyle w:val="None"/>
          <w:rFonts w:ascii="Calibri" w:eastAsia="Calibri" w:hAnsi="Calibri" w:cs="Calibri"/>
          <w:i/>
          <w:lang w:val="en-GB"/>
        </w:rPr>
        <w:t>Ask the Cognitive Scientist: Do Manipulatives Help Students Learn?</w:t>
      </w:r>
      <w:r w:rsidRPr="00651BF6">
        <w:rPr>
          <w:rStyle w:val="None"/>
          <w:rFonts w:ascii="Calibri" w:eastAsia="Calibri" w:hAnsi="Calibri" w:cs="Calibri"/>
          <w:lang w:val="en-GB"/>
        </w:rPr>
        <w:t xml:space="preserve"> [Online] Available at: </w:t>
      </w:r>
      <w:hyperlink r:id="rId11" w:history="1">
        <w:r w:rsidRPr="00651BF6">
          <w:rPr>
            <w:rStyle w:val="Hyperlink0"/>
            <w:lang w:val="en-GB"/>
          </w:rPr>
          <w:t>https://www.aft.org/sites/default/files/periodicals/ae_fall2017_willingham.pdf</w:t>
        </w:r>
      </w:hyperlink>
      <w:r w:rsidRPr="00651BF6">
        <w:rPr>
          <w:rStyle w:val="None"/>
          <w:rFonts w:ascii="Calibri" w:eastAsia="Calibri" w:hAnsi="Calibri" w:cs="Calibri"/>
          <w:lang w:val="en-GB"/>
        </w:rPr>
        <w:t xml:space="preserve"> (Accessed: 19</w:t>
      </w:r>
      <w:r w:rsidRPr="00651BF6">
        <w:rPr>
          <w:rStyle w:val="None"/>
          <w:rFonts w:ascii="Calibri" w:eastAsia="Calibri" w:hAnsi="Calibri" w:cs="Calibri"/>
          <w:vertAlign w:val="superscript"/>
          <w:lang w:val="en-GB"/>
        </w:rPr>
        <w:t>th</w:t>
      </w:r>
      <w:r w:rsidRPr="00651BF6">
        <w:rPr>
          <w:rStyle w:val="None"/>
          <w:rFonts w:ascii="Calibri" w:eastAsia="Calibri" w:hAnsi="Calibri" w:cs="Calibri"/>
          <w:lang w:val="en-GB"/>
        </w:rPr>
        <w:t xml:space="preserve"> March 2019). </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C741BA" w:rsidP="00D222A8">
      <w:pPr>
        <w:pStyle w:val="BodyA"/>
        <w:spacing w:line="360" w:lineRule="auto"/>
        <w:rPr>
          <w:rStyle w:val="None"/>
          <w:rFonts w:ascii="Calibri" w:eastAsia="Calibri" w:hAnsi="Calibri" w:cs="Calibri"/>
          <w:lang w:val="en-GB"/>
        </w:rPr>
      </w:pPr>
      <w:r w:rsidRPr="00651BF6">
        <w:rPr>
          <w:rStyle w:val="None"/>
          <w:rFonts w:ascii="Calibri" w:eastAsia="Calibri" w:hAnsi="Calibri" w:cs="Calibri"/>
          <w:lang w:val="en-GB"/>
        </w:rPr>
        <w:t xml:space="preserve">Woodfield, L. (2004) </w:t>
      </w:r>
      <w:r w:rsidRPr="00651BF6">
        <w:rPr>
          <w:rStyle w:val="None"/>
          <w:rFonts w:ascii="Calibri" w:eastAsia="Calibri" w:hAnsi="Calibri" w:cs="Calibri"/>
          <w:i/>
          <w:iCs/>
          <w:lang w:val="en-GB"/>
        </w:rPr>
        <w:t>Physical Development in the Early Years</w:t>
      </w:r>
      <w:r w:rsidRPr="00651BF6">
        <w:rPr>
          <w:rStyle w:val="None"/>
          <w:rFonts w:ascii="Calibri" w:eastAsia="Calibri" w:hAnsi="Calibri" w:cs="Calibri"/>
          <w:lang w:val="en-GB"/>
        </w:rPr>
        <w:t>. London: Continuum.</w:t>
      </w:r>
    </w:p>
    <w:p w:rsidR="00722B14" w:rsidRPr="00651BF6" w:rsidRDefault="00722B14" w:rsidP="00D222A8">
      <w:pPr>
        <w:pStyle w:val="BodyA"/>
        <w:spacing w:line="360" w:lineRule="auto"/>
        <w:rPr>
          <w:rFonts w:ascii="Calibri" w:eastAsia="Calibri" w:hAnsi="Calibri" w:cs="Calibri"/>
          <w:lang w:val="en-GB"/>
        </w:rPr>
      </w:pPr>
    </w:p>
    <w:p w:rsidR="00722B14" w:rsidRPr="00651BF6" w:rsidRDefault="00722B14" w:rsidP="00D222A8">
      <w:pPr>
        <w:pStyle w:val="BodyA"/>
        <w:spacing w:line="360" w:lineRule="auto"/>
        <w:rPr>
          <w:rStyle w:val="None"/>
          <w:rFonts w:ascii="Calibri" w:eastAsia="Calibri" w:hAnsi="Calibri" w:cs="Calibri"/>
          <w:shd w:val="clear" w:color="auto" w:fill="FFFFFF"/>
          <w:lang w:val="en-GB"/>
        </w:rPr>
      </w:pPr>
    </w:p>
    <w:p w:rsidR="00722B14" w:rsidRPr="00651BF6" w:rsidRDefault="00722B14" w:rsidP="00D222A8">
      <w:pPr>
        <w:pStyle w:val="BodyA"/>
        <w:spacing w:line="360" w:lineRule="auto"/>
        <w:rPr>
          <w:lang w:val="en-GB"/>
        </w:rPr>
      </w:pPr>
    </w:p>
    <w:sectPr w:rsidR="00722B14" w:rsidRPr="00651BF6">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1BA" w:rsidRDefault="00C741BA">
      <w:r>
        <w:separator/>
      </w:r>
    </w:p>
  </w:endnote>
  <w:endnote w:type="continuationSeparator" w:id="0">
    <w:p w:rsidR="00C741BA" w:rsidRDefault="00C74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BF6" w:rsidRDefault="00651B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14" w:rsidRDefault="00722B14">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BF6" w:rsidRDefault="00651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1BA" w:rsidRDefault="00C741BA">
      <w:r>
        <w:separator/>
      </w:r>
    </w:p>
  </w:footnote>
  <w:footnote w:type="continuationSeparator" w:id="0">
    <w:p w:rsidR="00C741BA" w:rsidRDefault="00C74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BF6" w:rsidRDefault="00651B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14" w:rsidRDefault="00722B14">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BF6" w:rsidRDefault="00651B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B14"/>
    <w:rsid w:val="00012B3C"/>
    <w:rsid w:val="00380530"/>
    <w:rsid w:val="0050231D"/>
    <w:rsid w:val="00651BF6"/>
    <w:rsid w:val="00722B14"/>
    <w:rsid w:val="00C741BA"/>
    <w:rsid w:val="00C8128F"/>
    <w:rsid w:val="00C903C1"/>
    <w:rsid w:val="00D222A8"/>
    <w:rsid w:val="00F64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77F8D80-156E-7043-B282-7292BCC93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rPr>
      <w:rFonts w:ascii="Tahoma" w:hAnsi="Tahoma" w:cs="Arial Unicode MS"/>
      <w:color w:val="000000"/>
      <w:sz w:val="24"/>
      <w:szCs w:val="24"/>
      <w:u w:color="000000"/>
      <w:lang w:val="en-US"/>
    </w:rPr>
  </w:style>
  <w:style w:type="character" w:customStyle="1" w:styleId="Link">
    <w:name w:val="Link"/>
    <w:rPr>
      <w:color w:val="0000FF"/>
      <w:u w:val="single" w:color="0000FF"/>
    </w:rPr>
  </w:style>
  <w:style w:type="character" w:customStyle="1" w:styleId="Hyperlink0">
    <w:name w:val="Hyperlink.0"/>
    <w:basedOn w:val="Link"/>
    <w:rPr>
      <w:rFonts w:ascii="Calibri" w:eastAsia="Calibri" w:hAnsi="Calibri" w:cs="Calibri"/>
      <w:color w:val="0000FF"/>
      <w:u w:val="single" w:color="0000FF"/>
    </w:rPr>
  </w:style>
  <w:style w:type="character" w:customStyle="1" w:styleId="None">
    <w:name w:val="None"/>
  </w:style>
  <w:style w:type="character" w:customStyle="1" w:styleId="Hyperlink1">
    <w:name w:val="Hyperlink.1"/>
    <w:basedOn w:val="None"/>
    <w:rPr>
      <w:rFonts w:ascii="Calibri" w:eastAsia="Calibri" w:hAnsi="Calibri" w:cs="Calibri"/>
      <w:color w:val="0563C1"/>
      <w:u w:val="single" w:color="0563C1"/>
    </w:rPr>
  </w:style>
  <w:style w:type="paragraph" w:styleId="Header">
    <w:name w:val="header"/>
    <w:basedOn w:val="Normal"/>
    <w:link w:val="HeaderChar"/>
    <w:uiPriority w:val="99"/>
    <w:unhideWhenUsed/>
    <w:rsid w:val="00651BF6"/>
    <w:pPr>
      <w:tabs>
        <w:tab w:val="center" w:pos="4513"/>
        <w:tab w:val="right" w:pos="9026"/>
      </w:tabs>
    </w:pPr>
  </w:style>
  <w:style w:type="character" w:customStyle="1" w:styleId="HeaderChar">
    <w:name w:val="Header Char"/>
    <w:basedOn w:val="DefaultParagraphFont"/>
    <w:link w:val="Header"/>
    <w:uiPriority w:val="99"/>
    <w:rsid w:val="00651BF6"/>
    <w:rPr>
      <w:sz w:val="24"/>
      <w:szCs w:val="24"/>
      <w:lang w:val="en-US"/>
    </w:rPr>
  </w:style>
  <w:style w:type="paragraph" w:styleId="Footer">
    <w:name w:val="footer"/>
    <w:basedOn w:val="Normal"/>
    <w:link w:val="FooterChar"/>
    <w:uiPriority w:val="99"/>
    <w:unhideWhenUsed/>
    <w:rsid w:val="00651BF6"/>
    <w:pPr>
      <w:tabs>
        <w:tab w:val="center" w:pos="4513"/>
        <w:tab w:val="right" w:pos="9026"/>
      </w:tabs>
    </w:pPr>
  </w:style>
  <w:style w:type="character" w:customStyle="1" w:styleId="FooterChar">
    <w:name w:val="Footer Char"/>
    <w:basedOn w:val="DefaultParagraphFont"/>
    <w:link w:val="Footer"/>
    <w:uiPriority w:val="99"/>
    <w:rsid w:val="00651BF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licensing.ican.org.uk/sites/licensing.ican.org.uk/files/Evidence/6_Speech_Language_and_Communication_Needs_and_Primary_School_aged_Children.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ov.wales/sites/default/files/publications/2018-03/succesful-futures-a-summary-of-professor-graham-donaldsons-report.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www.mathsolutions.com/documents/1996_Hands_on_Help.pdf" TargetMode="External"/><Relationship Id="rId11" Type="http://schemas.openxmlformats.org/officeDocument/2006/relationships/hyperlink" Target="https://www.aft.org/sites/default/files/periodicals/ae_fall2017_willingham.pdf"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learning.gov.wales/resources/browse-all/nlnf/framework?component=numeracy&amp;year=6938344_2&amp;selectedYear=col_7&amp;lang=e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theguardian.com/teacher-network/teacher-blog/2014/may/19/how-to-teach-mental-arithmetic-math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Charlotte Petty (1702391)</cp:lastModifiedBy>
  <cp:revision>8</cp:revision>
  <dcterms:created xsi:type="dcterms:W3CDTF">2019-03-24T17:46:00Z</dcterms:created>
  <dcterms:modified xsi:type="dcterms:W3CDTF">2019-03-25T09:12:00Z</dcterms:modified>
</cp:coreProperties>
</file>