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F60" w:rsidRDefault="00737F60" w:rsidP="00737F60">
      <w:r>
        <w:rPr>
          <w:noProof/>
          <w:lang w:val="en-US" w:eastAsia="en-US"/>
        </w:rPr>
        <w:drawing>
          <wp:inline distT="0" distB="0" distL="0" distR="0">
            <wp:extent cx="2286000" cy="955675"/>
            <wp:effectExtent l="19050" t="0" r="0" b="0"/>
            <wp:docPr id="1" name="Picture 1" descr="C:\Users\Alina\Desktop\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wtsd-london-logo-black.png"/>
                    <pic:cNvPicPr>
                      <a:picLocks noChangeAspect="1" noChangeArrowheads="1"/>
                    </pic:cNvPicPr>
                  </pic:nvPicPr>
                  <pic:blipFill>
                    <a:blip r:embed="rId8"/>
                    <a:srcRect/>
                    <a:stretch>
                      <a:fillRect/>
                    </a:stretch>
                  </pic:blipFill>
                  <pic:spPr bwMode="auto">
                    <a:xfrm>
                      <a:off x="0" y="0"/>
                      <a:ext cx="2286000" cy="955675"/>
                    </a:xfrm>
                    <a:prstGeom prst="rect">
                      <a:avLst/>
                    </a:prstGeom>
                    <a:noFill/>
                    <a:ln w="9525">
                      <a:noFill/>
                      <a:miter lim="800000"/>
                      <a:headEnd/>
                      <a:tailEnd/>
                    </a:ln>
                  </pic:spPr>
                </pic:pic>
              </a:graphicData>
            </a:graphic>
          </wp:inline>
        </w:drawing>
      </w:r>
    </w:p>
    <w:p w:rsidR="0032366D" w:rsidRDefault="0032366D" w:rsidP="00737F60"/>
    <w:p w:rsidR="00737F60" w:rsidRPr="00AE22B7" w:rsidRDefault="00737F60" w:rsidP="00737F60"/>
    <w:p w:rsidR="00737F60" w:rsidRPr="0091604F" w:rsidRDefault="00737F60" w:rsidP="00737F60"/>
    <w:p w:rsidR="00737F60" w:rsidRPr="0091604F" w:rsidRDefault="00737F60" w:rsidP="00737F60">
      <w:pPr>
        <w:jc w:val="center"/>
        <w:rPr>
          <w:rFonts w:ascii="Times New Roman" w:hAnsi="Times New Roman" w:cs="Times New Roman"/>
          <w:b/>
          <w:sz w:val="36"/>
          <w:szCs w:val="36"/>
        </w:rPr>
      </w:pPr>
      <w:r w:rsidRPr="0091604F">
        <w:rPr>
          <w:rFonts w:ascii="Times New Roman" w:hAnsi="Times New Roman" w:cs="Times New Roman"/>
          <w:b/>
          <w:sz w:val="36"/>
          <w:szCs w:val="36"/>
        </w:rPr>
        <w:t>Assessment 1</w:t>
      </w:r>
    </w:p>
    <w:p w:rsidR="0032366D" w:rsidRPr="0091604F" w:rsidRDefault="0032366D" w:rsidP="00737F60">
      <w:pPr>
        <w:jc w:val="center"/>
        <w:rPr>
          <w:rFonts w:ascii="Times New Roman" w:hAnsi="Times New Roman" w:cs="Times New Roman"/>
        </w:rPr>
      </w:pPr>
    </w:p>
    <w:p w:rsidR="00737F60" w:rsidRPr="0091604F" w:rsidRDefault="00737F60" w:rsidP="00737F60">
      <w:pPr>
        <w:rPr>
          <w:rFonts w:ascii="Times New Roman" w:hAnsi="Times New Roman" w:cs="Times New Roman"/>
        </w:rPr>
      </w:pPr>
    </w:p>
    <w:p w:rsidR="00737F60" w:rsidRPr="0091604F" w:rsidRDefault="00737F60" w:rsidP="00737F60">
      <w:pPr>
        <w:jc w:val="center"/>
        <w:rPr>
          <w:rFonts w:ascii="Times New Roman" w:hAnsi="Times New Roman" w:cs="Times New Roman"/>
          <w:b/>
          <w:sz w:val="36"/>
          <w:szCs w:val="36"/>
        </w:rPr>
      </w:pPr>
      <w:r w:rsidRPr="0091604F">
        <w:rPr>
          <w:rFonts w:ascii="Times New Roman" w:hAnsi="Times New Roman" w:cs="Times New Roman"/>
          <w:b/>
          <w:sz w:val="36"/>
          <w:szCs w:val="36"/>
        </w:rPr>
        <w:t>Community Engagement-LCBB4002</w:t>
      </w:r>
    </w:p>
    <w:p w:rsidR="00737F60" w:rsidRPr="0091604F" w:rsidRDefault="00737F60" w:rsidP="00737F60">
      <w:pPr>
        <w:jc w:val="center"/>
        <w:rPr>
          <w:rFonts w:ascii="Times New Roman" w:hAnsi="Times New Roman" w:cs="Times New Roman"/>
          <w:b/>
          <w:sz w:val="36"/>
          <w:szCs w:val="36"/>
        </w:rPr>
      </w:pPr>
      <w:r w:rsidRPr="0091604F">
        <w:rPr>
          <w:rFonts w:ascii="Times New Roman" w:hAnsi="Times New Roman" w:cs="Times New Roman"/>
          <w:b/>
          <w:sz w:val="36"/>
          <w:szCs w:val="36"/>
        </w:rPr>
        <w:t>Lecturer:</w:t>
      </w:r>
      <w:r w:rsidR="007D56CE">
        <w:rPr>
          <w:rFonts w:ascii="Times New Roman" w:hAnsi="Times New Roman" w:cs="Times New Roman"/>
          <w:b/>
          <w:sz w:val="36"/>
          <w:szCs w:val="36"/>
        </w:rPr>
        <w:t xml:space="preserve"> Dr. Faizu Edu</w:t>
      </w:r>
      <w:r w:rsidR="007D56CE">
        <w:rPr>
          <w:rFonts w:ascii="Times New Roman" w:hAnsi="Times New Roman" w:cs="Times New Roman"/>
          <w:b/>
          <w:color w:val="373A3C"/>
          <w:sz w:val="36"/>
          <w:szCs w:val="36"/>
          <w:shd w:val="clear" w:color="auto" w:fill="F9F9F9"/>
        </w:rPr>
        <w:t xml:space="preserve"> </w:t>
      </w:r>
    </w:p>
    <w:p w:rsidR="00737F60" w:rsidRPr="0091604F" w:rsidRDefault="00737F60" w:rsidP="00737F60">
      <w:pPr>
        <w:jc w:val="center"/>
        <w:rPr>
          <w:rFonts w:ascii="Times New Roman" w:hAnsi="Times New Roman" w:cs="Times New Roman"/>
          <w:b/>
          <w:sz w:val="36"/>
          <w:szCs w:val="36"/>
        </w:rPr>
      </w:pPr>
    </w:p>
    <w:p w:rsidR="00737F60" w:rsidRPr="0091604F" w:rsidRDefault="00737F60" w:rsidP="00737F60">
      <w:pPr>
        <w:ind w:firstLine="720"/>
        <w:rPr>
          <w:rFonts w:ascii="Times New Roman" w:hAnsi="Times New Roman" w:cs="Times New Roman"/>
          <w:b/>
          <w:sz w:val="32"/>
          <w:szCs w:val="32"/>
        </w:rPr>
      </w:pPr>
    </w:p>
    <w:p w:rsidR="0032366D" w:rsidRDefault="0032366D" w:rsidP="00737F60">
      <w:pPr>
        <w:ind w:firstLine="720"/>
        <w:rPr>
          <w:rFonts w:ascii="Times New Roman" w:hAnsi="Times New Roman" w:cs="Times New Roman"/>
          <w:b/>
          <w:i/>
          <w:sz w:val="32"/>
          <w:szCs w:val="32"/>
        </w:rPr>
      </w:pPr>
    </w:p>
    <w:p w:rsidR="0032366D" w:rsidRPr="009271FF" w:rsidRDefault="0032366D" w:rsidP="00737F60">
      <w:pPr>
        <w:ind w:firstLine="720"/>
        <w:rPr>
          <w:rFonts w:ascii="Times New Roman" w:hAnsi="Times New Roman" w:cs="Times New Roman"/>
          <w:b/>
          <w:i/>
          <w:sz w:val="32"/>
          <w:szCs w:val="32"/>
        </w:rPr>
      </w:pPr>
    </w:p>
    <w:p w:rsidR="00737F60" w:rsidRPr="009271FF" w:rsidRDefault="00737F60" w:rsidP="00737F60">
      <w:pPr>
        <w:ind w:firstLine="720"/>
        <w:rPr>
          <w:rFonts w:ascii="Times New Roman" w:hAnsi="Times New Roman" w:cs="Times New Roman"/>
          <w:b/>
          <w:i/>
          <w:sz w:val="32"/>
          <w:szCs w:val="32"/>
        </w:rPr>
      </w:pPr>
    </w:p>
    <w:p w:rsidR="00737F60" w:rsidRPr="009271FF" w:rsidRDefault="00737F60" w:rsidP="00737F60">
      <w:pPr>
        <w:ind w:firstLine="720"/>
        <w:rPr>
          <w:rFonts w:ascii="Times New Roman" w:hAnsi="Times New Roman" w:cs="Times New Roman"/>
          <w:b/>
          <w:sz w:val="32"/>
          <w:szCs w:val="32"/>
        </w:rPr>
      </w:pPr>
      <w:r w:rsidRPr="009271FF">
        <w:rPr>
          <w:rFonts w:ascii="Times New Roman" w:hAnsi="Times New Roman" w:cs="Times New Roman"/>
          <w:b/>
          <w:sz w:val="32"/>
          <w:szCs w:val="32"/>
        </w:rPr>
        <w:t>Student name and ID:</w:t>
      </w:r>
    </w:p>
    <w:p w:rsidR="00737F60" w:rsidRPr="00B32B05" w:rsidRDefault="00737F60" w:rsidP="00737F60">
      <w:pPr>
        <w:ind w:firstLine="720"/>
        <w:rPr>
          <w:rFonts w:ascii="Times New Roman" w:hAnsi="Times New Roman" w:cs="Times New Roman"/>
          <w:b/>
          <w:sz w:val="28"/>
          <w:szCs w:val="28"/>
        </w:rPr>
      </w:pPr>
      <w:r w:rsidRPr="00B32B05">
        <w:rPr>
          <w:rFonts w:ascii="Times New Roman" w:hAnsi="Times New Roman" w:cs="Times New Roman"/>
          <w:b/>
          <w:sz w:val="28"/>
          <w:szCs w:val="28"/>
        </w:rPr>
        <w:t xml:space="preserve"> Alina-Paula Manolache-2114609</w:t>
      </w:r>
    </w:p>
    <w:p w:rsidR="00737F60" w:rsidRPr="009271FF" w:rsidRDefault="00737F60" w:rsidP="00737F60">
      <w:pPr>
        <w:ind w:firstLine="720"/>
        <w:rPr>
          <w:rFonts w:ascii="Times New Roman" w:hAnsi="Times New Roman" w:cs="Times New Roman"/>
          <w:b/>
          <w:i/>
          <w:sz w:val="32"/>
          <w:szCs w:val="32"/>
        </w:rPr>
      </w:pPr>
    </w:p>
    <w:p w:rsidR="009A0AF5" w:rsidRPr="009A0AF5" w:rsidRDefault="00CA5B65" w:rsidP="009A0AF5">
      <w:pPr>
        <w:jc w:val="center"/>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br w:type="page"/>
      </w:r>
    </w:p>
    <w:sdt>
      <w:sdtPr>
        <w:rPr>
          <w:rFonts w:ascii="Arial" w:eastAsia="Arial" w:hAnsi="Arial" w:cs="Arial"/>
          <w:color w:val="auto"/>
          <w:sz w:val="22"/>
          <w:szCs w:val="22"/>
          <w:lang w:val="en-GB" w:eastAsia="en-IN"/>
        </w:rPr>
        <w:id w:val="-828284219"/>
        <w:docPartObj>
          <w:docPartGallery w:val="Table of Contents"/>
          <w:docPartUnique/>
        </w:docPartObj>
      </w:sdtPr>
      <w:sdtEndPr>
        <w:rPr>
          <w:b/>
          <w:bCs/>
          <w:noProof/>
        </w:rPr>
      </w:sdtEndPr>
      <w:sdtContent>
        <w:p w:rsidR="009A0AF5" w:rsidRPr="009A0AF5" w:rsidRDefault="00CA5B65" w:rsidP="0032366D">
          <w:pPr>
            <w:pStyle w:val="TOCHeading"/>
            <w:spacing w:after="240"/>
            <w:jc w:val="center"/>
            <w:rPr>
              <w:rFonts w:ascii="Times New Roman" w:hAnsi="Times New Roman" w:cs="Times New Roman"/>
              <w:b/>
              <w:bCs/>
              <w:color w:val="000000" w:themeColor="text1"/>
              <w:sz w:val="28"/>
              <w:szCs w:val="28"/>
            </w:rPr>
          </w:pPr>
          <w:r w:rsidRPr="0032366D">
            <w:rPr>
              <w:rFonts w:ascii="Times New Roman" w:hAnsi="Times New Roman" w:cs="Times New Roman"/>
              <w:b/>
              <w:bCs/>
              <w:color w:val="000000" w:themeColor="text1"/>
              <w:sz w:val="36"/>
              <w:szCs w:val="36"/>
            </w:rPr>
            <w:t>Table of Contents</w:t>
          </w:r>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r w:rsidRPr="002D312D">
            <w:rPr>
              <w:b/>
            </w:rPr>
            <w:fldChar w:fldCharType="begin"/>
          </w:r>
          <w:r w:rsidR="00CA5B65" w:rsidRPr="0032366D">
            <w:rPr>
              <w:b/>
            </w:rPr>
            <w:instrText xml:space="preserve"> TOC \o "1-3" \h \z \u </w:instrText>
          </w:r>
          <w:r w:rsidRPr="002D312D">
            <w:rPr>
              <w:b/>
            </w:rPr>
            <w:fldChar w:fldCharType="separate"/>
          </w:r>
          <w:hyperlink w:anchor="_Toc102010044" w:history="1">
            <w:r w:rsidR="00CA5B65" w:rsidRPr="0032366D">
              <w:rPr>
                <w:rStyle w:val="Hyperlink"/>
                <w:rFonts w:ascii="Times New Roman" w:hAnsi="Times New Roman" w:cs="Times New Roman"/>
                <w:b/>
                <w:noProof/>
                <w:sz w:val="32"/>
                <w:szCs w:val="32"/>
              </w:rPr>
              <w:t>Introduction</w:t>
            </w:r>
            <w:r w:rsidR="00CA5B65" w:rsidRPr="0032366D">
              <w:rPr>
                <w:rFonts w:ascii="Times New Roman" w:hAnsi="Times New Roman" w:cs="Times New Roman"/>
                <w:b/>
                <w:noProof/>
                <w:webHidden/>
                <w:sz w:val="32"/>
                <w:szCs w:val="32"/>
              </w:rPr>
              <w:tab/>
            </w:r>
            <w:r w:rsidRPr="0032366D">
              <w:rPr>
                <w:rFonts w:ascii="Times New Roman" w:hAnsi="Times New Roman" w:cs="Times New Roman"/>
                <w:b/>
                <w:noProof/>
                <w:webHidden/>
                <w:sz w:val="32"/>
                <w:szCs w:val="32"/>
              </w:rPr>
              <w:fldChar w:fldCharType="begin"/>
            </w:r>
            <w:r w:rsidR="00CA5B65" w:rsidRPr="0032366D">
              <w:rPr>
                <w:rFonts w:ascii="Times New Roman" w:hAnsi="Times New Roman" w:cs="Times New Roman"/>
                <w:b/>
                <w:noProof/>
                <w:webHidden/>
                <w:sz w:val="32"/>
                <w:szCs w:val="32"/>
              </w:rPr>
              <w:instrText xml:space="preserve"> PAGEREF _Toc102010044 \h </w:instrText>
            </w:r>
            <w:r w:rsidRPr="0032366D">
              <w:rPr>
                <w:rFonts w:ascii="Times New Roman" w:hAnsi="Times New Roman" w:cs="Times New Roman"/>
                <w:b/>
                <w:noProof/>
                <w:webHidden/>
                <w:sz w:val="32"/>
                <w:szCs w:val="32"/>
              </w:rPr>
            </w:r>
            <w:r w:rsidRPr="0032366D">
              <w:rPr>
                <w:rFonts w:ascii="Times New Roman" w:hAnsi="Times New Roman" w:cs="Times New Roman"/>
                <w:b/>
                <w:noProof/>
                <w:webHidden/>
                <w:sz w:val="32"/>
                <w:szCs w:val="32"/>
              </w:rPr>
              <w:fldChar w:fldCharType="separate"/>
            </w:r>
            <w:r w:rsidR="00CA5B65" w:rsidRPr="0032366D">
              <w:rPr>
                <w:rFonts w:ascii="Times New Roman" w:hAnsi="Times New Roman" w:cs="Times New Roman"/>
                <w:b/>
                <w:noProof/>
                <w:webHidden/>
                <w:sz w:val="32"/>
                <w:szCs w:val="32"/>
              </w:rPr>
              <w:t>3</w:t>
            </w:r>
            <w:r w:rsidRPr="0032366D">
              <w:rPr>
                <w:rFonts w:ascii="Times New Roman" w:hAnsi="Times New Roman" w:cs="Times New Roman"/>
                <w:b/>
                <w:noProof/>
                <w:webHidden/>
                <w:sz w:val="32"/>
                <w:szCs w:val="32"/>
              </w:rPr>
              <w:fldChar w:fldCharType="end"/>
            </w:r>
          </w:hyperlink>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hyperlink w:anchor="_Toc102010045" w:history="1">
            <w:r w:rsidR="00CA5B65" w:rsidRPr="0032366D">
              <w:rPr>
                <w:rStyle w:val="Hyperlink"/>
                <w:rFonts w:ascii="Times New Roman" w:hAnsi="Times New Roman" w:cs="Times New Roman"/>
                <w:b/>
                <w:noProof/>
                <w:sz w:val="32"/>
                <w:szCs w:val="32"/>
              </w:rPr>
              <w:t>Discussion of event</w:t>
            </w:r>
            <w:r w:rsidR="00CA5B65" w:rsidRPr="0032366D">
              <w:rPr>
                <w:rFonts w:ascii="Times New Roman" w:hAnsi="Times New Roman" w:cs="Times New Roman"/>
                <w:b/>
                <w:noProof/>
                <w:webHidden/>
                <w:sz w:val="32"/>
                <w:szCs w:val="32"/>
              </w:rPr>
              <w:tab/>
            </w:r>
            <w:r w:rsidRPr="0032366D">
              <w:rPr>
                <w:rFonts w:ascii="Times New Roman" w:hAnsi="Times New Roman" w:cs="Times New Roman"/>
                <w:b/>
                <w:noProof/>
                <w:webHidden/>
                <w:sz w:val="32"/>
                <w:szCs w:val="32"/>
              </w:rPr>
              <w:fldChar w:fldCharType="begin"/>
            </w:r>
            <w:r w:rsidR="00CA5B65" w:rsidRPr="0032366D">
              <w:rPr>
                <w:rFonts w:ascii="Times New Roman" w:hAnsi="Times New Roman" w:cs="Times New Roman"/>
                <w:b/>
                <w:noProof/>
                <w:webHidden/>
                <w:sz w:val="32"/>
                <w:szCs w:val="32"/>
              </w:rPr>
              <w:instrText xml:space="preserve"> PAGEREF _Toc102010045 \h </w:instrText>
            </w:r>
            <w:r w:rsidRPr="0032366D">
              <w:rPr>
                <w:rFonts w:ascii="Times New Roman" w:hAnsi="Times New Roman" w:cs="Times New Roman"/>
                <w:b/>
                <w:noProof/>
                <w:webHidden/>
                <w:sz w:val="32"/>
                <w:szCs w:val="32"/>
              </w:rPr>
            </w:r>
            <w:r w:rsidRPr="0032366D">
              <w:rPr>
                <w:rFonts w:ascii="Times New Roman" w:hAnsi="Times New Roman" w:cs="Times New Roman"/>
                <w:b/>
                <w:noProof/>
                <w:webHidden/>
                <w:sz w:val="32"/>
                <w:szCs w:val="32"/>
              </w:rPr>
              <w:fldChar w:fldCharType="separate"/>
            </w:r>
            <w:r w:rsidR="00CA5B65" w:rsidRPr="0032366D">
              <w:rPr>
                <w:rFonts w:ascii="Times New Roman" w:hAnsi="Times New Roman" w:cs="Times New Roman"/>
                <w:b/>
                <w:noProof/>
                <w:webHidden/>
                <w:sz w:val="32"/>
                <w:szCs w:val="32"/>
              </w:rPr>
              <w:t>3</w:t>
            </w:r>
            <w:r w:rsidRPr="0032366D">
              <w:rPr>
                <w:rFonts w:ascii="Times New Roman" w:hAnsi="Times New Roman" w:cs="Times New Roman"/>
                <w:b/>
                <w:noProof/>
                <w:webHidden/>
                <w:sz w:val="32"/>
                <w:szCs w:val="32"/>
              </w:rPr>
              <w:fldChar w:fldCharType="end"/>
            </w:r>
          </w:hyperlink>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hyperlink w:anchor="_Toc102010046" w:history="1">
            <w:r w:rsidR="00CA5B65" w:rsidRPr="0032366D">
              <w:rPr>
                <w:rStyle w:val="Hyperlink"/>
                <w:rFonts w:ascii="Times New Roman" w:hAnsi="Times New Roman" w:cs="Times New Roman"/>
                <w:b/>
                <w:noProof/>
                <w:sz w:val="32"/>
                <w:szCs w:val="32"/>
              </w:rPr>
              <w:t>Cooperation of the stakeholders in the event</w:t>
            </w:r>
            <w:r w:rsidR="00CA5B65" w:rsidRPr="0032366D">
              <w:rPr>
                <w:rFonts w:ascii="Times New Roman" w:hAnsi="Times New Roman" w:cs="Times New Roman"/>
                <w:b/>
                <w:noProof/>
                <w:webHidden/>
                <w:sz w:val="32"/>
                <w:szCs w:val="32"/>
              </w:rPr>
              <w:tab/>
            </w:r>
            <w:r w:rsidRPr="0032366D">
              <w:rPr>
                <w:rFonts w:ascii="Times New Roman" w:hAnsi="Times New Roman" w:cs="Times New Roman"/>
                <w:b/>
                <w:noProof/>
                <w:webHidden/>
                <w:sz w:val="32"/>
                <w:szCs w:val="32"/>
              </w:rPr>
              <w:fldChar w:fldCharType="begin"/>
            </w:r>
            <w:r w:rsidR="00CA5B65" w:rsidRPr="0032366D">
              <w:rPr>
                <w:rFonts w:ascii="Times New Roman" w:hAnsi="Times New Roman" w:cs="Times New Roman"/>
                <w:b/>
                <w:noProof/>
                <w:webHidden/>
                <w:sz w:val="32"/>
                <w:szCs w:val="32"/>
              </w:rPr>
              <w:instrText xml:space="preserve"> PAGEREF _Toc102010046 \h </w:instrText>
            </w:r>
            <w:r w:rsidRPr="0032366D">
              <w:rPr>
                <w:rFonts w:ascii="Times New Roman" w:hAnsi="Times New Roman" w:cs="Times New Roman"/>
                <w:b/>
                <w:noProof/>
                <w:webHidden/>
                <w:sz w:val="32"/>
                <w:szCs w:val="32"/>
              </w:rPr>
            </w:r>
            <w:r w:rsidRPr="0032366D">
              <w:rPr>
                <w:rFonts w:ascii="Times New Roman" w:hAnsi="Times New Roman" w:cs="Times New Roman"/>
                <w:b/>
                <w:noProof/>
                <w:webHidden/>
                <w:sz w:val="32"/>
                <w:szCs w:val="32"/>
              </w:rPr>
              <w:fldChar w:fldCharType="separate"/>
            </w:r>
            <w:r w:rsidR="00CA5B65" w:rsidRPr="0032366D">
              <w:rPr>
                <w:rFonts w:ascii="Times New Roman" w:hAnsi="Times New Roman" w:cs="Times New Roman"/>
                <w:b/>
                <w:noProof/>
                <w:webHidden/>
                <w:sz w:val="32"/>
                <w:szCs w:val="32"/>
              </w:rPr>
              <w:t>4</w:t>
            </w:r>
            <w:r w:rsidRPr="0032366D">
              <w:rPr>
                <w:rFonts w:ascii="Times New Roman" w:hAnsi="Times New Roman" w:cs="Times New Roman"/>
                <w:b/>
                <w:noProof/>
                <w:webHidden/>
                <w:sz w:val="32"/>
                <w:szCs w:val="32"/>
              </w:rPr>
              <w:fldChar w:fldCharType="end"/>
            </w:r>
          </w:hyperlink>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hyperlink w:anchor="_Toc102010047" w:history="1">
            <w:r w:rsidR="00CA5B65" w:rsidRPr="0032366D">
              <w:rPr>
                <w:rStyle w:val="Hyperlink"/>
                <w:rFonts w:ascii="Times New Roman" w:hAnsi="Times New Roman" w:cs="Times New Roman"/>
                <w:b/>
                <w:noProof/>
                <w:sz w:val="32"/>
                <w:szCs w:val="32"/>
              </w:rPr>
              <w:t>Social media influence multiculturalism and social integration</w:t>
            </w:r>
            <w:r w:rsidR="00CA5B65" w:rsidRPr="0032366D">
              <w:rPr>
                <w:rFonts w:ascii="Times New Roman" w:hAnsi="Times New Roman" w:cs="Times New Roman"/>
                <w:b/>
                <w:noProof/>
                <w:webHidden/>
                <w:sz w:val="32"/>
                <w:szCs w:val="32"/>
              </w:rPr>
              <w:tab/>
            </w:r>
            <w:r w:rsidRPr="0032366D">
              <w:rPr>
                <w:rFonts w:ascii="Times New Roman" w:hAnsi="Times New Roman" w:cs="Times New Roman"/>
                <w:b/>
                <w:noProof/>
                <w:webHidden/>
                <w:sz w:val="32"/>
                <w:szCs w:val="32"/>
              </w:rPr>
              <w:fldChar w:fldCharType="begin"/>
            </w:r>
            <w:r w:rsidR="00CA5B65" w:rsidRPr="0032366D">
              <w:rPr>
                <w:rFonts w:ascii="Times New Roman" w:hAnsi="Times New Roman" w:cs="Times New Roman"/>
                <w:b/>
                <w:noProof/>
                <w:webHidden/>
                <w:sz w:val="32"/>
                <w:szCs w:val="32"/>
              </w:rPr>
              <w:instrText xml:space="preserve"> PAGEREF _Toc102010047 \h </w:instrText>
            </w:r>
            <w:r w:rsidRPr="0032366D">
              <w:rPr>
                <w:rFonts w:ascii="Times New Roman" w:hAnsi="Times New Roman" w:cs="Times New Roman"/>
                <w:b/>
                <w:noProof/>
                <w:webHidden/>
                <w:sz w:val="32"/>
                <w:szCs w:val="32"/>
              </w:rPr>
            </w:r>
            <w:r w:rsidRPr="0032366D">
              <w:rPr>
                <w:rFonts w:ascii="Times New Roman" w:hAnsi="Times New Roman" w:cs="Times New Roman"/>
                <w:b/>
                <w:noProof/>
                <w:webHidden/>
                <w:sz w:val="32"/>
                <w:szCs w:val="32"/>
              </w:rPr>
              <w:fldChar w:fldCharType="separate"/>
            </w:r>
            <w:r w:rsidR="00CA5B65" w:rsidRPr="0032366D">
              <w:rPr>
                <w:rFonts w:ascii="Times New Roman" w:hAnsi="Times New Roman" w:cs="Times New Roman"/>
                <w:b/>
                <w:noProof/>
                <w:webHidden/>
                <w:sz w:val="32"/>
                <w:szCs w:val="32"/>
              </w:rPr>
              <w:t>5</w:t>
            </w:r>
            <w:r w:rsidRPr="0032366D">
              <w:rPr>
                <w:rFonts w:ascii="Times New Roman" w:hAnsi="Times New Roman" w:cs="Times New Roman"/>
                <w:b/>
                <w:noProof/>
                <w:webHidden/>
                <w:sz w:val="32"/>
                <w:szCs w:val="32"/>
              </w:rPr>
              <w:fldChar w:fldCharType="end"/>
            </w:r>
          </w:hyperlink>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hyperlink w:anchor="_Toc102010048" w:history="1">
            <w:r w:rsidR="00CA5B65" w:rsidRPr="0032366D">
              <w:rPr>
                <w:rStyle w:val="Hyperlink"/>
                <w:rFonts w:ascii="Times New Roman" w:hAnsi="Times New Roman" w:cs="Times New Roman"/>
                <w:b/>
                <w:noProof/>
                <w:sz w:val="32"/>
                <w:szCs w:val="32"/>
              </w:rPr>
              <w:t>Further approaches</w:t>
            </w:r>
            <w:r w:rsidR="00CA5B65" w:rsidRPr="0032366D">
              <w:rPr>
                <w:rFonts w:ascii="Times New Roman" w:hAnsi="Times New Roman" w:cs="Times New Roman"/>
                <w:b/>
                <w:noProof/>
                <w:webHidden/>
                <w:sz w:val="32"/>
                <w:szCs w:val="32"/>
              </w:rPr>
              <w:tab/>
            </w:r>
            <w:r w:rsidRPr="0032366D">
              <w:rPr>
                <w:rFonts w:ascii="Times New Roman" w:hAnsi="Times New Roman" w:cs="Times New Roman"/>
                <w:b/>
                <w:noProof/>
                <w:webHidden/>
                <w:sz w:val="32"/>
                <w:szCs w:val="32"/>
              </w:rPr>
              <w:fldChar w:fldCharType="begin"/>
            </w:r>
            <w:r w:rsidR="00CA5B65" w:rsidRPr="0032366D">
              <w:rPr>
                <w:rFonts w:ascii="Times New Roman" w:hAnsi="Times New Roman" w:cs="Times New Roman"/>
                <w:b/>
                <w:noProof/>
                <w:webHidden/>
                <w:sz w:val="32"/>
                <w:szCs w:val="32"/>
              </w:rPr>
              <w:instrText xml:space="preserve"> PAGEREF _Toc102010048 \h </w:instrText>
            </w:r>
            <w:r w:rsidRPr="0032366D">
              <w:rPr>
                <w:rFonts w:ascii="Times New Roman" w:hAnsi="Times New Roman" w:cs="Times New Roman"/>
                <w:b/>
                <w:noProof/>
                <w:webHidden/>
                <w:sz w:val="32"/>
                <w:szCs w:val="32"/>
              </w:rPr>
            </w:r>
            <w:r w:rsidRPr="0032366D">
              <w:rPr>
                <w:rFonts w:ascii="Times New Roman" w:hAnsi="Times New Roman" w:cs="Times New Roman"/>
                <w:b/>
                <w:noProof/>
                <w:webHidden/>
                <w:sz w:val="32"/>
                <w:szCs w:val="32"/>
              </w:rPr>
              <w:fldChar w:fldCharType="separate"/>
            </w:r>
            <w:r w:rsidR="00CA5B65" w:rsidRPr="0032366D">
              <w:rPr>
                <w:rFonts w:ascii="Times New Roman" w:hAnsi="Times New Roman" w:cs="Times New Roman"/>
                <w:b/>
                <w:noProof/>
                <w:webHidden/>
                <w:sz w:val="32"/>
                <w:szCs w:val="32"/>
              </w:rPr>
              <w:t>6</w:t>
            </w:r>
            <w:r w:rsidRPr="0032366D">
              <w:rPr>
                <w:rFonts w:ascii="Times New Roman" w:hAnsi="Times New Roman" w:cs="Times New Roman"/>
                <w:b/>
                <w:noProof/>
                <w:webHidden/>
                <w:sz w:val="32"/>
                <w:szCs w:val="32"/>
              </w:rPr>
              <w:fldChar w:fldCharType="end"/>
            </w:r>
          </w:hyperlink>
        </w:p>
        <w:p w:rsidR="009A0AF5" w:rsidRPr="0032366D" w:rsidRDefault="002D312D" w:rsidP="009A0AF5">
          <w:pPr>
            <w:pStyle w:val="TOC1"/>
            <w:tabs>
              <w:tab w:val="right" w:leader="dot" w:pos="9019"/>
            </w:tabs>
            <w:spacing w:line="360" w:lineRule="auto"/>
            <w:jc w:val="both"/>
            <w:rPr>
              <w:rFonts w:ascii="Times New Roman" w:hAnsi="Times New Roman" w:cs="Times New Roman"/>
              <w:b/>
              <w:noProof/>
              <w:sz w:val="32"/>
              <w:szCs w:val="32"/>
            </w:rPr>
          </w:pPr>
          <w:hyperlink w:anchor="_Toc102010049" w:history="1">
            <w:r w:rsidR="00CA5B65" w:rsidRPr="0032366D">
              <w:rPr>
                <w:rStyle w:val="Hyperlink"/>
                <w:rFonts w:ascii="Times New Roman" w:hAnsi="Times New Roman" w:cs="Times New Roman"/>
                <w:b/>
                <w:noProof/>
                <w:sz w:val="32"/>
                <w:szCs w:val="32"/>
              </w:rPr>
              <w:t>Conclusion</w:t>
            </w:r>
            <w:r w:rsidR="00CA5B65" w:rsidRPr="0032366D">
              <w:rPr>
                <w:rFonts w:ascii="Times New Roman" w:hAnsi="Times New Roman" w:cs="Times New Roman"/>
                <w:b/>
                <w:noProof/>
                <w:webHidden/>
                <w:sz w:val="32"/>
                <w:szCs w:val="32"/>
              </w:rPr>
              <w:tab/>
            </w:r>
            <w:r w:rsidR="007D56CE">
              <w:rPr>
                <w:rFonts w:ascii="Times New Roman" w:hAnsi="Times New Roman" w:cs="Times New Roman"/>
                <w:b/>
                <w:noProof/>
                <w:webHidden/>
                <w:sz w:val="32"/>
                <w:szCs w:val="32"/>
              </w:rPr>
              <w:t>8</w:t>
            </w:r>
          </w:hyperlink>
        </w:p>
        <w:p w:rsidR="009A0AF5" w:rsidRPr="0032366D" w:rsidRDefault="002D312D" w:rsidP="009A0AF5">
          <w:pPr>
            <w:pStyle w:val="TOC1"/>
            <w:tabs>
              <w:tab w:val="right" w:leader="dot" w:pos="9019"/>
            </w:tabs>
            <w:spacing w:line="360" w:lineRule="auto"/>
            <w:jc w:val="both"/>
            <w:rPr>
              <w:b/>
              <w:noProof/>
            </w:rPr>
          </w:pPr>
          <w:hyperlink w:anchor="_Toc102010050" w:history="1">
            <w:r w:rsidR="00CA5B65" w:rsidRPr="0032366D">
              <w:rPr>
                <w:rStyle w:val="Hyperlink"/>
                <w:rFonts w:ascii="Times New Roman" w:hAnsi="Times New Roman" w:cs="Times New Roman"/>
                <w:b/>
                <w:noProof/>
                <w:sz w:val="32"/>
                <w:szCs w:val="32"/>
              </w:rPr>
              <w:t>Reference list</w:t>
            </w:r>
            <w:r w:rsidR="00CA5B65" w:rsidRPr="0032366D">
              <w:rPr>
                <w:rFonts w:ascii="Times New Roman" w:hAnsi="Times New Roman" w:cs="Times New Roman"/>
                <w:b/>
                <w:noProof/>
                <w:webHidden/>
                <w:sz w:val="32"/>
                <w:szCs w:val="32"/>
              </w:rPr>
              <w:tab/>
            </w:r>
            <w:r w:rsidR="007D56CE">
              <w:rPr>
                <w:rFonts w:ascii="Times New Roman" w:hAnsi="Times New Roman" w:cs="Times New Roman"/>
                <w:b/>
                <w:noProof/>
                <w:webHidden/>
                <w:sz w:val="32"/>
                <w:szCs w:val="32"/>
              </w:rPr>
              <w:t>9</w:t>
            </w:r>
          </w:hyperlink>
        </w:p>
        <w:p w:rsidR="009A0AF5" w:rsidRPr="0032366D" w:rsidRDefault="002D312D">
          <w:pPr>
            <w:rPr>
              <w:b/>
            </w:rPr>
          </w:pPr>
          <w:r w:rsidRPr="0032366D">
            <w:rPr>
              <w:b/>
              <w:bCs/>
              <w:noProof/>
            </w:rPr>
            <w:fldChar w:fldCharType="end"/>
          </w:r>
        </w:p>
      </w:sdtContent>
    </w:sdt>
    <w:p w:rsidR="00A41FCD" w:rsidRPr="009A0AF5" w:rsidRDefault="00CA5B65" w:rsidP="009A0AF5">
      <w:pPr>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br w:type="page"/>
      </w:r>
    </w:p>
    <w:p w:rsidR="00A41FCD" w:rsidRDefault="00CA5B65" w:rsidP="007D56CE">
      <w:pPr>
        <w:pStyle w:val="Heading1"/>
        <w:jc w:val="center"/>
        <w:rPr>
          <w:rFonts w:ascii="Times New Roman" w:hAnsi="Times New Roman" w:cs="Times New Roman"/>
          <w:b/>
          <w:bCs/>
          <w:sz w:val="32"/>
          <w:szCs w:val="32"/>
          <w:highlight w:val="white"/>
        </w:rPr>
      </w:pPr>
      <w:bookmarkStart w:id="0" w:name="_Toc102010044"/>
      <w:r w:rsidRPr="0091604F">
        <w:rPr>
          <w:rFonts w:ascii="Times New Roman" w:hAnsi="Times New Roman" w:cs="Times New Roman"/>
          <w:b/>
          <w:bCs/>
          <w:sz w:val="32"/>
          <w:szCs w:val="32"/>
          <w:highlight w:val="white"/>
        </w:rPr>
        <w:lastRenderedPageBreak/>
        <w:t>Introduction</w:t>
      </w:r>
      <w:bookmarkEnd w:id="0"/>
    </w:p>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A41FCD"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The process of working in a team within a group of people in respect of the locational proximity, level of interest and so on to track the problems affecting the community of the people</w:t>
      </w:r>
      <w:r w:rsidR="009A0AF5" w:rsidRPr="009A0AF5">
        <w:rPr>
          <w:rFonts w:ascii="Times New Roman" w:eastAsia="Times New Roman" w:hAnsi="Times New Roman" w:cs="Times New Roman"/>
          <w:color w:val="0E101A"/>
          <w:sz w:val="24"/>
          <w:szCs w:val="24"/>
          <w:highlight w:val="white"/>
        </w:rPr>
        <w:t xml:space="preserve"> is called community engagement</w:t>
      </w:r>
      <w:r w:rsidRPr="009A0AF5">
        <w:rPr>
          <w:rFonts w:ascii="Times New Roman" w:eastAsia="Times New Roman" w:hAnsi="Times New Roman" w:cs="Times New Roman"/>
          <w:color w:val="0E101A"/>
          <w:sz w:val="24"/>
          <w:szCs w:val="24"/>
          <w:highlight w:val="white"/>
        </w:rPr>
        <w:t xml:space="preserve">. Community engagement can be also called a powerful tool that can bring about the enormous change in the behaviour as well as conditions of the community in respect of improving their health, including stakeholders, social media, different programs as well as practices which act as the catalyst for running the program mentioned in the community engagement of a community (Ryan et al., 2020). Community engagement includes the presence of people coming from different </w:t>
      </w:r>
      <w:r w:rsidR="00E21214" w:rsidRPr="009A0AF5">
        <w:rPr>
          <w:rFonts w:ascii="Times New Roman" w:eastAsia="Times New Roman" w:hAnsi="Times New Roman" w:cs="Times New Roman"/>
          <w:color w:val="0E101A"/>
          <w:sz w:val="24"/>
          <w:szCs w:val="24"/>
          <w:highlight w:val="white"/>
        </w:rPr>
        <w:t>communities’</w:t>
      </w:r>
      <w:r w:rsidRPr="009A0AF5">
        <w:rPr>
          <w:rFonts w:ascii="Times New Roman" w:eastAsia="Times New Roman" w:hAnsi="Times New Roman" w:cs="Times New Roman"/>
          <w:color w:val="0E101A"/>
          <w:sz w:val="24"/>
          <w:szCs w:val="24"/>
          <w:highlight w:val="white"/>
        </w:rPr>
        <w:t xml:space="preserve"> localities and of different ages. The main objective of the aim of the community engagement is to make the people of the local community feel active by growing up their capabilities within themselves (Kumar and Kumar, 2020). It requires the communication on introduction among different kinds of people coming from different cultures, regions and with different languages. The engagement of the community is mainly needed for the welfare of the society or the local areas. It requires the active participation of the people in the interest of serving their community by engaging themselves in different programs of the community.</w:t>
      </w:r>
    </w:p>
    <w:p w:rsidR="007D56CE" w:rsidRDefault="007D56CE">
      <w:pPr>
        <w:spacing w:line="360" w:lineRule="auto"/>
        <w:jc w:val="both"/>
        <w:rPr>
          <w:rFonts w:ascii="Times New Roman" w:eastAsia="Times New Roman" w:hAnsi="Times New Roman" w:cs="Times New Roman"/>
          <w:color w:val="0E101A"/>
          <w:sz w:val="24"/>
          <w:szCs w:val="24"/>
          <w:highlight w:val="white"/>
        </w:rPr>
      </w:pPr>
    </w:p>
    <w:p w:rsidR="007D56CE" w:rsidRPr="009A0AF5" w:rsidRDefault="007D56CE">
      <w:pPr>
        <w:spacing w:line="360" w:lineRule="auto"/>
        <w:jc w:val="both"/>
        <w:rPr>
          <w:rFonts w:ascii="Times New Roman" w:eastAsia="Times New Roman" w:hAnsi="Times New Roman" w:cs="Times New Roman"/>
          <w:color w:val="0E101A"/>
          <w:sz w:val="24"/>
          <w:szCs w:val="24"/>
          <w:highlight w:val="white"/>
        </w:rPr>
      </w:pPr>
    </w:p>
    <w:p w:rsidR="00A41FCD" w:rsidRDefault="00CA5B65" w:rsidP="007D56CE">
      <w:pPr>
        <w:pStyle w:val="Heading1"/>
        <w:jc w:val="center"/>
        <w:rPr>
          <w:rFonts w:ascii="Times New Roman" w:hAnsi="Times New Roman" w:cs="Times New Roman"/>
          <w:b/>
          <w:bCs/>
          <w:sz w:val="32"/>
          <w:szCs w:val="32"/>
          <w:highlight w:val="white"/>
        </w:rPr>
      </w:pPr>
      <w:bookmarkStart w:id="1" w:name="_Toc102010045"/>
      <w:r w:rsidRPr="0091604F">
        <w:rPr>
          <w:rFonts w:ascii="Times New Roman" w:hAnsi="Times New Roman" w:cs="Times New Roman"/>
          <w:b/>
          <w:bCs/>
          <w:sz w:val="32"/>
          <w:szCs w:val="32"/>
          <w:highlight w:val="white"/>
        </w:rPr>
        <w:t>Discussion of event</w:t>
      </w:r>
      <w:bookmarkEnd w:id="1"/>
    </w:p>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 xml:space="preserve">The Local Government Association of UK introduced the community engagement are fighting against the covid-19 which has evolved in the year 2020 throughout the world. The main motive of the local government association of the UK is to create a positive impact on the people's minds so that they can give the efficiency to fight the covid-19. This community engagement has the plan for serving the community with on-time delivery, change in their behaviour, keeping the provision level limited, and initiating the volunteer's engagement. </w:t>
      </w:r>
    </w:p>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 xml:space="preserve">This program which was started by the local government Association of the UK during the time of the covid-19 pandemic deals with serving the people who were affected by the harmful covid virus during the time of super spreading. They started the program of listening </w:t>
      </w:r>
      <w:r w:rsidRPr="009A0AF5">
        <w:rPr>
          <w:rFonts w:ascii="Times New Roman" w:eastAsia="Times New Roman" w:hAnsi="Times New Roman" w:cs="Times New Roman"/>
          <w:color w:val="0E101A"/>
          <w:sz w:val="24"/>
          <w:szCs w:val="24"/>
          <w:highlight w:val="white"/>
        </w:rPr>
        <w:lastRenderedPageBreak/>
        <w:t>to the community, producing the survey for the people of the community and so on (Tindana et al., 2020). They also started with some programs like groups within the social media like Facebook, Instagram, and WhatsApp so that people of the community can convey their problems or the issues through community engagement programs. They also started to make their presence predictable the live videos, online meetings and conferences with the people of the community and others. This community engagement program also has the opportunity of serving the community people through contact numbers, personal chats and so on. They also started serving the community by conducting some conferences both offline and online. People who are affected by the covid-19 virus and detected positive where are unable to go out of their houses because they need the household items. This community engagement helped them in providing all the items.</w:t>
      </w:r>
    </w:p>
    <w:p w:rsidR="00A41FCD"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This community engagement brought about an enormous change in the behaviour of the community people (Loewenson et al., 2021). This community engagement program made the people of the community practice the waste management process during th</w:t>
      </w:r>
      <w:r w:rsidR="00ED4825">
        <w:rPr>
          <w:rFonts w:ascii="Times New Roman" w:eastAsia="Times New Roman" w:hAnsi="Times New Roman" w:cs="Times New Roman"/>
          <w:color w:val="0E101A"/>
          <w:sz w:val="24"/>
          <w:szCs w:val="24"/>
          <w:highlight w:val="white"/>
        </w:rPr>
        <w:t>e covid-19 pandemic so that</w:t>
      </w:r>
      <w:r w:rsidRPr="009A0AF5">
        <w:rPr>
          <w:rFonts w:ascii="Times New Roman" w:eastAsia="Times New Roman" w:hAnsi="Times New Roman" w:cs="Times New Roman"/>
          <w:color w:val="0E101A"/>
          <w:sz w:val="24"/>
          <w:szCs w:val="24"/>
          <w:highlight w:val="white"/>
        </w:rPr>
        <w:t xml:space="preserve"> virus cannot be spread from one person to another and ultimately resulted in communities spreading. The community engagement has taken the initiative to maintain the hygienic conditions of the locality during the transfer of cash from hand to hand, keeping social distance among each other and so on. Community engagement has also provided the opportunity of using cashless transactions like paying through cards and other online transactions. The community engagement program of the UK has also enabled themselves in the work on managing the waste.</w:t>
      </w:r>
    </w:p>
    <w:p w:rsidR="007D56CE" w:rsidRDefault="007D56CE">
      <w:pPr>
        <w:spacing w:line="360" w:lineRule="auto"/>
        <w:jc w:val="both"/>
        <w:rPr>
          <w:rFonts w:ascii="Times New Roman" w:eastAsia="Times New Roman" w:hAnsi="Times New Roman" w:cs="Times New Roman"/>
          <w:color w:val="0E101A"/>
          <w:sz w:val="24"/>
          <w:szCs w:val="24"/>
          <w:highlight w:val="white"/>
        </w:rPr>
      </w:pPr>
    </w:p>
    <w:p w:rsidR="007D56CE" w:rsidRPr="009A0AF5" w:rsidRDefault="007D56CE">
      <w:pPr>
        <w:spacing w:line="360" w:lineRule="auto"/>
        <w:jc w:val="both"/>
        <w:rPr>
          <w:rFonts w:ascii="Times New Roman" w:eastAsia="Times New Roman" w:hAnsi="Times New Roman" w:cs="Times New Roman"/>
          <w:color w:val="0E101A"/>
          <w:sz w:val="24"/>
          <w:szCs w:val="24"/>
          <w:highlight w:val="white"/>
        </w:rPr>
      </w:pPr>
    </w:p>
    <w:p w:rsidR="00A41FCD" w:rsidRDefault="00CA5B65" w:rsidP="007D56CE">
      <w:pPr>
        <w:pStyle w:val="Heading1"/>
        <w:jc w:val="center"/>
        <w:rPr>
          <w:rFonts w:ascii="Times New Roman" w:hAnsi="Times New Roman" w:cs="Times New Roman"/>
          <w:b/>
          <w:bCs/>
          <w:sz w:val="32"/>
          <w:szCs w:val="32"/>
          <w:highlight w:val="white"/>
        </w:rPr>
      </w:pPr>
      <w:bookmarkStart w:id="2" w:name="_Toc102010046"/>
      <w:r w:rsidRPr="0091604F">
        <w:rPr>
          <w:rFonts w:ascii="Times New Roman" w:hAnsi="Times New Roman" w:cs="Times New Roman"/>
          <w:b/>
          <w:bCs/>
          <w:sz w:val="32"/>
          <w:szCs w:val="32"/>
          <w:highlight w:val="white"/>
        </w:rPr>
        <w:t>Cooperation of the stakeholders in the event</w:t>
      </w:r>
      <w:bookmarkEnd w:id="2"/>
    </w:p>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A41FCD"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 xml:space="preserve">Stakeholders play an important role in the programs the events the community engagement related to the health departments. The stakeholders' engagement includes communication with the doctors to understand the need of the patients and help to manage the issues faced by the patients during the outbreak of the covid-19 pandemic. They also play the important role in the patients meets their urge of demands. Stakeholders with this engagement community programs perform the role of the main body that regulates the state. Stakeholders are the one </w:t>
      </w:r>
      <w:r w:rsidRPr="009A0AF5">
        <w:rPr>
          <w:rFonts w:ascii="Times New Roman" w:eastAsia="Times New Roman" w:hAnsi="Times New Roman" w:cs="Times New Roman"/>
          <w:color w:val="0E101A"/>
          <w:sz w:val="24"/>
          <w:szCs w:val="24"/>
          <w:highlight w:val="white"/>
        </w:rPr>
        <w:lastRenderedPageBreak/>
        <w:t xml:space="preserve">who comes in the front line taking active participation in the community engagement programme that was made to serve the people who are affected by the covid-19 virus. The stakeholders have shown much interest in community engagement in controlling the crisis of the covid-19 pandemic (Cifuentes-Faura et al., 2021). It has been seen that the responses of the contribution of the stakeholder were much high nearly 52%. It could be said that the stakeholders' contribution helps the community engagement of controlling the crisis of covid-19 by the local government of the UK to proceed further. The stakeholders make the partnership with the community engagement of local government of UK so that they can be able to contribute to the programme. The stakeholders have taken the measures of controlling the covid pandemic through the community engagement initiative by the Government of the UK. The activity of the stakeholders and their active participation in the community engagement of the covid-19 pandemic, has made the community engagement move forward successfully. Stakeholders play an important role in the representation of those who are belonging to the marginalised groups. The stakeholders have made active participation in the community engagement by involving themselves in different kinds of a survey like vaccination, involved in providing services to the remote areas and online services (Branson, 2020). The view of the perspective of the stakeholders has impacts formed due to the spread of covid-19. The stakeholders have taken the responsibility of providing emergency services to patients in the acute stage. They also use to teach the people the new kind of ideas to maintain their health conditions, maintaining the hygienic conditions as well. </w:t>
      </w:r>
      <w:r w:rsidR="00E21214" w:rsidRPr="009A0AF5">
        <w:rPr>
          <w:rFonts w:ascii="Times New Roman" w:eastAsia="Times New Roman" w:hAnsi="Times New Roman" w:cs="Times New Roman"/>
          <w:color w:val="0E101A"/>
          <w:sz w:val="24"/>
          <w:szCs w:val="24"/>
          <w:highlight w:val="white"/>
        </w:rPr>
        <w:t>Therefore,</w:t>
      </w:r>
      <w:r w:rsidRPr="009A0AF5">
        <w:rPr>
          <w:rFonts w:ascii="Times New Roman" w:eastAsia="Times New Roman" w:hAnsi="Times New Roman" w:cs="Times New Roman"/>
          <w:color w:val="0E101A"/>
          <w:sz w:val="24"/>
          <w:szCs w:val="24"/>
          <w:highlight w:val="white"/>
        </w:rPr>
        <w:t xml:space="preserve"> the involvement of the stakeholders creates an interesting zone for the people of the community to make themselves involved in the community engagement or the programme. </w:t>
      </w:r>
    </w:p>
    <w:p w:rsidR="007D56CE" w:rsidRDefault="007D56CE">
      <w:pPr>
        <w:spacing w:line="360" w:lineRule="auto"/>
        <w:jc w:val="both"/>
        <w:rPr>
          <w:rFonts w:ascii="Times New Roman" w:eastAsia="Times New Roman" w:hAnsi="Times New Roman" w:cs="Times New Roman"/>
          <w:color w:val="0E101A"/>
          <w:sz w:val="24"/>
          <w:szCs w:val="24"/>
          <w:highlight w:val="white"/>
        </w:rPr>
      </w:pPr>
    </w:p>
    <w:p w:rsidR="007D56CE" w:rsidRPr="009A0AF5" w:rsidRDefault="007D56CE">
      <w:pPr>
        <w:spacing w:line="360" w:lineRule="auto"/>
        <w:jc w:val="both"/>
        <w:rPr>
          <w:rFonts w:ascii="Times New Roman" w:eastAsia="Times New Roman" w:hAnsi="Times New Roman" w:cs="Times New Roman"/>
          <w:color w:val="0E101A"/>
          <w:sz w:val="24"/>
          <w:szCs w:val="24"/>
          <w:highlight w:val="white"/>
        </w:rPr>
      </w:pPr>
    </w:p>
    <w:p w:rsidR="00A41FCD" w:rsidRDefault="00CA5B65" w:rsidP="007D56CE">
      <w:pPr>
        <w:pStyle w:val="Heading1"/>
        <w:jc w:val="center"/>
        <w:rPr>
          <w:rFonts w:ascii="Times New Roman" w:hAnsi="Times New Roman" w:cs="Times New Roman"/>
          <w:b/>
          <w:bCs/>
          <w:sz w:val="32"/>
          <w:szCs w:val="32"/>
          <w:highlight w:val="white"/>
        </w:rPr>
      </w:pPr>
      <w:bookmarkStart w:id="3" w:name="_Toc102010047"/>
      <w:r w:rsidRPr="0091604F">
        <w:rPr>
          <w:rFonts w:ascii="Times New Roman" w:hAnsi="Times New Roman" w:cs="Times New Roman"/>
          <w:b/>
          <w:bCs/>
          <w:sz w:val="32"/>
          <w:szCs w:val="32"/>
          <w:highlight w:val="white"/>
        </w:rPr>
        <w:t>Social media influence multiculturalism and social integration</w:t>
      </w:r>
      <w:bookmarkEnd w:id="3"/>
    </w:p>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E21214"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Since the world is getting more digitalised therefore the community engagement in the covid-19 crisis of the UK to send social media like Facebook</w:t>
      </w:r>
      <w:r w:rsidR="00506DF1">
        <w:rPr>
          <w:rFonts w:ascii="Times New Roman" w:eastAsia="Times New Roman" w:hAnsi="Times New Roman" w:cs="Times New Roman"/>
          <w:color w:val="0E101A"/>
          <w:sz w:val="24"/>
          <w:szCs w:val="24"/>
          <w:highlight w:val="white"/>
        </w:rPr>
        <w:t>,</w:t>
      </w:r>
      <w:r w:rsidRPr="009A0AF5">
        <w:rPr>
          <w:rFonts w:ascii="Times New Roman" w:eastAsia="Times New Roman" w:hAnsi="Times New Roman" w:cs="Times New Roman"/>
          <w:color w:val="0E101A"/>
          <w:sz w:val="24"/>
          <w:szCs w:val="24"/>
          <w:highlight w:val="white"/>
        </w:rPr>
        <w:t xml:space="preserve"> WhatsApp</w:t>
      </w:r>
      <w:r w:rsidR="00506DF1">
        <w:rPr>
          <w:rFonts w:ascii="Times New Roman" w:eastAsia="Times New Roman" w:hAnsi="Times New Roman" w:cs="Times New Roman"/>
          <w:color w:val="0E101A"/>
          <w:sz w:val="24"/>
          <w:szCs w:val="24"/>
          <w:highlight w:val="white"/>
        </w:rPr>
        <w:t>,</w:t>
      </w:r>
      <w:r w:rsidRPr="009A0AF5">
        <w:rPr>
          <w:rFonts w:ascii="Times New Roman" w:eastAsia="Times New Roman" w:hAnsi="Times New Roman" w:cs="Times New Roman"/>
          <w:color w:val="0E101A"/>
          <w:sz w:val="24"/>
          <w:szCs w:val="24"/>
          <w:highlight w:val="white"/>
        </w:rPr>
        <w:t xml:space="preserve"> Twitter and Instagram to be the only media through which servers can deliver to the people all over the world. The service of the internet has made the people connected therefore all the events can easily be displayed virtually. India has played an important role in spreading the popularity of the </w:t>
      </w:r>
      <w:r w:rsidRPr="009A0AF5">
        <w:rPr>
          <w:rFonts w:ascii="Times New Roman" w:eastAsia="Times New Roman" w:hAnsi="Times New Roman" w:cs="Times New Roman"/>
          <w:color w:val="0E101A"/>
          <w:sz w:val="24"/>
          <w:szCs w:val="24"/>
          <w:highlight w:val="white"/>
        </w:rPr>
        <w:lastRenderedPageBreak/>
        <w:t>community engagement of the Local Government of the UK where they have taken the initiative to control the crisis that has occurred of the covid-19 pandemic. This community engagement also has taken the help of therefore technology by introducing live videos of the services that they are providing. Patients who were a problem during the covid-19 pandemic have chosen social media like Facebook and Twitter to convey their problems so that the community engagement could take the initiative of providing all the needs of the patients affected by covid-19. Social media is changing platforms for every people. Besides, it also helps the children and the students take the help from the social media for their academic needs. Also, social media can easily</w:t>
      </w:r>
      <w:r w:rsidR="00B51CA1">
        <w:rPr>
          <w:rFonts w:ascii="Times New Roman" w:eastAsia="Times New Roman" w:hAnsi="Times New Roman" w:cs="Times New Roman"/>
          <w:color w:val="0E101A"/>
          <w:sz w:val="24"/>
          <w:szCs w:val="24"/>
          <w:highlight w:val="white"/>
        </w:rPr>
        <w:t xml:space="preserve"> accessed</w:t>
      </w:r>
      <w:r w:rsidRPr="009A0AF5">
        <w:rPr>
          <w:rFonts w:ascii="Times New Roman" w:eastAsia="Times New Roman" w:hAnsi="Times New Roman" w:cs="Times New Roman"/>
          <w:color w:val="0E101A"/>
          <w:sz w:val="24"/>
          <w:szCs w:val="24"/>
          <w:highlight w:val="white"/>
        </w:rPr>
        <w:t xml:space="preserve"> by people of all ages starting from a child to an age person. It only needs good access in the connectivity. </w:t>
      </w:r>
    </w:p>
    <w:p w:rsidR="00A41FCD"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Social media has a great influence on academic skills like the students doing their projects and assignments by gaining knowledge of any topic. Multicultural education can be defi</w:t>
      </w:r>
      <w:r w:rsidR="00B51CA1">
        <w:rPr>
          <w:rFonts w:ascii="Times New Roman" w:eastAsia="Times New Roman" w:hAnsi="Times New Roman" w:cs="Times New Roman"/>
          <w:color w:val="0E101A"/>
          <w:sz w:val="24"/>
          <w:szCs w:val="24"/>
          <w:highlight w:val="white"/>
        </w:rPr>
        <w:t>ned as the type of the</w:t>
      </w:r>
      <w:r w:rsidRPr="009A0AF5">
        <w:rPr>
          <w:rFonts w:ascii="Times New Roman" w:eastAsia="Times New Roman" w:hAnsi="Times New Roman" w:cs="Times New Roman"/>
          <w:color w:val="0E101A"/>
          <w:sz w:val="24"/>
          <w:szCs w:val="24"/>
          <w:highlight w:val="white"/>
        </w:rPr>
        <w:t xml:space="preserve"> multicultural education a student </w:t>
      </w:r>
      <w:r w:rsidR="00E21214" w:rsidRPr="009A0AF5">
        <w:rPr>
          <w:rFonts w:ascii="Times New Roman" w:eastAsia="Times New Roman" w:hAnsi="Times New Roman" w:cs="Times New Roman"/>
          <w:color w:val="0E101A"/>
          <w:sz w:val="24"/>
          <w:szCs w:val="24"/>
          <w:highlight w:val="white"/>
        </w:rPr>
        <w:t>need</w:t>
      </w:r>
      <w:r w:rsidRPr="009A0AF5">
        <w:rPr>
          <w:rFonts w:ascii="Times New Roman" w:eastAsia="Times New Roman" w:hAnsi="Times New Roman" w:cs="Times New Roman"/>
          <w:color w:val="0E101A"/>
          <w:sz w:val="24"/>
          <w:szCs w:val="24"/>
          <w:highlight w:val="white"/>
        </w:rPr>
        <w:t xml:space="preserve">. Media acts as a platform for exchanging the different cultures, different religions and different languages among each other. Multicultural education depends upon the empowerment, enquiry and the basic foundation of the society. Connectivity among the individuals' local community. Integration can be divided into two-three parts cultural, communication and functional (Sanfelici, 2020). Social integration can be defined as the process where the minor classes form the structure of the society. The four main types of social integration are the cultural type, normative type, communicative type and functional type. It mainly deals with the low community people getting integrated with the high community. Social integration is the only model that has helped people to share equal cultures, opportunities as well as services. This is the only zone where there is no presence of moral risks but rather provides a comfortable zone for mental stability. </w:t>
      </w:r>
    </w:p>
    <w:p w:rsidR="007D56CE" w:rsidRPr="009A0AF5" w:rsidRDefault="007D56CE">
      <w:pPr>
        <w:spacing w:line="360" w:lineRule="auto"/>
        <w:jc w:val="both"/>
        <w:rPr>
          <w:rFonts w:ascii="Times New Roman" w:eastAsia="Times New Roman" w:hAnsi="Times New Roman" w:cs="Times New Roman"/>
          <w:color w:val="0E101A"/>
          <w:sz w:val="24"/>
          <w:szCs w:val="24"/>
          <w:highlight w:val="white"/>
        </w:rPr>
      </w:pPr>
    </w:p>
    <w:p w:rsidR="00A41FCD" w:rsidRDefault="00CA5B65" w:rsidP="007D56CE">
      <w:pPr>
        <w:pStyle w:val="Heading1"/>
        <w:jc w:val="center"/>
        <w:rPr>
          <w:rFonts w:ascii="Times New Roman" w:hAnsi="Times New Roman" w:cs="Times New Roman"/>
          <w:b/>
          <w:bCs/>
          <w:sz w:val="32"/>
          <w:szCs w:val="32"/>
          <w:highlight w:val="white"/>
        </w:rPr>
      </w:pPr>
      <w:bookmarkStart w:id="4" w:name="_Toc102010048"/>
      <w:r w:rsidRPr="0091604F">
        <w:rPr>
          <w:rFonts w:ascii="Times New Roman" w:hAnsi="Times New Roman" w:cs="Times New Roman"/>
          <w:b/>
          <w:bCs/>
          <w:sz w:val="32"/>
          <w:szCs w:val="32"/>
          <w:highlight w:val="white"/>
        </w:rPr>
        <w:t>Further approaches</w:t>
      </w:r>
      <w:bookmarkEnd w:id="4"/>
    </w:p>
    <w:p w:rsidR="007D56CE" w:rsidRDefault="007D56CE" w:rsidP="007D56CE">
      <w:pPr>
        <w:rPr>
          <w:highlight w:val="white"/>
        </w:rPr>
      </w:pPr>
    </w:p>
    <w:p w:rsidR="007D56CE" w:rsidRPr="007D56CE" w:rsidRDefault="007D56CE" w:rsidP="007D56CE"/>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As social media is digitalising the world with the advancement of technology, it is becoming more popular. Many people in the world use the internet and connect with their friends and relatives. Some popular companies have also been campaigning by the use of social media. There are various ways of approaching such as social networking use of mobile devices and visualisation.</w:t>
      </w:r>
    </w:p>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E21214">
        <w:rPr>
          <w:rFonts w:ascii="Times New Roman" w:eastAsia="Times New Roman" w:hAnsi="Times New Roman" w:cs="Times New Roman"/>
          <w:b/>
          <w:bCs/>
          <w:color w:val="0E101A"/>
          <w:sz w:val="24"/>
          <w:szCs w:val="24"/>
          <w:highlight w:val="white"/>
        </w:rPr>
        <w:lastRenderedPageBreak/>
        <w:t>Social network:</w:t>
      </w:r>
      <w:r w:rsidRPr="009A0AF5">
        <w:rPr>
          <w:rFonts w:ascii="Times New Roman" w:eastAsia="Times New Roman" w:hAnsi="Times New Roman" w:cs="Times New Roman"/>
          <w:color w:val="0E101A"/>
          <w:sz w:val="24"/>
          <w:szCs w:val="24"/>
          <w:highlight w:val="white"/>
        </w:rPr>
        <w:t xml:space="preserve"> Social networking services such as creating the official page on Facebook and YouTube channels. It will benefit the community engagement to spread their services as the modern people have huge trust and belief in social media. </w:t>
      </w:r>
    </w:p>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E21214">
        <w:rPr>
          <w:rFonts w:ascii="Times New Roman" w:eastAsia="Times New Roman" w:hAnsi="Times New Roman" w:cs="Times New Roman"/>
          <w:b/>
          <w:bCs/>
          <w:color w:val="0E101A"/>
          <w:sz w:val="24"/>
          <w:szCs w:val="24"/>
          <w:highlight w:val="white"/>
        </w:rPr>
        <w:t>Use of mobile devices:</w:t>
      </w:r>
      <w:r w:rsidRPr="009A0AF5">
        <w:rPr>
          <w:rFonts w:ascii="Times New Roman" w:eastAsia="Times New Roman" w:hAnsi="Times New Roman" w:cs="Times New Roman"/>
          <w:color w:val="0E101A"/>
          <w:sz w:val="24"/>
          <w:szCs w:val="24"/>
          <w:highlight w:val="white"/>
        </w:rPr>
        <w:t xml:space="preserve"> The use of mobile devices is necessary to get access to social media pages. It can also lead to the rise in the sale of mobile phones. Mobile phones also have the provision of installing some apps that are highly modified according to modern technology. </w:t>
      </w:r>
    </w:p>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E21214">
        <w:rPr>
          <w:rFonts w:ascii="Times New Roman" w:eastAsia="Times New Roman" w:hAnsi="Times New Roman" w:cs="Times New Roman"/>
          <w:b/>
          <w:bCs/>
          <w:color w:val="0E101A"/>
          <w:sz w:val="24"/>
          <w:szCs w:val="24"/>
          <w:highlight w:val="white"/>
        </w:rPr>
        <w:t>Visualisation:</w:t>
      </w:r>
      <w:r w:rsidRPr="009A0AF5">
        <w:rPr>
          <w:rFonts w:ascii="Times New Roman" w:eastAsia="Times New Roman" w:hAnsi="Times New Roman" w:cs="Times New Roman"/>
          <w:color w:val="0E101A"/>
          <w:sz w:val="24"/>
          <w:szCs w:val="24"/>
          <w:highlight w:val="white"/>
        </w:rPr>
        <w:t xml:space="preserve"> Visualisation through social media is necessary and apps like Snapchat and Instagram are helping it out. People will also follow the editorials and the advertisements on the T.V to make themselves updated along with the development of technology. </w:t>
      </w:r>
    </w:p>
    <w:p w:rsidR="00A41FCD"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 xml:space="preserve">Apart from these, community engagement can also spread its popularity through campaigns, advertisements and many others (Joosten et al., 2018). Community engagement that has been initiated during the time of the covid-19 have created a positive impact on the people's mind. The different kinds of approaches are adapted to attract the audience of the diverse groups. The community engagement must have to develop itself with modern technology so that they can present their ideas and the program through </w:t>
      </w:r>
      <w:r w:rsidR="00E21214" w:rsidRPr="009A0AF5">
        <w:rPr>
          <w:rFonts w:ascii="Times New Roman" w:eastAsia="Times New Roman" w:hAnsi="Times New Roman" w:cs="Times New Roman"/>
          <w:color w:val="0E101A"/>
          <w:sz w:val="24"/>
          <w:szCs w:val="24"/>
          <w:highlight w:val="white"/>
        </w:rPr>
        <w:t>audio-visual</w:t>
      </w:r>
      <w:r w:rsidRPr="009A0AF5">
        <w:rPr>
          <w:rFonts w:ascii="Times New Roman" w:eastAsia="Times New Roman" w:hAnsi="Times New Roman" w:cs="Times New Roman"/>
          <w:color w:val="0E101A"/>
          <w:sz w:val="24"/>
          <w:szCs w:val="24"/>
          <w:highlight w:val="white"/>
        </w:rPr>
        <w:t xml:space="preserve"> mode. Trust and loyalty are the two most important parts of community engagement. There must be trust among the members of the community engagement so that they can depend upon each other and serve the community in a collaborative way (Taylor et al., 2020). The community engagement must focus on the conferences, both offline and online seminars, and surveys. Stakeholders must be included in an increased number in future so that the program of covid-19 crisis control can have a huge number of members or participants to take part in the community engagement. People of the modern world thus have chosen modern technologies like mobiles, laptops, and the internet to be the only mode for future approaches to community engagement. </w:t>
      </w:r>
    </w:p>
    <w:p w:rsidR="007D56CE" w:rsidRPr="009A0AF5" w:rsidRDefault="007D56CE">
      <w:pPr>
        <w:spacing w:line="360" w:lineRule="auto"/>
        <w:jc w:val="both"/>
        <w:rPr>
          <w:rFonts w:ascii="Times New Roman" w:eastAsia="Times New Roman" w:hAnsi="Times New Roman" w:cs="Times New Roman"/>
          <w:color w:val="0E101A"/>
          <w:sz w:val="24"/>
          <w:szCs w:val="24"/>
          <w:highlight w:val="white"/>
        </w:rPr>
      </w:pPr>
    </w:p>
    <w:p w:rsidR="007D56CE" w:rsidRDefault="007D56CE" w:rsidP="007D56CE">
      <w:pPr>
        <w:pStyle w:val="Heading1"/>
        <w:jc w:val="center"/>
        <w:rPr>
          <w:rFonts w:ascii="Times New Roman" w:hAnsi="Times New Roman" w:cs="Times New Roman"/>
          <w:b/>
          <w:bCs/>
          <w:sz w:val="32"/>
          <w:szCs w:val="32"/>
          <w:highlight w:val="white"/>
        </w:rPr>
      </w:pPr>
      <w:bookmarkStart w:id="5" w:name="_Toc102010049"/>
    </w:p>
    <w:p w:rsidR="007D56CE" w:rsidRDefault="007D56CE" w:rsidP="007D56CE">
      <w:pPr>
        <w:pStyle w:val="Heading1"/>
        <w:jc w:val="center"/>
        <w:rPr>
          <w:rFonts w:ascii="Times New Roman" w:hAnsi="Times New Roman" w:cs="Times New Roman"/>
          <w:b/>
          <w:bCs/>
          <w:sz w:val="32"/>
          <w:szCs w:val="32"/>
          <w:highlight w:val="white"/>
        </w:rPr>
      </w:pPr>
    </w:p>
    <w:p w:rsidR="007D56CE" w:rsidRDefault="007D56CE" w:rsidP="007D56CE">
      <w:pPr>
        <w:pStyle w:val="Heading1"/>
        <w:jc w:val="center"/>
        <w:rPr>
          <w:rFonts w:ascii="Times New Roman" w:hAnsi="Times New Roman" w:cs="Times New Roman"/>
          <w:b/>
          <w:bCs/>
          <w:sz w:val="32"/>
          <w:szCs w:val="32"/>
          <w:highlight w:val="white"/>
        </w:rPr>
      </w:pPr>
    </w:p>
    <w:bookmarkEnd w:id="5"/>
    <w:p w:rsidR="007D56CE" w:rsidRDefault="007D56CE" w:rsidP="007D56CE">
      <w:pPr>
        <w:rPr>
          <w:highlight w:val="white"/>
        </w:rPr>
      </w:pPr>
    </w:p>
    <w:p w:rsidR="007D56CE" w:rsidRDefault="007D56CE" w:rsidP="007D56CE">
      <w:pPr>
        <w:rPr>
          <w:highlight w:val="white"/>
        </w:rPr>
      </w:pPr>
    </w:p>
    <w:p w:rsidR="007D56CE" w:rsidRDefault="007D56CE" w:rsidP="007D56CE">
      <w:pPr>
        <w:rPr>
          <w:highlight w:val="white"/>
        </w:rPr>
      </w:pPr>
    </w:p>
    <w:p w:rsidR="007D56CE" w:rsidRDefault="007D56CE" w:rsidP="007D56CE">
      <w:pPr>
        <w:pStyle w:val="Heading1"/>
        <w:jc w:val="center"/>
        <w:rPr>
          <w:rFonts w:ascii="Times New Roman" w:hAnsi="Times New Roman" w:cs="Times New Roman"/>
          <w:b/>
          <w:bCs/>
          <w:sz w:val="32"/>
          <w:szCs w:val="32"/>
          <w:highlight w:val="white"/>
        </w:rPr>
      </w:pPr>
      <w:r w:rsidRPr="0091604F">
        <w:rPr>
          <w:rFonts w:ascii="Times New Roman" w:hAnsi="Times New Roman" w:cs="Times New Roman"/>
          <w:b/>
          <w:bCs/>
          <w:sz w:val="32"/>
          <w:szCs w:val="32"/>
          <w:highlight w:val="white"/>
        </w:rPr>
        <w:lastRenderedPageBreak/>
        <w:t>Conclusion</w:t>
      </w:r>
    </w:p>
    <w:p w:rsidR="007D56CE" w:rsidRDefault="007D56CE" w:rsidP="007D56CE">
      <w:pPr>
        <w:rPr>
          <w:highlight w:val="white"/>
        </w:rPr>
      </w:pPr>
    </w:p>
    <w:p w:rsidR="007D56CE" w:rsidRPr="007D56CE" w:rsidRDefault="007D56CE" w:rsidP="007D56CE"/>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A41FCD" w:rsidRPr="009A0AF5" w:rsidRDefault="00CA5B65">
      <w:pPr>
        <w:spacing w:line="360" w:lineRule="auto"/>
        <w:jc w:val="both"/>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t xml:space="preserve">Hence, it could be concluded that community engagement is the most important for the development of a society. The main objective of community engagement is to provide benefits to the people of the community. Community engagement has helped society to proceed further and gets the people of the community to be more sincere and focused on their health so that they can able to protect themselves from any kind of disease. The role of the stakeholders has been well explained in the report on community engagement in controlling the crisis of the covid-19 pandemic. The stakeholders have actively involved themselves in the community engagement so that the people can feel the programme to be a sincere and well-fare programme for themselves. The activities of serving people during the time of emergency, and providing them food during the lockdown period have encouraged people to take part in this programme. The programme of this community engagement has also spread its popularity through the use of social media like Facebook, Twitter, Instagram and so on. Community engagement has the benefit of making people come together in the form of a team and take the responsibility of creating any kind of programme like controlling of Covid-19 pandemic. </w:t>
      </w:r>
    </w:p>
    <w:p w:rsidR="00A41FCD" w:rsidRPr="009A0AF5" w:rsidRDefault="00A41FCD">
      <w:pPr>
        <w:spacing w:line="360" w:lineRule="auto"/>
        <w:jc w:val="both"/>
        <w:rPr>
          <w:rFonts w:ascii="Times New Roman" w:eastAsia="Times New Roman" w:hAnsi="Times New Roman" w:cs="Times New Roman"/>
          <w:color w:val="0E101A"/>
          <w:sz w:val="24"/>
          <w:szCs w:val="24"/>
          <w:highlight w:val="white"/>
        </w:rPr>
      </w:pPr>
    </w:p>
    <w:p w:rsidR="00A41FCD" w:rsidRPr="009A0AF5" w:rsidRDefault="00A41FCD">
      <w:pPr>
        <w:spacing w:line="360" w:lineRule="auto"/>
        <w:jc w:val="both"/>
        <w:rPr>
          <w:rFonts w:ascii="Times New Roman" w:eastAsia="Times New Roman" w:hAnsi="Times New Roman" w:cs="Times New Roman"/>
          <w:color w:val="0E101A"/>
          <w:sz w:val="24"/>
          <w:szCs w:val="24"/>
          <w:highlight w:val="white"/>
        </w:rPr>
      </w:pPr>
    </w:p>
    <w:p w:rsidR="00A41FCD" w:rsidRPr="009A0AF5" w:rsidRDefault="00CA5B65" w:rsidP="009A0AF5">
      <w:pPr>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br w:type="page"/>
      </w:r>
    </w:p>
    <w:p w:rsidR="009A0AF5" w:rsidRDefault="00CA5B65" w:rsidP="007D56CE">
      <w:pPr>
        <w:pStyle w:val="Heading1"/>
        <w:jc w:val="center"/>
        <w:rPr>
          <w:rFonts w:ascii="Times New Roman" w:hAnsi="Times New Roman" w:cs="Times New Roman"/>
          <w:b/>
          <w:bCs/>
          <w:sz w:val="32"/>
          <w:szCs w:val="32"/>
          <w:highlight w:val="white"/>
        </w:rPr>
      </w:pPr>
      <w:bookmarkStart w:id="6" w:name="_Toc102010050"/>
      <w:r w:rsidRPr="0091604F">
        <w:rPr>
          <w:rFonts w:ascii="Times New Roman" w:hAnsi="Times New Roman" w:cs="Times New Roman"/>
          <w:b/>
          <w:bCs/>
          <w:sz w:val="32"/>
          <w:szCs w:val="32"/>
          <w:highlight w:val="white"/>
        </w:rPr>
        <w:lastRenderedPageBreak/>
        <w:t>Reference list</w:t>
      </w:r>
      <w:bookmarkEnd w:id="6"/>
    </w:p>
    <w:p w:rsidR="007D56CE" w:rsidRDefault="007D56CE" w:rsidP="007D56CE">
      <w:pPr>
        <w:rPr>
          <w:highlight w:val="white"/>
        </w:rPr>
      </w:pPr>
    </w:p>
    <w:p w:rsidR="007D56CE" w:rsidRDefault="007D56CE" w:rsidP="007D56CE">
      <w:pPr>
        <w:rPr>
          <w:highlight w:val="white"/>
        </w:rPr>
      </w:pPr>
    </w:p>
    <w:p w:rsidR="007D56CE" w:rsidRPr="007D56CE" w:rsidRDefault="007D56CE" w:rsidP="007D56CE"/>
    <w:p w:rsidR="009A0AF5" w:rsidRPr="00737F60" w:rsidRDefault="00CA5B65" w:rsidP="00E21214">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Branson, B., 2020. Cards from the community: Engagement of the local community to enhance patient and staff experience during the COVID-19 pandemic. </w:t>
      </w:r>
      <w:r w:rsidRPr="00E21214">
        <w:rPr>
          <w:rFonts w:ascii="Times New Roman" w:eastAsia="Times New Roman" w:hAnsi="Times New Roman" w:cs="Times New Roman"/>
          <w:i/>
          <w:color w:val="0E101A"/>
          <w:sz w:val="24"/>
          <w:szCs w:val="24"/>
          <w:highlight w:val="white"/>
        </w:rPr>
        <w:t>Patient Experience Journal</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7</w:t>
      </w:r>
      <w:r w:rsidRPr="00E21214">
        <w:rPr>
          <w:rFonts w:ascii="Times New Roman" w:eastAsia="Times New Roman" w:hAnsi="Times New Roman" w:cs="Times New Roman"/>
          <w:color w:val="0E101A"/>
          <w:sz w:val="24"/>
          <w:szCs w:val="24"/>
          <w:highlight w:val="white"/>
        </w:rPr>
        <w:t xml:space="preserve">(2), pp.156-159. Available at: </w:t>
      </w:r>
      <w:hyperlink r:id="rId9" w:history="1">
        <w:r w:rsidRPr="00737F60">
          <w:rPr>
            <w:rFonts w:ascii="Times New Roman" w:eastAsia="Times New Roman" w:hAnsi="Times New Roman" w:cs="Times New Roman"/>
            <w:color w:val="000000" w:themeColor="text1"/>
            <w:sz w:val="24"/>
            <w:szCs w:val="24"/>
            <w:highlight w:val="white"/>
            <w:u w:val="single"/>
          </w:rPr>
          <w:t>https://pxjournal.org/cgi/viewcontent.cgi?article=1467&amp;context=journal</w:t>
        </w:r>
      </w:hyperlink>
      <w:r w:rsidR="0032366D">
        <w:rPr>
          <w:color w:val="000000" w:themeColor="text1"/>
        </w:rPr>
        <w:t>, Accessed on: 14</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Cifuentes-Faura, J., Obor, D.O., To, L. and Al-Naabi, I., 2021. Cross-cultural impacts of COVID-19 on higher education learning and teaching practices in Spain, Oman, Nigeria and Cambodia: A cross-cultural study. </w:t>
      </w:r>
      <w:r w:rsidRPr="00E21214">
        <w:rPr>
          <w:rFonts w:ascii="Times New Roman" w:eastAsia="Times New Roman" w:hAnsi="Times New Roman" w:cs="Times New Roman"/>
          <w:i/>
          <w:color w:val="0E101A"/>
          <w:sz w:val="24"/>
          <w:szCs w:val="24"/>
          <w:highlight w:val="white"/>
        </w:rPr>
        <w:t>Journal of University Teaching &amp; Learning Practice</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18</w:t>
      </w:r>
      <w:r w:rsidRPr="00E21214">
        <w:rPr>
          <w:rFonts w:ascii="Times New Roman" w:eastAsia="Times New Roman" w:hAnsi="Times New Roman" w:cs="Times New Roman"/>
          <w:color w:val="0E101A"/>
          <w:sz w:val="24"/>
          <w:szCs w:val="24"/>
          <w:highlight w:val="white"/>
        </w:rPr>
        <w:t xml:space="preserve">(5), p.8. Available at: </w:t>
      </w:r>
      <w:hyperlink r:id="rId10" w:history="1">
        <w:r w:rsidRPr="00737F60">
          <w:rPr>
            <w:rFonts w:ascii="Times New Roman" w:eastAsia="Times New Roman" w:hAnsi="Times New Roman" w:cs="Times New Roman"/>
            <w:color w:val="000000" w:themeColor="text1"/>
            <w:sz w:val="24"/>
            <w:szCs w:val="24"/>
            <w:highlight w:val="white"/>
            <w:u w:val="single"/>
          </w:rPr>
          <w:t>https://ro.uow.edu.au/cgi/viewcontent.cgi?article=2494&amp;context=jutlp</w:t>
        </w:r>
      </w:hyperlink>
      <w:r w:rsidR="0032366D">
        <w:rPr>
          <w:color w:val="000000" w:themeColor="text1"/>
        </w:rPr>
        <w:t>, Accessed on: 14</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Fletcher, F.E., Allen, S., Vickers, S.M., Beavers, T., Hamlin, C.M., Young-Foster, D., Harris-Turner, S. and Erwin, P.C., 2020. COVID-19's impact on the African American community: a Stakeholder engagement approach to increase public awareness through virtual town halls. </w:t>
      </w:r>
      <w:r w:rsidRPr="00E21214">
        <w:rPr>
          <w:rFonts w:ascii="Times New Roman" w:eastAsia="Times New Roman" w:hAnsi="Times New Roman" w:cs="Times New Roman"/>
          <w:i/>
          <w:color w:val="0E101A"/>
          <w:sz w:val="24"/>
          <w:szCs w:val="24"/>
          <w:highlight w:val="white"/>
        </w:rPr>
        <w:t>Health Equity</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4</w:t>
      </w:r>
      <w:r w:rsidRPr="00E21214">
        <w:rPr>
          <w:rFonts w:ascii="Times New Roman" w:eastAsia="Times New Roman" w:hAnsi="Times New Roman" w:cs="Times New Roman"/>
          <w:color w:val="0E101A"/>
          <w:sz w:val="24"/>
          <w:szCs w:val="24"/>
          <w:highlight w:val="white"/>
        </w:rPr>
        <w:t xml:space="preserve">(1), pp.320-325. Available at: </w:t>
      </w:r>
      <w:hyperlink r:id="rId11" w:history="1">
        <w:r w:rsidRPr="00737F60">
          <w:rPr>
            <w:rFonts w:ascii="Times New Roman" w:eastAsia="Times New Roman" w:hAnsi="Times New Roman" w:cs="Times New Roman"/>
            <w:color w:val="000000" w:themeColor="text1"/>
            <w:sz w:val="24"/>
            <w:szCs w:val="24"/>
            <w:highlight w:val="white"/>
            <w:u w:val="single"/>
          </w:rPr>
          <w:t>https://www.liebertpub.com/doi/pdf/10.1089/heq.2020.0029</w:t>
        </w:r>
      </w:hyperlink>
      <w:r w:rsidR="0032366D">
        <w:rPr>
          <w:color w:val="000000" w:themeColor="text1"/>
        </w:rPr>
        <w:t>, Accessed on: 14</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Joosten, Y.A., Israel, T.L., Head, A., Vaughn, Y., Gil, V.V., Mouton, C. and Wilkins, C.H., 2018. Enhancing translational researchers’ ability to collaborate with community stakeholders: lessons from the community engagement studio. </w:t>
      </w:r>
      <w:r w:rsidRPr="00E21214">
        <w:rPr>
          <w:rFonts w:ascii="Times New Roman" w:eastAsia="Times New Roman" w:hAnsi="Times New Roman" w:cs="Times New Roman"/>
          <w:i/>
          <w:color w:val="0E101A"/>
          <w:sz w:val="24"/>
          <w:szCs w:val="24"/>
          <w:highlight w:val="white"/>
        </w:rPr>
        <w:t>Journal of Clinical and Translational Science</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2</w:t>
      </w:r>
      <w:r w:rsidRPr="00E21214">
        <w:rPr>
          <w:rFonts w:ascii="Times New Roman" w:eastAsia="Times New Roman" w:hAnsi="Times New Roman" w:cs="Times New Roman"/>
          <w:color w:val="0E101A"/>
          <w:sz w:val="24"/>
          <w:szCs w:val="24"/>
          <w:highlight w:val="white"/>
        </w:rPr>
        <w:t xml:space="preserve">(4), pp.201-207. Available at: </w:t>
      </w:r>
      <w:hyperlink r:id="rId12" w:history="1">
        <w:r w:rsidRPr="00737F60">
          <w:rPr>
            <w:rFonts w:ascii="Times New Roman" w:eastAsia="Times New Roman" w:hAnsi="Times New Roman" w:cs="Times New Roman"/>
            <w:color w:val="000000" w:themeColor="text1"/>
            <w:sz w:val="24"/>
            <w:szCs w:val="24"/>
            <w:highlight w:val="white"/>
            <w:u w:val="single"/>
          </w:rPr>
          <w:t>https://www.cambridge.org/core/services/aop-cambridge-core/content/view/AF78811DF6C4223A44B6910FC4347CAE/S2059866118003230a.pdf/div-class-title-enhancing-translational-researchers-ability-to-collaborate-with-community-stakeholders-lessons-from-the-community-engagement-studio-div.pdf</w:t>
        </w:r>
      </w:hyperlink>
      <w:r w:rsidR="0032366D">
        <w:rPr>
          <w:color w:val="000000" w:themeColor="text1"/>
        </w:rPr>
        <w:t>, Accessed on: 15</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Kumar, J. and Kumar, V., 2020. Drivers of brand community engagement. </w:t>
      </w:r>
      <w:r w:rsidRPr="00E21214">
        <w:rPr>
          <w:rFonts w:ascii="Times New Roman" w:eastAsia="Times New Roman" w:hAnsi="Times New Roman" w:cs="Times New Roman"/>
          <w:i/>
          <w:color w:val="0E101A"/>
          <w:sz w:val="24"/>
          <w:szCs w:val="24"/>
          <w:highlight w:val="white"/>
        </w:rPr>
        <w:t>Journal of Retailing and Consumer Services</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54</w:t>
      </w:r>
      <w:r w:rsidRPr="00E21214">
        <w:rPr>
          <w:rFonts w:ascii="Times New Roman" w:eastAsia="Times New Roman" w:hAnsi="Times New Roman" w:cs="Times New Roman"/>
          <w:color w:val="0E101A"/>
          <w:sz w:val="24"/>
          <w:szCs w:val="24"/>
          <w:highlight w:val="white"/>
        </w:rPr>
        <w:t xml:space="preserve">, p.101949. Available at: </w:t>
      </w:r>
      <w:hyperlink r:id="rId13" w:history="1">
        <w:r w:rsidRPr="00737F60">
          <w:rPr>
            <w:rFonts w:ascii="Times New Roman" w:eastAsia="Times New Roman" w:hAnsi="Times New Roman" w:cs="Times New Roman"/>
            <w:color w:val="000000" w:themeColor="text1"/>
            <w:sz w:val="24"/>
            <w:szCs w:val="24"/>
            <w:highlight w:val="white"/>
            <w:u w:val="single"/>
          </w:rPr>
          <w:t>https://fardapaper.ir/mohavaha/uploads/2020/08/Fardapaper-Drivers-of-brand-community-engagement.pdf</w:t>
        </w:r>
      </w:hyperlink>
      <w:r w:rsidR="0032366D">
        <w:rPr>
          <w:color w:val="000000" w:themeColor="text1"/>
        </w:rPr>
        <w:t>, Accessed on: 15</w:t>
      </w:r>
      <w:r w:rsidR="0032366D" w:rsidRPr="0032366D">
        <w:rPr>
          <w:color w:val="000000" w:themeColor="text1"/>
          <w:vertAlign w:val="superscript"/>
        </w:rPr>
        <w:t>th</w:t>
      </w:r>
      <w:r w:rsidR="0032366D">
        <w:rPr>
          <w:color w:val="000000" w:themeColor="text1"/>
        </w:rPr>
        <w:t xml:space="preserve"> April 2022</w:t>
      </w:r>
    </w:p>
    <w:p w:rsidR="009A0AF5" w:rsidRPr="00737F60" w:rsidRDefault="009A0AF5" w:rsidP="00E21214">
      <w:pPr>
        <w:spacing w:line="360" w:lineRule="auto"/>
        <w:jc w:val="both"/>
        <w:rPr>
          <w:rFonts w:ascii="Times New Roman" w:eastAsia="Times New Roman" w:hAnsi="Times New Roman" w:cs="Times New Roman"/>
          <w:color w:val="000000" w:themeColor="text1"/>
          <w:sz w:val="24"/>
          <w:szCs w:val="24"/>
          <w:highlight w:val="white"/>
          <w:u w:val="single"/>
        </w:rPr>
      </w:pP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lastRenderedPageBreak/>
        <w:t xml:space="preserve">Loewenson, R., Colvin, C.J., Szabzon, F., Das, S., Khanna, R., Coelho, V.S.P., Gansane, Z., Yao, S., Asibu, W.D., Rome, N. and Nolan, E., 2021. Beyond Command and control: a rapid review of meaningful community-engaged responses to COVID-19. </w:t>
      </w:r>
      <w:r w:rsidRPr="00E21214">
        <w:rPr>
          <w:rFonts w:ascii="Times New Roman" w:eastAsia="Times New Roman" w:hAnsi="Times New Roman" w:cs="Times New Roman"/>
          <w:i/>
          <w:color w:val="0E101A"/>
          <w:sz w:val="24"/>
          <w:szCs w:val="24"/>
          <w:highlight w:val="white"/>
        </w:rPr>
        <w:t>Global Public Health</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16</w:t>
      </w:r>
      <w:r w:rsidRPr="00E21214">
        <w:rPr>
          <w:rFonts w:ascii="Times New Roman" w:eastAsia="Times New Roman" w:hAnsi="Times New Roman" w:cs="Times New Roman"/>
          <w:color w:val="0E101A"/>
          <w:sz w:val="24"/>
          <w:szCs w:val="24"/>
          <w:highlight w:val="white"/>
        </w:rPr>
        <w:t xml:space="preserve">(8-9), pp.1439-1453. Available at: </w:t>
      </w:r>
      <w:hyperlink r:id="rId14" w:history="1">
        <w:r w:rsidRPr="00737F60">
          <w:rPr>
            <w:rFonts w:ascii="Times New Roman" w:eastAsia="Times New Roman" w:hAnsi="Times New Roman" w:cs="Times New Roman"/>
            <w:color w:val="000000" w:themeColor="text1"/>
            <w:sz w:val="24"/>
            <w:szCs w:val="24"/>
            <w:highlight w:val="white"/>
            <w:u w:val="single"/>
          </w:rPr>
          <w:t>https://d1wqtxts1xzle7.cloudfront.net/70496104/17441692.2021-with-cover-page-v2.pdf?Expires=1651099977&amp;Signature=DMmnctAI6b2scD0Yq5IrNn20IWT5o-8SqrrmN9DCEuwQCXi8wsUDQXVh0qdxzsh5d7Pap1s64dZX3Ze-wdXg5feWFl0W9CpSA7wMBSrte9RGyR230i3vQChsnJA7nGDHtM6M9MaVkH5YbeRORASmthwSH1DHJRaJpjOGvRcWKNDRTxa1L6tu5ms62xvAzXsOE4Q5ek7rF8kA2agf6v1UmtQWfzf3Y-dE6-q49swFOOeHZ5cKrZv4NWDnm7IsY5o40f7S8BeynxNKdSfr5SGEWcWykmFsZcCDw7ZwUAKGyWPNpZcrdH4HCFqy~LKAXLs5z9f6BtbxT5Ee1r69x~nT2g__&amp;Key-Pair-Id=APKAJLOHF5GGSLRBV4ZA</w:t>
        </w:r>
      </w:hyperlink>
      <w:r w:rsidR="0032366D">
        <w:rPr>
          <w:color w:val="000000" w:themeColor="text1"/>
        </w:rPr>
        <w:t>, Accessed on: 16</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Ojikutu, B.O., Stephenson, K.E., Mayer, K.H. and Emmons, K.M., 2021. Building trust in COVID-19 vaccines and beyond through authentic community investment. </w:t>
      </w:r>
      <w:r w:rsidRPr="00E21214">
        <w:rPr>
          <w:rFonts w:ascii="Times New Roman" w:eastAsia="Times New Roman" w:hAnsi="Times New Roman" w:cs="Times New Roman"/>
          <w:i/>
          <w:color w:val="0E101A"/>
          <w:sz w:val="24"/>
          <w:szCs w:val="24"/>
          <w:highlight w:val="white"/>
        </w:rPr>
        <w:t>American Journal of Public Health</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111</w:t>
      </w:r>
      <w:r w:rsidRPr="00E21214">
        <w:rPr>
          <w:rFonts w:ascii="Times New Roman" w:eastAsia="Times New Roman" w:hAnsi="Times New Roman" w:cs="Times New Roman"/>
          <w:color w:val="0E101A"/>
          <w:sz w:val="24"/>
          <w:szCs w:val="24"/>
          <w:highlight w:val="white"/>
        </w:rPr>
        <w:t xml:space="preserve">(3), pp.366-368. Available at: </w:t>
      </w:r>
      <w:hyperlink r:id="rId15" w:history="1">
        <w:r w:rsidRPr="00737F60">
          <w:rPr>
            <w:rFonts w:ascii="Times New Roman" w:eastAsia="Times New Roman" w:hAnsi="Times New Roman" w:cs="Times New Roman"/>
            <w:color w:val="000000" w:themeColor="text1"/>
            <w:sz w:val="24"/>
            <w:szCs w:val="24"/>
            <w:highlight w:val="white"/>
            <w:u w:val="single"/>
          </w:rPr>
          <w:t>https://ajph.aphapublications.org/doi/pdfplus/10.2105/AJPH.2020.306087</w:t>
        </w:r>
      </w:hyperlink>
      <w:r w:rsidR="0032366D">
        <w:rPr>
          <w:color w:val="000000" w:themeColor="text1"/>
        </w:rPr>
        <w:t xml:space="preserve">, </w:t>
      </w:r>
      <w:r w:rsidR="0032366D" w:rsidRPr="0032366D">
        <w:rPr>
          <w:color w:val="000000" w:themeColor="text1"/>
        </w:rPr>
        <w:t xml:space="preserve"> </w:t>
      </w:r>
      <w:r w:rsidR="0032366D">
        <w:rPr>
          <w:color w:val="000000" w:themeColor="text1"/>
        </w:rPr>
        <w:t>Accessed on: 16</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Ryan, B., Johnston, K.A., Taylor, M. and McAndrew, R., 2020. Community engagement for disaster preparedness: A systematic literature review. </w:t>
      </w:r>
      <w:r w:rsidRPr="00E21214">
        <w:rPr>
          <w:rFonts w:ascii="Times New Roman" w:eastAsia="Times New Roman" w:hAnsi="Times New Roman" w:cs="Times New Roman"/>
          <w:i/>
          <w:color w:val="0E101A"/>
          <w:sz w:val="24"/>
          <w:szCs w:val="24"/>
          <w:highlight w:val="white"/>
        </w:rPr>
        <w:t>International journal of disaster risk reduction</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49</w:t>
      </w:r>
      <w:r w:rsidRPr="00E21214">
        <w:rPr>
          <w:rFonts w:ascii="Times New Roman" w:eastAsia="Times New Roman" w:hAnsi="Times New Roman" w:cs="Times New Roman"/>
          <w:color w:val="0E101A"/>
          <w:sz w:val="24"/>
          <w:szCs w:val="24"/>
          <w:highlight w:val="white"/>
        </w:rPr>
        <w:t>, p.101655. Available at</w:t>
      </w:r>
      <w:r w:rsidRPr="00737F60">
        <w:rPr>
          <w:rFonts w:ascii="Times New Roman" w:eastAsia="Times New Roman" w:hAnsi="Times New Roman" w:cs="Times New Roman"/>
          <w:color w:val="000000" w:themeColor="text1"/>
          <w:sz w:val="24"/>
          <w:szCs w:val="24"/>
          <w:highlight w:val="white"/>
        </w:rPr>
        <w:t xml:space="preserve">: </w:t>
      </w:r>
      <w:hyperlink r:id="rId16" w:history="1">
        <w:r w:rsidRPr="00737F60">
          <w:rPr>
            <w:rFonts w:ascii="Times New Roman" w:eastAsia="Times New Roman" w:hAnsi="Times New Roman" w:cs="Times New Roman"/>
            <w:color w:val="000000" w:themeColor="text1"/>
            <w:sz w:val="24"/>
            <w:szCs w:val="24"/>
            <w:highlight w:val="white"/>
            <w:u w:val="single"/>
          </w:rPr>
          <w:t>https://eprints.qut.edu.au/202039/1/59981815.pdf</w:t>
        </w:r>
      </w:hyperlink>
      <w:r w:rsidR="0032366D">
        <w:rPr>
          <w:color w:val="000000" w:themeColor="text1"/>
        </w:rPr>
        <w:t>,</w:t>
      </w:r>
      <w:r w:rsidR="0032366D" w:rsidRPr="0032366D">
        <w:rPr>
          <w:color w:val="000000" w:themeColor="text1"/>
        </w:rPr>
        <w:t xml:space="preserve"> </w:t>
      </w:r>
      <w:r w:rsidR="0032366D">
        <w:rPr>
          <w:color w:val="000000" w:themeColor="text1"/>
        </w:rPr>
        <w:t>Accessed on: 16</w:t>
      </w:r>
      <w:r w:rsidR="0032366D" w:rsidRPr="0032366D">
        <w:rPr>
          <w:color w:val="000000" w:themeColor="text1"/>
          <w:vertAlign w:val="superscript"/>
        </w:rPr>
        <w:t>th</w:t>
      </w:r>
      <w:r w:rsidR="0032366D">
        <w:rPr>
          <w:color w:val="000000" w:themeColor="text1"/>
        </w:rPr>
        <w:t xml:space="preserve"> April 2022</w:t>
      </w:r>
    </w:p>
    <w:p w:rsidR="009A0AF5" w:rsidRPr="00952D09" w:rsidRDefault="0032366D" w:rsidP="00E21214">
      <w:pPr>
        <w:spacing w:line="360" w:lineRule="auto"/>
        <w:jc w:val="both"/>
        <w:rPr>
          <w:rFonts w:ascii="Times New Roman" w:eastAsia="Times New Roman" w:hAnsi="Times New Roman" w:cs="Times New Roman"/>
          <w:color w:val="4A6EE0"/>
          <w:sz w:val="24"/>
          <w:szCs w:val="24"/>
          <w:highlight w:val="white"/>
          <w:u w:val="single"/>
        </w:rPr>
      </w:pPr>
      <w:r>
        <w:rPr>
          <w:color w:val="000000" w:themeColor="text1"/>
        </w:rPr>
        <w:t xml:space="preserve"> </w:t>
      </w:r>
      <w:r w:rsidR="00CA5B65" w:rsidRPr="00E21214">
        <w:rPr>
          <w:rFonts w:ascii="Times New Roman" w:eastAsia="Times New Roman" w:hAnsi="Times New Roman" w:cs="Times New Roman"/>
          <w:color w:val="0E101A"/>
          <w:sz w:val="24"/>
          <w:szCs w:val="24"/>
          <w:highlight w:val="white"/>
        </w:rPr>
        <w:t xml:space="preserve">Sanfelici, M., 2020. The Italian response to the COVID-19 crisis: lessons learned and future direction in social development. </w:t>
      </w:r>
      <w:r w:rsidR="00CA5B65" w:rsidRPr="00E21214">
        <w:rPr>
          <w:rFonts w:ascii="Times New Roman" w:eastAsia="Times New Roman" w:hAnsi="Times New Roman" w:cs="Times New Roman"/>
          <w:i/>
          <w:color w:val="0E101A"/>
          <w:sz w:val="24"/>
          <w:szCs w:val="24"/>
          <w:highlight w:val="white"/>
        </w:rPr>
        <w:t>The International Journal of Community and Social Development</w:t>
      </w:r>
      <w:r w:rsidR="00CA5B65" w:rsidRPr="00E21214">
        <w:rPr>
          <w:rFonts w:ascii="Times New Roman" w:eastAsia="Times New Roman" w:hAnsi="Times New Roman" w:cs="Times New Roman"/>
          <w:color w:val="0E101A"/>
          <w:sz w:val="24"/>
          <w:szCs w:val="24"/>
          <w:highlight w:val="white"/>
        </w:rPr>
        <w:t xml:space="preserve">, </w:t>
      </w:r>
      <w:r w:rsidR="00CA5B65" w:rsidRPr="00E21214">
        <w:rPr>
          <w:rFonts w:ascii="Times New Roman" w:eastAsia="Times New Roman" w:hAnsi="Times New Roman" w:cs="Times New Roman"/>
          <w:i/>
          <w:color w:val="0E101A"/>
          <w:sz w:val="24"/>
          <w:szCs w:val="24"/>
          <w:highlight w:val="white"/>
        </w:rPr>
        <w:t>2</w:t>
      </w:r>
      <w:r w:rsidR="00CA5B65" w:rsidRPr="00E21214">
        <w:rPr>
          <w:rFonts w:ascii="Times New Roman" w:eastAsia="Times New Roman" w:hAnsi="Times New Roman" w:cs="Times New Roman"/>
          <w:color w:val="0E101A"/>
          <w:sz w:val="24"/>
          <w:szCs w:val="24"/>
          <w:highlight w:val="white"/>
        </w:rPr>
        <w:t xml:space="preserve">(2), pp.191-210. Available at: </w:t>
      </w:r>
      <w:hyperlink r:id="rId17" w:history="1">
        <w:r w:rsidR="00CA5B65" w:rsidRPr="00737F60">
          <w:rPr>
            <w:rFonts w:ascii="Times New Roman" w:eastAsia="Times New Roman" w:hAnsi="Times New Roman" w:cs="Times New Roman"/>
            <w:color w:val="000000" w:themeColor="text1"/>
            <w:sz w:val="24"/>
            <w:szCs w:val="24"/>
            <w:highlight w:val="white"/>
            <w:u w:val="single"/>
          </w:rPr>
          <w:t>https://journals.sagepub.com/doi/pdf/10.1177/2516602620936037</w:t>
        </w:r>
      </w:hyperlink>
      <w:r>
        <w:rPr>
          <w:color w:val="000000" w:themeColor="text1"/>
        </w:rPr>
        <w:t>,</w:t>
      </w:r>
      <w:r w:rsidRPr="0032366D">
        <w:rPr>
          <w:color w:val="000000" w:themeColor="text1"/>
        </w:rPr>
        <w:t xml:space="preserve"> </w:t>
      </w:r>
      <w:r>
        <w:rPr>
          <w:color w:val="000000" w:themeColor="text1"/>
        </w:rPr>
        <w:t>Accessed on: 18</w:t>
      </w:r>
      <w:r w:rsidRPr="0032366D">
        <w:rPr>
          <w:color w:val="000000" w:themeColor="text1"/>
          <w:vertAlign w:val="superscript"/>
        </w:rPr>
        <w:t>th</w:t>
      </w:r>
      <w:r>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Tammaro, A.M., 2020. COVID 19 and Libraries in Italy. </w:t>
      </w:r>
      <w:r w:rsidRPr="00E21214">
        <w:rPr>
          <w:rFonts w:ascii="Times New Roman" w:eastAsia="Times New Roman" w:hAnsi="Times New Roman" w:cs="Times New Roman"/>
          <w:i/>
          <w:color w:val="0E101A"/>
          <w:sz w:val="24"/>
          <w:szCs w:val="24"/>
          <w:highlight w:val="white"/>
        </w:rPr>
        <w:t>International Information &amp; Library Review</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52</w:t>
      </w:r>
      <w:r w:rsidRPr="00E21214">
        <w:rPr>
          <w:rFonts w:ascii="Times New Roman" w:eastAsia="Times New Roman" w:hAnsi="Times New Roman" w:cs="Times New Roman"/>
          <w:color w:val="0E101A"/>
          <w:sz w:val="24"/>
          <w:szCs w:val="24"/>
          <w:highlight w:val="white"/>
        </w:rPr>
        <w:t xml:space="preserve">(3), pp.216-220. Available at: </w:t>
      </w:r>
      <w:hyperlink r:id="rId18" w:history="1">
        <w:r w:rsidRPr="00737F60">
          <w:rPr>
            <w:rFonts w:ascii="Times New Roman" w:eastAsia="Times New Roman" w:hAnsi="Times New Roman" w:cs="Times New Roman"/>
            <w:color w:val="000000" w:themeColor="text1"/>
            <w:sz w:val="24"/>
            <w:szCs w:val="24"/>
            <w:highlight w:val="white"/>
            <w:u w:val="single"/>
          </w:rPr>
          <w:t>https://www.researchgate.net/profile/Anna-Maria-Tammaro/publication/342871542_COVID_19_and_Libraries_in_Italy/links/5ff2ef6f92851c13fee7eefc/COVID-19-and-Libraries-in-Italy.pdf</w:t>
        </w:r>
      </w:hyperlink>
      <w:r w:rsidR="0032366D">
        <w:rPr>
          <w:color w:val="000000" w:themeColor="text1"/>
        </w:rPr>
        <w:t>, Accessed on: 18</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Taylor, M., Ryan, B. and Johnston, K.A., 2020. The missing link in emergency management: Evaluating community engagement. </w:t>
      </w:r>
      <w:r w:rsidRPr="00E21214">
        <w:rPr>
          <w:rFonts w:ascii="Times New Roman" w:eastAsia="Times New Roman" w:hAnsi="Times New Roman" w:cs="Times New Roman"/>
          <w:i/>
          <w:color w:val="0E101A"/>
          <w:sz w:val="24"/>
          <w:szCs w:val="24"/>
          <w:highlight w:val="white"/>
        </w:rPr>
        <w:t>Australian Journal of Emergency Management, The</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lastRenderedPageBreak/>
        <w:t>35</w:t>
      </w:r>
      <w:r w:rsidRPr="00E21214">
        <w:rPr>
          <w:rFonts w:ascii="Times New Roman" w:eastAsia="Times New Roman" w:hAnsi="Times New Roman" w:cs="Times New Roman"/>
          <w:color w:val="0E101A"/>
          <w:sz w:val="24"/>
          <w:szCs w:val="24"/>
          <w:highlight w:val="white"/>
        </w:rPr>
        <w:t xml:space="preserve">(1), pp.45-52. Available at: </w:t>
      </w:r>
      <w:hyperlink r:id="rId19" w:history="1">
        <w:r w:rsidRPr="00737F60">
          <w:rPr>
            <w:rFonts w:ascii="Times New Roman" w:eastAsia="Times New Roman" w:hAnsi="Times New Roman" w:cs="Times New Roman"/>
            <w:color w:val="000000" w:themeColor="text1"/>
            <w:sz w:val="24"/>
            <w:szCs w:val="24"/>
            <w:highlight w:val="white"/>
            <w:u w:val="single"/>
          </w:rPr>
          <w:t>https://search.informit.org/doi/pdf/10.3316/ielapa.980099992532245</w:t>
        </w:r>
      </w:hyperlink>
      <w:r w:rsidR="0032366D">
        <w:rPr>
          <w:color w:val="000000" w:themeColor="text1"/>
        </w:rPr>
        <w:t>,</w:t>
      </w:r>
      <w:r w:rsidR="0032366D" w:rsidRPr="0032366D">
        <w:rPr>
          <w:color w:val="000000" w:themeColor="text1"/>
        </w:rPr>
        <w:t xml:space="preserve"> </w:t>
      </w:r>
      <w:r w:rsidR="0032366D">
        <w:rPr>
          <w:color w:val="000000" w:themeColor="text1"/>
        </w:rPr>
        <w:t>Accessed on: 18</w:t>
      </w:r>
      <w:r w:rsidR="0032366D" w:rsidRPr="0032366D">
        <w:rPr>
          <w:color w:val="000000" w:themeColor="text1"/>
          <w:vertAlign w:val="superscript"/>
        </w:rPr>
        <w:t>th</w:t>
      </w:r>
      <w:r w:rsidR="0032366D">
        <w:rPr>
          <w:color w:val="000000" w:themeColor="text1"/>
        </w:rPr>
        <w:t xml:space="preserve"> April 2022</w:t>
      </w:r>
    </w:p>
    <w:p w:rsidR="0032366D" w:rsidRPr="00737F60" w:rsidRDefault="00CA5B65" w:rsidP="0032366D">
      <w:pPr>
        <w:spacing w:line="360" w:lineRule="auto"/>
        <w:jc w:val="both"/>
        <w:rPr>
          <w:rFonts w:ascii="Times New Roman" w:eastAsia="Times New Roman" w:hAnsi="Times New Roman" w:cs="Times New Roman"/>
          <w:color w:val="000000" w:themeColor="text1"/>
          <w:sz w:val="24"/>
          <w:szCs w:val="24"/>
          <w:highlight w:val="white"/>
          <w:u w:val="single"/>
        </w:rPr>
      </w:pPr>
      <w:r w:rsidRPr="00E21214">
        <w:rPr>
          <w:rFonts w:ascii="Times New Roman" w:eastAsia="Times New Roman" w:hAnsi="Times New Roman" w:cs="Times New Roman"/>
          <w:color w:val="0E101A"/>
          <w:sz w:val="24"/>
          <w:szCs w:val="24"/>
          <w:highlight w:val="white"/>
        </w:rPr>
        <w:t xml:space="preserve">Tindana, P.O., De Vries, J. and Kamuya, D., 2020. Ethical challenges in community engagement practices in research during the COVID-19 pandemic in Africa. </w:t>
      </w:r>
      <w:r w:rsidRPr="00E21214">
        <w:rPr>
          <w:rFonts w:ascii="Times New Roman" w:eastAsia="Times New Roman" w:hAnsi="Times New Roman" w:cs="Times New Roman"/>
          <w:i/>
          <w:color w:val="0E101A"/>
          <w:sz w:val="24"/>
          <w:szCs w:val="24"/>
          <w:highlight w:val="white"/>
        </w:rPr>
        <w:t>AAS Open Research</w:t>
      </w:r>
      <w:r w:rsidRPr="00E21214">
        <w:rPr>
          <w:rFonts w:ascii="Times New Roman" w:eastAsia="Times New Roman" w:hAnsi="Times New Roman" w:cs="Times New Roman"/>
          <w:color w:val="0E101A"/>
          <w:sz w:val="24"/>
          <w:szCs w:val="24"/>
          <w:highlight w:val="white"/>
        </w:rPr>
        <w:t xml:space="preserve">, </w:t>
      </w:r>
      <w:r w:rsidRPr="00E21214">
        <w:rPr>
          <w:rFonts w:ascii="Times New Roman" w:eastAsia="Times New Roman" w:hAnsi="Times New Roman" w:cs="Times New Roman"/>
          <w:i/>
          <w:color w:val="0E101A"/>
          <w:sz w:val="24"/>
          <w:szCs w:val="24"/>
          <w:highlight w:val="white"/>
        </w:rPr>
        <w:t>3</w:t>
      </w:r>
      <w:r w:rsidRPr="00E21214">
        <w:rPr>
          <w:rFonts w:ascii="Times New Roman" w:eastAsia="Times New Roman" w:hAnsi="Times New Roman" w:cs="Times New Roman"/>
          <w:color w:val="0E101A"/>
          <w:sz w:val="24"/>
          <w:szCs w:val="24"/>
          <w:highlight w:val="white"/>
        </w:rPr>
        <w:t xml:space="preserve">, p.23. Available at: </w:t>
      </w:r>
      <w:hyperlink r:id="rId20" w:history="1">
        <w:r w:rsidRPr="00737F60">
          <w:rPr>
            <w:rFonts w:ascii="Times New Roman" w:eastAsia="Times New Roman" w:hAnsi="Times New Roman" w:cs="Times New Roman"/>
            <w:color w:val="000000" w:themeColor="text1"/>
            <w:sz w:val="24"/>
            <w:szCs w:val="24"/>
            <w:highlight w:val="white"/>
            <w:u w:val="single"/>
          </w:rPr>
          <w:t>http://aasopenresearch.s3.amazonaws.com/manuscripts/14180/96176a1e-bb41-4b5c-8233-b3730c51afba_13084_-_paulina_tindana.pdf</w:t>
        </w:r>
      </w:hyperlink>
      <w:r w:rsidR="0032366D">
        <w:rPr>
          <w:color w:val="000000" w:themeColor="text1"/>
        </w:rPr>
        <w:t>, Accessed on: 18</w:t>
      </w:r>
      <w:r w:rsidR="0032366D" w:rsidRPr="0032366D">
        <w:rPr>
          <w:color w:val="000000" w:themeColor="text1"/>
          <w:vertAlign w:val="superscript"/>
        </w:rPr>
        <w:t>th</w:t>
      </w:r>
      <w:r w:rsidR="0032366D">
        <w:rPr>
          <w:color w:val="000000" w:themeColor="text1"/>
        </w:rPr>
        <w:t xml:space="preserve"> April 2022</w:t>
      </w:r>
    </w:p>
    <w:p w:rsidR="009A0AF5" w:rsidRPr="00737F60" w:rsidRDefault="009A0AF5" w:rsidP="00E21214">
      <w:pPr>
        <w:spacing w:line="360" w:lineRule="auto"/>
        <w:jc w:val="both"/>
        <w:rPr>
          <w:rFonts w:ascii="Times New Roman" w:eastAsia="Times New Roman" w:hAnsi="Times New Roman" w:cs="Times New Roman"/>
          <w:color w:val="000000" w:themeColor="text1"/>
          <w:sz w:val="24"/>
          <w:szCs w:val="24"/>
          <w:highlight w:val="white"/>
          <w:u w:val="single"/>
        </w:rPr>
      </w:pPr>
    </w:p>
    <w:sectPr w:rsidR="009A0AF5" w:rsidRPr="00737F60" w:rsidSect="009A0AF5">
      <w:footerReference w:type="default" r:id="rId21"/>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DB6" w:rsidRDefault="00EB6DB6">
      <w:pPr>
        <w:spacing w:line="240" w:lineRule="auto"/>
      </w:pPr>
      <w:r>
        <w:separator/>
      </w:r>
    </w:p>
  </w:endnote>
  <w:endnote w:type="continuationSeparator" w:id="1">
    <w:p w:rsidR="00EB6DB6" w:rsidRDefault="00EB6DB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3815824"/>
      <w:docPartObj>
        <w:docPartGallery w:val="Page Numbers (Bottom of Page)"/>
        <w:docPartUnique/>
      </w:docPartObj>
    </w:sdtPr>
    <w:sdtContent>
      <w:sdt>
        <w:sdtPr>
          <w:id w:val="-1769616900"/>
          <w:docPartObj>
            <w:docPartGallery w:val="Page Numbers (Top of Page)"/>
            <w:docPartUnique/>
          </w:docPartObj>
        </w:sdtPr>
        <w:sdtContent>
          <w:p w:rsidR="009A0AF5" w:rsidRDefault="00CA5B65">
            <w:pPr>
              <w:pStyle w:val="Footer"/>
              <w:jc w:val="right"/>
            </w:pPr>
            <w:r>
              <w:t xml:space="preserve">Page </w:t>
            </w:r>
            <w:r w:rsidR="002D312D">
              <w:rPr>
                <w:b/>
                <w:bCs/>
                <w:sz w:val="24"/>
                <w:szCs w:val="24"/>
              </w:rPr>
              <w:fldChar w:fldCharType="begin"/>
            </w:r>
            <w:r>
              <w:rPr>
                <w:b/>
                <w:bCs/>
              </w:rPr>
              <w:instrText xml:space="preserve"> PAGE </w:instrText>
            </w:r>
            <w:r w:rsidR="002D312D">
              <w:rPr>
                <w:b/>
                <w:bCs/>
                <w:sz w:val="24"/>
                <w:szCs w:val="24"/>
              </w:rPr>
              <w:fldChar w:fldCharType="separate"/>
            </w:r>
            <w:r w:rsidR="00952D09">
              <w:rPr>
                <w:b/>
                <w:bCs/>
                <w:noProof/>
              </w:rPr>
              <w:t>5</w:t>
            </w:r>
            <w:r w:rsidR="002D312D">
              <w:rPr>
                <w:b/>
                <w:bCs/>
                <w:sz w:val="24"/>
                <w:szCs w:val="24"/>
              </w:rPr>
              <w:fldChar w:fldCharType="end"/>
            </w:r>
            <w:r>
              <w:t xml:space="preserve"> of </w:t>
            </w:r>
            <w:r w:rsidR="002D312D">
              <w:rPr>
                <w:b/>
                <w:bCs/>
                <w:sz w:val="24"/>
                <w:szCs w:val="24"/>
              </w:rPr>
              <w:fldChar w:fldCharType="begin"/>
            </w:r>
            <w:r>
              <w:rPr>
                <w:b/>
                <w:bCs/>
              </w:rPr>
              <w:instrText xml:space="preserve"> NUMPAGES  </w:instrText>
            </w:r>
            <w:r w:rsidR="002D312D">
              <w:rPr>
                <w:b/>
                <w:bCs/>
                <w:sz w:val="24"/>
                <w:szCs w:val="24"/>
              </w:rPr>
              <w:fldChar w:fldCharType="separate"/>
            </w:r>
            <w:r w:rsidR="00952D09">
              <w:rPr>
                <w:b/>
                <w:bCs/>
                <w:noProof/>
              </w:rPr>
              <w:t>11</w:t>
            </w:r>
            <w:r w:rsidR="002D312D">
              <w:rPr>
                <w:b/>
                <w:bCs/>
                <w:sz w:val="24"/>
                <w:szCs w:val="24"/>
              </w:rPr>
              <w:fldChar w:fldCharType="end"/>
            </w:r>
          </w:p>
        </w:sdtContent>
      </w:sdt>
    </w:sdtContent>
  </w:sdt>
  <w:p w:rsidR="009A0AF5" w:rsidRDefault="009A0A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DB6" w:rsidRDefault="00EB6DB6">
      <w:pPr>
        <w:spacing w:line="240" w:lineRule="auto"/>
      </w:pPr>
      <w:r>
        <w:separator/>
      </w:r>
    </w:p>
  </w:footnote>
  <w:footnote w:type="continuationSeparator" w:id="1">
    <w:p w:rsidR="00EB6DB6" w:rsidRDefault="00EB6DB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D62E61"/>
    <w:multiLevelType w:val="hybridMultilevel"/>
    <w:tmpl w:val="D8B644EC"/>
    <w:lvl w:ilvl="0" w:tplc="E08E5642">
      <w:start w:val="1"/>
      <w:numFmt w:val="decimal"/>
      <w:lvlText w:val="%1."/>
      <w:lvlJc w:val="left"/>
      <w:pPr>
        <w:ind w:left="720" w:hanging="360"/>
      </w:pPr>
    </w:lvl>
    <w:lvl w:ilvl="1" w:tplc="85BC1B48" w:tentative="1">
      <w:start w:val="1"/>
      <w:numFmt w:val="lowerLetter"/>
      <w:lvlText w:val="%2."/>
      <w:lvlJc w:val="left"/>
      <w:pPr>
        <w:ind w:left="1440" w:hanging="360"/>
      </w:pPr>
    </w:lvl>
    <w:lvl w:ilvl="2" w:tplc="208605A2" w:tentative="1">
      <w:start w:val="1"/>
      <w:numFmt w:val="lowerRoman"/>
      <w:lvlText w:val="%3."/>
      <w:lvlJc w:val="right"/>
      <w:pPr>
        <w:ind w:left="2160" w:hanging="180"/>
      </w:pPr>
    </w:lvl>
    <w:lvl w:ilvl="3" w:tplc="70E6809E" w:tentative="1">
      <w:start w:val="1"/>
      <w:numFmt w:val="decimal"/>
      <w:lvlText w:val="%4."/>
      <w:lvlJc w:val="left"/>
      <w:pPr>
        <w:ind w:left="2880" w:hanging="360"/>
      </w:pPr>
    </w:lvl>
    <w:lvl w:ilvl="4" w:tplc="D2AEDFD6" w:tentative="1">
      <w:start w:val="1"/>
      <w:numFmt w:val="lowerLetter"/>
      <w:lvlText w:val="%5."/>
      <w:lvlJc w:val="left"/>
      <w:pPr>
        <w:ind w:left="3600" w:hanging="360"/>
      </w:pPr>
    </w:lvl>
    <w:lvl w:ilvl="5" w:tplc="C7A808BC" w:tentative="1">
      <w:start w:val="1"/>
      <w:numFmt w:val="lowerRoman"/>
      <w:lvlText w:val="%6."/>
      <w:lvlJc w:val="right"/>
      <w:pPr>
        <w:ind w:left="4320" w:hanging="180"/>
      </w:pPr>
    </w:lvl>
    <w:lvl w:ilvl="6" w:tplc="59AC96BE" w:tentative="1">
      <w:start w:val="1"/>
      <w:numFmt w:val="decimal"/>
      <w:lvlText w:val="%7."/>
      <w:lvlJc w:val="left"/>
      <w:pPr>
        <w:ind w:left="5040" w:hanging="360"/>
      </w:pPr>
    </w:lvl>
    <w:lvl w:ilvl="7" w:tplc="958CC546" w:tentative="1">
      <w:start w:val="1"/>
      <w:numFmt w:val="lowerLetter"/>
      <w:lvlText w:val="%8."/>
      <w:lvlJc w:val="left"/>
      <w:pPr>
        <w:ind w:left="5760" w:hanging="360"/>
      </w:pPr>
    </w:lvl>
    <w:lvl w:ilvl="8" w:tplc="CA0A8490"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removePersonalInformation/>
  <w:removeDateAndTime/>
  <w:defaultTabStop w:val="720"/>
  <w:hyphenationZone w:val="425"/>
  <w:characterSpacingControl w:val="doNotCompress"/>
  <w:footnotePr>
    <w:footnote w:id="0"/>
    <w:footnote w:id="1"/>
  </w:footnotePr>
  <w:endnotePr>
    <w:endnote w:id="0"/>
    <w:endnote w:id="1"/>
  </w:endnotePr>
  <w:compat/>
  <w:rsids>
    <w:rsidRoot w:val="00A41FCD"/>
    <w:rsid w:val="00047D44"/>
    <w:rsid w:val="00125627"/>
    <w:rsid w:val="002D312D"/>
    <w:rsid w:val="0032366D"/>
    <w:rsid w:val="004431D5"/>
    <w:rsid w:val="0049340E"/>
    <w:rsid w:val="00506DF1"/>
    <w:rsid w:val="00737F60"/>
    <w:rsid w:val="007D56CE"/>
    <w:rsid w:val="0091604F"/>
    <w:rsid w:val="00952D09"/>
    <w:rsid w:val="009A0AF5"/>
    <w:rsid w:val="009D0327"/>
    <w:rsid w:val="009D07D7"/>
    <w:rsid w:val="00A41FCD"/>
    <w:rsid w:val="00A6765B"/>
    <w:rsid w:val="00B51CA1"/>
    <w:rsid w:val="00BD7703"/>
    <w:rsid w:val="00CA5B65"/>
    <w:rsid w:val="00CF2BF5"/>
    <w:rsid w:val="00E21214"/>
    <w:rsid w:val="00EB6DB6"/>
    <w:rsid w:val="00ED4825"/>
    <w:rsid w:val="00EE67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731"/>
  </w:style>
  <w:style w:type="paragraph" w:styleId="Heading1">
    <w:name w:val="heading 1"/>
    <w:basedOn w:val="Normal"/>
    <w:next w:val="Normal"/>
    <w:uiPriority w:val="9"/>
    <w:qFormat/>
    <w:rsid w:val="00EE6731"/>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EE6731"/>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E673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E673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E6731"/>
    <w:pPr>
      <w:keepNext/>
      <w:keepLines/>
      <w:spacing w:before="240" w:after="80"/>
      <w:outlineLvl w:val="4"/>
    </w:pPr>
    <w:rPr>
      <w:color w:val="666666"/>
    </w:rPr>
  </w:style>
  <w:style w:type="paragraph" w:styleId="Heading6">
    <w:name w:val="heading 6"/>
    <w:basedOn w:val="Normal"/>
    <w:next w:val="Normal"/>
    <w:uiPriority w:val="9"/>
    <w:semiHidden/>
    <w:unhideWhenUsed/>
    <w:qFormat/>
    <w:rsid w:val="00EE67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E6731"/>
    <w:pPr>
      <w:keepNext/>
      <w:keepLines/>
      <w:spacing w:after="60"/>
    </w:pPr>
    <w:rPr>
      <w:sz w:val="52"/>
      <w:szCs w:val="52"/>
    </w:rPr>
  </w:style>
  <w:style w:type="paragraph" w:styleId="Subtitle">
    <w:name w:val="Subtitle"/>
    <w:basedOn w:val="Normal"/>
    <w:next w:val="Normal"/>
    <w:uiPriority w:val="11"/>
    <w:qFormat/>
    <w:rsid w:val="00EE6731"/>
    <w:pPr>
      <w:keepNext/>
      <w:keepLines/>
      <w:spacing w:after="320"/>
    </w:pPr>
    <w:rPr>
      <w:color w:val="666666"/>
      <w:sz w:val="30"/>
      <w:szCs w:val="30"/>
    </w:rPr>
  </w:style>
  <w:style w:type="paragraph" w:styleId="Header">
    <w:name w:val="header"/>
    <w:basedOn w:val="Normal"/>
    <w:link w:val="HeaderChar"/>
    <w:uiPriority w:val="99"/>
    <w:unhideWhenUsed/>
    <w:rsid w:val="009A0AF5"/>
    <w:pPr>
      <w:tabs>
        <w:tab w:val="center" w:pos="4513"/>
        <w:tab w:val="right" w:pos="9026"/>
      </w:tabs>
      <w:spacing w:line="240" w:lineRule="auto"/>
    </w:pPr>
  </w:style>
  <w:style w:type="character" w:customStyle="1" w:styleId="HeaderChar">
    <w:name w:val="Header Char"/>
    <w:basedOn w:val="DefaultParagraphFont"/>
    <w:link w:val="Header"/>
    <w:uiPriority w:val="99"/>
    <w:rsid w:val="009A0AF5"/>
  </w:style>
  <w:style w:type="paragraph" w:styleId="Footer">
    <w:name w:val="footer"/>
    <w:basedOn w:val="Normal"/>
    <w:link w:val="FooterChar"/>
    <w:uiPriority w:val="99"/>
    <w:unhideWhenUsed/>
    <w:rsid w:val="009A0AF5"/>
    <w:pPr>
      <w:tabs>
        <w:tab w:val="center" w:pos="4513"/>
        <w:tab w:val="right" w:pos="9026"/>
      </w:tabs>
      <w:spacing w:line="240" w:lineRule="auto"/>
    </w:pPr>
  </w:style>
  <w:style w:type="character" w:customStyle="1" w:styleId="FooterChar">
    <w:name w:val="Footer Char"/>
    <w:basedOn w:val="DefaultParagraphFont"/>
    <w:link w:val="Footer"/>
    <w:uiPriority w:val="99"/>
    <w:rsid w:val="009A0AF5"/>
  </w:style>
  <w:style w:type="paragraph" w:styleId="TOCHeading">
    <w:name w:val="TOC Heading"/>
    <w:basedOn w:val="Heading1"/>
    <w:next w:val="Normal"/>
    <w:uiPriority w:val="39"/>
    <w:unhideWhenUsed/>
    <w:qFormat/>
    <w:rsid w:val="009A0AF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A0AF5"/>
    <w:pPr>
      <w:spacing w:after="100"/>
    </w:pPr>
  </w:style>
  <w:style w:type="character" w:styleId="Hyperlink">
    <w:name w:val="Hyperlink"/>
    <w:basedOn w:val="DefaultParagraphFont"/>
    <w:uiPriority w:val="99"/>
    <w:unhideWhenUsed/>
    <w:rsid w:val="009A0AF5"/>
    <w:rPr>
      <w:color w:val="0000FF" w:themeColor="hyperlink"/>
      <w:u w:val="single"/>
    </w:rPr>
  </w:style>
  <w:style w:type="paragraph" w:styleId="ListParagraph">
    <w:name w:val="List Paragraph"/>
    <w:basedOn w:val="Normal"/>
    <w:uiPriority w:val="34"/>
    <w:qFormat/>
    <w:rsid w:val="00E21214"/>
    <w:pPr>
      <w:ind w:left="720"/>
      <w:contextualSpacing/>
    </w:pPr>
  </w:style>
  <w:style w:type="paragraph" w:styleId="BalloonText">
    <w:name w:val="Balloon Text"/>
    <w:basedOn w:val="Normal"/>
    <w:link w:val="BalloonTextChar"/>
    <w:uiPriority w:val="99"/>
    <w:semiHidden/>
    <w:unhideWhenUsed/>
    <w:rsid w:val="00ED48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rdapaper.ir/mohavaha/uploads/2020/08/Fardapaper-Drivers-of-brand-community-engagement.pdf" TargetMode="External"/><Relationship Id="rId18" Type="http://schemas.openxmlformats.org/officeDocument/2006/relationships/hyperlink" Target="https://www.researchgate.net/profile/Anna-Maria-Tammaro/publication/342871542_COVID_19_and_Libraries_in_Italy/links/5ff2ef6f92851c13fee7eefc/COVID-19-and-Libraries-in-Italy.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ambridge.org/core/services/aop-cambridge-core/content/view/AF78811DF6C4223A44B6910FC4347CAE/S2059866118003230a.pdf/div-class-title-enhancing-translational-researchers-ability-to-collaborate-with-community-stakeholders-lessons-from-the-community-engagement-studio-div.pdf" TargetMode="External"/><Relationship Id="rId17" Type="http://schemas.openxmlformats.org/officeDocument/2006/relationships/hyperlink" Target="https://journals.sagepub.com/doi/pdf/10.1177/2516602620936037" TargetMode="External"/><Relationship Id="rId2" Type="http://schemas.openxmlformats.org/officeDocument/2006/relationships/numbering" Target="numbering.xml"/><Relationship Id="rId16" Type="http://schemas.openxmlformats.org/officeDocument/2006/relationships/hyperlink" Target="https://eprints.qut.edu.au/202039/1/59981815.pdf" TargetMode="External"/><Relationship Id="rId20" Type="http://schemas.openxmlformats.org/officeDocument/2006/relationships/hyperlink" Target="http://aasopenresearch.s3.amazonaws.com/manuscripts/14180/96176a1e-bb41-4b5c-8233-b3730c51afba_13084_-_paulina_tindan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ebertpub.com/doi/pdf/10.1089/heq.2020.0029" TargetMode="External"/><Relationship Id="rId5" Type="http://schemas.openxmlformats.org/officeDocument/2006/relationships/webSettings" Target="webSettings.xml"/><Relationship Id="rId15" Type="http://schemas.openxmlformats.org/officeDocument/2006/relationships/hyperlink" Target="https://ajph.aphapublications.org/doi/pdfplus/10.2105/AJPH.2020.306087" TargetMode="External"/><Relationship Id="rId23" Type="http://schemas.openxmlformats.org/officeDocument/2006/relationships/theme" Target="theme/theme1.xml"/><Relationship Id="rId10" Type="http://schemas.openxmlformats.org/officeDocument/2006/relationships/hyperlink" Target="https://ro.uow.edu.au/cgi/viewcontent.cgi?article=2494&amp;context=jutlp" TargetMode="External"/><Relationship Id="rId19" Type="http://schemas.openxmlformats.org/officeDocument/2006/relationships/hyperlink" Target="https://search.informit.org/doi/pdf/10.3316/ielapa.980099992532245" TargetMode="External"/><Relationship Id="rId4" Type="http://schemas.openxmlformats.org/officeDocument/2006/relationships/settings" Target="settings.xml"/><Relationship Id="rId9" Type="http://schemas.openxmlformats.org/officeDocument/2006/relationships/hyperlink" Target="https://pxjournal.org/cgi/viewcontent.cgi?article=1467&amp;context=journal" TargetMode="External"/><Relationship Id="rId14" Type="http://schemas.openxmlformats.org/officeDocument/2006/relationships/hyperlink" Target="https://d1wqtxts1xzle7.cloudfront.net/70496104/17441692.2021-with-cover-page-v2.pdf?Expires=1651099977&amp;Signature=DMmnctAI6b2scD0Yq5IrNn20IWT5o-8SqrrmN9DCEuwQCXi8wsUDQXVh0qdxzsh5d7Pap1s64dZX3Ze-wdXg5feWFl0W9CpSA7wMBSrte9RGyR230i3vQChsnJA7nGDHtM6M9MaVkH5YbeRORASmthwSH1DHJRaJpjOGvRcWKNDRTxa1L6tu5ms62xvAzXsOE4Q5ek7rF8kA2agf6v1UmtQWfzf3Y-dE6-q49swFOOeHZ5cKrZv4NWDnm7IsY5o40f7S8BeynxNKdSfr5SGEWcWykmFsZcCDw7ZwUAKGyWPNpZcrdH4HCFqy~LKAXLs5z9f6BtbxT5Ee1r69x~nT2g__&amp;Key-Pair-Id=APKAJLOHF5GGSLRBV4Z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7FD41-745A-4DE0-A802-C9DDF8BE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2022-05-05T10:28:00Z</dcterms:created>
  <dcterms:modified xsi:type="dcterms:W3CDTF">2022-05-06T08:03:00Z</dcterms:modified>
</cp:coreProperties>
</file>