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tabs>
          <w:tab w:val="clear" w:pos="4153"/>
          <w:tab w:val="clear" w:pos="8306"/>
        </w:tabs>
      </w:pPr>
      <w:r>
        <mc:AlternateContent>
          <mc:Choice Requires="wps">
            <w:drawing>
              <wp:anchor distT="0" distB="0" distL="114300" distR="114300" simplePos="0" relativeHeight="251658240" behindDoc="0" locked="0" layoutInCell="1" allowOverlap="1">
                <wp:simplePos x="0" y="0"/>
                <wp:positionH relativeFrom="column">
                  <wp:posOffset>5116830</wp:posOffset>
                </wp:positionH>
                <wp:positionV relativeFrom="paragraph">
                  <wp:posOffset>175895</wp:posOffset>
                </wp:positionV>
                <wp:extent cx="1591945" cy="914400"/>
                <wp:effectExtent l="13970" t="0" r="32385" b="24130"/>
                <wp:wrapNone/>
                <wp:docPr id="3" name="Text Box 11"/>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ln>
                        <a:effectLst/>
                      </wps:spPr>
                      <wps:txbx>
                        <w:txbxContent>
                          <w:p>
                            <w:pPr>
                              <w:pStyle w:val="6"/>
                              <w:pBdr>
                                <w:top w:val="none" w:color="auto" w:sz="0" w:space="0"/>
                                <w:left w:val="none" w:color="auto" w:sz="0" w:space="0"/>
                                <w:bottom w:val="none" w:color="auto" w:sz="0" w:space="0"/>
                                <w:right w:val="none" w:color="auto" w:sz="0" w:space="0"/>
                              </w:pBdr>
                              <w:shd w:val="clear" w:color="auto" w:fill="E0E0E0"/>
                            </w:pPr>
                          </w:p>
                          <w:p>
                            <w:pPr>
                              <w:pStyle w:val="6"/>
                              <w:pBdr>
                                <w:top w:val="none" w:color="auto" w:sz="0" w:space="0"/>
                                <w:left w:val="none" w:color="auto" w:sz="0" w:space="0"/>
                                <w:bottom w:val="none" w:color="auto" w:sz="0" w:space="0"/>
                                <w:right w:val="none" w:color="auto" w:sz="0" w:space="0"/>
                              </w:pBdr>
                              <w:shd w:val="clear" w:color="auto" w:fill="E0E0E0"/>
                            </w:pPr>
                            <w:r>
                              <w:t xml:space="preserve">RESULT </w:t>
                            </w:r>
                            <w:r>
                              <w:rPr>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anchor>
            </w:drawing>
          </mc:Choice>
          <mc:Fallback>
            <w:pict>
              <v:shape id="Text Box 11" o:spid="_x0000_s1026" o:spt="202" type="#_x0000_t202" style="position:absolute;left:0pt;margin-left:402.9pt;margin-top:13.85pt;height:72pt;width:125.35pt;z-index:251658240;mso-width-relative:page;mso-height-relative:page;" fillcolor="#C0C0C0" filled="t" stroked="t" coordsize="21600,21600" o:gfxdata="UEsDBAoAAAAAAIdO4kAAAAAAAAAAAAAAAAAEAAAAZHJzL1BLAwQUAAAACACHTuJArDOEtdYAAAAL&#10;AQAADwAAAGRycy9kb3ducmV2LnhtbE2PwU7DMBBE70j8g7VI3KidSqmjEKcSCOiZgjhv4yWJsNdR&#10;7KaFr8c9wW1HO5p502zP3omF5jgGNlCsFAjiLtiRewPvb893FYiYkC26wGTgmyJs2+urBmsbTvxK&#10;yz71IodwrNHAkNJUSxm7gTzGVZiI8+8zzB5TlnMv7YynHO6dXCu1kR5Hzg0DTvQ4UPe1P3oDO/kQ&#10;P7oXX2K1PDnc/Sy9ZmnM7U2h7kEkOqc/M1zwMzq0mekQjmyjcAYqVWb0ZGCtNYiLQZWbEsQhX7rQ&#10;INtG/t/Q/gJQSwMEFAAAAAgAh07iQABN/a4cAgAASAQAAA4AAABkcnMvZTJvRG9jLnhtbK1U227b&#10;MAx9H7B/EPS+2M6SNQniFF2KDgO6C9DuA2RZtoXJokYpsbuvHyWnWba9FbMBQTSpQ/IcytvrsTfs&#10;qNBrsCUvZjlnykqotW1L/u3x7s2KMx+ErYUBq0r+pDy/3r1+tR3cRs2hA1MrZARi/WZwJe9CcJss&#10;87JTvfAzcMqSswHsRSAT26xGMRB6b7J5nr/LBsDaIUjlPX29nZx8l/CbRsnwpWm8CsyUnGoLacW0&#10;VnHNdluxaVG4TstTGeIFVfRCW0p6hroVQbAD6n+gei0RPDRhJqHPoGm0VKkH6qbI/+rmoRNOpV6I&#10;HO/ONPn/Bys/H78i03XJ33JmRU8SPaoxsPcwsqKI9AzObyjqwVFcGOk7yZxa9e4e5HfPLOw7YVt1&#10;gwhDp0RN5aWT2cXRCcdHkGr4BDXlEYcACWhssI/cERuM0Emmp7M0sRYZUy7XxXqx5EySb10sFnnS&#10;LhOb59MOffigoGdxU3Ik6RO6ON77QH1Q6HNITObB6PpOG5MMbKu9QXYUNCb7PL6xdTryR5ixbCj5&#10;fLW8Wk4MvACj14EG3ui+5Ks8PqdExsZCVBrZU8GRvsjYxF0Yq/EkRwX1ExGJMI0zXT/adIA/ORto&#10;lEvufxwEKs7MR0tiJLpo9pOxWF7NiWG89FSXHmElQZU8cDZt92G6LweHuu0o0yS/hRsSsNGJ21jq&#10;VBWxFg0a18Tf6WrF+3Bpp6jfP4DdL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KwzhLXWAAAACwEA&#10;AA8AAAAAAAAAAQAgAAAAIgAAAGRycy9kb3ducmV2LnhtbFBLAQIUABQAAAAIAIdO4kAATf2uHAIA&#10;AEgEAAAOAAAAAAAAAAEAIAAAACUBAABkcnMvZTJvRG9jLnhtbFBLBQYAAAAABgAGAFkBAACzBQAA&#10;AAA=&#10;">
                <v:fill on="t" focussize="0,0"/>
                <v:stroke weight="2.25pt" color="#C0C0C0" miterlimit="8" joinstyle="miter"/>
                <v:imagedata o:title=""/>
                <o:lock v:ext="edit" aspectratio="f"/>
                <v:textbox>
                  <w:txbxContent>
                    <w:p>
                      <w:pPr>
                        <w:pStyle w:val="6"/>
                        <w:pBdr>
                          <w:top w:val="none" w:color="auto" w:sz="0" w:space="0"/>
                          <w:left w:val="none" w:color="auto" w:sz="0" w:space="0"/>
                          <w:bottom w:val="none" w:color="auto" w:sz="0" w:space="0"/>
                          <w:right w:val="none" w:color="auto" w:sz="0" w:space="0"/>
                        </w:pBdr>
                        <w:shd w:val="clear" w:color="auto" w:fill="E0E0E0"/>
                      </w:pPr>
                    </w:p>
                    <w:p>
                      <w:pPr>
                        <w:pStyle w:val="6"/>
                        <w:pBdr>
                          <w:top w:val="none" w:color="auto" w:sz="0" w:space="0"/>
                          <w:left w:val="none" w:color="auto" w:sz="0" w:space="0"/>
                          <w:bottom w:val="none" w:color="auto" w:sz="0" w:space="0"/>
                          <w:right w:val="none" w:color="auto" w:sz="0" w:space="0"/>
                        </w:pBdr>
                        <w:shd w:val="clear" w:color="auto" w:fill="E0E0E0"/>
                      </w:pPr>
                      <w:r>
                        <w:t xml:space="preserve">RESULT </w:t>
                      </w:r>
                      <w:r>
                        <w:rPr>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636905" cy="440055"/>
                                    </a:xfrm>
                                    <a:prstGeom prst="rect">
                                      <a:avLst/>
                                    </a:prstGeom>
                                    <a:noFill/>
                                    <a:ln>
                                      <a:noFill/>
                                    </a:ln>
                                  </pic:spPr>
                                </pic:pic>
                              </a:graphicData>
                            </a:graphic>
                          </wp:inline>
                        </w:drawing>
                      </w:r>
                    </w:p>
                  </w:txbxContent>
                </v:textbox>
              </v:shape>
            </w:pict>
          </mc:Fallback>
        </mc:AlternateContent>
      </w:r>
    </w:p>
    <w:p>
      <w:r>
        <w:rPr>
          <w:lang w:val="en-US" w:eastAsia="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tbl>
      <w:tblPr>
        <w:tblStyle w:val="15"/>
        <w:tblpPr w:leftFromText="180" w:rightFromText="180" w:vertAnchor="text" w:horzAnchor="page" w:tblpX="737" w:tblpY="1350"/>
        <w:tblOverlap w:val="never"/>
        <w:tblW w:w="105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781"/>
        <w:gridCol w:w="2613"/>
        <w:gridCol w:w="21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Student name:</w:t>
            </w:r>
          </w:p>
        </w:tc>
        <w:tc>
          <w:tcPr>
            <w:tcW w:w="3781" w:type="dxa"/>
          </w:tcPr>
          <w:p>
            <w:pPr>
              <w:spacing w:before="120" w:after="120"/>
              <w:jc w:val="both"/>
              <w:rPr>
                <w:rFonts w:ascii="Calibri" w:hAnsi="Calibri" w:cs="Arial"/>
                <w:b/>
                <w:sz w:val="22"/>
                <w:szCs w:val="22"/>
              </w:rPr>
            </w:pPr>
            <w:r>
              <w:rPr>
                <w:rFonts w:ascii="Calibri" w:hAnsi="Calibri" w:cs="Arial"/>
                <w:b/>
                <w:sz w:val="22"/>
                <w:szCs w:val="22"/>
              </w:rPr>
              <w:fldChar w:fldCharType="begin">
                <w:ffData>
                  <w:name w:val="Text2"/>
                  <w:enabled/>
                  <w:calcOnExit w:val="0"/>
                  <w:textInput/>
                </w:ffData>
              </w:fldChar>
            </w:r>
            <w:r>
              <w:rPr>
                <w:rFonts w:ascii="Calibri" w:hAnsi="Calibri" w:cs="Arial"/>
                <w:b/>
                <w:sz w:val="22"/>
                <w:szCs w:val="22"/>
              </w:rPr>
              <w:instrText xml:space="preserve"> FORMTEXT </w:instrText>
            </w:r>
            <w:r>
              <w:rPr>
                <w:rFonts w:ascii="Calibri" w:hAnsi="Calibri" w:cs="Arial"/>
                <w:b/>
                <w:sz w:val="22"/>
                <w:szCs w:val="22"/>
              </w:rPr>
              <w:fldChar w:fldCharType="separate"/>
            </w:r>
            <w:r>
              <w:rPr>
                <w:b/>
                <w:sz w:val="22"/>
                <w:szCs w:val="22"/>
              </w:rPr>
              <w:t>     </w:t>
            </w:r>
            <w:r>
              <w:rPr>
                <w:rFonts w:ascii="Calibri" w:hAnsi="Calibri" w:cs="Arial"/>
                <w:b/>
                <w:sz w:val="22"/>
                <w:szCs w:val="22"/>
              </w:rPr>
              <w:fldChar w:fldCharType="end"/>
            </w:r>
          </w:p>
        </w:tc>
        <w:tc>
          <w:tcPr>
            <w:tcW w:w="2613" w:type="dxa"/>
            <w:shd w:val="clear" w:color="auto" w:fill="D9D9D9"/>
          </w:tcPr>
          <w:p>
            <w:pPr>
              <w:spacing w:before="120" w:after="120"/>
              <w:jc w:val="both"/>
              <w:rPr>
                <w:rFonts w:ascii="Calibri" w:hAnsi="Calibri" w:cs="Arial"/>
                <w:b/>
                <w:sz w:val="22"/>
                <w:szCs w:val="22"/>
              </w:rPr>
            </w:pPr>
            <w:r>
              <w:rPr>
                <w:rFonts w:ascii="Calibri" w:hAnsi="Calibri" w:cs="Arial"/>
                <w:b/>
                <w:sz w:val="22"/>
                <w:szCs w:val="22"/>
              </w:rPr>
              <w:t>Student P number:</w:t>
            </w:r>
          </w:p>
        </w:tc>
        <w:tc>
          <w:tcPr>
            <w:tcW w:w="2111" w:type="dxa"/>
          </w:tcPr>
          <w:p>
            <w:pPr>
              <w:spacing w:before="120" w:after="120"/>
              <w:jc w:val="both"/>
              <w:rPr>
                <w:rFonts w:ascii="Calibri" w:hAnsi="Calibri" w:cs="Arial"/>
                <w:b/>
                <w:sz w:val="22"/>
                <w:szCs w:val="22"/>
                <w:lang w:val="en-GB"/>
              </w:rPr>
            </w:pPr>
            <w:r>
              <w:rPr>
                <w:rFonts w:ascii="Calibri" w:hAnsi="Calibri" w:cs="Arial"/>
                <w:b/>
                <w:sz w:val="22"/>
                <w:szCs w:val="22"/>
                <w:highlight w:val="yellow"/>
                <w:lang w:val="en-GB"/>
              </w:rPr>
              <w:t>1400664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Programme: *</w:t>
            </w:r>
          </w:p>
        </w:tc>
        <w:tc>
          <w:tcPr>
            <w:tcW w:w="8505" w:type="dxa"/>
            <w:gridSpan w:val="3"/>
          </w:tcPr>
          <w:p>
            <w:pPr>
              <w:spacing w:before="120" w:after="120"/>
              <w:jc w:val="both"/>
              <w:rPr>
                <w:rFonts w:ascii="Calibri" w:hAnsi="Calibri" w:cs="Arial"/>
                <w:b/>
                <w:sz w:val="22"/>
                <w:szCs w:val="22"/>
              </w:rPr>
            </w:pPr>
            <w:r>
              <w:rPr>
                <w:rFonts w:ascii="Calibri" w:hAnsi="Calibri" w:cs="Arial"/>
                <w:b/>
                <w:sz w:val="22"/>
                <w:szCs w:val="22"/>
              </w:rPr>
              <w:t>PGCE Primary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Module: *</w:t>
            </w:r>
          </w:p>
        </w:tc>
        <w:tc>
          <w:tcPr>
            <w:tcW w:w="3781" w:type="dxa"/>
            <w:shd w:val="clear" w:color="auto" w:fill="auto"/>
          </w:tcPr>
          <w:p>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pPr>
              <w:spacing w:before="120" w:after="120"/>
              <w:jc w:val="both"/>
              <w:rPr>
                <w:rFonts w:ascii="Calibri" w:hAnsi="Calibri" w:cs="Arial"/>
                <w:b/>
                <w:sz w:val="22"/>
                <w:szCs w:val="22"/>
              </w:rPr>
            </w:pPr>
            <w:r>
              <w:rPr>
                <w:rFonts w:ascii="Calibri" w:hAnsi="Calibri" w:cs="Arial"/>
                <w:b/>
                <w:sz w:val="22"/>
                <w:szCs w:val="22"/>
              </w:rPr>
              <w:t xml:space="preserve">Module Level (6 or 7):* </w:t>
            </w:r>
          </w:p>
        </w:tc>
        <w:tc>
          <w:tcPr>
            <w:tcW w:w="2111" w:type="dxa"/>
            <w:shd w:val="clear" w:color="auto" w:fill="auto"/>
          </w:tcPr>
          <w:p>
            <w:pPr>
              <w:spacing w:before="120" w:after="120"/>
              <w:jc w:val="both"/>
              <w:rPr>
                <w:rFonts w:ascii="Calibri" w:hAnsi="Calibri" w:cs="Arial"/>
                <w:b/>
                <w:sz w:val="22"/>
                <w:szCs w:val="22"/>
              </w:rPr>
            </w:pPr>
            <w:r>
              <w:rPr>
                <w:rFonts w:ascii="Calibri" w:hAnsi="Calibri" w:cs="Arial"/>
                <w:b/>
                <w:sz w:val="22"/>
                <w:szCs w:val="22"/>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Module code: *</w:t>
            </w:r>
          </w:p>
        </w:tc>
        <w:tc>
          <w:tcPr>
            <w:tcW w:w="3781" w:type="dxa"/>
          </w:tcPr>
          <w:p>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pPr>
              <w:pStyle w:val="3"/>
              <w:rPr>
                <w:rFonts w:ascii="Calibri" w:hAnsi="Calibri" w:cs="Arial"/>
                <w:sz w:val="22"/>
                <w:szCs w:val="22"/>
              </w:rPr>
            </w:pPr>
            <w:r>
              <w:rPr>
                <w:rFonts w:ascii="Calibri" w:hAnsi="Calibri" w:cs="Arial"/>
                <w:sz w:val="22"/>
                <w:szCs w:val="22"/>
              </w:rPr>
              <w:t xml:space="preserve">Contribution to Overall </w:t>
            </w:r>
          </w:p>
          <w:p>
            <w:pPr>
              <w:rPr>
                <w:rFonts w:ascii="Calibri" w:hAnsi="Calibri" w:cs="Arial"/>
                <w:b/>
                <w:sz w:val="22"/>
                <w:szCs w:val="22"/>
              </w:rPr>
            </w:pPr>
            <w:r>
              <w:rPr>
                <w:rFonts w:ascii="Calibri" w:hAnsi="Calibri" w:cs="Arial"/>
                <w:b/>
                <w:sz w:val="22"/>
                <w:szCs w:val="22"/>
              </w:rPr>
              <w:t>Module Assessment (%): *</w:t>
            </w:r>
          </w:p>
        </w:tc>
        <w:tc>
          <w:tcPr>
            <w:tcW w:w="2111" w:type="dxa"/>
          </w:tcPr>
          <w:p>
            <w:pPr>
              <w:spacing w:before="120" w:after="120"/>
              <w:jc w:val="both"/>
              <w:rPr>
                <w:rFonts w:ascii="Calibri" w:hAnsi="Calibri" w:cs="Arial"/>
                <w:b/>
                <w:sz w:val="22"/>
                <w:szCs w:val="22"/>
              </w:rPr>
            </w:pPr>
            <w:r>
              <w:rPr>
                <w:rFonts w:ascii="Calibri" w:hAnsi="Calibri" w:cs="Arial"/>
                <w:b/>
                <w:sz w:val="22"/>
                <w:szCs w:val="22"/>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Module Lead:*</w:t>
            </w:r>
          </w:p>
        </w:tc>
        <w:tc>
          <w:tcPr>
            <w:tcW w:w="8505" w:type="dxa"/>
            <w:gridSpan w:val="3"/>
            <w:shd w:val="clear" w:color="auto" w:fill="FFFFFF" w:themeFill="background1"/>
          </w:tcPr>
          <w:p>
            <w:pPr>
              <w:spacing w:before="120" w:after="120"/>
              <w:jc w:val="both"/>
              <w:rPr>
                <w:rFonts w:ascii="Calibri" w:hAnsi="Calibri" w:cs="Arial"/>
                <w:b/>
                <w:sz w:val="22"/>
                <w:szCs w:val="22"/>
              </w:rPr>
            </w:pPr>
            <w:r>
              <w:rPr>
                <w:rFonts w:ascii="Calibri" w:hAnsi="Calibri" w:cs="Arial"/>
                <w:b/>
                <w:sz w:val="22"/>
                <w:szCs w:val="22"/>
              </w:rPr>
              <w:t>Catherine Morgan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Assignment Title:*</w:t>
            </w:r>
          </w:p>
        </w:tc>
        <w:tc>
          <w:tcPr>
            <w:tcW w:w="3781" w:type="dxa"/>
          </w:tcPr>
          <w:p>
            <w:pPr>
              <w:rPr>
                <w:rFonts w:ascii="Calibri" w:hAnsi="Calibri" w:eastAsia="Calibri"/>
                <w:b/>
                <w:szCs w:val="22"/>
                <w:lang w:eastAsia="en-US"/>
              </w:rPr>
            </w:pPr>
            <w:r>
              <w:rPr>
                <w:rFonts w:ascii="Calibri" w:hAnsi="Calibri" w:eastAsia="Calibri"/>
                <w:b/>
                <w:szCs w:val="22"/>
                <w:lang w:eastAsia="en-US"/>
              </w:rPr>
              <w:t xml:space="preserve">Write a critical and analytical essay that discusses your practitioner research ‘lesson study’ in relation to a chosen field.  </w:t>
            </w:r>
          </w:p>
        </w:tc>
        <w:tc>
          <w:tcPr>
            <w:tcW w:w="2613" w:type="dxa"/>
            <w:shd w:val="pct10" w:color="auto" w:fill="auto"/>
          </w:tcPr>
          <w:p>
            <w:pPr>
              <w:spacing w:before="120" w:after="120"/>
              <w:jc w:val="both"/>
              <w:rPr>
                <w:rFonts w:ascii="Calibri" w:hAnsi="Calibri" w:cs="Arial"/>
                <w:b/>
                <w:sz w:val="22"/>
                <w:szCs w:val="22"/>
              </w:rPr>
            </w:pPr>
            <w:r>
              <w:rPr>
                <w:rFonts w:ascii="Calibri" w:hAnsi="Calibri" w:cs="Arial"/>
                <w:b/>
                <w:sz w:val="22"/>
                <w:szCs w:val="22"/>
              </w:rPr>
              <w:t>Assignment No (x of x):*</w:t>
            </w:r>
          </w:p>
        </w:tc>
        <w:tc>
          <w:tcPr>
            <w:tcW w:w="2111" w:type="dxa"/>
          </w:tcPr>
          <w:p>
            <w:pPr>
              <w:spacing w:before="120" w:after="120"/>
              <w:jc w:val="both"/>
              <w:rPr>
                <w:rFonts w:ascii="Calibri" w:hAnsi="Calibri" w:cs="Arial"/>
                <w:b/>
                <w:sz w:val="22"/>
                <w:szCs w:val="22"/>
              </w:rPr>
            </w:pPr>
            <w:r>
              <w:rPr>
                <w:rFonts w:ascii="Calibri" w:hAnsi="Calibri" w:cs="Arial"/>
                <w:b/>
                <w:sz w:val="22"/>
                <w:szCs w:val="22"/>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Start date:*</w:t>
            </w:r>
          </w:p>
        </w:tc>
        <w:tc>
          <w:tcPr>
            <w:tcW w:w="3781" w:type="dxa"/>
            <w:shd w:val="clear" w:color="auto" w:fill="auto"/>
          </w:tcPr>
          <w:p>
            <w:pPr>
              <w:spacing w:before="120" w:after="120"/>
              <w:jc w:val="both"/>
              <w:rPr>
                <w:rFonts w:ascii="Calibri" w:hAnsi="Calibri" w:cs="Arial"/>
                <w:b/>
                <w:sz w:val="22"/>
                <w:szCs w:val="22"/>
              </w:rPr>
            </w:pPr>
            <w:r>
              <w:rPr>
                <w:rFonts w:ascii="Calibri" w:hAnsi="Calibri" w:cs="Arial"/>
                <w:b/>
                <w:sz w:val="22"/>
                <w:szCs w:val="22"/>
              </w:rPr>
              <w:t>09/01/18</w:t>
            </w:r>
          </w:p>
        </w:tc>
        <w:tc>
          <w:tcPr>
            <w:tcW w:w="2613" w:type="dxa"/>
            <w:shd w:val="pct10" w:color="auto" w:fill="auto"/>
          </w:tcPr>
          <w:p>
            <w:pPr>
              <w:spacing w:before="120" w:after="120"/>
              <w:jc w:val="both"/>
              <w:rPr>
                <w:rFonts w:ascii="Calibri" w:hAnsi="Calibri" w:cs="Arial"/>
                <w:b/>
                <w:sz w:val="22"/>
                <w:szCs w:val="22"/>
              </w:rPr>
            </w:pPr>
            <w:r>
              <w:rPr>
                <w:rFonts w:ascii="Calibri" w:hAnsi="Calibri" w:cs="Arial"/>
                <w:b/>
                <w:sz w:val="22"/>
                <w:szCs w:val="22"/>
              </w:rPr>
              <w:t>Submission deadline:*</w:t>
            </w:r>
          </w:p>
        </w:tc>
        <w:tc>
          <w:tcPr>
            <w:tcW w:w="2111" w:type="dxa"/>
          </w:tcPr>
          <w:p>
            <w:pPr>
              <w:spacing w:before="120" w:after="120"/>
              <w:jc w:val="both"/>
              <w:rPr>
                <w:rFonts w:ascii="Calibri" w:hAnsi="Calibri" w:cs="Arial"/>
                <w:b/>
                <w:sz w:val="22"/>
                <w:szCs w:val="22"/>
              </w:rPr>
            </w:pPr>
            <w:r>
              <w:rPr>
                <w:rFonts w:ascii="Calibri" w:hAnsi="Calibri" w:cs="Arial"/>
                <w:b/>
                <w:sz w:val="22"/>
                <w:szCs w:val="22"/>
              </w:rPr>
              <w:t>16/04/18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3" w:type="dxa"/>
            <w:shd w:val="pct10" w:color="auto" w:fill="auto"/>
          </w:tcPr>
          <w:p>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pPr>
              <w:spacing w:before="120" w:after="120"/>
              <w:jc w:val="both"/>
              <w:rPr>
                <w:rFonts w:ascii="Calibri" w:hAnsi="Calibri" w:cs="Arial"/>
                <w:b/>
                <w:sz w:val="22"/>
                <w:szCs w:val="22"/>
              </w:rPr>
            </w:pPr>
          </w:p>
        </w:tc>
      </w:tr>
    </w:tbl>
    <w:p>
      <w:pPr>
        <w:rPr>
          <w:vanish/>
        </w:rPr>
      </w:pPr>
    </w:p>
    <w:tbl>
      <w:tblPr>
        <w:tblStyle w:val="15"/>
        <w:tblpPr w:leftFromText="180" w:rightFromText="180" w:vertAnchor="text" w:horzAnchor="page" w:tblpX="754" w:tblpY="1247"/>
        <w:tblW w:w="10583"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1756"/>
        <w:gridCol w:w="6521"/>
        <w:gridCol w:w="1134"/>
        <w:gridCol w:w="1172"/>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21" w:hRule="atLeast"/>
        </w:trPr>
        <w:tc>
          <w:tcPr>
            <w:tcW w:w="1756" w:type="dxa"/>
            <w:tcBorders>
              <w:top w:val="single" w:color="auto" w:sz="6" w:space="0"/>
            </w:tcBorders>
            <w:shd w:val="clear" w:color="auto" w:fill="D9D9D9"/>
          </w:tcPr>
          <w:p>
            <w:pPr>
              <w:rPr>
                <w:rFonts w:ascii="Calibri" w:hAnsi="Calibri" w:cs="Arial"/>
                <w:b/>
                <w:sz w:val="22"/>
                <w:szCs w:val="22"/>
              </w:rPr>
            </w:pPr>
            <w:r>
              <w:rPr>
                <w:rFonts w:ascii="Calibri" w:hAnsi="Calibri" w:cs="Arial"/>
                <w:b/>
                <w:sz w:val="22"/>
                <w:szCs w:val="22"/>
              </w:rPr>
              <w:t>Referencing:</w:t>
            </w:r>
          </w:p>
        </w:tc>
        <w:tc>
          <w:tcPr>
            <w:tcW w:w="8827" w:type="dxa"/>
            <w:gridSpan w:val="3"/>
            <w:tcBorders>
              <w:top w:val="single" w:color="auto" w:sz="6" w:space="0"/>
            </w:tcBorders>
          </w:tcPr>
          <w:p>
            <w:pPr>
              <w:pStyle w:val="8"/>
              <w:rPr>
                <w:rFonts w:ascii="Calibri" w:hAnsi="Calibri" w:cs="Arial"/>
                <w:sz w:val="18"/>
                <w:szCs w:val="18"/>
              </w:rPr>
            </w:pPr>
            <w:r>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Calibri" w:hAnsi="Calibri" w:cs="Arial"/>
                <w:sz w:val="18"/>
                <w:szCs w:val="18"/>
                <w:u w:val="single"/>
              </w:rPr>
              <w:t>title of book</w:t>
            </w:r>
            <w:r>
              <w:rPr>
                <w:rFonts w:ascii="Calibri" w:hAnsi="Calibri" w:cs="Arial"/>
                <w:sz w:val="18"/>
                <w:szCs w:val="18"/>
              </w:rPr>
              <w:t>, edition, publisher: place of publication).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666" w:hRule="atLeast"/>
        </w:trPr>
        <w:tc>
          <w:tcPr>
            <w:tcW w:w="1756" w:type="dxa"/>
            <w:tcBorders>
              <w:top w:val="single" w:color="auto" w:sz="6" w:space="0"/>
            </w:tcBorders>
            <w:shd w:val="clear" w:color="auto" w:fill="D9D9D9"/>
          </w:tcPr>
          <w:p>
            <w:pPr>
              <w:rPr>
                <w:rFonts w:ascii="Calibri" w:hAnsi="Calibri" w:cs="Arial"/>
                <w:b/>
                <w:sz w:val="22"/>
                <w:szCs w:val="22"/>
              </w:rPr>
            </w:pPr>
            <w:r>
              <w:rPr>
                <w:rFonts w:ascii="Calibri" w:hAnsi="Calibri" w:cs="Arial"/>
                <w:b/>
                <w:sz w:val="22"/>
                <w:szCs w:val="22"/>
              </w:rPr>
              <w:t>Submission:</w:t>
            </w:r>
          </w:p>
        </w:tc>
        <w:tc>
          <w:tcPr>
            <w:tcW w:w="6521" w:type="dxa"/>
            <w:tcBorders>
              <w:top w:val="single" w:color="auto" w:sz="6" w:space="0"/>
            </w:tcBorders>
          </w:tcPr>
          <w:p>
            <w:pPr>
              <w:spacing w:before="120" w:after="120"/>
              <w:jc w:val="both"/>
              <w:rPr>
                <w:rFonts w:ascii="Calibri" w:hAnsi="Calibri" w:cs="Arial"/>
                <w:sz w:val="22"/>
                <w:szCs w:val="22"/>
              </w:rPr>
            </w:pPr>
            <w:r>
              <w:rPr>
                <w:rFonts w:ascii="Calibri" w:hAnsi="Calibri" w:cs="Arial"/>
                <w:b/>
                <w:sz w:val="22"/>
                <w:szCs w:val="22"/>
              </w:rPr>
              <w:t xml:space="preserve">All assignments must be submitted to Turnitin unless otherwise instructed by the Lecturer. </w:t>
            </w:r>
          </w:p>
          <w:p>
            <w:pPr>
              <w:spacing w:before="120" w:after="120"/>
              <w:jc w:val="both"/>
              <w:rPr>
                <w:rFonts w:ascii="Calibri" w:hAnsi="Calibri" w:cs="Arial"/>
                <w:sz w:val="18"/>
                <w:szCs w:val="18"/>
              </w:rPr>
            </w:pPr>
            <w:r>
              <w:rPr>
                <w:rFonts w:ascii="Calibri" w:hAnsi="Calibri" w:cs="Arial"/>
                <w:b/>
                <w:sz w:val="22"/>
                <w:szCs w:val="22"/>
              </w:rPr>
              <w:t>Note</w:t>
            </w:r>
            <w:r>
              <w:rPr>
                <w:rFonts w:ascii="Calibri" w:hAnsi="Calibri" w:cs="Arial"/>
                <w:sz w:val="22"/>
                <w:szCs w:val="22"/>
              </w:rPr>
              <w:t xml:space="preserve">: the Turnitin version is the primary submission and acts as a receipt for the student.  </w:t>
            </w:r>
            <w:r>
              <w:rPr>
                <w:rFonts w:ascii="Calibri" w:hAnsi="Calibri" w:cs="Arial"/>
                <w:b/>
                <w:sz w:val="22"/>
                <w:szCs w:val="22"/>
              </w:rPr>
              <w:t xml:space="preserve">Late submission of the electronic version of the assignment will result in a late penalty.  </w:t>
            </w:r>
            <w:r>
              <w:rPr>
                <w:rFonts w:ascii="Calibri" w:hAnsi="Calibri" w:cs="Arial"/>
                <w:sz w:val="22"/>
                <w:szCs w:val="22"/>
              </w:rPr>
              <w:t>Penalties for late submission: Up to one week late, maximum grade D.  Over one week late, Refer.  Only the Extenuating Circumstances Panel may grant an extension.</w:t>
            </w:r>
          </w:p>
        </w:tc>
        <w:tc>
          <w:tcPr>
            <w:tcW w:w="1134" w:type="dxa"/>
            <w:tcBorders>
              <w:top w:val="single" w:color="auto" w:sz="6" w:space="0"/>
            </w:tcBorders>
            <w:shd w:val="clear" w:color="auto" w:fill="D9D9D9"/>
          </w:tcPr>
          <w:p>
            <w:pPr>
              <w:rPr>
                <w:rFonts w:ascii="Calibri" w:hAnsi="Calibri" w:cs="Arial"/>
                <w:b/>
                <w:sz w:val="22"/>
                <w:szCs w:val="22"/>
              </w:rPr>
            </w:pPr>
            <w:r>
              <w:rPr>
                <w:rFonts w:ascii="Calibri" w:hAnsi="Calibri" w:cs="Arial"/>
                <w:b/>
              </w:rPr>
              <w:br w:type="textWrapping"/>
            </w:r>
            <w:r>
              <w:rPr>
                <w:rFonts w:ascii="Calibri" w:hAnsi="Calibri" w:cs="Arial"/>
                <w:b/>
                <w:sz w:val="22"/>
                <w:szCs w:val="22"/>
              </w:rPr>
              <w:t>Date:</w:t>
            </w:r>
          </w:p>
        </w:tc>
        <w:tc>
          <w:tcPr>
            <w:tcW w:w="1172" w:type="dxa"/>
            <w:tcBorders>
              <w:top w:val="single" w:color="auto" w:sz="6" w:space="0"/>
            </w:tcBorders>
          </w:tcPr>
          <w:p>
            <w:pPr>
              <w:rPr>
                <w:rFonts w:ascii="Calibri" w:hAnsi="Calibri" w:cs="Arial"/>
                <w:b/>
              </w:rPr>
            </w:pPr>
          </w:p>
          <w:p>
            <w:pPr>
              <w:rPr>
                <w:rFonts w:ascii="Calibri" w:hAnsi="Calibri" w:cs="Arial"/>
                <w:b/>
              </w:rPr>
            </w:pPr>
            <w:r>
              <w:rPr>
                <w:rFonts w:ascii="Calibri" w:hAnsi="Calibri" w:cs="Arial"/>
                <w:b/>
                <w:sz w:val="22"/>
                <w:szCs w:val="22"/>
              </w:rPr>
              <w:t>16/04/18</w:t>
            </w:r>
          </w:p>
        </w:tc>
      </w:tr>
    </w:tbl>
    <w:p>
      <w:pPr>
        <w:rPr>
          <w:vanish/>
        </w:rPr>
      </w:pPr>
    </w:p>
    <w:tbl>
      <w:tblPr>
        <w:tblStyle w:val="15"/>
        <w:tblpPr w:leftFromText="180" w:rightFromText="180" w:vertAnchor="text" w:horzAnchor="page" w:tblpX="752" w:tblpY="450"/>
        <w:tblOverlap w:val="never"/>
        <w:tblW w:w="1060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CellMar>
          <w:top w:w="0" w:type="dxa"/>
          <w:left w:w="108" w:type="dxa"/>
          <w:bottom w:w="0" w:type="dxa"/>
          <w:right w:w="108" w:type="dxa"/>
        </w:tblCellMar>
      </w:tblPr>
      <w:tblGrid>
        <w:gridCol w:w="106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CellMar>
            <w:top w:w="0" w:type="dxa"/>
            <w:left w:w="108" w:type="dxa"/>
            <w:bottom w:w="0" w:type="dxa"/>
            <w:right w:w="108" w:type="dxa"/>
          </w:tblCellMar>
        </w:tblPrEx>
        <w:tc>
          <w:tcPr>
            <w:tcW w:w="10600" w:type="dxa"/>
            <w:shd w:val="clear" w:color="auto" w:fill="C0C0C0"/>
          </w:tcPr>
          <w:p>
            <w:pPr>
              <w:jc w:val="center"/>
              <w:rPr>
                <w:rFonts w:ascii="Arial" w:hAnsi="Arial" w:cs="Arial"/>
                <w:b/>
                <w:sz w:val="36"/>
                <w:szCs w:val="36"/>
              </w:rPr>
            </w:pPr>
            <w:r>
              <w:rPr>
                <w:rFonts w:ascii="Arial" w:hAnsi="Arial" w:cs="Arial"/>
                <w:b/>
                <w:sz w:val="36"/>
                <w:szCs w:val="36"/>
              </w:rPr>
              <w:t>ASSIGNMENT DETAILS AND FEEDBACK</w:t>
            </w:r>
          </w:p>
          <w:p>
            <w:pPr>
              <w:jc w:val="center"/>
              <w:rPr>
                <w:rFonts w:ascii="Arial" w:hAnsi="Arial" w:cs="Arial"/>
              </w:rPr>
            </w:pPr>
            <w:r>
              <w:rPr>
                <w:rFonts w:ascii="Arial" w:hAnsi="Arial" w:cs="Arial"/>
                <w:b/>
                <w:sz w:val="24"/>
                <w:szCs w:val="24"/>
              </w:rPr>
              <w:t>SOUTH WEST WALES CENTRE FOR TEACHER EDUCATION</w:t>
            </w:r>
          </w:p>
        </w:tc>
      </w:tr>
    </w:tbl>
    <w:p>
      <w:pPr>
        <w:jc w:val="center"/>
        <w:rPr>
          <w:b/>
          <w:i/>
          <w:sz w:val="16"/>
          <w:szCs w:val="16"/>
        </w:rPr>
      </w:pPr>
      <w:r>
        <w:rPr>
          <w:b/>
          <w:i/>
          <w:sz w:val="16"/>
          <w:szCs w:val="16"/>
        </w:rPr>
        <w:t>Sections marked with * should be completed by module lead</w:t>
      </w:r>
    </w:p>
    <w:p>
      <w:pPr>
        <w:rPr>
          <w:rFonts w:ascii="Calibri" w:hAnsi="Calibri" w:cs="Calibri"/>
          <w:b/>
        </w:rPr>
      </w:pPr>
    </w:p>
    <w:tbl>
      <w:tblPr>
        <w:tblStyle w:val="15"/>
        <w:tblpPr w:leftFromText="180" w:rightFromText="180" w:vertAnchor="text" w:horzAnchor="page" w:tblpX="752" w:tblpY="4210"/>
        <w:tblOverlap w:val="never"/>
        <w:tblW w:w="105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464"/>
        <w:gridCol w:w="567"/>
        <w:gridCol w:w="5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86" w:hRule="atLeast"/>
        </w:trPr>
        <w:tc>
          <w:tcPr>
            <w:tcW w:w="9464" w:type="dxa"/>
            <w:vMerge w:val="restart"/>
            <w:shd w:val="pct10" w:color="auto" w:fill="auto"/>
          </w:tcPr>
          <w:p>
            <w:pPr>
              <w:spacing w:before="120" w:after="120"/>
              <w:jc w:val="both"/>
              <w:rPr>
                <w:rFonts w:ascii="Calibri" w:hAnsi="Calibri" w:cs="Calibri"/>
                <w:b/>
                <w:sz w:val="18"/>
                <w:szCs w:val="18"/>
              </w:rPr>
            </w:pPr>
            <w:r>
              <w:rPr>
                <w:rFonts w:ascii="Calibri" w:hAnsi="Calibri" w:cs="Arial"/>
                <w:sz w:val="18"/>
                <w:szCs w:val="18"/>
              </w:rPr>
              <w:t>Module lead to tick to indicate if a hard copy version of the assignment must be submitted.*</w:t>
            </w:r>
          </w:p>
        </w:tc>
        <w:tc>
          <w:tcPr>
            <w:tcW w:w="567" w:type="dxa"/>
            <w:shd w:val="pct10" w:color="auto" w:fill="auto"/>
          </w:tcPr>
          <w:p>
            <w:pPr>
              <w:spacing w:before="120" w:after="120"/>
              <w:jc w:val="both"/>
              <w:rPr>
                <w:rFonts w:ascii="Calibri" w:hAnsi="Calibri" w:cs="Calibri"/>
                <w:b/>
              </w:rPr>
            </w:pPr>
            <w:r>
              <w:rPr>
                <w:rFonts w:ascii="Calibri" w:hAnsi="Calibri" w:cs="Calibri"/>
                <w:b/>
              </w:rPr>
              <w:t>YES</w:t>
            </w:r>
          </w:p>
        </w:tc>
        <w:tc>
          <w:tcPr>
            <w:tcW w:w="567" w:type="dxa"/>
          </w:tcPr>
          <w:p>
            <w:pPr>
              <w:spacing w:before="120" w:after="120"/>
              <w:jc w:val="both"/>
              <w:rPr>
                <w:rFonts w:ascii="Calibri" w:hAnsi="Calibri" w:cs="Calibri"/>
                <w: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8" w:hRule="atLeast"/>
        </w:trPr>
        <w:tc>
          <w:tcPr>
            <w:tcW w:w="9464" w:type="dxa"/>
            <w:vMerge w:val="continue"/>
            <w:shd w:val="pct10" w:color="auto" w:fill="auto"/>
          </w:tcPr>
          <w:p>
            <w:pPr>
              <w:spacing w:before="120" w:after="120"/>
              <w:jc w:val="both"/>
              <w:rPr>
                <w:rFonts w:ascii="Calibri" w:hAnsi="Calibri" w:cs="Calibri"/>
                <w:b/>
              </w:rPr>
            </w:pPr>
          </w:p>
        </w:tc>
        <w:tc>
          <w:tcPr>
            <w:tcW w:w="567" w:type="dxa"/>
            <w:shd w:val="pct10" w:color="auto" w:fill="auto"/>
          </w:tcPr>
          <w:p>
            <w:pPr>
              <w:spacing w:before="120" w:after="120"/>
              <w:jc w:val="both"/>
              <w:rPr>
                <w:rFonts w:ascii="Calibri" w:hAnsi="Calibri" w:cs="Calibri"/>
                <w:b/>
              </w:rPr>
            </w:pPr>
            <w:r>
              <w:rPr>
                <w:rFonts w:ascii="Calibri" w:hAnsi="Calibri" w:cs="Calibri"/>
                <w:b/>
              </w:rPr>
              <w:t>NO</w:t>
            </w:r>
          </w:p>
        </w:tc>
        <w:tc>
          <w:tcPr>
            <w:tcW w:w="567" w:type="dxa"/>
          </w:tcPr>
          <w:p>
            <w:pPr>
              <w:spacing w:before="120" w:after="120"/>
              <w:jc w:val="both"/>
              <w:rPr>
                <w:rFonts w:ascii="Calibri" w:hAnsi="Calibri" w:cs="Calibri"/>
                <w:b/>
              </w:rPr>
            </w:pPr>
            <w:r>
              <w:rPr>
                <w:rFonts w:ascii="Calibri" w:hAnsi="Calibri" w:cs="Calibri"/>
                <w:b/>
              </w:rPr>
              <w:sym w:font="Wingdings" w:char="F0FC"/>
            </w:r>
          </w:p>
        </w:tc>
      </w:tr>
    </w:tbl>
    <w:p>
      <w:pPr>
        <w:rPr>
          <w:sz w:val="32"/>
        </w:rPr>
      </w:pPr>
    </w:p>
    <w:p>
      <w:pPr>
        <w:rPr>
          <w:sz w:val="32"/>
        </w:rPr>
      </w:pPr>
    </w:p>
    <w:p>
      <w:pPr>
        <w:rPr>
          <w:sz w:val="32"/>
        </w:rPr>
      </w:pPr>
    </w:p>
    <w:p>
      <w:pPr>
        <w:rPr>
          <w:sz w:val="32"/>
        </w:rPr>
      </w:pPr>
    </w:p>
    <w:p>
      <w:pPr>
        <w:rPr>
          <w:sz w:val="32"/>
        </w:rPr>
      </w:pPr>
    </w:p>
    <w:p>
      <w:pPr>
        <w:rPr>
          <w:sz w:val="32"/>
        </w:rPr>
      </w:pPr>
    </w:p>
    <w:p>
      <w:pPr>
        <w:rPr>
          <w:sz w:val="32"/>
        </w:rPr>
      </w:pPr>
    </w:p>
    <w:p>
      <w:pPr>
        <w:pStyle w:val="17"/>
        <w:tabs>
          <w:tab w:val="clear" w:pos="720"/>
          <w:tab w:val="clear" w:pos="1440"/>
        </w:tabs>
        <w:jc w:val="both"/>
        <w:rPr>
          <w:rFonts w:ascii="Calibri" w:hAnsi="Calibri"/>
          <w:sz w:val="20"/>
        </w:rPr>
      </w:pPr>
    </w:p>
    <w:tbl>
      <w:tblPr>
        <w:tblStyle w:val="15"/>
        <w:tblpPr w:leftFromText="180" w:rightFromText="180" w:vertAnchor="text" w:horzAnchor="page" w:tblpX="835" w:tblpY="61"/>
        <w:tblOverlap w:val="never"/>
        <w:tblW w:w="1049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fixed"/>
        <w:tblCellMar>
          <w:top w:w="0" w:type="dxa"/>
          <w:left w:w="108" w:type="dxa"/>
          <w:bottom w:w="0" w:type="dxa"/>
          <w:right w:w="108" w:type="dxa"/>
        </w:tblCellMar>
      </w:tblPr>
      <w:tblGrid>
        <w:gridCol w:w="1049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fixed"/>
          <w:tblCellMar>
            <w:top w:w="0" w:type="dxa"/>
            <w:left w:w="108" w:type="dxa"/>
            <w:bottom w:w="0" w:type="dxa"/>
            <w:right w:w="108" w:type="dxa"/>
          </w:tblCellMar>
        </w:tblPrEx>
        <w:tc>
          <w:tcPr>
            <w:tcW w:w="10494" w:type="dxa"/>
            <w:shd w:val="clear" w:color="auto" w:fill="BFBFBF"/>
          </w:tcPr>
          <w:p>
            <w:pPr>
              <w:jc w:val="left"/>
            </w:pPr>
            <w:r>
              <w:rPr>
                <w:sz w:val="32"/>
                <w:szCs w:val="32"/>
              </w:rPr>
              <w:br w:type="page"/>
            </w:r>
            <w:r>
              <w:rPr>
                <w:rFonts w:ascii="Calibri" w:hAnsi="Calibri" w:cs="Arial"/>
                <w:b/>
                <w:caps/>
                <w:sz w:val="40"/>
              </w:rPr>
              <w:t xml:space="preserve">      marking criteria and Student FEEDBACK</w:t>
            </w:r>
          </w:p>
        </w:tc>
      </w:tr>
    </w:tbl>
    <w:p>
      <w:pPr>
        <w:pStyle w:val="17"/>
        <w:tabs>
          <w:tab w:val="clear" w:pos="720"/>
          <w:tab w:val="clear" w:pos="1440"/>
        </w:tabs>
        <w:jc w:val="both"/>
        <w:rPr>
          <w:rFonts w:ascii="Calibri" w:hAnsi="Calibri"/>
          <w:sz w:val="20"/>
        </w:rPr>
      </w:pPr>
    </w:p>
    <w:p>
      <w:pPr>
        <w:pStyle w:val="17"/>
        <w:tabs>
          <w:tab w:val="clear" w:pos="720"/>
          <w:tab w:val="clear" w:pos="1440"/>
        </w:tabs>
        <w:jc w:val="both"/>
        <w:rPr>
          <w:rFonts w:ascii="Calibri" w:hAnsi="Calibri"/>
          <w:b/>
          <w:sz w:val="22"/>
          <w:szCs w:val="22"/>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Style w:val="15"/>
        <w:tblpPr w:leftFromText="180" w:rightFromText="180" w:vertAnchor="text" w:horzAnchor="page" w:tblpX="820" w:tblpY="96"/>
        <w:tblOverlap w:val="never"/>
        <w:tblW w:w="10480" w:type="dxa"/>
        <w:tblInd w:w="0" w:type="dxa"/>
        <w:tblLayout w:type="fixed"/>
        <w:tblCellMar>
          <w:top w:w="0" w:type="dxa"/>
          <w:left w:w="108" w:type="dxa"/>
          <w:bottom w:w="0" w:type="dxa"/>
          <w:right w:w="108" w:type="dxa"/>
        </w:tblCellMar>
      </w:tblPr>
      <w:tblGrid>
        <w:gridCol w:w="9464"/>
        <w:gridCol w:w="1016"/>
      </w:tblGrid>
      <w:tr>
        <w:tblPrEx>
          <w:tblLayout w:type="fixed"/>
          <w:tblCellMar>
            <w:top w:w="0" w:type="dxa"/>
            <w:left w:w="108" w:type="dxa"/>
            <w:bottom w:w="0" w:type="dxa"/>
            <w:right w:w="108" w:type="dxa"/>
          </w:tblCellMar>
        </w:tblPrEx>
        <w:trPr>
          <w:trHeight w:val="1002" w:hRule="atLeast"/>
        </w:trPr>
        <w:tc>
          <w:tcPr>
            <w:tcW w:w="9464" w:type="dxa"/>
            <w:tcBorders>
              <w:top w:val="single" w:color="auto" w:sz="4" w:space="0"/>
              <w:left w:val="single" w:color="auto" w:sz="4" w:space="0"/>
              <w:right w:val="single" w:color="auto" w:sz="4" w:space="0"/>
            </w:tcBorders>
            <w:shd w:val="clear" w:color="auto" w:fill="BFBFBF"/>
            <w:vAlign w:val="center"/>
          </w:tcPr>
          <w:p>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1016" w:type="dxa"/>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pPr>
              <w:ind w:left="113" w:right="113"/>
              <w:jc w:val="center"/>
              <w:rPr>
                <w:rFonts w:ascii="Calibri" w:hAnsi="Calibri"/>
                <w:b/>
                <w:sz w:val="14"/>
                <w:szCs w:val="14"/>
              </w:rPr>
            </w:pPr>
            <w:r>
              <w:rPr>
                <w:rFonts w:ascii="Calibri" w:hAnsi="Calibri"/>
                <w:b/>
                <w:sz w:val="14"/>
                <w:szCs w:val="14"/>
              </w:rPr>
              <w:t xml:space="preserve">Grade </w:t>
            </w:r>
          </w:p>
          <w:p>
            <w:pPr>
              <w:ind w:left="113" w:right="113"/>
              <w:jc w:val="center"/>
              <w:rPr>
                <w:rFonts w:ascii="Calibri" w:hAnsi="Calibri"/>
                <w:b/>
                <w:sz w:val="14"/>
                <w:szCs w:val="14"/>
              </w:rPr>
            </w:pPr>
            <w:r>
              <w:rPr>
                <w:rFonts w:ascii="Calibri" w:hAnsi="Calibri"/>
                <w:b/>
                <w:sz w:val="14"/>
                <w:szCs w:val="14"/>
              </w:rPr>
              <w:t>awarded</w:t>
            </w: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Cs w:val="16"/>
              </w:rPr>
              <w:t xml:space="preserve">1. </w:t>
            </w:r>
            <w:r>
              <w:rPr>
                <w:rFonts w:ascii="Calibri" w:hAnsi="Calibri"/>
                <w:b/>
              </w:rPr>
              <w:t>Subject Knowledge and Understanding (which includes using research-informed literature and knowledge and understanding of the subject)</w:t>
            </w:r>
          </w:p>
          <w:p>
            <w:pPr>
              <w:spacing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r>
              <w:t xml:space="preserve"> </w:t>
            </w:r>
            <w:r>
              <w:rPr>
                <w:rFonts w:ascii="Calibri" w:hAnsi="Calibri"/>
                <w:sz w:val="14"/>
                <w:szCs w:val="14"/>
              </w:rPr>
              <w:t>Extent of knowledge and understanding of concepts and underlying principles associated with the discipline.</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912"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Cs w:val="16"/>
              </w:rPr>
              <w:t>2. Intellectual Skills (</w:t>
            </w:r>
            <w:r>
              <w:rPr>
                <w:rFonts w:ascii="Calibri" w:hAnsi="Calibri"/>
                <w:b/>
              </w:rPr>
              <w:t>Analysis)</w:t>
            </w:r>
          </w:p>
          <w:p>
            <w:pPr>
              <w:spacing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1"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Cs w:val="16"/>
              </w:rPr>
              <w:t xml:space="preserve">3. </w:t>
            </w:r>
            <w:r>
              <w:rPr>
                <w:rFonts w:ascii="Calibri" w:hAnsi="Calibri"/>
                <w:b/>
              </w:rPr>
              <w:t>Pedagogic and Professional Applications (Practical Application and Deployment)</w:t>
            </w:r>
          </w:p>
          <w:p>
            <w:pPr>
              <w:spacing w:after="120"/>
              <w:rPr>
                <w:rFonts w:ascii="Calibri" w:hAnsi="Calibri"/>
                <w:sz w:val="14"/>
                <w:szCs w:val="14"/>
              </w:rPr>
            </w:pPr>
            <w:r>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1"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tcBorders>
              <w:top w:val="single" w:color="auto" w:sz="4" w:space="0"/>
              <w:left w:val="single" w:color="auto" w:sz="4" w:space="0"/>
              <w:right w:val="single" w:color="auto" w:sz="4" w:space="0"/>
            </w:tcBorders>
            <w:shd w:val="clear" w:color="auto" w:fill="D9D9D9"/>
          </w:tcPr>
          <w:p>
            <w:pPr>
              <w:rPr>
                <w:rFonts w:ascii="Calibri" w:hAnsi="Calibri"/>
                <w:b/>
                <w:sz w:val="16"/>
                <w:szCs w:val="16"/>
              </w:rPr>
            </w:pPr>
            <w:r>
              <w:rPr>
                <w:rFonts w:ascii="Calibri" w:hAnsi="Calibri"/>
                <w:b/>
                <w:sz w:val="16"/>
                <w:szCs w:val="16"/>
              </w:rPr>
              <w:t>4.Key Transferable Skills</w:t>
            </w:r>
          </w:p>
          <w:p>
            <w:pPr>
              <w:spacing w:after="120"/>
              <w:rPr>
                <w:rFonts w:ascii="Calibri" w:hAnsi="Calibri"/>
                <w:sz w:val="14"/>
                <w:szCs w:val="14"/>
              </w:rPr>
            </w:pPr>
            <w:r>
              <w:rPr>
                <w:rFonts w:ascii="Calibri" w:hAnsi="Calibri"/>
                <w:sz w:val="14"/>
                <w:szCs w:val="14"/>
              </w:rPr>
              <w:t>Deployment of appropriate media; presentation and organisation.</w:t>
            </w:r>
          </w:p>
        </w:tc>
        <w:tc>
          <w:tcPr>
            <w:tcW w:w="1016" w:type="dxa"/>
            <w:tcBorders>
              <w:top w:val="single" w:color="auto" w:sz="4" w:space="0"/>
              <w:left w:val="single" w:color="auto" w:sz="4" w:space="0"/>
              <w:bottom w:val="single" w:color="auto" w:sz="4" w:space="0"/>
              <w:right w:val="single" w:color="auto" w:sz="4" w:space="0"/>
            </w:tcBorders>
            <w:shd w:val="clear" w:color="auto" w:fill="D9D9D9"/>
          </w:tcPr>
          <w:p>
            <w:pPr>
              <w:jc w:val="center"/>
              <w:rPr>
                <w:rFonts w:ascii="Calibri" w:hAnsi="Calibri"/>
                <w:sz w:val="32"/>
              </w:rPr>
            </w:pPr>
          </w:p>
        </w:tc>
      </w:tr>
      <w:tr>
        <w:tblPrEx>
          <w:tblLayout w:type="fixed"/>
          <w:tblCellMar>
            <w:top w:w="0" w:type="dxa"/>
            <w:left w:w="108" w:type="dxa"/>
            <w:bottom w:w="0" w:type="dxa"/>
            <w:right w:w="108" w:type="dxa"/>
          </w:tblCellMar>
        </w:tblPrEx>
        <w:trPr>
          <w:trHeight w:val="451" w:hRule="atLeast"/>
        </w:trPr>
        <w:tc>
          <w:tcPr>
            <w:tcW w:w="9464" w:type="dxa"/>
            <w:vMerge w:val="restart"/>
            <w:tcBorders>
              <w:top w:val="single" w:color="auto" w:sz="4" w:space="0"/>
              <w:left w:val="single" w:color="auto" w:sz="4" w:space="0"/>
              <w:right w:val="single" w:color="auto" w:sz="4" w:space="0"/>
            </w:tcBorders>
          </w:tcPr>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p>
            <w:pPr>
              <w:spacing w:after="120"/>
              <w:rPr>
                <w:rFonts w:ascii="Calibri" w:hAnsi="Calibri"/>
                <w:sz w:val="14"/>
                <w:szCs w:val="14"/>
              </w:rPr>
            </w:pPr>
          </w:p>
        </w:tc>
        <w:tc>
          <w:tcPr>
            <w:tcW w:w="1016" w:type="dxa"/>
            <w:vMerge w:val="restart"/>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r>
        <w:tblPrEx>
          <w:tblLayout w:type="fixed"/>
          <w:tblCellMar>
            <w:top w:w="0" w:type="dxa"/>
            <w:left w:w="108" w:type="dxa"/>
            <w:bottom w:w="0" w:type="dxa"/>
            <w:right w:w="108" w:type="dxa"/>
          </w:tblCellMar>
        </w:tblPrEx>
        <w:trPr>
          <w:trHeight w:val="450" w:hRule="atLeast"/>
        </w:trPr>
        <w:tc>
          <w:tcPr>
            <w:tcW w:w="9464"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016" w:type="dxa"/>
            <w:vMerge w:val="continue"/>
            <w:tcBorders>
              <w:top w:val="single" w:color="auto" w:sz="4" w:space="0"/>
              <w:left w:val="single" w:color="auto" w:sz="4" w:space="0"/>
              <w:bottom w:val="single" w:color="auto" w:sz="4" w:space="0"/>
              <w:right w:val="single" w:color="auto" w:sz="4" w:space="0"/>
            </w:tcBorders>
          </w:tcPr>
          <w:p>
            <w:pPr>
              <w:jc w:val="center"/>
              <w:rPr>
                <w:rFonts w:ascii="Calibri" w:hAnsi="Calibri"/>
                <w:sz w:val="32"/>
              </w:rPr>
            </w:pPr>
          </w:p>
        </w:tc>
      </w:tr>
    </w:tbl>
    <w:p>
      <w:pPr>
        <w:ind w:left="284" w:right="531"/>
        <w:rPr>
          <w:rFonts w:ascii="Calibri" w:hAnsi="Calibri"/>
          <w:b/>
          <w:sz w:val="16"/>
          <w:szCs w:val="16"/>
        </w:rPr>
      </w:pPr>
    </w:p>
    <w:tbl>
      <w:tblPr>
        <w:tblStyle w:val="15"/>
        <w:tblpPr w:leftFromText="180" w:rightFromText="180" w:vertAnchor="text" w:horzAnchor="page" w:tblpX="775" w:tblpY="26"/>
        <w:tblW w:w="1052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91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cantSplit/>
        </w:trPr>
        <w:tc>
          <w:tcPr>
            <w:tcW w:w="6062" w:type="dxa"/>
            <w:vMerge w:val="restart"/>
            <w:shd w:val="pct10" w:color="auto" w:fill="auto"/>
            <w:vAlign w:val="center"/>
          </w:tcPr>
          <w:p>
            <w:pPr>
              <w:rPr>
                <w:rFonts w:ascii="Calibri" w:hAnsi="Calibri"/>
                <w:sz w:val="16"/>
                <w:szCs w:val="16"/>
              </w:rPr>
            </w:pPr>
            <w:r>
              <w:rPr>
                <w:rFonts w:ascii="Calibri" w:hAnsi="Calibri" w:cs="Arial"/>
                <w:b/>
                <w:bCs/>
                <w:sz w:val="22"/>
                <w:szCs w:val="22"/>
              </w:rPr>
              <w:t xml:space="preserve">Assignment Grade </w:t>
            </w:r>
            <w:r>
              <w:rPr>
                <w:rFonts w:ascii="Calibri" w:hAnsi="Calibri" w:cs="Arial"/>
                <w:bCs/>
                <w:sz w:val="22"/>
                <w:szCs w:val="22"/>
              </w:rPr>
              <w:t>(</w:t>
            </w:r>
            <w:r>
              <w:rPr>
                <w:rFonts w:ascii="Calibri" w:hAnsi="Calibri"/>
                <w:sz w:val="16"/>
                <w:szCs w:val="16"/>
              </w:rPr>
              <w:t>Assessment grades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0" w:color="auto" w:fill="auto"/>
            <w:vAlign w:val="bottom"/>
          </w:tcPr>
          <w:p>
            <w:pPr>
              <w:rPr>
                <w:rFonts w:ascii="Calibri" w:hAnsi="Calibri" w:cs="Arial"/>
                <w:b/>
                <w:bCs/>
                <w:sz w:val="16"/>
                <w:szCs w:val="16"/>
              </w:rPr>
            </w:pPr>
            <w:r>
              <w:rPr>
                <w:rFonts w:ascii="Calibri" w:hAnsi="Calibri" w:cs="Arial"/>
                <w:b/>
                <w:sz w:val="16"/>
                <w:szCs w:val="16"/>
              </w:rPr>
              <w:t>Late Submission Penalties (tick if appropriate)</w:t>
            </w:r>
          </w:p>
        </w:tc>
        <w:tc>
          <w:tcPr>
            <w:tcW w:w="919" w:type="dxa"/>
            <w:vMerge w:val="restart"/>
            <w:vAlign w:val="center"/>
          </w:tcPr>
          <w:p>
            <w:pPr>
              <w:jc w:val="center"/>
              <w:rPr>
                <w:rFonts w:ascii="Calibri" w:hAnsi="Calibri"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cantSplit/>
        </w:trPr>
        <w:tc>
          <w:tcPr>
            <w:tcW w:w="6062" w:type="dxa"/>
            <w:vMerge w:val="continue"/>
            <w:vAlign w:val="bottom"/>
          </w:tcPr>
          <w:p>
            <w:pPr>
              <w:rPr>
                <w:rFonts w:ascii="Calibri" w:hAnsi="Calibri" w:cs="Arial"/>
              </w:rPr>
            </w:pPr>
          </w:p>
        </w:tc>
        <w:tc>
          <w:tcPr>
            <w:tcW w:w="2903" w:type="dxa"/>
            <w:vAlign w:val="bottom"/>
          </w:tcPr>
          <w:p>
            <w:pPr>
              <w:rPr>
                <w:rFonts w:ascii="Calibri" w:hAnsi="Calibri" w:cs="Arial"/>
                <w:b/>
                <w:bCs/>
                <w:sz w:val="16"/>
                <w:szCs w:val="16"/>
              </w:rPr>
            </w:pPr>
            <w:r>
              <w:rPr>
                <w:rFonts w:ascii="Calibri" w:hAnsi="Calibri" w:cs="Arial"/>
                <w:sz w:val="16"/>
                <w:szCs w:val="16"/>
              </w:rPr>
              <w:t>Up to 1 week late</w:t>
            </w:r>
          </w:p>
        </w:tc>
        <w:tc>
          <w:tcPr>
            <w:tcW w:w="641" w:type="dxa"/>
            <w:vAlign w:val="bottom"/>
          </w:tcPr>
          <w:p>
            <w:pPr>
              <w:jc w:val="center"/>
              <w:rPr>
                <w:rFonts w:ascii="Calibri" w:hAnsi="Calibri" w:cs="Arial"/>
                <w:sz w:val="12"/>
                <w:szCs w:val="12"/>
              </w:rPr>
            </w:pPr>
            <w:r>
              <w:rPr>
                <w:rFonts w:ascii="Calibri" w:hAnsi="Calibri" w:cs="Arial"/>
                <w:sz w:val="12"/>
                <w:szCs w:val="12"/>
              </w:rPr>
              <w:t>D Max</w:t>
            </w:r>
          </w:p>
        </w:tc>
        <w:tc>
          <w:tcPr>
            <w:tcW w:w="919" w:type="dxa"/>
            <w:vMerge w:val="continue"/>
            <w:vAlign w:val="bottom"/>
          </w:tcPr>
          <w:p>
            <w:pPr>
              <w:ind w:left="142" w:leftChars="71"/>
              <w:rPr>
                <w:rFonts w:ascii="Calibri" w:hAnsi="Calibri"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cantSplit/>
        </w:trPr>
        <w:tc>
          <w:tcPr>
            <w:tcW w:w="6062" w:type="dxa"/>
            <w:vMerge w:val="continue"/>
            <w:vAlign w:val="bottom"/>
          </w:tcPr>
          <w:p>
            <w:pPr>
              <w:rPr>
                <w:rFonts w:ascii="Calibri" w:hAnsi="Calibri" w:cs="Arial"/>
              </w:rPr>
            </w:pPr>
          </w:p>
        </w:tc>
        <w:tc>
          <w:tcPr>
            <w:tcW w:w="2903" w:type="dxa"/>
            <w:vAlign w:val="bottom"/>
          </w:tcPr>
          <w:p>
            <w:pPr>
              <w:rPr>
                <w:rFonts w:ascii="Calibri" w:hAnsi="Calibri" w:cs="Arial"/>
                <w:b/>
                <w:bCs/>
                <w:sz w:val="16"/>
                <w:szCs w:val="16"/>
              </w:rPr>
            </w:pPr>
            <w:r>
              <w:rPr>
                <w:rFonts w:ascii="Calibri" w:hAnsi="Calibri" w:cs="Arial"/>
                <w:sz w:val="16"/>
                <w:szCs w:val="16"/>
              </w:rPr>
              <w:t>Over 1 week late</w:t>
            </w:r>
          </w:p>
        </w:tc>
        <w:tc>
          <w:tcPr>
            <w:tcW w:w="641" w:type="dxa"/>
            <w:vAlign w:val="bottom"/>
          </w:tcPr>
          <w:p>
            <w:pPr>
              <w:jc w:val="center"/>
              <w:rPr>
                <w:rFonts w:ascii="Calibri" w:hAnsi="Calibri" w:cs="Arial"/>
                <w:sz w:val="12"/>
                <w:szCs w:val="12"/>
              </w:rPr>
            </w:pPr>
            <w:r>
              <w:rPr>
                <w:rFonts w:ascii="Calibri" w:hAnsi="Calibri" w:cs="Arial"/>
                <w:sz w:val="12"/>
                <w:szCs w:val="12"/>
              </w:rPr>
              <w:t>Fail</w:t>
            </w:r>
          </w:p>
        </w:tc>
        <w:tc>
          <w:tcPr>
            <w:tcW w:w="919" w:type="dxa"/>
            <w:vMerge w:val="continue"/>
            <w:vAlign w:val="bottom"/>
          </w:tcPr>
          <w:p>
            <w:pPr>
              <w:ind w:firstLine="282" w:firstLineChars="141"/>
              <w:rPr>
                <w:rFonts w:ascii="Calibri" w:hAnsi="Calibri" w:cs="Arial"/>
              </w:rPr>
            </w:pPr>
          </w:p>
        </w:tc>
      </w:tr>
    </w:tbl>
    <w:p>
      <w:pPr>
        <w:ind w:left="284" w:right="531"/>
        <w:rPr>
          <w:rFonts w:ascii="Calibri" w:hAnsi="Calibri"/>
          <w:b/>
          <w:sz w:val="16"/>
          <w:szCs w:val="16"/>
        </w:rPr>
      </w:pPr>
    </w:p>
    <w:p>
      <w:pPr>
        <w:ind w:left="284" w:right="531"/>
        <w:rPr>
          <w:rFonts w:ascii="Calibri" w:hAnsi="Calibri"/>
          <w:b/>
          <w:sz w:val="16"/>
          <w:szCs w:val="16"/>
        </w:rPr>
      </w:pPr>
    </w:p>
    <w:p>
      <w:pPr>
        <w:rPr>
          <w:sz w:val="32"/>
        </w:rPr>
      </w:pPr>
    </w:p>
    <w:p>
      <w:pPr>
        <w:jc w:val="both"/>
        <w:rPr>
          <w:rFonts w:ascii="Calibri" w:hAnsi="Calibri" w:cs="Calibri"/>
          <w:sz w:val="22"/>
          <w:szCs w:val="22"/>
        </w:rPr>
      </w:pPr>
    </w:p>
    <w:p>
      <w:pPr>
        <w:jc w:val="both"/>
        <w:rPr>
          <w:rFonts w:ascii="Calibri" w:hAnsi="Calibri" w:cs="Calibri"/>
          <w:sz w:val="22"/>
          <w:szCs w:val="22"/>
        </w:rPr>
      </w:pPr>
    </w:p>
    <w:p>
      <w:pPr>
        <w:jc w:val="both"/>
        <w:rPr>
          <w:rFonts w:ascii="Calibri" w:hAnsi="Calibri" w:cs="Calibri"/>
          <w:sz w:val="22"/>
          <w:szCs w:val="22"/>
        </w:rPr>
      </w:pPr>
    </w:p>
    <w:p>
      <w:pPr>
        <w:pStyle w:val="11"/>
        <w:rPr>
          <w:rFonts w:ascii="Calibri" w:hAnsi="Calibri" w:cs="Arial"/>
          <w:color w:val="303B44"/>
          <w:sz w:val="22"/>
          <w:szCs w:val="22"/>
        </w:rPr>
      </w:pPr>
    </w:p>
    <w:tbl>
      <w:tblPr>
        <w:tblStyle w:val="15"/>
        <w:tblW w:w="10440" w:type="dxa"/>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1044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75" w:hRule="atLeast"/>
        </w:trPr>
        <w:tc>
          <w:tcPr>
            <w:tcW w:w="10440" w:type="dxa"/>
            <w:shd w:val="clear" w:color="auto" w:fill="D9D9D9"/>
          </w:tcPr>
          <w:p>
            <w:pPr>
              <w:rPr>
                <w:rFonts w:ascii="Calibri" w:hAnsi="Calibri" w:cs="Calibri"/>
                <w:b/>
                <w:color w:val="000000"/>
              </w:rPr>
            </w:pPr>
            <w:r>
              <w:rPr>
                <w:rFonts w:ascii="Calibri" w:hAnsi="Calibri" w:cs="Calibri"/>
                <w:b/>
                <w:color w:val="000000"/>
                <w:sz w:val="40"/>
              </w:rPr>
              <w:t xml:space="preserve">Student Self Evaluation Form </w:t>
            </w:r>
          </w:p>
        </w:tc>
      </w:tr>
    </w:tbl>
    <w:p>
      <w:pPr>
        <w:pStyle w:val="17"/>
        <w:tabs>
          <w:tab w:val="clear" w:pos="720"/>
          <w:tab w:val="clear" w:pos="1440"/>
        </w:tabs>
        <w:jc w:val="both"/>
        <w:rPr>
          <w:rFonts w:ascii="Calibri" w:hAnsi="Calibri"/>
          <w:sz w:val="20"/>
        </w:rPr>
      </w:pPr>
    </w:p>
    <w:tbl>
      <w:tblPr>
        <w:tblStyle w:val="15"/>
        <w:tblpPr w:leftFromText="180" w:rightFromText="180" w:vertAnchor="text" w:horzAnchor="page" w:tblpX="1270" w:tblpY="1091"/>
        <w:tblOverlap w:val="never"/>
        <w:tblW w:w="9264" w:type="dxa"/>
        <w:tblInd w:w="0" w:type="dxa"/>
        <w:tblLayout w:type="fixed"/>
        <w:tblCellMar>
          <w:top w:w="0" w:type="dxa"/>
          <w:left w:w="108" w:type="dxa"/>
          <w:bottom w:w="0" w:type="dxa"/>
          <w:right w:w="108" w:type="dxa"/>
        </w:tblCellMar>
      </w:tblPr>
      <w:tblGrid>
        <w:gridCol w:w="2239"/>
        <w:gridCol w:w="1193"/>
        <w:gridCol w:w="1199"/>
        <w:gridCol w:w="1193"/>
        <w:gridCol w:w="13"/>
        <w:gridCol w:w="1182"/>
        <w:gridCol w:w="7"/>
        <w:gridCol w:w="1191"/>
        <w:gridCol w:w="1047"/>
      </w:tblGrid>
      <w:tr>
        <w:tblPrEx>
          <w:tblLayout w:type="fixed"/>
          <w:tblCellMar>
            <w:top w:w="0" w:type="dxa"/>
            <w:left w:w="108" w:type="dxa"/>
            <w:bottom w:w="0" w:type="dxa"/>
            <w:right w:w="108" w:type="dxa"/>
          </w:tblCellMar>
        </w:tblPrEx>
        <w:trPr>
          <w:gridAfter w:val="8"/>
          <w:wAfter w:w="7025" w:type="dxa"/>
          <w:trHeight w:val="269" w:hRule="atLeast"/>
        </w:trPr>
        <w:tc>
          <w:tcPr>
            <w:tcW w:w="2239" w:type="dxa"/>
            <w:vMerge w:val="restart"/>
            <w:tcBorders>
              <w:top w:val="single" w:color="auto" w:sz="4" w:space="0"/>
              <w:left w:val="single" w:color="auto" w:sz="4" w:space="0"/>
              <w:right w:val="single" w:color="auto" w:sz="4" w:space="0"/>
            </w:tcBorders>
            <w:shd w:val="clear" w:color="auto" w:fill="BFBFBF"/>
            <w:vAlign w:val="center"/>
          </w:tcPr>
          <w:p>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r>
      <w:tr>
        <w:tblPrEx>
          <w:tblLayout w:type="fixed"/>
          <w:tblCellMar>
            <w:top w:w="0" w:type="dxa"/>
            <w:left w:w="108" w:type="dxa"/>
            <w:bottom w:w="0" w:type="dxa"/>
            <w:right w:w="108" w:type="dxa"/>
          </w:tblCellMar>
        </w:tblPrEx>
        <w:trPr>
          <w:trHeight w:val="548" w:hRule="atLeast"/>
        </w:trPr>
        <w:tc>
          <w:tcPr>
            <w:tcW w:w="2239" w:type="dxa"/>
            <w:vMerge w:val="continue"/>
            <w:tcBorders>
              <w:left w:val="single" w:color="auto" w:sz="4" w:space="0"/>
              <w:bottom w:val="single" w:color="auto" w:sz="4" w:space="0"/>
              <w:right w:val="single" w:color="auto" w:sz="4" w:space="0"/>
            </w:tcBorders>
            <w:shd w:val="clear" w:color="auto" w:fill="BFBFBF"/>
          </w:tcPr>
          <w:p>
            <w:pPr>
              <w:rPr>
                <w:rFonts w:ascii="Calibri" w:hAnsi="Calibri"/>
                <w:b/>
                <w:sz w:val="16"/>
                <w:szCs w:val="16"/>
              </w:rPr>
            </w:pPr>
          </w:p>
        </w:tc>
        <w:tc>
          <w:tcPr>
            <w:tcW w:w="2392" w:type="dxa"/>
            <w:gridSpan w:val="2"/>
            <w:tcBorders>
              <w:top w:val="single" w:color="auto" w:sz="4" w:space="0"/>
              <w:left w:val="single" w:color="auto" w:sz="4" w:space="0"/>
              <w:bottom w:val="single" w:color="auto" w:sz="4" w:space="0"/>
              <w:right w:val="double"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REFER</w:t>
            </w:r>
          </w:p>
        </w:tc>
        <w:tc>
          <w:tcPr>
            <w:tcW w:w="1206" w:type="dxa"/>
            <w:gridSpan w:val="2"/>
            <w:tcBorders>
              <w:top w:val="single" w:color="auto" w:sz="4" w:space="0"/>
              <w:left w:val="double"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D</w:t>
            </w:r>
          </w:p>
        </w:tc>
        <w:tc>
          <w:tcPr>
            <w:tcW w:w="1189" w:type="dxa"/>
            <w:gridSpan w:val="2"/>
            <w:tcBorders>
              <w:top w:val="single" w:color="auto" w:sz="4" w:space="0"/>
              <w:left w:val="dashed"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C</w:t>
            </w:r>
          </w:p>
        </w:tc>
        <w:tc>
          <w:tcPr>
            <w:tcW w:w="1191" w:type="dxa"/>
            <w:tcBorders>
              <w:top w:val="single" w:color="auto" w:sz="4" w:space="0"/>
              <w:left w:val="dashed"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B</w:t>
            </w:r>
          </w:p>
        </w:tc>
        <w:tc>
          <w:tcPr>
            <w:tcW w:w="1047" w:type="dxa"/>
            <w:tcBorders>
              <w:top w:val="single" w:color="auto" w:sz="4" w:space="0"/>
              <w:left w:val="dashed" w:color="auto" w:sz="4" w:space="0"/>
              <w:bottom w:val="single" w:color="auto" w:sz="4" w:space="0"/>
              <w:right w:val="dashed" w:color="auto" w:sz="4" w:space="0"/>
            </w:tcBorders>
            <w:shd w:val="clear" w:color="auto" w:fill="BFBFBF"/>
          </w:tcPr>
          <w:p>
            <w:pPr>
              <w:jc w:val="center"/>
              <w:rPr>
                <w:rFonts w:ascii="Calibri" w:hAnsi="Calibri"/>
                <w:b/>
                <w:sz w:val="18"/>
              </w:rPr>
            </w:pPr>
          </w:p>
          <w:p>
            <w:pPr>
              <w:jc w:val="center"/>
              <w:rPr>
                <w:rFonts w:ascii="Calibri" w:hAnsi="Calibri"/>
                <w:b/>
                <w:sz w:val="18"/>
              </w:rPr>
            </w:pPr>
            <w:r>
              <w:rPr>
                <w:rFonts w:ascii="Calibri" w:hAnsi="Calibri"/>
                <w:b/>
                <w:sz w:val="18"/>
              </w:rPr>
              <w:t>A</w:t>
            </w:r>
          </w:p>
        </w:tc>
      </w:tr>
      <w:tr>
        <w:tblPrEx>
          <w:tblLayout w:type="fixed"/>
          <w:tblCellMar>
            <w:top w:w="0" w:type="dxa"/>
            <w:left w:w="108" w:type="dxa"/>
            <w:bottom w:w="0" w:type="dxa"/>
            <w:right w:w="108" w:type="dxa"/>
          </w:tblCellMar>
        </w:tblPrEx>
        <w:trPr>
          <w:trHeight w:val="450" w:hRule="atLeast"/>
        </w:trPr>
        <w:tc>
          <w:tcPr>
            <w:tcW w:w="2239" w:type="dxa"/>
            <w:tcBorders>
              <w:top w:val="single" w:color="auto" w:sz="4" w:space="0"/>
              <w:left w:val="single" w:color="auto" w:sz="4" w:space="0"/>
              <w:right w:val="single" w:color="auto" w:sz="4" w:space="0"/>
            </w:tcBorders>
            <w:shd w:val="clear" w:color="auto" w:fill="BFBFBF"/>
          </w:tcPr>
          <w:p>
            <w:pPr>
              <w:rPr>
                <w:rFonts w:ascii="Calibri" w:hAnsi="Calibri"/>
                <w:b/>
                <w:szCs w:val="16"/>
              </w:rPr>
            </w:pPr>
          </w:p>
        </w:tc>
        <w:tc>
          <w:tcPr>
            <w:tcW w:w="1193" w:type="dxa"/>
            <w:tcBorders>
              <w:top w:val="single" w:color="auto" w:sz="4" w:space="0"/>
              <w:left w:val="single"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OUTRIGHT FAIL</w:t>
            </w:r>
          </w:p>
        </w:tc>
        <w:tc>
          <w:tcPr>
            <w:tcW w:w="1199" w:type="dxa"/>
            <w:tcBorders>
              <w:top w:val="single" w:color="auto" w:sz="4" w:space="0"/>
              <w:left w:val="dashed" w:color="auto" w:sz="4" w:space="0"/>
              <w:right w:val="double"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UNSATISFACTORY</w:t>
            </w:r>
          </w:p>
        </w:tc>
        <w:tc>
          <w:tcPr>
            <w:tcW w:w="1193" w:type="dxa"/>
            <w:tcBorders>
              <w:top w:val="single" w:color="auto" w:sz="4" w:space="0"/>
              <w:left w:val="double"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SATISFACTORY</w:t>
            </w:r>
          </w:p>
        </w:tc>
        <w:tc>
          <w:tcPr>
            <w:tcW w:w="1195" w:type="dxa"/>
            <w:gridSpan w:val="2"/>
            <w:tcBorders>
              <w:top w:val="single" w:color="auto" w:sz="4" w:space="0"/>
              <w:left w:val="dashed"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GOOD</w:t>
            </w:r>
          </w:p>
        </w:tc>
        <w:tc>
          <w:tcPr>
            <w:tcW w:w="1198" w:type="dxa"/>
            <w:gridSpan w:val="2"/>
            <w:tcBorders>
              <w:top w:val="single" w:color="auto" w:sz="4" w:space="0"/>
              <w:left w:val="dashed"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VERY GOOD</w:t>
            </w:r>
          </w:p>
        </w:tc>
        <w:tc>
          <w:tcPr>
            <w:tcW w:w="1047" w:type="dxa"/>
            <w:tcBorders>
              <w:top w:val="single" w:color="auto" w:sz="4" w:space="0"/>
              <w:left w:val="dashed" w:color="auto" w:sz="4" w:space="0"/>
              <w:right w:val="dashed" w:color="auto" w:sz="4" w:space="0"/>
            </w:tcBorders>
            <w:shd w:val="clear" w:color="auto" w:fill="BFBFBF"/>
            <w:vAlign w:val="center"/>
          </w:tcPr>
          <w:p>
            <w:pPr>
              <w:spacing w:after="120"/>
              <w:jc w:val="center"/>
              <w:rPr>
                <w:rFonts w:ascii="Calibri" w:hAnsi="Calibri"/>
                <w:b/>
                <w:sz w:val="12"/>
                <w:szCs w:val="16"/>
              </w:rPr>
            </w:pPr>
            <w:r>
              <w:rPr>
                <w:rFonts w:ascii="Calibri" w:hAnsi="Calibri"/>
                <w:b/>
                <w:sz w:val="12"/>
                <w:szCs w:val="16"/>
              </w:rPr>
              <w:t>EXCELLENT</w:t>
            </w:r>
          </w:p>
        </w:tc>
      </w:tr>
      <w:tr>
        <w:tblPrEx>
          <w:tblLayout w:type="fixed"/>
          <w:tblCellMar>
            <w:top w:w="0" w:type="dxa"/>
            <w:left w:w="108" w:type="dxa"/>
            <w:bottom w:w="0" w:type="dxa"/>
            <w:right w:w="108" w:type="dxa"/>
          </w:tblCellMar>
        </w:tblPrEx>
        <w:trPr>
          <w:trHeight w:val="450" w:hRule="atLeast"/>
        </w:trPr>
        <w:tc>
          <w:tcPr>
            <w:tcW w:w="2239" w:type="dxa"/>
            <w:vMerge w:val="restart"/>
            <w:tcBorders>
              <w:top w:val="single" w:color="auto" w:sz="4" w:space="0"/>
              <w:left w:val="single" w:color="auto" w:sz="4" w:space="0"/>
              <w:right w:val="single" w:color="auto" w:sz="4" w:space="0"/>
            </w:tcBorders>
          </w:tcPr>
          <w:p>
            <w:pPr>
              <w:rPr>
                <w:rFonts w:ascii="Calibri" w:hAnsi="Calibri"/>
                <w:sz w:val="14"/>
                <w:szCs w:val="14"/>
              </w:rPr>
            </w:pPr>
            <w:r>
              <w:rPr>
                <w:rFonts w:ascii="Calibri" w:hAnsi="Calibri"/>
                <w:b/>
                <w:szCs w:val="16"/>
              </w:rPr>
              <w:t xml:space="preserve">1. Subject Knowledge and Understanding </w:t>
            </w:r>
            <w:r>
              <w:rPr>
                <w:rFonts w:ascii="Calibri" w:hAnsi="Calibri"/>
                <w:b/>
                <w:sz w:val="16"/>
                <w:szCs w:val="16"/>
              </w:rPr>
              <w:t>(which includes using research-informed literature and knowledge and understanding of the subject)</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rPr>
                <w:rFonts w:ascii="Calibri" w:hAnsi="Calibri"/>
                <w:b/>
                <w:sz w:val="18"/>
              </w:rPr>
            </w:pPr>
          </w:p>
        </w:tc>
      </w:tr>
      <w:tr>
        <w:tblPrEx>
          <w:tblLayout w:type="fixed"/>
          <w:tblCellMar>
            <w:top w:w="0" w:type="dxa"/>
            <w:left w:w="108" w:type="dxa"/>
            <w:bottom w:w="0" w:type="dxa"/>
            <w:right w:w="108" w:type="dxa"/>
          </w:tblCellMar>
        </w:tblPrEx>
        <w:trPr>
          <w:trHeight w:val="451"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r>
        <w:tblPrEx>
          <w:tblLayout w:type="fixed"/>
          <w:tblCellMar>
            <w:top w:w="0" w:type="dxa"/>
            <w:left w:w="108" w:type="dxa"/>
            <w:bottom w:w="0" w:type="dxa"/>
            <w:right w:w="108" w:type="dxa"/>
          </w:tblCellMar>
        </w:tblPrEx>
        <w:trPr>
          <w:trHeight w:val="450" w:hRule="atLeast"/>
        </w:trPr>
        <w:tc>
          <w:tcPr>
            <w:tcW w:w="2239" w:type="dxa"/>
            <w:vMerge w:val="restart"/>
            <w:tcBorders>
              <w:top w:val="single" w:color="auto" w:sz="4" w:space="0"/>
              <w:left w:val="single" w:color="auto" w:sz="4" w:space="0"/>
              <w:right w:val="single" w:color="auto" w:sz="4" w:space="0"/>
            </w:tcBorders>
          </w:tcPr>
          <w:p>
            <w:pPr>
              <w:rPr>
                <w:rFonts w:ascii="Calibri" w:hAnsi="Calibri"/>
                <w:b/>
              </w:rPr>
            </w:pPr>
            <w:r>
              <w:rPr>
                <w:rFonts w:ascii="Calibri" w:hAnsi="Calibri"/>
                <w:b/>
                <w:szCs w:val="16"/>
              </w:rPr>
              <w:t>2. Intellectual Skills (Analysis)</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jc w:val="center"/>
              <w:rPr>
                <w:rFonts w:ascii="Calibri" w:hAnsi="Calibri"/>
                <w:b/>
                <w:sz w:val="18"/>
              </w:rPr>
            </w:pPr>
          </w:p>
        </w:tc>
      </w:tr>
      <w:tr>
        <w:tblPrEx>
          <w:tblLayout w:type="fixed"/>
          <w:tblCellMar>
            <w:top w:w="0" w:type="dxa"/>
            <w:left w:w="108" w:type="dxa"/>
            <w:bottom w:w="0" w:type="dxa"/>
            <w:right w:w="108" w:type="dxa"/>
          </w:tblCellMar>
        </w:tblPrEx>
        <w:trPr>
          <w:trHeight w:val="451"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r>
        <w:tblPrEx>
          <w:tblLayout w:type="fixed"/>
          <w:tblCellMar>
            <w:top w:w="0" w:type="dxa"/>
            <w:left w:w="108" w:type="dxa"/>
            <w:bottom w:w="0" w:type="dxa"/>
            <w:right w:w="108" w:type="dxa"/>
          </w:tblCellMar>
        </w:tblPrEx>
        <w:trPr>
          <w:trHeight w:val="450" w:hRule="atLeast"/>
        </w:trPr>
        <w:tc>
          <w:tcPr>
            <w:tcW w:w="2239" w:type="dxa"/>
            <w:vMerge w:val="restart"/>
            <w:tcBorders>
              <w:top w:val="single" w:color="auto" w:sz="4" w:space="0"/>
              <w:left w:val="single" w:color="auto" w:sz="4" w:space="0"/>
              <w:right w:val="single" w:color="auto" w:sz="4" w:space="0"/>
            </w:tcBorders>
          </w:tcPr>
          <w:p>
            <w:pPr>
              <w:rPr>
                <w:rFonts w:ascii="Calibri" w:hAnsi="Calibri"/>
                <w:sz w:val="14"/>
                <w:szCs w:val="14"/>
              </w:rPr>
            </w:pPr>
            <w:r>
              <w:rPr>
                <w:rFonts w:ascii="Calibri" w:hAnsi="Calibri"/>
                <w:b/>
                <w:szCs w:val="16"/>
              </w:rPr>
              <w:t>3. Pedagogic and Professional Applications (Practical Application and Deployment)</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jc w:val="center"/>
              <w:rPr>
                <w:rFonts w:ascii="Calibri" w:hAnsi="Calibri"/>
                <w:b/>
                <w:sz w:val="18"/>
              </w:rPr>
            </w:pPr>
          </w:p>
        </w:tc>
      </w:tr>
      <w:tr>
        <w:tblPrEx>
          <w:tblLayout w:type="fixed"/>
          <w:tblCellMar>
            <w:top w:w="0" w:type="dxa"/>
            <w:left w:w="108" w:type="dxa"/>
            <w:bottom w:w="0" w:type="dxa"/>
            <w:right w:w="108" w:type="dxa"/>
          </w:tblCellMar>
        </w:tblPrEx>
        <w:trPr>
          <w:trHeight w:val="451"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r>
        <w:tblPrEx>
          <w:tblLayout w:type="fixed"/>
          <w:tblCellMar>
            <w:top w:w="0" w:type="dxa"/>
            <w:left w:w="108" w:type="dxa"/>
            <w:bottom w:w="0" w:type="dxa"/>
            <w:right w:w="108" w:type="dxa"/>
          </w:tblCellMar>
        </w:tblPrEx>
        <w:trPr>
          <w:trHeight w:val="451" w:hRule="atLeast"/>
        </w:trPr>
        <w:tc>
          <w:tcPr>
            <w:tcW w:w="2239" w:type="dxa"/>
            <w:vMerge w:val="restart"/>
            <w:tcBorders>
              <w:top w:val="single" w:color="auto" w:sz="4" w:space="0"/>
              <w:left w:val="single" w:color="auto" w:sz="4" w:space="0"/>
              <w:right w:val="single" w:color="auto" w:sz="4" w:space="0"/>
            </w:tcBorders>
          </w:tcPr>
          <w:p>
            <w:pPr>
              <w:rPr>
                <w:rFonts w:ascii="Calibri" w:hAnsi="Calibri"/>
                <w:sz w:val="14"/>
                <w:szCs w:val="14"/>
              </w:rPr>
            </w:pPr>
            <w:r>
              <w:rPr>
                <w:rFonts w:ascii="Calibri" w:hAnsi="Calibri"/>
                <w:b/>
                <w:szCs w:val="16"/>
              </w:rPr>
              <w:t>4. Key Transferable Skills</w:t>
            </w:r>
          </w:p>
        </w:tc>
        <w:tc>
          <w:tcPr>
            <w:tcW w:w="1193" w:type="dxa"/>
            <w:tcBorders>
              <w:top w:val="single" w:color="auto" w:sz="4" w:space="0"/>
              <w:left w:val="single" w:color="auto" w:sz="4" w:space="0"/>
              <w:right w:val="dashed" w:color="auto" w:sz="4" w:space="0"/>
            </w:tcBorders>
          </w:tcPr>
          <w:p>
            <w:pPr>
              <w:jc w:val="center"/>
              <w:rPr>
                <w:rFonts w:ascii="Calibri" w:hAnsi="Calibri"/>
                <w:sz w:val="18"/>
              </w:rPr>
            </w:pPr>
          </w:p>
        </w:tc>
        <w:tc>
          <w:tcPr>
            <w:tcW w:w="1199" w:type="dxa"/>
            <w:tcBorders>
              <w:top w:val="single" w:color="auto" w:sz="4" w:space="0"/>
              <w:left w:val="dashed" w:color="auto" w:sz="4" w:space="0"/>
              <w:right w:val="double" w:color="auto" w:sz="4" w:space="0"/>
            </w:tcBorders>
          </w:tcPr>
          <w:p>
            <w:pPr>
              <w:jc w:val="center"/>
              <w:rPr>
                <w:rFonts w:ascii="Calibri" w:hAnsi="Calibri"/>
                <w:sz w:val="18"/>
              </w:rPr>
            </w:pPr>
          </w:p>
        </w:tc>
        <w:tc>
          <w:tcPr>
            <w:tcW w:w="1193" w:type="dxa"/>
            <w:tcBorders>
              <w:top w:val="single" w:color="auto" w:sz="4" w:space="0"/>
              <w:left w:val="double" w:color="auto" w:sz="4" w:space="0"/>
              <w:right w:val="dashed" w:color="auto" w:sz="4" w:space="0"/>
            </w:tcBorders>
          </w:tcPr>
          <w:p>
            <w:pPr>
              <w:jc w:val="center"/>
              <w:rPr>
                <w:rFonts w:ascii="Calibri" w:hAnsi="Calibri"/>
                <w:b/>
                <w:sz w:val="18"/>
              </w:rPr>
            </w:pPr>
          </w:p>
        </w:tc>
        <w:tc>
          <w:tcPr>
            <w:tcW w:w="1195"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198" w:type="dxa"/>
            <w:gridSpan w:val="2"/>
            <w:tcBorders>
              <w:top w:val="single" w:color="auto" w:sz="4" w:space="0"/>
              <w:left w:val="dashed" w:color="auto" w:sz="4" w:space="0"/>
              <w:right w:val="dashed" w:color="auto" w:sz="4" w:space="0"/>
            </w:tcBorders>
          </w:tcPr>
          <w:p>
            <w:pPr>
              <w:jc w:val="center"/>
              <w:rPr>
                <w:rFonts w:ascii="Calibri" w:hAnsi="Calibri"/>
                <w:b/>
                <w:sz w:val="18"/>
              </w:rPr>
            </w:pPr>
          </w:p>
        </w:tc>
        <w:tc>
          <w:tcPr>
            <w:tcW w:w="1047" w:type="dxa"/>
            <w:tcBorders>
              <w:top w:val="single" w:color="auto" w:sz="4" w:space="0"/>
              <w:left w:val="dashed" w:color="auto" w:sz="4" w:space="0"/>
              <w:right w:val="dashed" w:color="auto" w:sz="4" w:space="0"/>
            </w:tcBorders>
          </w:tcPr>
          <w:p>
            <w:pPr>
              <w:jc w:val="center"/>
              <w:rPr>
                <w:rFonts w:ascii="Calibri" w:hAnsi="Calibri"/>
                <w:b/>
                <w:sz w:val="18"/>
              </w:rPr>
            </w:pPr>
          </w:p>
        </w:tc>
      </w:tr>
      <w:tr>
        <w:tblPrEx>
          <w:tblLayout w:type="fixed"/>
          <w:tblCellMar>
            <w:top w:w="0" w:type="dxa"/>
            <w:left w:w="108" w:type="dxa"/>
            <w:bottom w:w="0" w:type="dxa"/>
            <w:right w:w="108" w:type="dxa"/>
          </w:tblCellMar>
        </w:tblPrEx>
        <w:trPr>
          <w:trHeight w:val="450" w:hRule="atLeast"/>
        </w:trPr>
        <w:tc>
          <w:tcPr>
            <w:tcW w:w="2239" w:type="dxa"/>
            <w:vMerge w:val="continue"/>
            <w:tcBorders>
              <w:left w:val="single" w:color="auto" w:sz="4" w:space="0"/>
              <w:bottom w:val="single" w:color="auto" w:sz="4" w:space="0"/>
              <w:right w:val="single" w:color="auto" w:sz="4" w:space="0"/>
            </w:tcBorders>
          </w:tcPr>
          <w:p>
            <w:pPr>
              <w:rPr>
                <w:rFonts w:ascii="Calibri" w:hAnsi="Calibri"/>
                <w:b/>
                <w:sz w:val="16"/>
                <w:szCs w:val="16"/>
              </w:rPr>
            </w:pPr>
          </w:p>
        </w:tc>
        <w:tc>
          <w:tcPr>
            <w:tcW w:w="1193" w:type="dxa"/>
            <w:tcBorders>
              <w:left w:val="sing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9" w:type="dxa"/>
            <w:tcBorders>
              <w:left w:val="dashed" w:color="auto" w:sz="4" w:space="0"/>
              <w:bottom w:val="single" w:color="auto" w:sz="4" w:space="0"/>
              <w:right w:val="double" w:color="auto" w:sz="4" w:space="0"/>
            </w:tcBorders>
            <w:vAlign w:val="bottom"/>
          </w:tcPr>
          <w:p>
            <w:pPr>
              <w:rPr>
                <w:rFonts w:ascii="Calibri" w:hAnsi="Calibri"/>
                <w:sz w:val="24"/>
                <w:szCs w:val="32"/>
              </w:rPr>
            </w:pPr>
            <w:r>
              <w:rPr>
                <w:rFonts w:ascii="Calibri" w:hAnsi="Calibri"/>
                <w:sz w:val="24"/>
                <w:szCs w:val="32"/>
              </w:rPr>
              <w:sym w:font="Wingdings" w:char="F06F"/>
            </w:r>
          </w:p>
        </w:tc>
        <w:tc>
          <w:tcPr>
            <w:tcW w:w="1193" w:type="dxa"/>
            <w:tcBorders>
              <w:left w:val="double"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195"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r>
              <w:rPr>
                <w:rFonts w:ascii="Calibri" w:hAnsi="Calibri"/>
                <w:sz w:val="24"/>
                <w:szCs w:val="32"/>
                <w:lang w:val="en-GB"/>
              </w:rPr>
              <w:t>*</w:t>
            </w:r>
          </w:p>
        </w:tc>
        <w:tc>
          <w:tcPr>
            <w:tcW w:w="1198" w:type="dxa"/>
            <w:gridSpan w:val="2"/>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c>
          <w:tcPr>
            <w:tcW w:w="1047" w:type="dxa"/>
            <w:tcBorders>
              <w:left w:val="dashed" w:color="auto" w:sz="4" w:space="0"/>
              <w:bottom w:val="single" w:color="auto" w:sz="4" w:space="0"/>
              <w:right w:val="dashed" w:color="auto" w:sz="4" w:space="0"/>
            </w:tcBorders>
            <w:vAlign w:val="bottom"/>
          </w:tcPr>
          <w:p>
            <w:pPr>
              <w:rPr>
                <w:rFonts w:ascii="Calibri" w:hAnsi="Calibri"/>
                <w:sz w:val="24"/>
                <w:szCs w:val="32"/>
              </w:rPr>
            </w:pPr>
            <w:r>
              <w:rPr>
                <w:rFonts w:ascii="Calibri" w:hAnsi="Calibri"/>
                <w:sz w:val="24"/>
                <w:szCs w:val="32"/>
              </w:rPr>
              <w:sym w:font="Wingdings" w:char="F06F"/>
            </w:r>
          </w:p>
        </w:tc>
      </w:tr>
    </w:tbl>
    <w:tbl>
      <w:tblPr>
        <w:tblStyle w:val="15"/>
        <w:tblpPr w:leftFromText="180" w:rightFromText="180" w:vertAnchor="text" w:horzAnchor="page" w:tblpX="780" w:tblpY="7092"/>
        <w:tblOverlap w:val="never"/>
        <w:tblW w:w="1059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5299"/>
        <w:gridCol w:w="529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75" w:hRule="atLeast"/>
        </w:trPr>
        <w:tc>
          <w:tcPr>
            <w:tcW w:w="5299" w:type="dxa"/>
            <w:shd w:val="clear" w:color="auto" w:fill="D9D9D9"/>
          </w:tcPr>
          <w:p>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299" w:type="dxa"/>
            <w:shd w:val="clear" w:color="auto" w:fill="D9D9D9"/>
          </w:tcPr>
          <w:p>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555" w:hRule="atLeast"/>
        </w:trPr>
        <w:tc>
          <w:tcPr>
            <w:tcW w:w="5299" w:type="dxa"/>
            <w:tcBorders>
              <w:bottom w:val="single" w:color="000000" w:sz="8" w:space="0"/>
            </w:tcBorders>
          </w:tcPr>
          <w:p>
            <w:pPr>
              <w:pStyle w:val="21"/>
              <w:numPr>
                <w:ilvl w:val="0"/>
                <w:numId w:val="0"/>
              </w:numPr>
              <w:jc w:val="both"/>
              <w:rPr>
                <w:rFonts w:ascii="Calibri" w:hAnsi="Calibri"/>
                <w:sz w:val="20"/>
                <w:szCs w:val="20"/>
                <w:lang w:val="en-GB"/>
              </w:rPr>
            </w:pPr>
            <w:r>
              <w:rPr>
                <w:rFonts w:ascii="Calibri" w:hAnsi="Calibri"/>
                <w:sz w:val="20"/>
                <w:szCs w:val="20"/>
                <w:lang w:val="en-GB"/>
              </w:rPr>
              <w:t xml:space="preserve">I feel that I have performed well in relation to my analysis and evaluation of specific points throughout the essay. </w:t>
            </w:r>
          </w:p>
          <w:p>
            <w:pPr>
              <w:pStyle w:val="21"/>
              <w:numPr>
                <w:ilvl w:val="0"/>
                <w:numId w:val="0"/>
              </w:numPr>
              <w:ind w:left="432"/>
              <w:rPr>
                <w:rFonts w:ascii="Calibri" w:hAnsi="Calibri"/>
                <w:sz w:val="20"/>
                <w:szCs w:val="20"/>
              </w:rPr>
            </w:pPr>
          </w:p>
          <w:p>
            <w:pPr>
              <w:pStyle w:val="21"/>
              <w:numPr>
                <w:ilvl w:val="0"/>
                <w:numId w:val="0"/>
              </w:numPr>
              <w:ind w:left="432"/>
              <w:rPr>
                <w:rFonts w:ascii="Calibri" w:hAnsi="Calibri"/>
                <w:sz w:val="20"/>
                <w:szCs w:val="20"/>
              </w:rPr>
            </w:pPr>
          </w:p>
          <w:p>
            <w:pPr>
              <w:pStyle w:val="21"/>
              <w:numPr>
                <w:ilvl w:val="0"/>
                <w:numId w:val="0"/>
              </w:numPr>
              <w:ind w:left="432"/>
              <w:rPr>
                <w:rFonts w:ascii="Calibri" w:hAnsi="Calibri"/>
                <w:sz w:val="20"/>
                <w:szCs w:val="20"/>
              </w:rPr>
            </w:pPr>
          </w:p>
        </w:tc>
        <w:tc>
          <w:tcPr>
            <w:tcW w:w="5299" w:type="dxa"/>
            <w:tcBorders>
              <w:bottom w:val="single" w:color="000000" w:sz="8" w:space="0"/>
            </w:tcBorders>
          </w:tcPr>
          <w:p>
            <w:pPr>
              <w:pStyle w:val="21"/>
              <w:numPr>
                <w:ilvl w:val="0"/>
                <w:numId w:val="0"/>
              </w:numPr>
              <w:jc w:val="both"/>
              <w:rPr>
                <w:rFonts w:ascii="Calibri" w:hAnsi="Calibri"/>
                <w:sz w:val="20"/>
                <w:szCs w:val="20"/>
                <w:lang w:val="en-GB"/>
              </w:rPr>
            </w:pPr>
            <w:r>
              <w:rPr>
                <w:rFonts w:ascii="Calibri" w:hAnsi="Calibri"/>
                <w:sz w:val="20"/>
                <w:szCs w:val="20"/>
                <w:lang w:val="en-GB"/>
              </w:rPr>
              <w:t>I feel maybe it would have been necessary to include a little more information based around pedagogical applications, although I do feel that I included some relevant information in relation to links with theory.</w:t>
            </w:r>
          </w:p>
          <w:p>
            <w:pPr>
              <w:pStyle w:val="21"/>
              <w:numPr>
                <w:ilvl w:val="0"/>
                <w:numId w:val="0"/>
              </w:numPr>
              <w:ind w:left="432"/>
              <w:rPr>
                <w:rFonts w:ascii="Calibri" w:hAnsi="Calibri"/>
                <w:sz w:val="20"/>
                <w:szCs w:val="20"/>
              </w:rPr>
            </w:pPr>
          </w:p>
        </w:tc>
      </w:tr>
    </w:tbl>
    <w:tbl>
      <w:tblPr>
        <w:tblStyle w:val="15"/>
        <w:tblpPr w:leftFromText="180" w:rightFromText="180" w:vertAnchor="text" w:horzAnchor="page" w:tblpX="765" w:tblpY="10462"/>
        <w:tblOverlap w:val="never"/>
        <w:tblW w:w="1059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2204"/>
        <w:gridCol w:w="3858"/>
        <w:gridCol w:w="1047"/>
        <w:gridCol w:w="348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586" w:hRule="atLeast"/>
        </w:trPr>
        <w:tc>
          <w:tcPr>
            <w:tcW w:w="2204" w:type="dxa"/>
            <w:shd w:val="clear" w:color="auto" w:fill="D9D9D9"/>
          </w:tcPr>
          <w:p>
            <w:pPr>
              <w:spacing w:before="120" w:after="120"/>
              <w:jc w:val="both"/>
              <w:rPr>
                <w:rFonts w:ascii="Calibri" w:hAnsi="Calibri" w:cs="Calibri"/>
                <w:b/>
              </w:rPr>
            </w:pPr>
            <w:r>
              <w:rPr>
                <w:rFonts w:ascii="Calibri" w:hAnsi="Calibri" w:cs="Calibri"/>
                <w:b/>
              </w:rPr>
              <w:t>Student’s Name</w:t>
            </w:r>
          </w:p>
        </w:tc>
        <w:tc>
          <w:tcPr>
            <w:tcW w:w="3858" w:type="dxa"/>
          </w:tcPr>
          <w:p>
            <w:pPr>
              <w:spacing w:before="120" w:after="120"/>
              <w:jc w:val="both"/>
              <w:rPr>
                <w:rFonts w:ascii="Calibri" w:hAnsi="Calibri" w:cs="Calibri"/>
                <w:b/>
                <w:lang w:val="en-GB"/>
              </w:rPr>
            </w:pPr>
            <w:r>
              <w:rPr>
                <w:rFonts w:ascii="Calibri" w:hAnsi="Calibri" w:cs="Calibri"/>
                <w:b/>
                <w:lang w:val="en-GB"/>
              </w:rPr>
              <w:t>Sophie Margetson.</w:t>
            </w:r>
          </w:p>
        </w:tc>
        <w:tc>
          <w:tcPr>
            <w:tcW w:w="1047" w:type="dxa"/>
            <w:shd w:val="clear" w:color="auto" w:fill="D9D9D9"/>
          </w:tcPr>
          <w:p>
            <w:pPr>
              <w:spacing w:before="120" w:after="120"/>
              <w:jc w:val="both"/>
              <w:rPr>
                <w:rFonts w:ascii="Calibri" w:hAnsi="Calibri" w:cs="Calibri"/>
                <w:b/>
              </w:rPr>
            </w:pPr>
            <w:r>
              <w:rPr>
                <w:rFonts w:ascii="Calibri" w:hAnsi="Calibri" w:cs="Calibri"/>
                <w:b/>
              </w:rPr>
              <w:t>Date</w:t>
            </w:r>
          </w:p>
        </w:tc>
        <w:tc>
          <w:tcPr>
            <w:tcW w:w="3489" w:type="dxa"/>
          </w:tcPr>
          <w:p>
            <w:pPr>
              <w:spacing w:before="120" w:after="120"/>
              <w:jc w:val="both"/>
              <w:rPr>
                <w:rFonts w:ascii="Calibri" w:hAnsi="Calibri" w:cs="Calibri"/>
                <w:b/>
                <w:lang w:val="en-GB"/>
              </w:rPr>
            </w:pPr>
            <w:r>
              <w:rPr>
                <w:rFonts w:ascii="Calibri" w:hAnsi="Calibri" w:cs="Calibri"/>
                <w:b/>
                <w:lang w:val="en-GB"/>
              </w:rPr>
              <w:t>16.04.2018.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Ex>
        <w:trPr>
          <w:trHeight w:val="288" w:hRule="atLeast"/>
        </w:trPr>
        <w:tc>
          <w:tcPr>
            <w:tcW w:w="2204" w:type="dxa"/>
            <w:tcBorders>
              <w:bottom w:val="single" w:color="000000" w:sz="8" w:space="0"/>
            </w:tcBorders>
            <w:shd w:val="clear" w:color="auto" w:fill="D9D9D9"/>
          </w:tcPr>
          <w:p>
            <w:pPr>
              <w:spacing w:before="120" w:after="120"/>
              <w:jc w:val="both"/>
              <w:rPr>
                <w:rFonts w:ascii="Calibri" w:hAnsi="Calibri" w:cs="Calibri"/>
                <w:b/>
              </w:rPr>
            </w:pPr>
            <w:r>
              <w:rPr>
                <w:rFonts w:ascii="Calibri" w:hAnsi="Calibri" w:cs="Calibri"/>
                <w:b/>
              </w:rPr>
              <w:t>Student’s Signature</w:t>
            </w:r>
          </w:p>
        </w:tc>
        <w:tc>
          <w:tcPr>
            <w:tcW w:w="8394" w:type="dxa"/>
            <w:gridSpan w:val="3"/>
            <w:tcBorders>
              <w:bottom w:val="single" w:color="000000" w:sz="8" w:space="0"/>
            </w:tcBorders>
          </w:tcPr>
          <w:p>
            <w:pPr>
              <w:spacing w:before="120" w:after="120"/>
              <w:jc w:val="both"/>
              <w:rPr>
                <w:rFonts w:ascii="Calibri" w:hAnsi="Calibri" w:cs="Calibri"/>
                <w:b/>
              </w:rPr>
            </w:pPr>
          </w:p>
          <w:p>
            <w:pPr>
              <w:numPr>
                <w:ilvl w:val="0"/>
                <w:numId w:val="2"/>
              </w:numPr>
              <w:spacing w:before="120" w:after="120"/>
              <w:jc w:val="both"/>
              <w:rPr>
                <w:rFonts w:ascii="Calibri" w:hAnsi="Calibri" w:cs="Calibri"/>
                <w:b/>
                <w:lang w:val="en-GB"/>
              </w:rPr>
            </w:pPr>
            <w:r>
              <w:rPr>
                <w:rFonts w:ascii="Calibri" w:hAnsi="Calibri" w:cs="Calibri"/>
                <w:b/>
                <w:lang w:val="en-GB"/>
              </w:rPr>
              <w:t>A. Margetson.</w:t>
            </w:r>
          </w:p>
        </w:tc>
      </w:tr>
    </w:tbl>
    <w:p>
      <w:pPr>
        <w:pStyle w:val="17"/>
        <w:tabs>
          <w:tab w:val="clear" w:pos="720"/>
          <w:tab w:val="clear" w:pos="1440"/>
        </w:tabs>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pPr>
        <w:rPr>
          <w:rFonts w:ascii="Calibri" w:hAnsi="Calibri"/>
          <w:b/>
          <w:sz w:val="22"/>
          <w:szCs w:val="22"/>
        </w:rPr>
        <w:sectPr>
          <w:footerReference r:id="rId3" w:type="default"/>
          <w:type w:val="continuous"/>
          <w:pgSz w:w="11894" w:h="16834"/>
          <w:pgMar w:top="720" w:right="720" w:bottom="720" w:left="720" w:header="706" w:footer="454" w:gutter="0"/>
          <w:paperSrc w:first="1" w:other="1"/>
          <w:docGrid w:linePitch="272" w:charSpace="0"/>
        </w:sect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jc w:val="both"/>
        <w:rPr>
          <w:rFonts w:hint="default" w:ascii="Arial" w:hAnsi="Arial" w:cs="Arial"/>
          <w:b/>
          <w:bCs/>
          <w:sz w:val="32"/>
          <w:szCs w:val="32"/>
          <w:highlight w:val="yellow"/>
          <w:lang w:val="en-GB"/>
        </w:rPr>
      </w:pPr>
    </w:p>
    <w:p>
      <w:pPr>
        <w:jc w:val="center"/>
        <w:rPr>
          <w:rFonts w:hint="default" w:ascii="Arial" w:hAnsi="Arial" w:cs="Arial"/>
          <w:b/>
          <w:bCs/>
          <w:sz w:val="32"/>
          <w:szCs w:val="32"/>
          <w:highlight w:val="yellow"/>
          <w:lang w:val="en-GB"/>
        </w:rPr>
      </w:pPr>
    </w:p>
    <w:p>
      <w:pPr>
        <w:jc w:val="center"/>
        <w:rPr>
          <w:rFonts w:hint="default" w:ascii="Times New Roman" w:hAnsi="Times New Roman" w:cs="Times New Roman"/>
          <w:b/>
          <w:bCs/>
          <w:sz w:val="32"/>
          <w:szCs w:val="32"/>
          <w:highlight w:val="none"/>
          <w:lang w:val="en-GB"/>
        </w:rPr>
      </w:pPr>
      <w:r>
        <w:rPr>
          <w:rFonts w:hint="default" w:ascii="Times New Roman" w:hAnsi="Times New Roman" w:cs="Times New Roman"/>
          <w:b/>
          <w:bCs/>
          <w:sz w:val="32"/>
          <w:szCs w:val="32"/>
          <w:highlight w:val="none"/>
          <w:lang w:val="en-GB"/>
        </w:rPr>
        <w:t>How can we improve involvement on the carpet area through the use of ‘Quiet Critters’ in a Foundation Phase classroom?</w:t>
      </w: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r>
        <w:rPr>
          <w:rFonts w:hint="default" w:ascii="Times New Roman" w:hAnsi="Times New Roman" w:cs="Times New Roman"/>
          <w:b/>
          <w:bCs/>
          <w:sz w:val="32"/>
          <w:szCs w:val="32"/>
          <w:lang w:val="en-GB"/>
        </w:rPr>
        <w:t>The Enquiring Teacher</w:t>
      </w:r>
    </w:p>
    <w:p>
      <w:pPr>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(ECPP6001-C &amp; ECPP7001-C)</w:t>
      </w: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r>
        <w:rPr>
          <w:rFonts w:hint="default" w:ascii="Times New Roman" w:hAnsi="Times New Roman" w:cs="Times New Roman"/>
          <w:b/>
          <w:bCs/>
          <w:sz w:val="32"/>
          <w:szCs w:val="32"/>
          <w:lang w:val="en-GB"/>
        </w:rPr>
        <w:t xml:space="preserve">Word Count: </w:t>
      </w:r>
      <w:r>
        <w:rPr>
          <w:rFonts w:hint="default" w:cs="Times New Roman"/>
          <w:b/>
          <w:bCs/>
          <w:sz w:val="32"/>
          <w:szCs w:val="32"/>
          <w:lang w:val="en-GB"/>
        </w:rPr>
        <w:t>6047</w:t>
      </w:r>
      <w:bookmarkStart w:id="0" w:name="_GoBack"/>
      <w:bookmarkEnd w:id="0"/>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2"/>
          <w:szCs w:val="32"/>
          <w:lang w:val="en-GB"/>
        </w:rPr>
      </w:pPr>
    </w:p>
    <w:p>
      <w:pPr>
        <w:jc w:val="center"/>
        <w:rPr>
          <w:rFonts w:hint="default" w:ascii="Times New Roman" w:hAnsi="Times New Roman" w:cs="Times New Roman"/>
          <w:b/>
          <w:bCs/>
          <w:sz w:val="36"/>
          <w:szCs w:val="36"/>
          <w:lang w:val="en-GB"/>
        </w:rPr>
      </w:pPr>
      <w:r>
        <w:rPr>
          <w:rFonts w:hint="default" w:ascii="Times New Roman" w:hAnsi="Times New Roman" w:cs="Times New Roman"/>
          <w:b/>
          <w:bCs/>
          <w:sz w:val="36"/>
          <w:szCs w:val="36"/>
          <w:lang w:val="en-GB"/>
        </w:rPr>
        <w:t>1400664.</w:t>
      </w: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pStyle w:val="11"/>
        <w:rPr>
          <w:rFonts w:ascii="Calibri" w:hAnsi="Calibri" w:cs="Arial"/>
          <w:color w:val="303B44"/>
          <w:sz w:val="22"/>
          <w:szCs w:val="22"/>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Table of Contents:</w:t>
      </w:r>
    </w:p>
    <w:p>
      <w:pPr>
        <w:spacing w:line="360" w:lineRule="auto"/>
        <w:ind w:firstLine="9605" w:firstLineChars="4000"/>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Page</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Abstract……………………………………………………………………</w:t>
      </w:r>
      <w:r>
        <w:rPr>
          <w:rFonts w:hint="default" w:cs="Times New Roman"/>
          <w:sz w:val="24"/>
          <w:szCs w:val="24"/>
          <w:lang w:val="en-GB"/>
        </w:rPr>
        <w:t>………………………………6</w:t>
      </w:r>
    </w:p>
    <w:p>
      <w:pPr>
        <w:spacing w:line="360" w:lineRule="auto"/>
        <w:rPr>
          <w:rFonts w:hint="default" w:ascii="Times New Roman" w:hAnsi="Times New Roman" w:cs="Times New Roman"/>
          <w:sz w:val="24"/>
          <w:szCs w:val="24"/>
          <w:lang w:val="en-GB"/>
        </w:rPr>
      </w:pPr>
      <w:r>
        <w:rPr>
          <w:rFonts w:hint="default" w:cs="Times New Roman"/>
          <w:sz w:val="24"/>
          <w:szCs w:val="24"/>
          <w:lang w:val="en-GB"/>
        </w:rPr>
        <w:t>Research Context</w:t>
      </w:r>
      <w:r>
        <w:rPr>
          <w:rFonts w:hint="default" w:ascii="Times New Roman" w:hAnsi="Times New Roman" w:cs="Times New Roman"/>
          <w:sz w:val="24"/>
          <w:szCs w:val="24"/>
          <w:lang w:val="en-GB"/>
        </w:rPr>
        <w:t>…………………………………………………………</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6</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Literature Review……………………………………………………………</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7</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Methodology……………………………………………………………………</w:t>
      </w:r>
      <w:r>
        <w:rPr>
          <w:rFonts w:hint="default" w:cs="Times New Roman"/>
          <w:sz w:val="24"/>
          <w:szCs w:val="24"/>
          <w:lang w:val="en-GB"/>
        </w:rPr>
        <w:t>………………………….9</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Ethical Considerations………………………………………………………</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12</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Lesson Study………………………………………………………………</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12</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Discussion……………………………………………………………</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15</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Conclusion………………………………………………………………</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17</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Recommendations…………………………………………………………</w:t>
      </w:r>
      <w:r>
        <w:rPr>
          <w:rFonts w:hint="default" w:cs="Times New Roman"/>
          <w:sz w:val="24"/>
          <w:szCs w:val="24"/>
          <w:lang w:val="en-GB"/>
        </w:rPr>
        <w:t>……………………………..</w:t>
      </w:r>
      <w:r>
        <w:rPr>
          <w:rFonts w:hint="default" w:ascii="Times New Roman" w:hAnsi="Times New Roman" w:cs="Times New Roman"/>
          <w:sz w:val="24"/>
          <w:szCs w:val="24"/>
          <w:lang w:val="en-GB"/>
        </w:rPr>
        <w:t>…</w:t>
      </w:r>
      <w:r>
        <w:rPr>
          <w:rFonts w:hint="default" w:cs="Times New Roman"/>
          <w:sz w:val="24"/>
          <w:szCs w:val="24"/>
          <w:lang w:val="en-GB"/>
        </w:rPr>
        <w:t>17</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b/>
          <w:bCs/>
          <w:i w:val="0"/>
          <w:iCs w:val="0"/>
          <w:sz w:val="24"/>
          <w:szCs w:val="24"/>
          <w:lang w:val="en-GB"/>
        </w:rPr>
      </w:pPr>
      <w:r>
        <w:rPr>
          <w:rFonts w:hint="default" w:ascii="Times New Roman" w:hAnsi="Times New Roman" w:cs="Times New Roman"/>
          <w:b/>
          <w:bCs/>
          <w:i w:val="0"/>
          <w:iCs w:val="0"/>
          <w:sz w:val="24"/>
          <w:szCs w:val="24"/>
          <w:lang w:val="en-GB"/>
        </w:rPr>
        <w:t xml:space="preserve">List of Appendices </w:t>
      </w:r>
    </w:p>
    <w:p>
      <w:pPr>
        <w:spacing w:line="360" w:lineRule="auto"/>
        <w:rPr>
          <w:rFonts w:hint="default" w:ascii="Times New Roman" w:hAnsi="Times New Roman" w:cs="Times New Roman"/>
          <w:sz w:val="24"/>
          <w:szCs w:val="24"/>
          <w:lang w:val="en-GB"/>
        </w:rPr>
      </w:pP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Appendix 1                 - Quiet Critter Incentive        </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2                 - Example of Time Sample Observation Sheet</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3                 - Leuven Involvement Scale Example</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4                 - Interview Questions</w:t>
      </w:r>
    </w:p>
    <w:p>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Appendix </w:t>
      </w:r>
      <w:r>
        <w:rPr>
          <w:rFonts w:hint="default" w:cs="Times New Roman"/>
          <w:sz w:val="24"/>
          <w:szCs w:val="24"/>
          <w:lang w:val="en-GB"/>
        </w:rPr>
        <w:t>5</w:t>
      </w:r>
      <w:r>
        <w:rPr>
          <w:rFonts w:hint="default" w:ascii="Times New Roman" w:hAnsi="Times New Roman" w:cs="Times New Roman"/>
          <w:sz w:val="24"/>
          <w:szCs w:val="24"/>
          <w:lang w:val="en-GB"/>
        </w:rPr>
        <w:t xml:space="preserve">                 - Research Explanation </w:t>
      </w:r>
    </w:p>
    <w:p>
      <w:pPr>
        <w:spacing w:line="360" w:lineRule="auto"/>
        <w:rPr>
          <w:rFonts w:hint="default" w:cs="Times New Roman"/>
          <w:sz w:val="24"/>
          <w:szCs w:val="24"/>
          <w:lang w:val="en-GB"/>
        </w:rPr>
      </w:pPr>
      <w:r>
        <w:rPr>
          <w:rFonts w:hint="default" w:ascii="Times New Roman" w:hAnsi="Times New Roman" w:cs="Times New Roman"/>
          <w:sz w:val="24"/>
          <w:szCs w:val="24"/>
          <w:lang w:val="en-GB"/>
        </w:rPr>
        <w:t xml:space="preserve">Appendix </w:t>
      </w:r>
      <w:r>
        <w:rPr>
          <w:rFonts w:hint="default" w:cs="Times New Roman"/>
          <w:sz w:val="24"/>
          <w:szCs w:val="24"/>
          <w:lang w:val="en-GB"/>
        </w:rPr>
        <w:t>6, Extract 1 - Child A Records (School A)</w:t>
      </w:r>
    </w:p>
    <w:p>
      <w:pPr>
        <w:spacing w:line="360" w:lineRule="auto"/>
        <w:rPr>
          <w:rFonts w:hint="default" w:cs="Times New Roman"/>
          <w:sz w:val="24"/>
          <w:szCs w:val="24"/>
          <w:lang w:val="en-GB"/>
        </w:rPr>
      </w:pPr>
      <w:r>
        <w:rPr>
          <w:rFonts w:hint="default" w:cs="Times New Roman"/>
          <w:sz w:val="24"/>
          <w:szCs w:val="24"/>
          <w:lang w:val="en-GB"/>
        </w:rPr>
        <w:t xml:space="preserve">                    Extract 2 - Child B Records (School A)</w:t>
      </w:r>
    </w:p>
    <w:p>
      <w:pPr>
        <w:spacing w:line="360" w:lineRule="auto"/>
        <w:rPr>
          <w:rFonts w:hint="default" w:cs="Times New Roman"/>
          <w:sz w:val="24"/>
          <w:szCs w:val="24"/>
          <w:lang w:val="en-GB"/>
        </w:rPr>
      </w:pPr>
      <w:r>
        <w:rPr>
          <w:rFonts w:hint="default" w:cs="Times New Roman"/>
          <w:sz w:val="24"/>
          <w:szCs w:val="24"/>
          <w:lang w:val="en-GB"/>
        </w:rPr>
        <w:t xml:space="preserve">                    Extract 3 - Child C Records (School A)</w:t>
      </w:r>
    </w:p>
    <w:p>
      <w:pPr>
        <w:spacing w:line="360" w:lineRule="auto"/>
        <w:jc w:val="both"/>
        <w:rPr>
          <w:rFonts w:hint="default" w:cs="Times New Roman"/>
          <w:sz w:val="24"/>
          <w:szCs w:val="24"/>
          <w:lang w:val="en-GB"/>
        </w:rPr>
      </w:pPr>
      <w:r>
        <w:rPr>
          <w:rFonts w:hint="default" w:ascii="Times New Roman" w:hAnsi="Times New Roman" w:cs="Times New Roman"/>
          <w:sz w:val="24"/>
          <w:szCs w:val="24"/>
          <w:lang w:val="en-GB"/>
        </w:rPr>
        <w:t xml:space="preserve">Appendix </w:t>
      </w:r>
      <w:r>
        <w:rPr>
          <w:rFonts w:hint="default" w:cs="Times New Roman"/>
          <w:sz w:val="24"/>
          <w:szCs w:val="24"/>
          <w:lang w:val="en-GB"/>
        </w:rPr>
        <w:t>7, Extract 1 - Child A Records (School B)</w:t>
      </w:r>
    </w:p>
    <w:p>
      <w:pPr>
        <w:spacing w:line="360" w:lineRule="auto"/>
        <w:ind w:firstLine="1200" w:firstLineChars="500"/>
        <w:jc w:val="both"/>
        <w:rPr>
          <w:rFonts w:hint="default" w:cs="Times New Roman"/>
          <w:sz w:val="24"/>
          <w:szCs w:val="24"/>
          <w:lang w:val="en-GB"/>
        </w:rPr>
      </w:pPr>
      <w:r>
        <w:rPr>
          <w:rFonts w:hint="default" w:cs="Times New Roman"/>
          <w:sz w:val="24"/>
          <w:szCs w:val="24"/>
          <w:lang w:val="en-GB"/>
        </w:rPr>
        <w:t>Extract 2 - Child B Records (School B)</w:t>
      </w:r>
    </w:p>
    <w:p>
      <w:pPr>
        <w:spacing w:line="360" w:lineRule="auto"/>
        <w:ind w:firstLine="1200" w:firstLineChars="500"/>
        <w:jc w:val="both"/>
        <w:rPr>
          <w:rFonts w:hint="default" w:cs="Times New Roman"/>
          <w:sz w:val="24"/>
          <w:szCs w:val="24"/>
          <w:lang w:val="en-GB"/>
        </w:rPr>
      </w:pPr>
      <w:r>
        <w:rPr>
          <w:rFonts w:hint="default" w:cs="Times New Roman"/>
          <w:sz w:val="24"/>
          <w:szCs w:val="24"/>
          <w:lang w:val="en-GB"/>
        </w:rPr>
        <w:t>Extract3 - Child C Records (School B)</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p>
    <w:p>
      <w:pPr>
        <w:pStyle w:val="11"/>
        <w:rPr>
          <w:rFonts w:ascii="Calibri" w:hAnsi="Calibri" w:cs="Arial"/>
          <w:color w:val="303B44"/>
          <w:sz w:val="22"/>
          <w:szCs w:val="22"/>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keepNext w:val="0"/>
        <w:keepLines w:val="0"/>
        <w:pageBreakBefore w:val="0"/>
        <w:widowControl/>
        <w:kinsoku/>
        <w:wordWrap/>
        <w:overflowPunct/>
        <w:topLinePunct w:val="0"/>
        <w:autoSpaceDE/>
        <w:autoSpaceDN/>
        <w:bidi w:val="0"/>
        <w:adjustRightInd/>
        <w:snapToGrid/>
        <w:spacing w:after="2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rPr>
      </w:pPr>
      <w:r>
        <w:rPr>
          <w:rFonts w:hint="default" w:ascii="Times New Roman" w:hAnsi="Times New Roman" w:cs="Times New Roman"/>
          <w:b/>
          <w:bCs/>
          <w:sz w:val="24"/>
          <w:szCs w:val="24"/>
          <w:lang w:val="en-GB"/>
        </w:rPr>
        <w:t>Abstract</w:t>
      </w:r>
    </w:p>
    <w:p>
      <w:pPr>
        <w:keepNext w:val="0"/>
        <w:keepLines w:val="0"/>
        <w:pageBreakBefore w:val="0"/>
        <w:widowControl/>
        <w:kinsoku/>
        <w:wordWrap/>
        <w:overflowPunct/>
        <w:topLinePunct w:val="0"/>
        <w:autoSpaceDE/>
        <w:autoSpaceDN/>
        <w:bidi w:val="0"/>
        <w:adjustRightInd/>
        <w:snapToGrid/>
        <w:spacing w:after="2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Previous teaching experience in a Foundation Phase classroom highlighted whilst children were on the carpet, many lacked involvement and frequently conversed with peers. Consequently, the pupils did not benefit from the content being taught and therefore on occasions, the pupils did not meet the success criteria of activities set. A small-scale study aimed to identify how involvement on the carpet area could be promoted through the integration of an incentive known as the ‘Quiet Critter strategy’ (Q.C.S). To collect the qualitative data a lesson study was conducted which concluded, the pupils made more effort to listen and engage in learning on the carpet area when given an incentive. However, the Q.C.S did not receive an overall average as to promoting high engagement from all children and this paper also outlines the further investigation techniques required to provide a further insight to the strategy. </w:t>
      </w: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Key Words: Foundation Phase, Quiet Critters, lesson study, pupil involvement, Leuven Involvement Scale.</w:t>
      </w:r>
    </w:p>
    <w:p>
      <w:pPr>
        <w:spacing w:line="360" w:lineRule="auto"/>
        <w:jc w:val="both"/>
        <w:rPr>
          <w:rFonts w:hint="default" w:ascii="Times New Roman" w:hAnsi="Times New Roman" w:cs="Times New Roman"/>
          <w:b/>
          <w:bCs/>
          <w:sz w:val="24"/>
          <w:szCs w:val="24"/>
          <w:lang w:val="en-GB"/>
        </w:rPr>
      </w:pP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Research Context</w:t>
      </w:r>
    </w:p>
    <w:p>
      <w:pPr>
        <w:pStyle w:val="11"/>
        <w:spacing w:line="360" w:lineRule="auto"/>
        <w:jc w:val="both"/>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The research was conducted in two Foundation Phase classes; in two separate schools. The schools names will not be exposed throughout this paper, following confidentiality and anonymity guidelines outlined by the British Educational Research Association (2011) (BERA). The initial lesson study was carried out in a Church of Wales community school located in a small town in South Wales. The school is comprised of fifteen mainstream classes with 442 pupils on roll (Estyn, 2017). This lesson was undertaken within a Nursery classroom catering for fifty-four pupils aged three to four years. Although, due to the amount of children the research was conducted with a small group of 10 children (as this is the size of groupings the pupils often work in). Both researchers decided it would maintain the well-being of the pupil’s, whilst providing more reliable data to not alter learning groupings. The second school was located in a rural region of the South Wales Valleys. The school offers four learning resource centres, thirteen mixed-age classes and has 451 pupils on roll (Estyn, 2015). The research compiled in this school was undertaken in a Year 2 classroom catering for twenty-six pupils aged six to seven, with all pupils taking part.</w:t>
      </w:r>
    </w:p>
    <w:p>
      <w:pPr>
        <w:pStyle w:val="11"/>
        <w:spacing w:line="360" w:lineRule="auto"/>
        <w:jc w:val="both"/>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Although both schools had a variety of behaviour management strategies in place, discussion between both researchers identified children to: daydream, lack concentration and fiddle while on the carpet. It was concluded that both classes would benefit from a strategy to promote involvement on the carpet area.</w:t>
      </w:r>
    </w:p>
    <w:p>
      <w:pPr>
        <w:spacing w:line="360" w:lineRule="auto"/>
        <w:jc w:val="both"/>
        <w:rPr>
          <w:rFonts w:ascii="Arial" w:hAnsi="Arial" w:cs="Arial"/>
          <w:sz w:val="24"/>
          <w:szCs w:val="24"/>
          <w:lang w:val="en-GB"/>
        </w:rPr>
      </w:pP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The Quiet Critter Strategy</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strategy aims to positively reinforce involvement on the carpet area by providing children who listen and engage in the learning with the incentive of gaining a Q.C. Q.C are made from pom-poms, with googly eyes, giving them the appearance of a ‘critter’, as shown in appendix 1. Although, if pupils begin to converse with peers and lack engagement they will be verbally encouraged to listen and reminded that the critters do not like noise and disruption.</w:t>
      </w:r>
    </w:p>
    <w:p>
      <w:pPr>
        <w:pStyle w:val="11"/>
        <w:spacing w:line="360" w:lineRule="auto"/>
        <w:rPr>
          <w:rFonts w:ascii="Calibri" w:hAnsi="Calibri" w:cs="Arial"/>
          <w:color w:val="303B44"/>
          <w:sz w:val="22"/>
          <w:szCs w:val="22"/>
          <w:lang w:val="en-GB"/>
        </w:rPr>
      </w:pPr>
    </w:p>
    <w:p>
      <w:pPr>
        <w:pStyle w:val="11"/>
        <w:spacing w:line="36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Literature Review</w:t>
      </w:r>
    </w:p>
    <w:p>
      <w:pPr>
        <w:pStyle w:val="11"/>
        <w:spacing w:line="360" w:lineRule="auto"/>
        <w:jc w:val="both"/>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 xml:space="preserve">The literature surrounding the integration of incentives and the significance of the carpet area on learning will be examined. Reading books, journal articles and varied internet sources has compiled a breadth of information to subsequently inform the views of researchers and help refine the investigation process. </w:t>
      </w:r>
    </w:p>
    <w:p>
      <w:pPr>
        <w:pStyle w:val="11"/>
        <w:spacing w:line="360" w:lineRule="auto"/>
        <w:jc w:val="both"/>
        <w:rPr>
          <w:rFonts w:hint="default" w:ascii="Times New Roman" w:hAnsi="Times New Roman" w:cs="Times New Roman"/>
          <w:color w:val="auto"/>
          <w:sz w:val="24"/>
          <w:szCs w:val="24"/>
          <w:lang w:val="en-GB"/>
        </w:rPr>
      </w:pPr>
    </w:p>
    <w:p>
      <w:pPr>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color w:val="auto"/>
          <w:sz w:val="24"/>
          <w:szCs w:val="24"/>
          <w:lang w:val="en-GB"/>
        </w:rPr>
        <w:t xml:space="preserve">The literature surrounding the carpet area undoubtedly identifies its prominence in supporting learning. According to Charles (2017) and Brophy et al. (2010), the classroom carpet area provides children with opportunity to: engage in whole-class learning, listen to and respect the perspectives of others and to consider advice from peers to gain a deeper understanding of subject matter. Donaldson (2015) encourages such opportunities and states, </w:t>
      </w:r>
      <w:r>
        <w:rPr>
          <w:rFonts w:hint="default" w:ascii="Times New Roman" w:hAnsi="Times New Roman" w:cs="Times New Roman"/>
          <w:b w:val="0"/>
          <w:bCs w:val="0"/>
          <w:color w:val="auto"/>
          <w:sz w:val="24"/>
          <w:szCs w:val="24"/>
          <w:lang w:val="en-GB"/>
        </w:rPr>
        <w:t xml:space="preserve">for children to consolidate their learning they require every opportunity to discuss ideas and explain thinking with peers to develop new, enhanced  ideas on real-life concepts. </w:t>
      </w:r>
      <w:r>
        <w:rPr>
          <w:rFonts w:hint="default" w:ascii="Times New Roman" w:hAnsi="Times New Roman" w:cs="Times New Roman"/>
          <w:color w:val="auto"/>
          <w:sz w:val="24"/>
          <w:szCs w:val="24"/>
          <w:lang w:val="en-GB"/>
        </w:rPr>
        <w:t xml:space="preserve">Pichon (2012) and Rothgeb-Bird (2012) also identify, without sufficient use of the carpet area as a learning space, practitioners cannot engage in direct instruction to provide detailed information on how to engage in learning activities. Direct instruction is supported by Hattie (2012) who explains, </w:t>
      </w:r>
      <w:r>
        <w:rPr>
          <w:rFonts w:hint="default" w:ascii="Times New Roman" w:hAnsi="Times New Roman" w:cs="Times New Roman"/>
          <w:b w:val="0"/>
          <w:bCs w:val="0"/>
          <w:color w:val="auto"/>
          <w:sz w:val="24"/>
          <w:szCs w:val="24"/>
          <w:lang w:val="en-GB"/>
        </w:rPr>
        <w:t xml:space="preserve"> children are dependent on direct instruction to successfully meet the learning objective(s) and success criteria of educational tasks.</w:t>
      </w:r>
    </w:p>
    <w:p>
      <w:pPr>
        <w:spacing w:line="360" w:lineRule="auto"/>
        <w:jc w:val="both"/>
        <w:rPr>
          <w:rFonts w:hint="default" w:ascii="Arial" w:hAnsi="Arial" w:cs="Arial"/>
          <w:b w:val="0"/>
          <w:bCs w:val="0"/>
          <w:color w:val="auto"/>
          <w:sz w:val="24"/>
          <w:szCs w:val="24"/>
          <w:lang w:val="en-GB"/>
        </w:rPr>
      </w:pPr>
    </w:p>
    <w:p>
      <w:pPr>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Although, further investigation into the literature has identified, practitioners spend considerable time dealing with poor involvement from pupils on the carpet area (Sugrue, 2018</w:t>
      </w:r>
      <w:r>
        <w:rPr>
          <w:rFonts w:hint="default" w:cs="Times New Roman"/>
          <w:b w:val="0"/>
          <w:bCs w:val="0"/>
          <w:color w:val="auto"/>
          <w:sz w:val="24"/>
          <w:szCs w:val="24"/>
          <w:lang w:val="en-GB"/>
        </w:rPr>
        <w:t>;</w:t>
      </w:r>
      <w:r>
        <w:rPr>
          <w:rFonts w:hint="default" w:ascii="Times New Roman" w:hAnsi="Times New Roman" w:cs="Times New Roman"/>
          <w:b w:val="0"/>
          <w:bCs w:val="0"/>
          <w:color w:val="auto"/>
          <w:sz w:val="24"/>
          <w:szCs w:val="24"/>
          <w:lang w:val="en-GB"/>
        </w:rPr>
        <w:t xml:space="preserve"> Galton, 2017</w:t>
      </w:r>
      <w:r>
        <w:rPr>
          <w:rFonts w:hint="default" w:cs="Times New Roman"/>
          <w:b w:val="0"/>
          <w:bCs w:val="0"/>
          <w:color w:val="auto"/>
          <w:sz w:val="24"/>
          <w:szCs w:val="24"/>
          <w:lang w:val="en-GB"/>
        </w:rPr>
        <w:t>; Wheeler, 2001</w:t>
      </w:r>
      <w:r>
        <w:rPr>
          <w:rFonts w:hint="default" w:ascii="Times New Roman" w:hAnsi="Times New Roman" w:cs="Times New Roman"/>
          <w:b w:val="0"/>
          <w:bCs w:val="0"/>
          <w:color w:val="auto"/>
          <w:sz w:val="24"/>
          <w:szCs w:val="24"/>
          <w:lang w:val="en-GB"/>
        </w:rPr>
        <w:t>). This implies time is being taken away from the advantageous learning opportunities the carpet has to offer and therefore, implicating pupil progression. Having noted this, both researchers felt confident that the literature supported their research question and investigation into this context would be beneficial.</w:t>
      </w:r>
    </w:p>
    <w:p>
      <w:pPr>
        <w:spacing w:line="360" w:lineRule="auto"/>
        <w:jc w:val="both"/>
        <w:rPr>
          <w:rFonts w:hint="default" w:ascii="Arial" w:hAnsi="Arial" w:cs="Arial"/>
          <w:b w:val="0"/>
          <w:bCs w:val="0"/>
          <w:color w:val="auto"/>
          <w:sz w:val="24"/>
          <w:szCs w:val="24"/>
          <w:lang w:val="en-GB"/>
        </w:rPr>
      </w:pPr>
    </w:p>
    <w:p>
      <w:pPr>
        <w:spacing w:line="360" w:lineRule="auto"/>
        <w:jc w:val="both"/>
        <w:rPr>
          <w:rFonts w:hint="default" w:ascii="Times New Roman" w:hAnsi="Times New Roman" w:eastAsia="SimSun" w:cs="Times New Roman"/>
          <w:sz w:val="24"/>
          <w:szCs w:val="24"/>
          <w:lang w:val="en-GB"/>
        </w:rPr>
      </w:pPr>
      <w:r>
        <w:rPr>
          <w:rFonts w:hint="default" w:ascii="Times New Roman" w:hAnsi="Times New Roman" w:cs="Times New Roman"/>
          <w:b w:val="0"/>
          <w:bCs w:val="0"/>
          <w:color w:val="auto"/>
          <w:sz w:val="24"/>
          <w:szCs w:val="24"/>
          <w:lang w:val="en-GB"/>
        </w:rPr>
        <w:t xml:space="preserve">However, investigation into the integration of incentives in education has highlighted this is a controversial debate among authors. According to Chaplain (2016), integrating incentives into the classroom encourages desired behaviours as it praises children for their contribution as it recognises their engagement to learning. The importance of praise is further outlined by the Department for Education and Skills (2010) which states, praise is the most effective method to encourage engagement in children as it increases children’s response rates as a result of enhancing intrinsic motivation. This is synthesised by Sugrue (2018) who adds, </w:t>
      </w:r>
      <w:r>
        <w:rPr>
          <w:rFonts w:hint="default" w:ascii="Times New Roman" w:hAnsi="Times New Roman" w:eastAsia="SimSun" w:cs="Times New Roman"/>
          <w:sz w:val="24"/>
          <w:szCs w:val="24"/>
          <w:lang w:val="en-GB"/>
        </w:rPr>
        <w:t xml:space="preserve">praise boosts self-esteem and motivation, consequently reinforcing the children’s innate desire to learn and engage in such learning opportunities. </w:t>
      </w:r>
    </w:p>
    <w:p>
      <w:pPr>
        <w:spacing w:line="360" w:lineRule="auto"/>
        <w:jc w:val="both"/>
        <w:rPr>
          <w:rFonts w:hint="default" w:ascii="Arial" w:hAnsi="Arial" w:eastAsia="SimSun" w:cs="Arial"/>
          <w:sz w:val="24"/>
          <w:szCs w:val="24"/>
          <w:lang w:val="en-GB"/>
        </w:rPr>
      </w:pPr>
    </w:p>
    <w:p>
      <w:pPr>
        <w:spacing w:line="360" w:lineRule="auto"/>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Although, Ester (2010) contradicts this and implies, rewards and incentives can reduce intrinsic motivation in pupils and instead promote extrinsic motivation whereby the child has the desire to achieve the award as opposed to having the desire to be engaged to learn. This suggests, there is a possibility the pupils would put more interest in the Q.C itself than the actual content being taught. Although reference to educational theorists such as Skinner has highlighted that children depend on such positive reinforcement to learn that a desired behaviour which is reinforced is a behaviour that requires displaying (Department for Education and Skills, 2012).</w:t>
      </w:r>
    </w:p>
    <w:p>
      <w:pPr>
        <w:spacing w:line="360" w:lineRule="auto"/>
        <w:jc w:val="both"/>
        <w:rPr>
          <w:rFonts w:hint="default" w:ascii="Times New Roman" w:hAnsi="Times New Roman" w:eastAsia="SimSun" w:cs="Times New Roman"/>
          <w:sz w:val="24"/>
          <w:szCs w:val="24"/>
          <w:lang w:val="en-GB"/>
        </w:rPr>
      </w:pPr>
    </w:p>
    <w:p>
      <w:pPr>
        <w:spacing w:line="360" w:lineRule="auto"/>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Chaplain (2016) highlights, in many educational settings reinforcement strategies are ineffective due to practitioners misunderstanding the approach and therefore not integrating such strategies effectively, minimising their benefits. This could therefore be considered in relation to Ester (2010)’s viewpoint and it could be suggested that if such strategies are undertaken appropriately, then they can actually promote intrinsic motivation for both the learning and the reward. This subsequently informed both researchers that to ensure the study was conducted appropriately, each required a deep understanding of how the strategy was to be implemented. This therefore helped refine the research process by both researchers ensuring they understood the principles of the approach beforehand.</w:t>
      </w:r>
    </w:p>
    <w:p>
      <w:pPr>
        <w:spacing w:line="360" w:lineRule="auto"/>
        <w:jc w:val="both"/>
        <w:rPr>
          <w:rFonts w:hint="default" w:ascii="Arial" w:hAnsi="Arial" w:eastAsia="SimSun" w:cs="Arial"/>
          <w:i w:val="0"/>
          <w:caps w:val="0"/>
          <w:color w:val="auto"/>
          <w:spacing w:val="0"/>
          <w:sz w:val="24"/>
          <w:szCs w:val="24"/>
          <w:lang w:val="en-GB"/>
        </w:rPr>
      </w:pPr>
    </w:p>
    <w:p>
      <w:pPr>
        <w:spacing w:line="360" w:lineRule="auto"/>
        <w:jc w:val="both"/>
        <w:rPr>
          <w:rFonts w:hint="default" w:ascii="Arial" w:hAnsi="Arial" w:eastAsia="SimSun" w:cs="Arial"/>
          <w:i w:val="0"/>
          <w:caps w:val="0"/>
          <w:color w:val="auto"/>
          <w:spacing w:val="0"/>
          <w:sz w:val="24"/>
          <w:szCs w:val="24"/>
          <w:shd w:val="clear" w:fill="FFFFFF"/>
          <w:lang w:val="en-GB"/>
        </w:rPr>
      </w:pPr>
      <w:r>
        <w:rPr>
          <w:rFonts w:hint="default" w:ascii="Times New Roman" w:hAnsi="Times New Roman" w:eastAsia="SimSun" w:cs="Times New Roman"/>
          <w:sz w:val="24"/>
          <w:szCs w:val="24"/>
          <w:lang w:val="en-GB"/>
        </w:rPr>
        <w:t xml:space="preserve">With regard to the Q.C.S, Chaplain (2016) and Charles (2017) state, pupils who are given tangible rewards as opposed to verbal praise are more likely to repeat the desired behaviours they are rewarded for. This is synthesised by Ester (2010) who explains, concrete rewards provide a greater sense of achievement than verbal rewards as the child has actually gained something from their engagement. In relation to this, both researchers therefore felt </w:t>
      </w:r>
      <w:r>
        <w:rPr>
          <w:rFonts w:hint="default" w:ascii="Times New Roman" w:hAnsi="Times New Roman" w:eastAsia="SimSun" w:cs="Times New Roman"/>
          <w:i w:val="0"/>
          <w:caps w:val="0"/>
          <w:color w:val="auto"/>
          <w:spacing w:val="0"/>
          <w:sz w:val="24"/>
          <w:szCs w:val="24"/>
          <w:shd w:val="clear" w:fill="FFFFFF"/>
          <w:lang w:val="en-GB"/>
        </w:rPr>
        <w:t xml:space="preserve">it would be more interesting and exciting for the children to </w:t>
      </w:r>
      <w:r>
        <w:rPr>
          <w:rFonts w:hint="default" w:ascii="Times New Roman" w:hAnsi="Times New Roman" w:eastAsia="SimSun" w:cs="Times New Roman"/>
          <w:i w:val="0"/>
          <w:color w:val="auto"/>
          <w:spacing w:val="0"/>
          <w:sz w:val="24"/>
          <w:szCs w:val="24"/>
          <w:shd w:val="clear" w:fill="FFFFFF"/>
          <w:lang w:val="en-GB"/>
        </w:rPr>
        <w:t>actually</w:t>
      </w:r>
      <w:r>
        <w:rPr>
          <w:rFonts w:hint="default" w:ascii="Times New Roman" w:hAnsi="Times New Roman" w:eastAsia="SimSun" w:cs="Times New Roman"/>
          <w:i w:val="0"/>
          <w:caps w:val="0"/>
          <w:color w:val="auto"/>
          <w:spacing w:val="0"/>
          <w:sz w:val="24"/>
          <w:szCs w:val="24"/>
          <w:shd w:val="clear" w:fill="FFFFFF"/>
          <w:lang w:val="en-GB"/>
        </w:rPr>
        <w:t xml:space="preserve"> gain something physical (the critter), as opposed to verbal praise which if children </w:t>
      </w:r>
      <w:r>
        <w:rPr>
          <w:rFonts w:hint="default" w:ascii="Times New Roman" w:hAnsi="Times New Roman" w:eastAsia="SimSun" w:cs="Times New Roman"/>
          <w:i w:val="0"/>
          <w:color w:val="auto"/>
          <w:spacing w:val="0"/>
          <w:sz w:val="24"/>
          <w:szCs w:val="24"/>
          <w:shd w:val="clear" w:fill="FFFFFF"/>
          <w:lang w:val="en-GB"/>
        </w:rPr>
        <w:t>receive</w:t>
      </w:r>
      <w:r>
        <w:rPr>
          <w:rFonts w:hint="default" w:ascii="Times New Roman" w:hAnsi="Times New Roman" w:eastAsia="SimSun" w:cs="Times New Roman"/>
          <w:i w:val="0"/>
          <w:caps w:val="0"/>
          <w:color w:val="auto"/>
          <w:spacing w:val="0"/>
          <w:sz w:val="24"/>
          <w:szCs w:val="24"/>
          <w:shd w:val="clear" w:fill="FFFFFF"/>
          <w:lang w:val="en-GB"/>
        </w:rPr>
        <w:t xml:space="preserve"> frequently, they do not always benefit from (Brophy et al., 2010</w:t>
      </w:r>
      <w:r>
        <w:rPr>
          <w:rFonts w:hint="default" w:eastAsia="SimSun" w:cs="Times New Roman"/>
          <w:i w:val="0"/>
          <w:caps w:val="0"/>
          <w:color w:val="auto"/>
          <w:spacing w:val="0"/>
          <w:sz w:val="24"/>
          <w:szCs w:val="24"/>
          <w:shd w:val="clear" w:fill="FFFFFF"/>
          <w:lang w:val="en-GB"/>
        </w:rPr>
        <w:t>; Wheeler, 2001</w:t>
      </w:r>
      <w:r>
        <w:rPr>
          <w:rFonts w:hint="default" w:ascii="Times New Roman" w:hAnsi="Times New Roman" w:eastAsia="SimSun" w:cs="Times New Roman"/>
          <w:i w:val="0"/>
          <w:caps w:val="0"/>
          <w:color w:val="auto"/>
          <w:spacing w:val="0"/>
          <w:sz w:val="24"/>
          <w:szCs w:val="24"/>
          <w:shd w:val="clear" w:fill="FFFFFF"/>
          <w:lang w:val="en-GB"/>
        </w:rPr>
        <w:t xml:space="preserve">). </w:t>
      </w:r>
    </w:p>
    <w:p>
      <w:pPr>
        <w:spacing w:line="360" w:lineRule="auto"/>
        <w:jc w:val="both"/>
        <w:rPr>
          <w:rFonts w:hint="default" w:ascii="Arial" w:hAnsi="Arial" w:eastAsia="SimSun" w:cs="Arial"/>
          <w:i w:val="0"/>
          <w:caps w:val="0"/>
          <w:color w:val="auto"/>
          <w:spacing w:val="0"/>
          <w:sz w:val="24"/>
          <w:szCs w:val="24"/>
          <w:shd w:val="clear" w:fill="FFFFFF"/>
          <w:lang w:val="en-GB"/>
        </w:rPr>
      </w:pPr>
    </w:p>
    <w:p>
      <w:pPr>
        <w:spacing w:line="360" w:lineRule="auto"/>
        <w:jc w:val="both"/>
        <w:rPr>
          <w:rFonts w:hint="default" w:ascii="Times New Roman" w:hAnsi="Times New Roman" w:eastAsia="SimSun" w:cs="Times New Roman"/>
          <w:i w:val="0"/>
          <w:caps w:val="0"/>
          <w:color w:val="auto"/>
          <w:spacing w:val="0"/>
          <w:sz w:val="24"/>
          <w:szCs w:val="24"/>
          <w:shd w:val="clear" w:fill="FFFFFF"/>
          <w:lang w:val="en-GB"/>
        </w:rPr>
      </w:pPr>
      <w:r>
        <w:rPr>
          <w:rFonts w:hint="default" w:ascii="Times New Roman" w:hAnsi="Times New Roman" w:eastAsia="SimSun" w:cs="Times New Roman"/>
          <w:i w:val="0"/>
          <w:caps w:val="0"/>
          <w:color w:val="auto"/>
          <w:spacing w:val="0"/>
          <w:sz w:val="24"/>
          <w:szCs w:val="24"/>
          <w:shd w:val="clear" w:fill="FFFFFF"/>
          <w:lang w:val="en-GB"/>
        </w:rPr>
        <w:t xml:space="preserve">Sugrue (2018) (a teacher who incorporated this strategy) highlights, a limitation to the Q.C.S explaining, many children who had their critter removed when they lacked engagement became upset. </w:t>
      </w:r>
      <w:r>
        <w:rPr>
          <w:rFonts w:hint="default" w:ascii="Times New Roman" w:hAnsi="Times New Roman" w:eastAsia="SimSun" w:cs="Times New Roman"/>
          <w:i w:val="0"/>
          <w:color w:val="auto"/>
          <w:spacing w:val="0"/>
          <w:sz w:val="24"/>
          <w:szCs w:val="24"/>
          <w:shd w:val="clear" w:fill="FFFFFF"/>
          <w:lang w:val="en-GB"/>
        </w:rPr>
        <w:t>T</w:t>
      </w:r>
      <w:r>
        <w:rPr>
          <w:rFonts w:hint="default" w:ascii="Times New Roman" w:hAnsi="Times New Roman" w:eastAsia="SimSun" w:cs="Times New Roman"/>
          <w:i w:val="0"/>
          <w:caps w:val="0"/>
          <w:color w:val="auto"/>
          <w:spacing w:val="0"/>
          <w:sz w:val="24"/>
          <w:szCs w:val="24"/>
          <w:shd w:val="clear" w:fill="FFFFFF"/>
          <w:lang w:val="en-GB"/>
        </w:rPr>
        <w:t xml:space="preserve">his instantly highlights the significant ethical affects the intervention can have on child well-being. However, in response to this the research was subsequently refined whereby it was decided the critters would not be removed from any child, instead listening and engagement would be reinforced through verbal reminders (while the pupil was still in </w:t>
      </w:r>
      <w:r>
        <w:rPr>
          <w:rFonts w:hint="default" w:ascii="Times New Roman" w:hAnsi="Times New Roman" w:eastAsia="SimSun" w:cs="Times New Roman"/>
          <w:i w:val="0"/>
          <w:color w:val="auto"/>
          <w:spacing w:val="0"/>
          <w:sz w:val="24"/>
          <w:szCs w:val="24"/>
          <w:shd w:val="clear" w:fill="FFFFFF"/>
          <w:lang w:val="en-GB"/>
        </w:rPr>
        <w:t>possession</w:t>
      </w:r>
      <w:r>
        <w:rPr>
          <w:rFonts w:hint="default" w:ascii="Times New Roman" w:hAnsi="Times New Roman" w:eastAsia="SimSun" w:cs="Times New Roman"/>
          <w:i w:val="0"/>
          <w:caps w:val="0"/>
          <w:color w:val="auto"/>
          <w:spacing w:val="0"/>
          <w:sz w:val="24"/>
          <w:szCs w:val="24"/>
          <w:shd w:val="clear" w:fill="FFFFFF"/>
          <w:lang w:val="en-GB"/>
        </w:rPr>
        <w:t xml:space="preserve"> of the critter). However, Sugrue (2018) goes on to explain, the Q.C.S consistently promotes involvement while the children are in possession of the critter. Therefore, children are redirected to stay engaged by having the critter, as opposed to the teacher continually having to redirect the learning of the pupils, which teachers do not always have the time to do (Sugrue, 2018).</w:t>
      </w:r>
    </w:p>
    <w:p>
      <w:pPr>
        <w:spacing w:line="360" w:lineRule="auto"/>
        <w:jc w:val="both"/>
        <w:rPr>
          <w:rFonts w:hint="default" w:ascii="Arial" w:hAnsi="Arial" w:eastAsia="SimSun" w:cs="Arial"/>
          <w:i w:val="0"/>
          <w:caps w:val="0"/>
          <w:color w:val="auto"/>
          <w:spacing w:val="0"/>
          <w:sz w:val="24"/>
          <w:szCs w:val="24"/>
          <w:shd w:val="clear" w:fill="FFFFFF"/>
          <w:lang w:val="en-GB"/>
        </w:rPr>
      </w:pPr>
    </w:p>
    <w:p>
      <w:pPr>
        <w:spacing w:line="360" w:lineRule="auto"/>
        <w:jc w:val="both"/>
        <w:rPr>
          <w:rFonts w:hint="default" w:ascii="Times New Roman" w:hAnsi="Times New Roman" w:cs="Times New Roman"/>
          <w:b/>
          <w:bCs/>
          <w:sz w:val="24"/>
          <w:szCs w:val="24"/>
          <w:lang w:val="en-GB"/>
        </w:rPr>
      </w:pPr>
      <w:r>
        <w:rPr>
          <w:rFonts w:hint="default" w:ascii="Times New Roman" w:hAnsi="Times New Roman" w:eastAsia="SimSun" w:cs="Times New Roman"/>
          <w:i w:val="0"/>
          <w:caps w:val="0"/>
          <w:color w:val="auto"/>
          <w:spacing w:val="0"/>
          <w:sz w:val="24"/>
          <w:szCs w:val="24"/>
          <w:shd w:val="clear" w:fill="FFFFFF"/>
          <w:lang w:val="en-GB"/>
        </w:rPr>
        <w:t xml:space="preserve">The literature has outlined both the positive and negative effects of incentives like that of the Q.C.S in relation to promoting engagement. The varied perspectives examined has allowed researchers to consider the limitations of the approach and alter their practice to diminish these from being present throughout the study. </w:t>
      </w:r>
      <w:r>
        <w:rPr>
          <w:rFonts w:hint="default" w:ascii="Times New Roman" w:hAnsi="Times New Roman" w:cs="Times New Roman"/>
          <w:color w:val="auto"/>
          <w:sz w:val="24"/>
          <w:szCs w:val="24"/>
          <w:lang w:val="en-GB"/>
        </w:rPr>
        <w:t>Although the research has identified the benefits of the carpet area Pichon (2012) concludes, little research that has been conducted surrounding the carpet area and children’s involvement while there. It can therefore be suggested, a general limitation is that there is little research in this field, especially in relation to the implementation of the Q.C.S as it is a relatively new and unique intervention. It is understood more research is required in this area, however this paper is starting to form that research base.</w:t>
      </w:r>
    </w:p>
    <w:p>
      <w:pPr>
        <w:pStyle w:val="11"/>
        <w:spacing w:line="360" w:lineRule="auto"/>
        <w:rPr>
          <w:rFonts w:ascii="Calibri" w:hAnsi="Calibri" w:cs="Arial"/>
          <w:color w:val="303B44"/>
          <w:sz w:val="22"/>
          <w:szCs w:val="22"/>
          <w:lang w:val="en-GB"/>
        </w:rPr>
      </w:pPr>
    </w:p>
    <w:p>
      <w:pPr>
        <w:pStyle w:val="11"/>
        <w:spacing w:line="36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Methodology</w:t>
      </w:r>
    </w:p>
    <w:p>
      <w:pPr>
        <w:pStyle w:val="11"/>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 xml:space="preserve">The research aimed to improve students outcomes when learning on the carpet area, by focusing on promoting pupil involvement through an incentivised approach to learning. Investigation into this field collected qualitative data which allowed both researchers to examine the changes in involvement the children displayed when the Q.C.S was implemented (Hammersley, 2012). The study comprised of an action research approach which Bell and Waters (2014) define as, an method of research which allows researchers to critically investigate an issue which requires a solution to reach a more desired outcome for those involved. </w:t>
      </w:r>
    </w:p>
    <w:p>
      <w:pPr>
        <w:pStyle w:val="11"/>
        <w:spacing w:line="360" w:lineRule="auto"/>
        <w:jc w:val="both"/>
        <w:rPr>
          <w:rFonts w:hint="default" w:ascii="Times New Roman" w:hAnsi="Times New Roman" w:cs="Times New Roman"/>
          <w:b w:val="0"/>
          <w:bCs w:val="0"/>
          <w:color w:val="auto"/>
          <w:sz w:val="24"/>
          <w:szCs w:val="24"/>
          <w:lang w:val="en-GB"/>
        </w:rPr>
      </w:pPr>
    </w:p>
    <w:p>
      <w:pPr>
        <w:pStyle w:val="11"/>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As part of the action research approach a lesson study design was applied. Lesson study is a process whereby two or more research practitioners collaborate to decide on a focus to develop before then conducting the lesson, observing its effects, interviewing a pupil focus group and then reflecting to refine the process for the future lesson (Dudley 2014</w:t>
      </w:r>
      <w:r>
        <w:rPr>
          <w:rFonts w:hint="default" w:cs="Times New Roman"/>
          <w:b w:val="0"/>
          <w:bCs w:val="0"/>
          <w:color w:val="auto"/>
          <w:sz w:val="24"/>
          <w:szCs w:val="24"/>
          <w:lang w:val="en-GB"/>
        </w:rPr>
        <w:t xml:space="preserve">; </w:t>
      </w:r>
      <w:r>
        <w:rPr>
          <w:rFonts w:hint="default" w:ascii="Times New Roman" w:hAnsi="Times New Roman" w:cs="Times New Roman"/>
          <w:b w:val="0"/>
          <w:bCs w:val="0"/>
          <w:color w:val="auto"/>
          <w:sz w:val="24"/>
          <w:szCs w:val="24"/>
          <w:lang w:val="en-GB"/>
        </w:rPr>
        <w:t>Department for Education, 2010</w:t>
      </w:r>
      <w:r>
        <w:rPr>
          <w:rFonts w:hint="default" w:cs="Times New Roman"/>
          <w:b w:val="0"/>
          <w:bCs w:val="0"/>
          <w:color w:val="auto"/>
          <w:sz w:val="24"/>
          <w:szCs w:val="24"/>
          <w:lang w:val="en-GB"/>
        </w:rPr>
        <w:t>; Graduate School of Education, 2014</w:t>
      </w:r>
      <w:r>
        <w:rPr>
          <w:rFonts w:hint="default" w:ascii="Times New Roman" w:hAnsi="Times New Roman" w:cs="Times New Roman"/>
          <w:b w:val="0"/>
          <w:bCs w:val="0"/>
          <w:color w:val="auto"/>
          <w:sz w:val="24"/>
          <w:szCs w:val="24"/>
          <w:lang w:val="en-GB"/>
        </w:rPr>
        <w:t xml:space="preserve">). </w:t>
      </w:r>
    </w:p>
    <w:p>
      <w:pPr>
        <w:pStyle w:val="11"/>
        <w:spacing w:line="360" w:lineRule="auto"/>
        <w:jc w:val="both"/>
        <w:rPr>
          <w:rFonts w:hint="default" w:ascii="Times New Roman" w:hAnsi="Times New Roman" w:cs="Times New Roman"/>
          <w:b w:val="0"/>
          <w:bCs w:val="0"/>
          <w:color w:val="auto"/>
          <w:sz w:val="24"/>
          <w:szCs w:val="24"/>
          <w:lang w:val="en-GB"/>
        </w:rPr>
      </w:pPr>
    </w:p>
    <w:p>
      <w:pPr>
        <w:pStyle w:val="11"/>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The integration of lesson study in educational research is advocated by Dudley (2014) and Dudley (2015) who explain, the lesson study method has the unique benefit of allowing professionals to collaborate in the research process, whereby investigation has identified peer collaboration in research to be the most significant action practitioners can take to improve educational outcomes for pupils. Chassels and Melville (2009) expand on this and explain, lesson study allows practitioners to become aware of aspects of learning they would not have initially, due to the influence of their research partner. This therefore proves that this method of research provides a wealth of information working alone would not offer.</w:t>
      </w:r>
    </w:p>
    <w:p>
      <w:pPr>
        <w:pStyle w:val="11"/>
        <w:spacing w:line="360" w:lineRule="auto"/>
        <w:jc w:val="both"/>
        <w:rPr>
          <w:rFonts w:hint="default" w:ascii="Times New Roman" w:hAnsi="Times New Roman" w:cs="Times New Roman"/>
          <w:b w:val="0"/>
          <w:bCs w:val="0"/>
          <w:color w:val="auto"/>
          <w:sz w:val="24"/>
          <w:szCs w:val="24"/>
          <w:lang w:val="en-GB"/>
        </w:rPr>
      </w:pPr>
    </w:p>
    <w:p>
      <w:pPr>
        <w:pStyle w:val="11"/>
        <w:spacing w:line="360" w:lineRule="auto"/>
        <w:jc w:val="both"/>
        <w:rPr>
          <w:rFonts w:hint="default" w:ascii="Arial" w:hAnsi="Arial" w:cs="Arial"/>
          <w:sz w:val="24"/>
          <w:szCs w:val="24"/>
          <w:lang w:val="en-GB"/>
        </w:rPr>
      </w:pPr>
      <w:r>
        <w:rPr>
          <w:rFonts w:hint="default" w:ascii="Times New Roman" w:hAnsi="Times New Roman" w:cs="Times New Roman"/>
          <w:b w:val="0"/>
          <w:bCs w:val="0"/>
          <w:color w:val="auto"/>
          <w:sz w:val="24"/>
          <w:szCs w:val="24"/>
          <w:lang w:val="en-GB"/>
        </w:rPr>
        <w:t>The lesson study approach offered both researchers opportunity to reflect prior to the next lesson (Dudley, 2014 and Dudley, 2015). This therefore allowed both research practitioners to make the necessary alterations to the Q.C.S approach before integrating it in the teaching of the year 2 class, resulting in a more validated and reliable conclusion to the study. Chassels and Melville (2009) also add, as lesson study integrates pupil interviews, the viewpoints of those at the centre of the study are collected which Swain (2016) explains, those research studies which consider the views of participants, as opposed to researcher assumptions hold the most valuable conclusions.</w:t>
      </w:r>
    </w:p>
    <w:p>
      <w:pPr>
        <w:pStyle w:val="23"/>
        <w:numPr>
          <w:ilvl w:val="0"/>
          <w:numId w:val="0"/>
        </w:numPr>
        <w:spacing w:line="360" w:lineRule="auto"/>
        <w:rPr>
          <w:rFonts w:hint="default" w:ascii="Arial" w:hAnsi="Arial" w:cs="Arial"/>
          <w:sz w:val="24"/>
          <w:szCs w:val="24"/>
        </w:rPr>
      </w:pPr>
    </w:p>
    <w:p>
      <w:pPr>
        <w:pStyle w:val="23"/>
        <w:numPr>
          <w:ilvl w:val="0"/>
          <w:numId w:val="0"/>
        </w:num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Although it can be argued lesson study provides immense benefits to the research process, both researchers were also able to acknowledge the possible limitations of the approach. The importance of acknowledging such limitations is outlined by Teacher Development Trust (2017) which explains, if educational research strategies are flawed, there is a risk that the investigation would not be effective and subsequently, would not make a difference to student outcomes. Therefore, possible limitations will be identified before outlining how researchers collaborated to minimise such implications to the study. </w:t>
      </w:r>
    </w:p>
    <w:p>
      <w:pPr>
        <w:pStyle w:val="23"/>
        <w:numPr>
          <w:ilvl w:val="0"/>
          <w:numId w:val="0"/>
        </w:numPr>
        <w:spacing w:line="360" w:lineRule="auto"/>
        <w:jc w:val="both"/>
        <w:rPr>
          <w:rFonts w:hint="default" w:ascii="Arial" w:hAnsi="Arial" w:cs="Arial"/>
          <w:sz w:val="24"/>
          <w:szCs w:val="24"/>
          <w:lang w:val="en-GB"/>
        </w:rPr>
      </w:pPr>
    </w:p>
    <w:p>
      <w:pPr>
        <w:pStyle w:val="23"/>
        <w:numPr>
          <w:ilvl w:val="0"/>
          <w:numId w:val="0"/>
        </w:num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According to Carroll (2013), when researchers work in collaboration, the aspect of group work can be a challenge as practitioners may hold different viewpoints and may not agree on certain issues, resulting in dispute. Having considered this possible drawback both researchers emphasised their open-mindedness and willingness to accept advice and viewpoints from their research partner as Slater and Ravid (2010) explains, researchers require a respectful attitude towards the input from their partner to ensure the collaborative approach is maintained, which forms the foundation of a reliable study. Another limitation of the lesson study approach outlined within the literature is the aspect of ‘trust’ (Chassels and Melville, 2009). The Teacher Development Trust (2017) explains, research partners require trust to ensure the research process gains the full benefits of peer collaboration. However, in relation to this specific study, both researchers were familiar with each other and the issue of trust was identified to have no limitation to this research itself.</w:t>
      </w:r>
    </w:p>
    <w:p>
      <w:pPr>
        <w:pStyle w:val="23"/>
        <w:numPr>
          <w:ilvl w:val="0"/>
          <w:numId w:val="0"/>
        </w:numPr>
        <w:spacing w:line="360" w:lineRule="auto"/>
        <w:jc w:val="both"/>
        <w:rPr>
          <w:rFonts w:hint="default" w:ascii="Arial" w:hAnsi="Arial" w:cs="Arial"/>
          <w:sz w:val="24"/>
          <w:szCs w:val="24"/>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Although there are limitations it is understood that if these are overcome the approach is significant in enhancing learning, especially as Dudley (2015) and Dudley (2015) explain, lesson study has </w:t>
      </w:r>
      <w:r>
        <w:rPr>
          <w:rFonts w:hint="default" w:ascii="Times New Roman" w:hAnsi="Times New Roman" w:eastAsia="Pontano Sans" w:cs="Times New Roman"/>
          <w:b w:val="0"/>
          <w:bCs w:val="0"/>
          <w:i w:val="0"/>
          <w:color w:val="auto"/>
          <w:spacing w:val="0"/>
          <w:sz w:val="24"/>
          <w:szCs w:val="24"/>
          <w:shd w:val="clear" w:fill="FFFFFF"/>
          <w:lang w:val="en-GB"/>
        </w:rPr>
        <w:t>changed</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 the </w:t>
      </w:r>
      <w:r>
        <w:rPr>
          <w:rFonts w:hint="default" w:ascii="Times New Roman" w:hAnsi="Times New Roman" w:eastAsia="Pontano Sans" w:cs="Times New Roman"/>
          <w:b w:val="0"/>
          <w:bCs w:val="0"/>
          <w:i w:val="0"/>
          <w:color w:val="auto"/>
          <w:spacing w:val="0"/>
          <w:sz w:val="24"/>
          <w:szCs w:val="24"/>
          <w:shd w:val="clear" w:fill="FFFFFF"/>
          <w:lang w:val="en-GB"/>
        </w:rPr>
        <w:t>pedagogical</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 teaching experience of thousands of practitioners throughout the world.</w:t>
      </w: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The principle method of data collection for this study consisted of both participant observation and non-participant observation, allowing both researchers to gain the required </w:t>
      </w:r>
      <w:r>
        <w:rPr>
          <w:rFonts w:hint="default" w:ascii="Times New Roman" w:hAnsi="Times New Roman" w:eastAsia="Pontano Sans" w:cs="Times New Roman"/>
          <w:b w:val="0"/>
          <w:bCs w:val="0"/>
          <w:i w:val="0"/>
          <w:color w:val="auto"/>
          <w:spacing w:val="0"/>
          <w:sz w:val="24"/>
          <w:szCs w:val="24"/>
          <w:shd w:val="clear" w:fill="FFFFFF"/>
          <w:lang w:val="en-GB"/>
        </w:rPr>
        <w:t>qualitative</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 data. To achieve this the researcher teaching the lesson adopted the role of the participant observer while the other member of the research team sat away from the lesson, as the non-participant observer. The benefit of the less-familiar partner acting as the non-participating observer reduces subjectivity as the non-participating observer has no prior knowledge of the class and therefore would not make any bias assumptions, providing a more reliable result (Suter, 2011).</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According to Wragg (2012), observations can occur at a pace whereby relevant information is not retrieved and noted due to the time constraints of the study. Due to this, both researchers created an observation format sheet prior beforehand as part of a time sample approach. The time sample observation technique is defined as: an ob</w:t>
      </w:r>
      <w:r>
        <w:rPr>
          <w:rFonts w:hint="default" w:ascii="Times New Roman" w:hAnsi="Times New Roman" w:eastAsia="Pontano Sans" w:cs="Times New Roman"/>
          <w:b w:val="0"/>
          <w:bCs w:val="0"/>
          <w:i w:val="0"/>
          <w:caps w:val="0"/>
          <w:color w:val="auto"/>
          <w:spacing w:val="0"/>
          <w:sz w:val="24"/>
          <w:szCs w:val="24"/>
          <w:highlight w:val="none"/>
          <w:shd w:val="clear" w:fill="FFFFFF"/>
          <w:lang w:val="en-GB"/>
        </w:rPr>
        <w:t xml:space="preserve">servation method whereby the researcher observes the </w:t>
      </w:r>
      <w:r>
        <w:rPr>
          <w:rFonts w:hint="default" w:ascii="Times New Roman" w:hAnsi="Times New Roman" w:eastAsia="Pontano Sans" w:cs="Times New Roman"/>
          <w:b w:val="0"/>
          <w:bCs w:val="0"/>
          <w:i w:val="0"/>
          <w:caps w:val="0"/>
          <w:color w:val="auto"/>
          <w:spacing w:val="0"/>
          <w:sz w:val="24"/>
          <w:szCs w:val="24"/>
          <w:shd w:val="clear" w:fill="FFFFFF"/>
          <w:lang w:val="en-GB"/>
        </w:rPr>
        <w:t>behaviours of the participants and notes each time a specific behaviour is displayed (Palaiologou, 2016). Within the observation form a range of behaviours relating to both high and low involvement were outlined, with the non-participant observer creating a tally when each behaviour was displayed (see appendix 2). This therefore minimised the chances of the observer missing any relevant information, promoting the validity of the research further.</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According to Wragg (2012) and Carolle (2013), when observing a lesson it is important the data collected relates specifically to the research question to ensure the data compiled is relevant and specific to the research field. Both researchers therefore decided that the pupils involvement outlined in their observational records would be analysed against the Leuven Involvement Scale as the Leuven Involvement Scale is a scale comprised of differing levels of involvement, created by Ferre Leavers, justifying how involved a child is in relation to a particular focus (Early Learning HQ, 2018). </w:t>
      </w:r>
      <w:r>
        <w:rPr>
          <w:rFonts w:hint="default" w:ascii="Times New Roman" w:hAnsi="Times New Roman" w:eastAsia="Pontano Sans" w:cs="Times New Roman"/>
          <w:b w:val="0"/>
          <w:bCs w:val="0"/>
          <w:i w:val="0"/>
          <w:color w:val="auto"/>
          <w:spacing w:val="0"/>
          <w:sz w:val="24"/>
          <w:szCs w:val="24"/>
          <w:shd w:val="clear" w:fill="FFFFFF"/>
          <w:lang w:val="en-GB"/>
        </w:rPr>
        <w:t>T</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his therefore details the specific involvement attributes displayed and also allows the pupils to be allocated with a best-fit ‘level of involvement’. </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ascii="Times New Roman" w:hAnsi="Times New Roman" w:cs="Times New Roman"/>
          <w:b w:val="0"/>
          <w:bCs w:val="0"/>
          <w:color w:val="auto"/>
          <w:sz w:val="24"/>
          <w:szCs w:val="24"/>
          <w:highlight w:val="none"/>
          <w:lang w:val="en-GB"/>
        </w:rPr>
      </w:pPr>
      <w:r>
        <w:rPr>
          <w:rFonts w:hint="default" w:ascii="Times New Roman" w:hAnsi="Times New Roman" w:cs="Times New Roman"/>
          <w:b w:val="0"/>
          <w:bCs w:val="0"/>
          <w:color w:val="auto"/>
          <w:sz w:val="24"/>
          <w:szCs w:val="24"/>
          <w:highlight w:val="none"/>
          <w:lang w:val="en-GB"/>
        </w:rPr>
        <w:t>Rothgeb-Bird (2015) suggests, in many teachers perspectives, they believe they have a greater degree of attention from pupils on the carpet area. Although, Pichon (2012) disputes this and explains, practitioners assume children who are sitting quietly are engaged and involved in the lesson, instead they do not hold the pedagogical knowledge to understand otherwise. This proves to be another advantage of the integration of the Leuven Involvement Scale as it diminishes assumptions of involvement and highlights what characteristics are associated with what level of involvement (see appendix 3).</w:t>
      </w:r>
    </w:p>
    <w:p>
      <w:pPr>
        <w:spacing w:line="360" w:lineRule="auto"/>
        <w:jc w:val="both"/>
        <w:rPr>
          <w:rFonts w:hint="default" w:ascii="Arial" w:hAnsi="Arial" w:cs="Arial"/>
          <w:b w:val="0"/>
          <w:bCs w:val="0"/>
          <w:color w:val="auto"/>
          <w:sz w:val="24"/>
          <w:szCs w:val="24"/>
          <w:highlight w:val="none"/>
          <w:lang w:val="en-GB"/>
        </w:rPr>
      </w:pPr>
    </w:p>
    <w:p>
      <w:pPr>
        <w:spacing w:line="36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cs="Times New Roman"/>
          <w:b w:val="0"/>
          <w:bCs w:val="0"/>
          <w:color w:val="auto"/>
          <w:sz w:val="24"/>
          <w:szCs w:val="24"/>
          <w:highlight w:val="none"/>
          <w:lang w:val="en-GB"/>
        </w:rPr>
        <w:t>Alongside observation, focus interviews were conducted to gather further data in the form of children’s viewpoints. To do this three focus children were chosen from each class.The focus groups were comprised of a child of higher ability, middle ability and lower ability for each class as this provided a wider scope, whereby the strategy may have had a more significant effect on a certain ability (</w:t>
      </w:r>
      <w:r>
        <w:rPr>
          <w:rFonts w:hint="default" w:ascii="Times New Roman" w:hAnsi="Times New Roman" w:eastAsia="Pontano Sans" w:cs="Times New Roman"/>
          <w:b w:val="0"/>
          <w:bCs w:val="0"/>
          <w:i w:val="0"/>
          <w:caps w:val="0"/>
          <w:color w:val="auto"/>
          <w:spacing w:val="0"/>
          <w:sz w:val="24"/>
          <w:szCs w:val="24"/>
          <w:shd w:val="clear" w:fill="FFFFFF"/>
          <w:lang w:val="en-GB"/>
        </w:rPr>
        <w:t>Palaiologou</w:t>
      </w:r>
      <w:r>
        <w:rPr>
          <w:rFonts w:hint="default" w:eastAsia="Pontano Sans" w:cs="Times New Roman"/>
          <w:b w:val="0"/>
          <w:bCs w:val="0"/>
          <w:i w:val="0"/>
          <w:caps w:val="0"/>
          <w:color w:val="auto"/>
          <w:spacing w:val="0"/>
          <w:sz w:val="24"/>
          <w:szCs w:val="24"/>
          <w:shd w:val="clear" w:fill="FFFFFF"/>
          <w:lang w:val="en-GB"/>
        </w:rPr>
        <w:t>, 2016). Additionally, t</w:t>
      </w:r>
      <w:r>
        <w:rPr>
          <w:rFonts w:hint="default" w:ascii="Times New Roman" w:hAnsi="Times New Roman" w:eastAsia="Pontano Sans" w:cs="Times New Roman"/>
          <w:b w:val="0"/>
          <w:bCs w:val="0"/>
          <w:i w:val="0"/>
          <w:caps w:val="0"/>
          <w:color w:val="auto"/>
          <w:spacing w:val="0"/>
          <w:sz w:val="24"/>
          <w:szCs w:val="24"/>
          <w:shd w:val="clear" w:fill="FFFFFF"/>
          <w:lang w:val="en-GB"/>
        </w:rPr>
        <w:t>o follow the guidelines set by</w:t>
      </w:r>
      <w:r>
        <w:rPr>
          <w:rFonts w:hint="default" w:ascii="Times New Roman" w:hAnsi="Times New Roman" w:eastAsia="Pontano Sans" w:cs="Times New Roman"/>
          <w:b w:val="0"/>
          <w:bCs w:val="0"/>
          <w:i w:val="0"/>
          <w:caps w:val="0"/>
          <w:color w:val="auto"/>
          <w:spacing w:val="0"/>
          <w:sz w:val="24"/>
          <w:szCs w:val="24"/>
          <w:highlight w:val="none"/>
          <w:shd w:val="clear" w:fill="FFFFFF"/>
          <w:lang w:val="en-GB"/>
        </w:rPr>
        <w:t xml:space="preserve"> BERA (2011), the questions asked were suitable to the child’s age and therefore did not mislead the children in any way, see appendix 4.</w:t>
      </w:r>
    </w:p>
    <w:p>
      <w:pPr>
        <w:spacing w:line="360" w:lineRule="auto"/>
        <w:jc w:val="both"/>
        <w:rPr>
          <w:rFonts w:hint="default" w:ascii="Arial" w:hAnsi="Arial" w:eastAsia="Pontano Sans" w:cs="Arial"/>
          <w:b w:val="0"/>
          <w:bCs w:val="0"/>
          <w:i w:val="0"/>
          <w:caps w:val="0"/>
          <w:color w:val="auto"/>
          <w:spacing w:val="0"/>
          <w:sz w:val="24"/>
          <w:szCs w:val="24"/>
          <w:shd w:val="clear" w:fill="FFFFFF"/>
          <w:lang w:val="en-GB"/>
        </w:rPr>
      </w:pPr>
    </w:p>
    <w:p>
      <w:pPr>
        <w:spacing w:line="360" w:lineRule="auto"/>
        <w:jc w:val="both"/>
        <w:rPr>
          <w:rFonts w:hint="default"/>
          <w:sz w:val="24"/>
          <w:szCs w:val="24"/>
          <w:lang w:val="en-GB"/>
        </w:rPr>
      </w:pPr>
      <w:r>
        <w:rPr>
          <w:sz w:val="24"/>
          <w:szCs w:val="24"/>
          <w:lang w:val="en-GB"/>
        </w:rPr>
        <w:t>The perspectives of both researchers were also taken into consideration as part of the lesson study approach, through the process of reflection. The importance of reflection is outlined by Grigg and Lewis (no date) who state, reflection allows practitioners to identify possibilities for change which can then be refined to aid future practice, developing professional pedagogical knowledge as well as children</w:t>
      </w:r>
      <w:r>
        <w:rPr>
          <w:rFonts w:hint="default"/>
          <w:sz w:val="24"/>
          <w:szCs w:val="24"/>
          <w:lang w:val="en-GB"/>
        </w:rPr>
        <w:t>’s learning experience. During reflection both researchers collaborated and used the University of Wales Trinity Saint David (UWTSD) ARC (Assisted Reflective Conclusion) model as a basis to engage in mental and written reflection. Reflection allowed both researchers to refine the second lesson whereby more explanation about the strategy was given, alongside the integration of more praise from the practitioner.</w:t>
      </w:r>
    </w:p>
    <w:p>
      <w:pPr>
        <w:spacing w:line="360" w:lineRule="auto"/>
        <w:jc w:val="both"/>
        <w:rPr>
          <w:rFonts w:hint="default"/>
          <w:sz w:val="24"/>
          <w:szCs w:val="24"/>
          <w:lang w:val="en-GB"/>
        </w:rPr>
      </w:pPr>
    </w:p>
    <w:p>
      <w:pPr>
        <w:spacing w:line="360" w:lineRule="auto"/>
        <w:jc w:val="both"/>
        <w:rPr>
          <w:rFonts w:ascii="Calibri" w:hAnsi="Calibri" w:cs="Arial"/>
          <w:color w:val="303B44"/>
          <w:sz w:val="22"/>
          <w:szCs w:val="22"/>
          <w:lang w:val="en-GB"/>
        </w:rPr>
      </w:pPr>
      <w:r>
        <w:rPr>
          <w:rFonts w:hint="default"/>
          <w:sz w:val="24"/>
          <w:szCs w:val="24"/>
          <w:lang w:val="en-GB"/>
        </w:rPr>
        <w:t>On completion of the lesson study the researchers were then able to compile the findings from each lesson and analyse the results to develop a conclusion of the study. Due to the vast amount of data collected, alongside the detailed information in relation to engagement alongside the Leuven Involvement Scale, researchers were able to both collaborate, discuss and annotate the results to evaluate the evidence and determine the effectiveness of the approach.</w:t>
      </w:r>
    </w:p>
    <w:p>
      <w:pPr>
        <w:pStyle w:val="11"/>
        <w:spacing w:line="360" w:lineRule="auto"/>
        <w:rPr>
          <w:rFonts w:ascii="Calibri" w:hAnsi="Calibri" w:cs="Arial"/>
          <w:color w:val="303B44"/>
          <w:sz w:val="22"/>
          <w:szCs w:val="22"/>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Ethical Considerations</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Before conducting the study the University Guidelines on ethical research (University of Wales Trinity Saint David Research, Ethics and Integrity Code of Professional Conduct and Practice, 2017) was read thoroughly and in retrospect of reading this document, along with the BERA (2011) document, both researchers undertook the following precautions to minimise any risk to the participants of the study and maintain the well-being of all involved.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According to BERA (2011) and David et al. (2001), for children to make informed decisions on whether they consent to such research, children need information that is adequate to their competences in order to fully understand what they are ‘assenting’ to. With reference to this, both researchers explained in simple, age-appropriate terms to the children, providing them with an understanding of what the research will involve and why it was being u</w:t>
      </w:r>
      <w:r>
        <w:rPr>
          <w:rFonts w:hint="default" w:ascii="Times New Roman" w:hAnsi="Times New Roman" w:cs="Times New Roman"/>
          <w:sz w:val="24"/>
          <w:szCs w:val="24"/>
          <w:highlight w:val="none"/>
          <w:lang w:val="en-GB"/>
        </w:rPr>
        <w:t>ndertaken (see appendix 5). Consequently, all children understood the process and researchers were ethically maintaining the well-being of all involved. Additionally, the process of assent was ongoing, whereby children were frequently asked if they were still happy to continue and explained that they were entitled to withdraw at any given time without any repercussions. However, the purpose of the project was also explained to parents/guardians through letter form, where they signed to give their informed consent for their children to partake; prior to the study commencing. Th</w:t>
      </w:r>
      <w:r>
        <w:rPr>
          <w:rFonts w:hint="default" w:ascii="Times New Roman" w:hAnsi="Times New Roman" w:cs="Times New Roman"/>
          <w:sz w:val="24"/>
          <w:szCs w:val="24"/>
          <w:lang w:val="en-GB"/>
        </w:rPr>
        <w:t xml:space="preserve">is is supported by BERA (2011) which outlines, responsible others are also required to approve the research process in which their child is part of. Data collected was also stored securely through means of password protection, in accordance with the Data Protection Act (1998). Also outlined in the Data Protection Act (1998) is the significance of anonymity and confidentiality throughout educational research. This is synthesised by BERA (2011) which outlines, data should be anonymous, with no personal information detailed to maintain the confidential right of all participants. To follow information set out by both legislative documents both researchers did not identify names of children, schools or staff. Instead, children were named ‘Child A/B/C’.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Lesson Study</w:t>
      </w:r>
    </w:p>
    <w:p>
      <w:pPr>
        <w:spacing w:line="360" w:lineRule="auto"/>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The lesson study was carried out on two lessons, each based around the topic of Easter. However, due to the differing age range between the two classes there were differentiations made to the lessons to ensure the learning would meet the age and ability of the students. Both researchers also discussed with the schools prior to ensure that what they intended to teach was relevant and appropriate to their current learning. This therefore resulted in the Nursery class completing an Easter themed Mathematical activity and Year 2 being taught the celebrations of Easter around the world; each taking place on the carpet area. The first lesson was undertaken within the Nursery class and was taught by their familiar practitioner, whilst the research partner engaged in the non-participant observation. The same process was repeated for the second school where the roles of the researchers were reversed.</w:t>
      </w:r>
    </w:p>
    <w:p>
      <w:pPr>
        <w:spacing w:line="360" w:lineRule="auto"/>
        <w:jc w:val="both"/>
        <w:rPr>
          <w:rFonts w:hint="default" w:ascii="Times New Roman" w:hAnsi="Times New Roman" w:cs="Times New Roman"/>
          <w:b w:val="0"/>
          <w:bCs w:val="0"/>
          <w:color w:val="auto"/>
          <w:sz w:val="24"/>
          <w:szCs w:val="24"/>
          <w:lang w:val="en-GB"/>
        </w:rPr>
      </w:pPr>
    </w:p>
    <w:p>
      <w:pPr>
        <w:spacing w:line="360" w:lineRule="auto"/>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color w:val="auto"/>
          <w:sz w:val="24"/>
          <w:szCs w:val="24"/>
          <w:lang w:val="en-GB"/>
        </w:rPr>
        <w:t>Both lessons commenced with the teacher (familiar researcher) introducing the research project by reading out the ‘explanation paragraph’</w:t>
      </w:r>
      <w:r>
        <w:rPr>
          <w:rFonts w:hint="default" w:cs="Times New Roman"/>
          <w:b w:val="0"/>
          <w:bCs w:val="0"/>
          <w:color w:val="auto"/>
          <w:sz w:val="24"/>
          <w:szCs w:val="24"/>
          <w:lang w:val="en-GB"/>
        </w:rPr>
        <w:t xml:space="preserve">. </w:t>
      </w:r>
      <w:r>
        <w:rPr>
          <w:rFonts w:hint="default" w:ascii="Times New Roman" w:hAnsi="Times New Roman" w:cs="Times New Roman"/>
          <w:b w:val="0"/>
          <w:bCs w:val="0"/>
          <w:color w:val="auto"/>
          <w:sz w:val="24"/>
          <w:szCs w:val="24"/>
          <w:lang w:val="en-GB"/>
        </w:rPr>
        <w:t>Once it was clarified that all children were aware of the research the practitioner then introduced the Q</w:t>
      </w:r>
      <w:r>
        <w:rPr>
          <w:rFonts w:hint="default" w:cs="Times New Roman"/>
          <w:b w:val="0"/>
          <w:bCs w:val="0"/>
          <w:color w:val="auto"/>
          <w:sz w:val="24"/>
          <w:szCs w:val="24"/>
          <w:lang w:val="en-GB"/>
        </w:rPr>
        <w:t xml:space="preserve">.C.S </w:t>
      </w:r>
      <w:r>
        <w:rPr>
          <w:rFonts w:hint="default" w:ascii="Times New Roman" w:hAnsi="Times New Roman" w:cs="Times New Roman"/>
          <w:b w:val="0"/>
          <w:bCs w:val="0"/>
          <w:color w:val="auto"/>
          <w:sz w:val="24"/>
          <w:szCs w:val="24"/>
          <w:lang w:val="en-GB"/>
        </w:rPr>
        <w:t xml:space="preserve">and explained what was expected from the </w:t>
      </w:r>
      <w:r>
        <w:rPr>
          <w:rFonts w:hint="default" w:cs="Times New Roman"/>
          <w:b w:val="0"/>
          <w:bCs w:val="0"/>
          <w:color w:val="auto"/>
          <w:sz w:val="24"/>
          <w:szCs w:val="24"/>
          <w:lang w:val="en-GB"/>
        </w:rPr>
        <w:t>pupils</w:t>
      </w:r>
      <w:r>
        <w:rPr>
          <w:rFonts w:hint="default" w:ascii="Times New Roman" w:hAnsi="Times New Roman" w:cs="Times New Roman"/>
          <w:b w:val="0"/>
          <w:bCs w:val="0"/>
          <w:color w:val="auto"/>
          <w:sz w:val="24"/>
          <w:szCs w:val="24"/>
          <w:lang w:val="en-GB"/>
        </w:rPr>
        <w:t xml:space="preserve"> if they wished to obtain a Q</w:t>
      </w:r>
      <w:r>
        <w:rPr>
          <w:rFonts w:hint="default" w:cs="Times New Roman"/>
          <w:b w:val="0"/>
          <w:bCs w:val="0"/>
          <w:color w:val="auto"/>
          <w:sz w:val="24"/>
          <w:szCs w:val="24"/>
          <w:lang w:val="en-GB"/>
        </w:rPr>
        <w:t>.C</w:t>
      </w:r>
      <w:r>
        <w:rPr>
          <w:rFonts w:hint="default" w:ascii="Times New Roman" w:hAnsi="Times New Roman" w:cs="Times New Roman"/>
          <w:b w:val="0"/>
          <w:bCs w:val="0"/>
          <w:color w:val="auto"/>
          <w:sz w:val="24"/>
          <w:szCs w:val="24"/>
          <w:lang w:val="en-GB"/>
        </w:rPr>
        <w:t>. The success criteria(s) were then explained, allowing children to understand what they had to complete to achieve the Success Criteria</w:t>
      </w:r>
      <w:r>
        <w:rPr>
          <w:rFonts w:hint="default" w:cs="Times New Roman"/>
          <w:b w:val="0"/>
          <w:bCs w:val="0"/>
          <w:color w:val="auto"/>
          <w:sz w:val="24"/>
          <w:szCs w:val="24"/>
          <w:lang w:val="en-GB"/>
        </w:rPr>
        <w:t xml:space="preserve">. </w:t>
      </w:r>
      <w:r>
        <w:rPr>
          <w:rFonts w:hint="default" w:ascii="Times New Roman" w:hAnsi="Times New Roman" w:cs="Times New Roman"/>
          <w:b w:val="0"/>
          <w:bCs w:val="0"/>
          <w:i w:val="0"/>
          <w:iCs w:val="0"/>
          <w:color w:val="auto"/>
          <w:sz w:val="24"/>
          <w:szCs w:val="24"/>
          <w:lang w:val="en-GB"/>
        </w:rPr>
        <w:t xml:space="preserve">It was reinforced to the class that the purpose of the strategy was to see listening, involved children. This was the overall aim of the study - to determine whether the intervention affected involvement on the carpet area. </w:t>
      </w:r>
    </w:p>
    <w:p>
      <w:pPr>
        <w:spacing w:line="360" w:lineRule="auto"/>
        <w:jc w:val="both"/>
        <w:rPr>
          <w:rFonts w:hint="default" w:ascii="Times New Roman" w:hAnsi="Times New Roman" w:cs="Times New Roman"/>
          <w:b w:val="0"/>
          <w:bCs w:val="0"/>
          <w:i w:val="0"/>
          <w:iCs w:val="0"/>
          <w:color w:val="auto"/>
          <w:sz w:val="24"/>
          <w:szCs w:val="24"/>
          <w:lang w:val="en-GB"/>
        </w:rPr>
      </w:pPr>
    </w:p>
    <w:p>
      <w:pPr>
        <w:spacing w:line="360" w:lineRule="auto"/>
        <w:jc w:val="both"/>
        <w:rPr>
          <w:rFonts w:hint="default" w:ascii="Times New Roman" w:hAnsi="Times New Roman" w:cs="Times New Roman"/>
          <w:b w:val="0"/>
          <w:bCs w:val="0"/>
          <w:i w:val="0"/>
          <w:iCs w:val="0"/>
          <w:color w:val="auto"/>
          <w:sz w:val="24"/>
          <w:szCs w:val="24"/>
          <w:lang w:val="en-GB"/>
        </w:rPr>
      </w:pPr>
      <w:r>
        <w:rPr>
          <w:rFonts w:hint="default" w:cs="Times New Roman"/>
          <w:b w:val="0"/>
          <w:bCs w:val="0"/>
          <w:i w:val="0"/>
          <w:iCs w:val="0"/>
          <w:color w:val="auto"/>
          <w:sz w:val="24"/>
          <w:szCs w:val="24"/>
          <w:lang w:val="en-GB"/>
        </w:rPr>
        <w:t>Both</w:t>
      </w:r>
      <w:r>
        <w:rPr>
          <w:rFonts w:hint="default" w:ascii="Times New Roman" w:hAnsi="Times New Roman" w:cs="Times New Roman"/>
          <w:b w:val="0"/>
          <w:bCs w:val="0"/>
          <w:i w:val="0"/>
          <w:iCs w:val="0"/>
          <w:color w:val="auto"/>
          <w:sz w:val="24"/>
          <w:szCs w:val="24"/>
          <w:lang w:val="en-GB"/>
        </w:rPr>
        <w:t xml:space="preserve"> researchers had three overall predictions from the research, these were:</w:t>
      </w:r>
    </w:p>
    <w:p>
      <w:pPr>
        <w:numPr>
          <w:ilvl w:val="0"/>
          <w:numId w:val="3"/>
        </w:numPr>
        <w:spacing w:line="360" w:lineRule="auto"/>
        <w:ind w:left="420" w:leftChars="0" w:hanging="420" w:firstLineChars="0"/>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i w:val="0"/>
          <w:iCs w:val="0"/>
          <w:color w:val="auto"/>
          <w:sz w:val="24"/>
          <w:szCs w:val="24"/>
          <w:lang w:val="en-GB"/>
        </w:rPr>
        <w:t>Higher attainers (in both classes) would be more engaged than lower attainers.</w:t>
      </w:r>
    </w:p>
    <w:p>
      <w:pPr>
        <w:numPr>
          <w:ilvl w:val="0"/>
          <w:numId w:val="3"/>
        </w:numPr>
        <w:spacing w:line="360" w:lineRule="auto"/>
        <w:ind w:left="420" w:leftChars="0" w:hanging="420" w:firstLineChars="0"/>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i w:val="0"/>
          <w:iCs w:val="0"/>
          <w:color w:val="auto"/>
          <w:sz w:val="24"/>
          <w:szCs w:val="24"/>
          <w:lang w:val="en-GB"/>
        </w:rPr>
        <w:t>The strategy would be more beneficial for the Year 2 children.</w:t>
      </w:r>
    </w:p>
    <w:p>
      <w:pPr>
        <w:numPr>
          <w:ilvl w:val="0"/>
          <w:numId w:val="3"/>
        </w:numPr>
        <w:spacing w:line="360" w:lineRule="auto"/>
        <w:ind w:left="420" w:leftChars="0" w:hanging="420" w:firstLineChars="0"/>
        <w:jc w:val="both"/>
        <w:rPr>
          <w:rFonts w:hint="default" w:ascii="Times New Roman" w:hAnsi="Times New Roman" w:cs="Times New Roman"/>
          <w:b w:val="0"/>
          <w:bCs w:val="0"/>
          <w:i w:val="0"/>
          <w:iCs w:val="0"/>
          <w:color w:val="auto"/>
          <w:sz w:val="24"/>
          <w:szCs w:val="24"/>
          <w:lang w:val="en-GB"/>
        </w:rPr>
      </w:pPr>
      <w:r>
        <w:rPr>
          <w:rFonts w:hint="default" w:ascii="Times New Roman" w:hAnsi="Times New Roman" w:cs="Times New Roman"/>
          <w:b w:val="0"/>
          <w:bCs w:val="0"/>
          <w:i w:val="0"/>
          <w:iCs w:val="0"/>
          <w:color w:val="auto"/>
          <w:sz w:val="24"/>
          <w:szCs w:val="24"/>
          <w:lang w:val="en-GB"/>
        </w:rPr>
        <w:t>The girls in year 2 would show greater signs of involvement than the boys.</w:t>
      </w:r>
    </w:p>
    <w:p>
      <w:pPr>
        <w:spacing w:line="360" w:lineRule="auto"/>
        <w:jc w:val="both"/>
        <w:rPr>
          <w:rFonts w:hint="default" w:ascii="Times New Roman" w:hAnsi="Times New Roman" w:cs="Times New Roman"/>
          <w:b/>
          <w:bCs/>
          <w:color w:val="auto"/>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Immediately, looking at the data collected from the Nursery class it can be understood that our prediction that the girls achieving better involvement than the boys was correct</w:t>
      </w:r>
      <w:r>
        <w:rPr>
          <w:rFonts w:hint="default" w:cs="Times New Roman"/>
          <w:sz w:val="24"/>
          <w:szCs w:val="24"/>
          <w:lang w:val="en-GB"/>
        </w:rPr>
        <w:t>, see appendix 6, extract 1,2 and 3.</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As seen in the non-participant observation </w:t>
      </w:r>
      <w:r>
        <w:rPr>
          <w:rFonts w:hint="default" w:cs="Times New Roman"/>
          <w:sz w:val="24"/>
          <w:szCs w:val="24"/>
          <w:lang w:val="en-GB"/>
        </w:rPr>
        <w:t xml:space="preserve">notes </w:t>
      </w:r>
      <w:r>
        <w:rPr>
          <w:rFonts w:hint="default" w:ascii="Times New Roman" w:hAnsi="Times New Roman" w:cs="Times New Roman"/>
          <w:sz w:val="24"/>
          <w:szCs w:val="24"/>
          <w:lang w:val="en-GB"/>
        </w:rPr>
        <w:t xml:space="preserve">for the first lesson study (Nursery), all of the learners, except one </w:t>
      </w:r>
      <w:r>
        <w:rPr>
          <w:rFonts w:hint="default" w:cs="Times New Roman"/>
          <w:sz w:val="24"/>
          <w:szCs w:val="24"/>
          <w:lang w:val="en-GB"/>
        </w:rPr>
        <w:t xml:space="preserve">(appendix 6, extract 3) </w:t>
      </w:r>
      <w:r>
        <w:rPr>
          <w:rFonts w:hint="default" w:ascii="Times New Roman" w:hAnsi="Times New Roman" w:cs="Times New Roman"/>
          <w:sz w:val="24"/>
          <w:szCs w:val="24"/>
          <w:lang w:val="en-GB"/>
        </w:rPr>
        <w:t xml:space="preserve">were engaged throughout the whole activity on the carpet area. As detailed in the appendix, the learner who did not display any significant signs of engagement throughout was the only boy of the focus group. Instead, he often daydreamed, fiddled and generally withstood from discussion. This would therefore contrast with the prediction of the teacher taking the lesson, as it was assumed, judging from past PTE experience and the fact </w:t>
      </w:r>
      <w:r>
        <w:rPr>
          <w:rFonts w:hint="default" w:cs="Times New Roman"/>
          <w:sz w:val="24"/>
          <w:szCs w:val="24"/>
          <w:lang w:val="en-GB"/>
        </w:rPr>
        <w:t xml:space="preserve">the pupil </w:t>
      </w:r>
      <w:r>
        <w:rPr>
          <w:rFonts w:hint="default" w:ascii="Times New Roman" w:hAnsi="Times New Roman" w:cs="Times New Roman"/>
          <w:sz w:val="24"/>
          <w:szCs w:val="24"/>
          <w:lang w:val="en-GB"/>
        </w:rPr>
        <w:t xml:space="preserve">was of higher ability, that he would have shown the greatest signs of engagement out of the group. However, according to Samuelsson and Samuelsson (2016), compared to girls, boys lack engagement in directed, adult-led activities. This therefore </w:t>
      </w:r>
      <w:r>
        <w:rPr>
          <w:rFonts w:hint="default" w:cs="Times New Roman"/>
          <w:sz w:val="24"/>
          <w:szCs w:val="24"/>
          <w:lang w:val="en-GB"/>
        </w:rPr>
        <w:t>suggests</w:t>
      </w:r>
      <w:r>
        <w:rPr>
          <w:rFonts w:hint="default" w:ascii="Times New Roman" w:hAnsi="Times New Roman" w:cs="Times New Roman"/>
          <w:sz w:val="24"/>
          <w:szCs w:val="24"/>
          <w:lang w:val="en-GB"/>
        </w:rPr>
        <w:t xml:space="preserve"> that it was not necessarily due to the strategy </w:t>
      </w:r>
      <w:r>
        <w:rPr>
          <w:rFonts w:hint="default" w:cs="Times New Roman"/>
          <w:sz w:val="24"/>
          <w:szCs w:val="24"/>
          <w:lang w:val="en-GB"/>
        </w:rPr>
        <w:t xml:space="preserve">being ineffective </w:t>
      </w:r>
      <w:r>
        <w:rPr>
          <w:rFonts w:hint="default" w:ascii="Times New Roman" w:hAnsi="Times New Roman" w:cs="Times New Roman"/>
          <w:sz w:val="24"/>
          <w:szCs w:val="24"/>
          <w:lang w:val="en-GB"/>
        </w:rPr>
        <w:t xml:space="preserve">that he lacked engagement but that it is natural for boys to be less engaged. This therefore informed our prediction for the second lesson where we believed it would be likely that the boys would although engage, </w:t>
      </w:r>
      <w:r>
        <w:rPr>
          <w:rFonts w:hint="default" w:cs="Times New Roman"/>
          <w:sz w:val="24"/>
          <w:szCs w:val="24"/>
          <w:lang w:val="en-GB"/>
        </w:rPr>
        <w:t xml:space="preserve">they would </w:t>
      </w:r>
      <w:r>
        <w:rPr>
          <w:rFonts w:hint="default" w:ascii="Times New Roman" w:hAnsi="Times New Roman" w:cs="Times New Roman"/>
          <w:sz w:val="24"/>
          <w:szCs w:val="24"/>
          <w:lang w:val="en-GB"/>
        </w:rPr>
        <w:t>achieve lower on the Leuven scale compared to the girls. To overcome this and promote engagement of boys especially it was discussed that more verbal encouragement would be given to the boys, alongside the Q</w:t>
      </w:r>
      <w:r>
        <w:rPr>
          <w:rFonts w:hint="default" w:cs="Times New Roman"/>
          <w:sz w:val="24"/>
          <w:szCs w:val="24"/>
          <w:lang w:val="en-GB"/>
        </w:rPr>
        <w:t>.C.S</w:t>
      </w:r>
      <w:r>
        <w:rPr>
          <w:rFonts w:hint="default" w:ascii="Times New Roman" w:hAnsi="Times New Roman" w:cs="Times New Roman"/>
          <w:sz w:val="24"/>
          <w:szCs w:val="24"/>
          <w:lang w:val="en-GB"/>
        </w:rPr>
        <w:t xml:space="preserve"> in the hope of promoting their engagement further as this was identified as an issue.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Further supporting the statement by Samuelsson and Samuelsson (2016), child A and B </w:t>
      </w:r>
      <w:r>
        <w:rPr>
          <w:rFonts w:hint="default" w:cs="Times New Roman"/>
          <w:sz w:val="24"/>
          <w:szCs w:val="24"/>
          <w:lang w:val="en-GB"/>
        </w:rPr>
        <w:t xml:space="preserve">(see appendix 6, extract 1 and 2), </w:t>
      </w:r>
      <w:r>
        <w:rPr>
          <w:rFonts w:hint="default" w:ascii="Times New Roman" w:hAnsi="Times New Roman" w:cs="Times New Roman"/>
          <w:sz w:val="24"/>
          <w:szCs w:val="24"/>
          <w:lang w:val="en-GB"/>
        </w:rPr>
        <w:t xml:space="preserve">(who were both girls) showed significant signs of involvement on the carpet, both achieving </w:t>
      </w:r>
      <w:r>
        <w:rPr>
          <w:rFonts w:hint="default" w:cs="Times New Roman"/>
          <w:sz w:val="24"/>
          <w:szCs w:val="24"/>
          <w:lang w:val="en-GB"/>
        </w:rPr>
        <w:t>‘</w:t>
      </w:r>
      <w:r>
        <w:rPr>
          <w:rFonts w:hint="default" w:ascii="Times New Roman" w:hAnsi="Times New Roman" w:cs="Times New Roman"/>
          <w:sz w:val="24"/>
          <w:szCs w:val="24"/>
          <w:lang w:val="en-GB"/>
        </w:rPr>
        <w:t>high involvement</w:t>
      </w:r>
      <w:r>
        <w:rPr>
          <w:rFonts w:hint="default" w:cs="Times New Roman"/>
          <w:sz w:val="24"/>
          <w:szCs w:val="24"/>
          <w:lang w:val="en-GB"/>
        </w:rPr>
        <w:t xml:space="preserve">’ on </w:t>
      </w:r>
      <w:r>
        <w:rPr>
          <w:rFonts w:hint="default" w:ascii="Times New Roman" w:hAnsi="Times New Roman" w:cs="Times New Roman"/>
          <w:sz w:val="24"/>
          <w:szCs w:val="24"/>
          <w:lang w:val="en-GB"/>
        </w:rPr>
        <w:t xml:space="preserve">the Leuven Scale. </w:t>
      </w:r>
      <w:r>
        <w:rPr>
          <w:rFonts w:hint="default" w:cs="Times New Roman"/>
          <w:sz w:val="24"/>
          <w:szCs w:val="24"/>
          <w:lang w:val="en-GB"/>
        </w:rPr>
        <w:t>B</w:t>
      </w:r>
      <w:r>
        <w:rPr>
          <w:rFonts w:hint="default" w:ascii="Times New Roman" w:hAnsi="Times New Roman" w:cs="Times New Roman"/>
          <w:sz w:val="24"/>
          <w:szCs w:val="24"/>
          <w:lang w:val="en-GB"/>
        </w:rPr>
        <w:t>oth children showed good understanding of the activity set and met the outlined success criteria and learning objective of the</w:t>
      </w:r>
      <w:r>
        <w:rPr>
          <w:rFonts w:hint="default" w:cs="Times New Roman"/>
          <w:sz w:val="24"/>
          <w:szCs w:val="24"/>
          <w:lang w:val="en-GB"/>
        </w:rPr>
        <w:t xml:space="preserve"> task</w:t>
      </w:r>
      <w:r>
        <w:rPr>
          <w:rFonts w:hint="default" w:ascii="Times New Roman" w:hAnsi="Times New Roman" w:cs="Times New Roman"/>
          <w:sz w:val="24"/>
          <w:szCs w:val="24"/>
          <w:lang w:val="en-GB"/>
        </w:rPr>
        <w:t xml:space="preserve">. This therefore highlights that with such high involvement, comes high intensity learning and development. Whereby on the other hand, the </w:t>
      </w:r>
      <w:r>
        <w:rPr>
          <w:rFonts w:hint="default" w:cs="Times New Roman"/>
          <w:sz w:val="24"/>
          <w:szCs w:val="24"/>
          <w:lang w:val="en-GB"/>
        </w:rPr>
        <w:t xml:space="preserve">young </w:t>
      </w:r>
      <w:r>
        <w:rPr>
          <w:rFonts w:hint="default" w:ascii="Times New Roman" w:hAnsi="Times New Roman" w:cs="Times New Roman"/>
          <w:sz w:val="24"/>
          <w:szCs w:val="24"/>
          <w:lang w:val="en-GB"/>
        </w:rPr>
        <w:t xml:space="preserve">boy was not able to answer questions and as a result, did not benefit from the learning opportunity set. </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eastAsia="Open Sans" w:cs="Times New Roman"/>
          <w:i w:val="0"/>
          <w:caps w:val="0"/>
          <w:color w:val="auto"/>
          <w:spacing w:val="0"/>
          <w:sz w:val="24"/>
          <w:szCs w:val="24"/>
          <w:shd w:val="clear" w:fill="FFFFFF"/>
          <w:lang w:val="en-GB"/>
        </w:rPr>
      </w:pPr>
      <w:r>
        <w:rPr>
          <w:rFonts w:hint="default" w:ascii="Times New Roman" w:hAnsi="Times New Roman" w:cs="Times New Roman"/>
          <w:sz w:val="24"/>
          <w:szCs w:val="24"/>
          <w:lang w:val="en-GB"/>
        </w:rPr>
        <w:t>Upon reflection</w:t>
      </w:r>
      <w:r>
        <w:rPr>
          <w:rFonts w:hint="default" w:cs="Times New Roman"/>
          <w:sz w:val="24"/>
          <w:szCs w:val="24"/>
          <w:lang w:val="en-GB"/>
        </w:rPr>
        <w:t>,</w:t>
      </w:r>
      <w:r>
        <w:rPr>
          <w:rFonts w:hint="default" w:ascii="Times New Roman" w:hAnsi="Times New Roman" w:cs="Times New Roman"/>
          <w:sz w:val="24"/>
          <w:szCs w:val="24"/>
          <w:lang w:val="en-GB"/>
        </w:rPr>
        <w:t xml:space="preserve"> both researchers were </w:t>
      </w:r>
      <w:r>
        <w:rPr>
          <w:rFonts w:hint="default" w:cs="Times New Roman"/>
          <w:sz w:val="24"/>
          <w:szCs w:val="24"/>
          <w:lang w:val="en-GB"/>
        </w:rPr>
        <w:t>pleased</w:t>
      </w:r>
      <w:r>
        <w:rPr>
          <w:rFonts w:hint="default" w:ascii="Times New Roman" w:hAnsi="Times New Roman" w:cs="Times New Roman"/>
          <w:sz w:val="24"/>
          <w:szCs w:val="24"/>
          <w:lang w:val="en-GB"/>
        </w:rPr>
        <w:t xml:space="preserve"> with the engagement displayed as although the </w:t>
      </w:r>
      <w:r>
        <w:rPr>
          <w:rFonts w:hint="default" w:cs="Times New Roman"/>
          <w:sz w:val="24"/>
          <w:szCs w:val="24"/>
          <w:lang w:val="en-GB"/>
        </w:rPr>
        <w:t xml:space="preserve">young </w:t>
      </w:r>
      <w:r>
        <w:rPr>
          <w:rFonts w:hint="default" w:ascii="Times New Roman" w:hAnsi="Times New Roman" w:cs="Times New Roman"/>
          <w:sz w:val="24"/>
          <w:szCs w:val="24"/>
          <w:lang w:val="en-GB"/>
        </w:rPr>
        <w:t xml:space="preserve">boy </w:t>
      </w:r>
      <w:r>
        <w:rPr>
          <w:rFonts w:hint="default" w:cs="Times New Roman"/>
          <w:sz w:val="24"/>
          <w:szCs w:val="24"/>
          <w:lang w:val="en-GB"/>
        </w:rPr>
        <w:t>(Child C) gained</w:t>
      </w:r>
      <w:r>
        <w:rPr>
          <w:rFonts w:hint="default" w:ascii="Times New Roman" w:hAnsi="Times New Roman" w:cs="Times New Roman"/>
          <w:sz w:val="24"/>
          <w:szCs w:val="24"/>
          <w:lang w:val="en-GB"/>
        </w:rPr>
        <w:t xml:space="preserve"> </w:t>
      </w:r>
      <w:r>
        <w:rPr>
          <w:rFonts w:hint="default" w:cs="Times New Roman"/>
          <w:sz w:val="24"/>
          <w:szCs w:val="24"/>
          <w:lang w:val="en-GB"/>
        </w:rPr>
        <w:t>‘</w:t>
      </w:r>
      <w:r>
        <w:rPr>
          <w:rFonts w:hint="default" w:ascii="Times New Roman" w:hAnsi="Times New Roman" w:cs="Times New Roman"/>
          <w:sz w:val="24"/>
          <w:szCs w:val="24"/>
          <w:lang w:val="en-GB"/>
        </w:rPr>
        <w:t>low</w:t>
      </w:r>
      <w:r>
        <w:rPr>
          <w:rFonts w:hint="default" w:cs="Times New Roman"/>
          <w:sz w:val="24"/>
          <w:szCs w:val="24"/>
          <w:lang w:val="en-GB"/>
        </w:rPr>
        <w:t>’</w:t>
      </w:r>
      <w:r>
        <w:rPr>
          <w:rFonts w:hint="default" w:ascii="Times New Roman" w:hAnsi="Times New Roman" w:cs="Times New Roman"/>
          <w:sz w:val="24"/>
          <w:szCs w:val="24"/>
          <w:lang w:val="en-GB"/>
        </w:rPr>
        <w:t xml:space="preserve"> on the Leuven Scale, the overall majority of children received ‘high involvement’. When the children had the critters, although they had to be reminded on occasion</w:t>
      </w:r>
      <w:r>
        <w:rPr>
          <w:rFonts w:hint="default" w:cs="Times New Roman"/>
          <w:sz w:val="24"/>
          <w:szCs w:val="24"/>
          <w:lang w:val="en-GB"/>
        </w:rPr>
        <w:t>, overall</w:t>
      </w:r>
      <w:r>
        <w:rPr>
          <w:rFonts w:hint="default" w:ascii="Times New Roman" w:hAnsi="Times New Roman" w:cs="Times New Roman"/>
          <w:sz w:val="24"/>
          <w:szCs w:val="24"/>
          <w:lang w:val="en-GB"/>
        </w:rPr>
        <w:t xml:space="preserve"> it did promote</w:t>
      </w:r>
      <w:r>
        <w:rPr>
          <w:rFonts w:hint="default" w:cs="Times New Roman"/>
          <w:sz w:val="24"/>
          <w:szCs w:val="24"/>
          <w:lang w:val="en-GB"/>
        </w:rPr>
        <w:t xml:space="preserve"> </w:t>
      </w:r>
      <w:r>
        <w:rPr>
          <w:rFonts w:hint="default" w:ascii="Times New Roman" w:hAnsi="Times New Roman" w:cs="Times New Roman"/>
          <w:sz w:val="24"/>
          <w:szCs w:val="24"/>
          <w:lang w:val="en-GB"/>
        </w:rPr>
        <w:t xml:space="preserve">engagement as opposed to when the children did not have the Q.C. During reflection it was also highlighted the lesson study could be refined </w:t>
      </w:r>
      <w:r>
        <w:rPr>
          <w:rFonts w:hint="default" w:cs="Times New Roman"/>
          <w:sz w:val="24"/>
          <w:szCs w:val="24"/>
          <w:lang w:val="en-GB"/>
        </w:rPr>
        <w:t>in future</w:t>
      </w:r>
      <w:r>
        <w:rPr>
          <w:rFonts w:hint="default" w:ascii="Times New Roman" w:hAnsi="Times New Roman" w:cs="Times New Roman"/>
          <w:sz w:val="24"/>
          <w:szCs w:val="24"/>
          <w:lang w:val="en-GB"/>
        </w:rPr>
        <w:t xml:space="preserve"> by explaining the Q.C.S in more detail as the children had to frequently be reminded that the critters do not like noise and only like children engaged and listening. However, we were limited due to the time that children spend on the carpet area in nursery. </w:t>
      </w:r>
      <w:r>
        <w:rPr>
          <w:rFonts w:hint="default" w:cs="Times New Roman"/>
          <w:sz w:val="24"/>
          <w:szCs w:val="24"/>
          <w:lang w:val="en-GB"/>
        </w:rPr>
        <w:t>Although</w:t>
      </w:r>
      <w:r>
        <w:rPr>
          <w:rFonts w:hint="default" w:ascii="Times New Roman" w:hAnsi="Times New Roman" w:cs="Times New Roman"/>
          <w:sz w:val="24"/>
          <w:szCs w:val="24"/>
          <w:lang w:val="en-GB"/>
        </w:rPr>
        <w:t>, this is not necessarily a d</w:t>
      </w:r>
      <w:r>
        <w:rPr>
          <w:rFonts w:hint="default" w:cs="Times New Roman"/>
          <w:sz w:val="24"/>
          <w:szCs w:val="24"/>
          <w:lang w:val="en-GB"/>
        </w:rPr>
        <w:t>rawback</w:t>
      </w:r>
      <w:r>
        <w:rPr>
          <w:rFonts w:hint="default" w:ascii="Times New Roman" w:hAnsi="Times New Roman" w:cs="Times New Roman"/>
          <w:sz w:val="24"/>
          <w:szCs w:val="24"/>
          <w:lang w:val="en-GB"/>
        </w:rPr>
        <w:t xml:space="preserve"> as Charles (2017) explains, carpet time for nursery aged children should ideally last no longer than approximately 8-10 minutes as children naturally become bored and lack concentration. </w:t>
      </w:r>
      <w:r>
        <w:rPr>
          <w:rFonts w:hint="default" w:ascii="Times New Roman" w:hAnsi="Times New Roman" w:eastAsia="Open Sans" w:cs="Times New Roman"/>
          <w:i w:val="0"/>
          <w:caps w:val="0"/>
          <w:color w:val="auto"/>
          <w:spacing w:val="0"/>
          <w:sz w:val="24"/>
          <w:szCs w:val="24"/>
          <w:shd w:val="clear" w:fill="FFFFFF"/>
          <w:lang w:val="en-GB"/>
        </w:rPr>
        <w:t>Therefore, to overcome this both researchers suggested that for the Nursery context the Q.C.S could be integrated in daily activities, not just on the carpet area. This would therefore allow the children to fully understand the strategy, have a consistent approach and would further promote engagement. The integration of the strategy being a whole-class approach would also meet the responses of the children as when asked if they would like the strategy to be integrated in all their lessons, they each replied ‘yes’</w:t>
      </w:r>
      <w:r>
        <w:rPr>
          <w:rFonts w:hint="default" w:eastAsia="Open Sans" w:cs="Times New Roman"/>
          <w:i w:val="0"/>
          <w:caps w:val="0"/>
          <w:color w:val="auto"/>
          <w:spacing w:val="0"/>
          <w:sz w:val="24"/>
          <w:szCs w:val="24"/>
          <w:shd w:val="clear" w:fill="FFFFFF"/>
          <w:lang w:val="en-GB"/>
        </w:rPr>
        <w:t xml:space="preserve"> during the focus group interview.</w:t>
      </w:r>
    </w:p>
    <w:p>
      <w:pPr>
        <w:spacing w:line="360" w:lineRule="auto"/>
        <w:jc w:val="both"/>
        <w:rPr>
          <w:rFonts w:hint="default"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i w:val="0"/>
          <w:caps w:val="0"/>
          <w:color w:val="auto"/>
          <w:spacing w:val="0"/>
          <w:sz w:val="24"/>
          <w:szCs w:val="24"/>
          <w:shd w:val="clear" w:fill="FFFFFF"/>
          <w:lang w:val="en-GB"/>
        </w:rPr>
        <w:t xml:space="preserve">In relation to year 2 </w:t>
      </w:r>
      <w:r>
        <w:rPr>
          <w:rFonts w:hint="default" w:eastAsia="Open Sans" w:cs="Times New Roman"/>
          <w:i w:val="0"/>
          <w:caps w:val="0"/>
          <w:color w:val="auto"/>
          <w:spacing w:val="0"/>
          <w:sz w:val="24"/>
          <w:szCs w:val="24"/>
          <w:shd w:val="clear" w:fill="FFFFFF"/>
          <w:lang w:val="en-GB"/>
        </w:rPr>
        <w:t xml:space="preserve">it was </w:t>
      </w:r>
      <w:r>
        <w:rPr>
          <w:rFonts w:hint="default" w:ascii="Times New Roman" w:hAnsi="Times New Roman" w:eastAsia="Open Sans" w:cs="Times New Roman"/>
          <w:i w:val="0"/>
          <w:caps w:val="0"/>
          <w:color w:val="auto"/>
          <w:spacing w:val="0"/>
          <w:sz w:val="24"/>
          <w:szCs w:val="24"/>
          <w:shd w:val="clear" w:fill="FFFFFF"/>
          <w:lang w:val="en-GB"/>
        </w:rPr>
        <w:t xml:space="preserve">decided </w:t>
      </w:r>
      <w:r>
        <w:rPr>
          <w:rFonts w:hint="default" w:eastAsia="Open Sans" w:cs="Times New Roman"/>
          <w:i w:val="0"/>
          <w:caps w:val="0"/>
          <w:color w:val="auto"/>
          <w:spacing w:val="0"/>
          <w:sz w:val="24"/>
          <w:szCs w:val="24"/>
          <w:shd w:val="clear" w:fill="FFFFFF"/>
          <w:lang w:val="en-GB"/>
        </w:rPr>
        <w:t xml:space="preserve">more time would be </w:t>
      </w:r>
      <w:r>
        <w:rPr>
          <w:rFonts w:hint="default" w:ascii="Times New Roman" w:hAnsi="Times New Roman" w:eastAsia="Open Sans" w:cs="Times New Roman"/>
          <w:i w:val="0"/>
          <w:caps w:val="0"/>
          <w:color w:val="auto"/>
          <w:spacing w:val="0"/>
          <w:sz w:val="24"/>
          <w:szCs w:val="24"/>
          <w:shd w:val="clear" w:fill="FFFFFF"/>
          <w:lang w:val="en-GB"/>
        </w:rPr>
        <w:t>spen</w:t>
      </w:r>
      <w:r>
        <w:rPr>
          <w:rFonts w:hint="default" w:eastAsia="Open Sans" w:cs="Times New Roman"/>
          <w:i w:val="0"/>
          <w:caps w:val="0"/>
          <w:color w:val="auto"/>
          <w:spacing w:val="0"/>
          <w:sz w:val="24"/>
          <w:szCs w:val="24"/>
          <w:shd w:val="clear" w:fill="FFFFFF"/>
          <w:lang w:val="en-GB"/>
        </w:rPr>
        <w:t>t</w:t>
      </w:r>
      <w:r>
        <w:rPr>
          <w:rFonts w:hint="default" w:ascii="Times New Roman" w:hAnsi="Times New Roman" w:eastAsia="Open Sans" w:cs="Times New Roman"/>
          <w:i w:val="0"/>
          <w:caps w:val="0"/>
          <w:color w:val="auto"/>
          <w:spacing w:val="0"/>
          <w:sz w:val="24"/>
          <w:szCs w:val="24"/>
          <w:shd w:val="clear" w:fill="FFFFFF"/>
          <w:lang w:val="en-GB"/>
        </w:rPr>
        <w:t xml:space="preserve"> explaining the strategy to the children to further avoid confusion. </w:t>
      </w:r>
      <w:r>
        <w:rPr>
          <w:rFonts w:hint="default" w:eastAsia="Open Sans" w:cs="Times New Roman"/>
          <w:i w:val="0"/>
          <w:caps w:val="0"/>
          <w:color w:val="auto"/>
          <w:spacing w:val="0"/>
          <w:sz w:val="24"/>
          <w:szCs w:val="24"/>
          <w:shd w:val="clear" w:fill="FFFFFF"/>
          <w:lang w:val="en-GB"/>
        </w:rPr>
        <w:t>It was understood</w:t>
      </w:r>
      <w:r>
        <w:rPr>
          <w:rFonts w:hint="default" w:ascii="Times New Roman" w:hAnsi="Times New Roman" w:eastAsia="Open Sans" w:cs="Times New Roman"/>
          <w:i w:val="0"/>
          <w:caps w:val="0"/>
          <w:color w:val="auto"/>
          <w:spacing w:val="0"/>
          <w:sz w:val="24"/>
          <w:szCs w:val="24"/>
          <w:shd w:val="clear" w:fill="FFFFFF"/>
          <w:lang w:val="en-GB"/>
        </w:rPr>
        <w:t xml:space="preserve"> there would not be any time constraints as Year 2 spend a considerable amount of time on the carpet area, as opposed to Nursery. </w:t>
      </w:r>
      <w:r>
        <w:rPr>
          <w:rFonts w:hint="default" w:ascii="Times New Roman" w:hAnsi="Times New Roman" w:eastAsia="Open Sans" w:cs="Times New Roman"/>
          <w:i w:val="0"/>
          <w:color w:val="auto"/>
          <w:spacing w:val="0"/>
          <w:sz w:val="24"/>
          <w:szCs w:val="24"/>
          <w:shd w:val="clear" w:fill="FFFFFF"/>
          <w:lang w:val="en-GB"/>
        </w:rPr>
        <w:t>I</w:t>
      </w:r>
      <w:r>
        <w:rPr>
          <w:rFonts w:hint="default" w:ascii="Times New Roman" w:hAnsi="Times New Roman" w:eastAsia="Open Sans" w:cs="Times New Roman"/>
          <w:i w:val="0"/>
          <w:caps w:val="0"/>
          <w:color w:val="auto"/>
          <w:spacing w:val="0"/>
          <w:sz w:val="24"/>
          <w:szCs w:val="24"/>
          <w:shd w:val="clear" w:fill="FFFFFF"/>
          <w:lang w:val="en-GB"/>
        </w:rPr>
        <w:t xml:space="preserve">t was instantly noted that further explanation of the strategy excited the children, they were eager to gain a </w:t>
      </w:r>
      <w:r>
        <w:rPr>
          <w:rFonts w:hint="default" w:eastAsia="Open Sans" w:cs="Times New Roman"/>
          <w:i w:val="0"/>
          <w:caps w:val="0"/>
          <w:color w:val="auto"/>
          <w:spacing w:val="0"/>
          <w:sz w:val="24"/>
          <w:szCs w:val="24"/>
          <w:shd w:val="clear" w:fill="FFFFFF"/>
          <w:lang w:val="en-GB"/>
        </w:rPr>
        <w:t>c</w:t>
      </w:r>
      <w:r>
        <w:rPr>
          <w:rFonts w:hint="default" w:ascii="Times New Roman" w:hAnsi="Times New Roman" w:eastAsia="Open Sans" w:cs="Times New Roman"/>
          <w:i w:val="0"/>
          <w:caps w:val="0"/>
          <w:color w:val="auto"/>
          <w:spacing w:val="0"/>
          <w:sz w:val="24"/>
          <w:szCs w:val="24"/>
          <w:shd w:val="clear" w:fill="FFFFFF"/>
          <w:lang w:val="en-GB"/>
        </w:rPr>
        <w:t xml:space="preserve">ritter and eager to begin the lesson in the hope of achieving one - something that does not usually happen as the teacher </w:t>
      </w:r>
      <w:r>
        <w:rPr>
          <w:rFonts w:hint="default" w:ascii="Times New Roman" w:hAnsi="Times New Roman" w:eastAsia="Open Sans" w:cs="Times New Roman"/>
          <w:i w:val="0"/>
          <w:color w:val="auto"/>
          <w:spacing w:val="0"/>
          <w:sz w:val="24"/>
          <w:szCs w:val="24"/>
          <w:shd w:val="clear" w:fill="FFFFFF"/>
          <w:lang w:val="en-GB"/>
        </w:rPr>
        <w:t>frequently</w:t>
      </w:r>
      <w:r>
        <w:rPr>
          <w:rFonts w:hint="default" w:ascii="Times New Roman" w:hAnsi="Times New Roman" w:eastAsia="Open Sans" w:cs="Times New Roman"/>
          <w:i w:val="0"/>
          <w:caps w:val="0"/>
          <w:color w:val="auto"/>
          <w:spacing w:val="0"/>
          <w:sz w:val="24"/>
          <w:szCs w:val="24"/>
          <w:shd w:val="clear" w:fill="FFFFFF"/>
          <w:lang w:val="en-GB"/>
        </w:rPr>
        <w:t xml:space="preserve"> had to wait for the attention from the class</w:t>
      </w:r>
      <w:r>
        <w:rPr>
          <w:rFonts w:hint="default" w:eastAsia="Open Sans" w:cs="Times New Roman"/>
          <w:i w:val="0"/>
          <w:caps w:val="0"/>
          <w:color w:val="auto"/>
          <w:spacing w:val="0"/>
          <w:sz w:val="24"/>
          <w:szCs w:val="24"/>
          <w:shd w:val="clear" w:fill="FFFFFF"/>
          <w:lang w:val="en-GB"/>
        </w:rPr>
        <w:t xml:space="preserve"> prior</w:t>
      </w:r>
      <w:r>
        <w:rPr>
          <w:rFonts w:hint="default" w:ascii="Times New Roman" w:hAnsi="Times New Roman" w:eastAsia="Open Sans" w:cs="Times New Roman"/>
          <w:i w:val="0"/>
          <w:caps w:val="0"/>
          <w:color w:val="auto"/>
          <w:spacing w:val="0"/>
          <w:sz w:val="24"/>
          <w:szCs w:val="24"/>
          <w:shd w:val="clear" w:fill="FFFFFF"/>
          <w:lang w:val="en-GB"/>
        </w:rPr>
        <w:t xml:space="preserve">. In the observation notes it </w:t>
      </w:r>
      <w:r>
        <w:rPr>
          <w:rFonts w:hint="default" w:eastAsia="Open Sans" w:cs="Times New Roman"/>
          <w:i w:val="0"/>
          <w:caps w:val="0"/>
          <w:color w:val="auto"/>
          <w:spacing w:val="0"/>
          <w:sz w:val="24"/>
          <w:szCs w:val="24"/>
          <w:shd w:val="clear" w:fill="FFFFFF"/>
          <w:lang w:val="en-GB"/>
        </w:rPr>
        <w:t xml:space="preserve">is </w:t>
      </w:r>
      <w:r>
        <w:rPr>
          <w:rFonts w:hint="default" w:ascii="Times New Roman" w:hAnsi="Times New Roman" w:eastAsia="Open Sans" w:cs="Times New Roman"/>
          <w:i w:val="0"/>
          <w:caps w:val="0"/>
          <w:color w:val="auto"/>
          <w:spacing w:val="0"/>
          <w:sz w:val="24"/>
          <w:szCs w:val="24"/>
          <w:shd w:val="clear" w:fill="FFFFFF"/>
          <w:lang w:val="en-GB"/>
        </w:rPr>
        <w:t xml:space="preserve">detailed that the children themselves were encouraging their peers to listen and be engaged, they were telling them ‘Be quiet, you have your Quiet Critter remember!’. It was therefore noted that more explanation resulted in deeper engagement and listening from the class as the children themselves were encouraging involvement and listening skills of their peers, promoting involvement further throughout the carpet area. </w:t>
      </w: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b w:val="0"/>
          <w:bCs w:val="0"/>
          <w:i w:val="0"/>
          <w:caps w:val="0"/>
          <w:color w:val="auto"/>
          <w:spacing w:val="0"/>
          <w:sz w:val="24"/>
          <w:szCs w:val="24"/>
          <w:shd w:val="clear" w:fill="FFFFFF"/>
          <w:lang w:val="en-GB"/>
        </w:rPr>
        <w:t xml:space="preserve">Another assumption held by both researchers was the idea that higher attainers would be more engaged than the lower attainers in year 2. The data collected has confirmed that this prediction was correct as both Child A and Child </w:t>
      </w:r>
      <w:r>
        <w:rPr>
          <w:rFonts w:hint="default" w:eastAsia="Open Sans" w:cs="Times New Roman"/>
          <w:b w:val="0"/>
          <w:bCs w:val="0"/>
          <w:i w:val="0"/>
          <w:caps w:val="0"/>
          <w:color w:val="auto"/>
          <w:spacing w:val="0"/>
          <w:sz w:val="24"/>
          <w:szCs w:val="24"/>
          <w:shd w:val="clear" w:fill="FFFFFF"/>
          <w:lang w:val="en-GB"/>
        </w:rPr>
        <w:t>C</w:t>
      </w:r>
      <w:r>
        <w:rPr>
          <w:rFonts w:hint="default" w:ascii="Times New Roman" w:hAnsi="Times New Roman" w:eastAsia="Open Sans" w:cs="Times New Roman"/>
          <w:b w:val="0"/>
          <w:bCs w:val="0"/>
          <w:i w:val="0"/>
          <w:caps w:val="0"/>
          <w:color w:val="auto"/>
          <w:spacing w:val="0"/>
          <w:sz w:val="24"/>
          <w:szCs w:val="24"/>
          <w:shd w:val="clear" w:fill="FFFFFF"/>
          <w:lang w:val="en-GB"/>
        </w:rPr>
        <w:t xml:space="preserve"> (higher ability and mi</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ddle ability) performed better than Child </w:t>
      </w:r>
      <w:r>
        <w:rPr>
          <w:rFonts w:hint="default" w:eastAsia="Open Sans" w:cs="Times New Roman"/>
          <w:b w:val="0"/>
          <w:bCs w:val="0"/>
          <w:i w:val="0"/>
          <w:caps w:val="0"/>
          <w:color w:val="auto"/>
          <w:spacing w:val="0"/>
          <w:sz w:val="24"/>
          <w:szCs w:val="24"/>
          <w:highlight w:val="none"/>
          <w:shd w:val="clear" w:fill="FFFFFF"/>
          <w:lang w:val="en-GB"/>
        </w:rPr>
        <w:t>B</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 (lower ability). The data outlining this can be seen in</w:t>
      </w:r>
      <w:r>
        <w:rPr>
          <w:rFonts w:hint="default" w:eastAsia="Open Sans" w:cs="Times New Roman"/>
          <w:b w:val="0"/>
          <w:bCs w:val="0"/>
          <w:i w:val="0"/>
          <w:caps w:val="0"/>
          <w:color w:val="auto"/>
          <w:spacing w:val="0"/>
          <w:sz w:val="24"/>
          <w:szCs w:val="24"/>
          <w:highlight w:val="none"/>
          <w:shd w:val="clear" w:fill="FFFFFF"/>
          <w:lang w:val="en-GB"/>
        </w:rPr>
        <w:t xml:space="preserve"> appendix 7, extract 1,2 and 3 where the </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data outlines both Child A and Child C had high involvement in relation to the Leuven Scale. </w:t>
      </w:r>
      <w:r>
        <w:rPr>
          <w:rFonts w:hint="default" w:ascii="Times New Roman" w:hAnsi="Times New Roman" w:eastAsia="Open Sans" w:cs="Times New Roman"/>
          <w:b w:val="0"/>
          <w:bCs w:val="0"/>
          <w:i w:val="0"/>
          <w:color w:val="auto"/>
          <w:spacing w:val="0"/>
          <w:sz w:val="24"/>
          <w:szCs w:val="24"/>
          <w:highlight w:val="none"/>
          <w:shd w:val="clear" w:fill="FFFFFF"/>
          <w:lang w:val="en-GB"/>
        </w:rPr>
        <w:t>I</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t was explained that they both: answered questions, looked at the PowerPoint and were eager to contribute. Whereas Child </w:t>
      </w:r>
      <w:r>
        <w:rPr>
          <w:rFonts w:hint="default" w:eastAsia="Open Sans" w:cs="Times New Roman"/>
          <w:b w:val="0"/>
          <w:bCs w:val="0"/>
          <w:i w:val="0"/>
          <w:caps w:val="0"/>
          <w:color w:val="auto"/>
          <w:spacing w:val="0"/>
          <w:sz w:val="24"/>
          <w:szCs w:val="24"/>
          <w:highlight w:val="none"/>
          <w:shd w:val="clear" w:fill="FFFFFF"/>
          <w:lang w:val="en-GB"/>
        </w:rPr>
        <w:t>B</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 although more engaged than usual gained a ‘moderate’ on the Leuven Scale as on times he had to be reminded of his </w:t>
      </w:r>
      <w:r>
        <w:rPr>
          <w:rFonts w:hint="default" w:eastAsia="Open Sans" w:cs="Times New Roman"/>
          <w:b w:val="0"/>
          <w:bCs w:val="0"/>
          <w:i w:val="0"/>
          <w:caps w:val="0"/>
          <w:color w:val="auto"/>
          <w:spacing w:val="0"/>
          <w:sz w:val="24"/>
          <w:szCs w:val="24"/>
          <w:highlight w:val="none"/>
          <w:shd w:val="clear" w:fill="FFFFFF"/>
          <w:lang w:val="en-GB"/>
        </w:rPr>
        <w:t>Q.C</w:t>
      </w:r>
      <w:r>
        <w:rPr>
          <w:rFonts w:hint="default" w:ascii="Times New Roman" w:hAnsi="Times New Roman" w:eastAsia="Open Sans" w:cs="Times New Roman"/>
          <w:b w:val="0"/>
          <w:bCs w:val="0"/>
          <w:i w:val="0"/>
          <w:caps w:val="0"/>
          <w:color w:val="auto"/>
          <w:spacing w:val="0"/>
          <w:sz w:val="24"/>
          <w:szCs w:val="24"/>
          <w:highlight w:val="none"/>
          <w:shd w:val="clear" w:fill="FFFFFF"/>
          <w:lang w:val="en-GB"/>
        </w:rPr>
        <w:t xml:space="preserve"> as his </w:t>
      </w:r>
      <w:r>
        <w:rPr>
          <w:rFonts w:hint="default" w:ascii="Times New Roman" w:hAnsi="Times New Roman" w:eastAsia="Open Sans" w:cs="Times New Roman"/>
          <w:b w:val="0"/>
          <w:bCs w:val="0"/>
          <w:i w:val="0"/>
          <w:caps w:val="0"/>
          <w:color w:val="auto"/>
          <w:spacing w:val="0"/>
          <w:sz w:val="24"/>
          <w:szCs w:val="24"/>
          <w:shd w:val="clear" w:fill="FFFFFF"/>
          <w:lang w:val="en-GB"/>
        </w:rPr>
        <w:t xml:space="preserve">excitement was shown to take over. </w:t>
      </w:r>
      <w:r>
        <w:rPr>
          <w:rFonts w:hint="default" w:ascii="Times New Roman" w:hAnsi="Times New Roman" w:cs="Times New Roman"/>
          <w:b w:val="0"/>
          <w:bCs w:val="0"/>
          <w:color w:val="auto"/>
          <w:sz w:val="24"/>
          <w:szCs w:val="24"/>
          <w:lang w:val="en-GB"/>
        </w:rPr>
        <w:t xml:space="preserve"> This would therefore suggest that more praise and encouragement would benefit lower achievers like that of Luke. This would be shown to be of benefit as as soon as Luke was praised and encouraged - his attitude changed and he became more engaged in the lesson. </w:t>
      </w:r>
      <w:r>
        <w:rPr>
          <w:rFonts w:hint="default" w:ascii="Times New Roman" w:hAnsi="Times New Roman" w:eastAsia="Open Sans" w:cs="Times New Roman"/>
          <w:i w:val="0"/>
          <w:caps w:val="0"/>
          <w:color w:val="auto"/>
          <w:spacing w:val="0"/>
          <w:sz w:val="24"/>
          <w:szCs w:val="24"/>
          <w:shd w:val="clear" w:fill="FFFFFF"/>
          <w:lang w:val="en-GB"/>
        </w:rPr>
        <w:t xml:space="preserve">We therefore felt that Luke, along with other lower achievers would benefit from further praise and encouragement alongside the integration of the strategy as  </w:t>
      </w:r>
      <w:r>
        <w:rPr>
          <w:rFonts w:hint="default" w:eastAsia="Open Sans" w:cs="Times New Roman"/>
          <w:i w:val="0"/>
          <w:caps w:val="0"/>
          <w:color w:val="auto"/>
          <w:spacing w:val="0"/>
          <w:sz w:val="24"/>
          <w:szCs w:val="24"/>
          <w:shd w:val="clear" w:fill="FFFFFF"/>
          <w:lang w:val="en-GB"/>
        </w:rPr>
        <w:t xml:space="preserve">Chaplain (2017) </w:t>
      </w:r>
      <w:r>
        <w:rPr>
          <w:rFonts w:hint="default" w:ascii="Times New Roman" w:hAnsi="Times New Roman" w:eastAsia="Open Sans" w:cs="Times New Roman"/>
          <w:i w:val="0"/>
          <w:caps w:val="0"/>
          <w:color w:val="auto"/>
          <w:spacing w:val="0"/>
          <w:sz w:val="24"/>
          <w:szCs w:val="24"/>
          <w:shd w:val="clear" w:fill="FFFFFF"/>
          <w:lang w:val="en-GB"/>
        </w:rPr>
        <w:t xml:space="preserve">suggests, </w:t>
      </w:r>
      <w:r>
        <w:rPr>
          <w:rFonts w:hint="default" w:eastAsia="Open Sans" w:cs="Times New Roman"/>
          <w:i w:val="0"/>
          <w:caps w:val="0"/>
          <w:color w:val="auto"/>
          <w:spacing w:val="0"/>
          <w:sz w:val="24"/>
          <w:szCs w:val="24"/>
          <w:shd w:val="clear" w:fill="FFFFFF"/>
          <w:lang w:val="en-GB"/>
        </w:rPr>
        <w:t xml:space="preserve">praise can improve children’s confidence towards learning, especially lower achievers who tend to require this confidence more. </w:t>
      </w:r>
      <w:r>
        <w:rPr>
          <w:rFonts w:hint="default" w:ascii="Times New Roman" w:hAnsi="Times New Roman" w:eastAsia="Open Sans" w:cs="Times New Roman"/>
          <w:i w:val="0"/>
          <w:caps w:val="0"/>
          <w:color w:val="auto"/>
          <w:spacing w:val="0"/>
          <w:sz w:val="24"/>
          <w:szCs w:val="24"/>
          <w:shd w:val="clear" w:fill="FFFFFF"/>
          <w:lang w:val="en-GB"/>
        </w:rPr>
        <w:t xml:space="preserve">This would therefore explain why when praised, Luke was more eager to contribute, answer questions and partake in the activity and we are aware that this could possibly be the case for other low achievers. It is also important to emphasise that although Luke achieved moderate on the scale, this is a significant improvement for Luke as usually he is disengaged throughout all activities on the carpet area. </w:t>
      </w: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i w:val="0"/>
          <w:caps w:val="0"/>
          <w:color w:val="auto"/>
          <w:spacing w:val="0"/>
          <w:sz w:val="24"/>
          <w:szCs w:val="24"/>
          <w:shd w:val="clear" w:fill="FFFFFF"/>
          <w:lang w:val="en-GB"/>
        </w:rPr>
        <w:t xml:space="preserve">The combined data collected from the lesson study of both Nursery and Year 2 would also suggest that the prediction that the strategy would work better for year 2 children was correct. However, it is also important to note that the strategy did </w:t>
      </w:r>
      <w:r>
        <w:rPr>
          <w:rFonts w:hint="default" w:ascii="Times New Roman" w:hAnsi="Times New Roman" w:eastAsia="Open Sans" w:cs="Times New Roman"/>
          <w:i w:val="0"/>
          <w:color w:val="auto"/>
          <w:spacing w:val="0"/>
          <w:sz w:val="24"/>
          <w:szCs w:val="24"/>
          <w:shd w:val="clear" w:fill="FFFFFF"/>
          <w:lang w:val="en-GB"/>
        </w:rPr>
        <w:t>receive</w:t>
      </w:r>
      <w:r>
        <w:rPr>
          <w:rFonts w:hint="default" w:ascii="Times New Roman" w:hAnsi="Times New Roman" w:eastAsia="Open Sans" w:cs="Times New Roman"/>
          <w:i w:val="0"/>
          <w:caps w:val="0"/>
          <w:color w:val="auto"/>
          <w:spacing w:val="0"/>
          <w:sz w:val="24"/>
          <w:szCs w:val="24"/>
          <w:shd w:val="clear" w:fill="FFFFFF"/>
          <w:lang w:val="en-GB"/>
        </w:rPr>
        <w:t xml:space="preserve"> an overall </w:t>
      </w:r>
      <w:r>
        <w:rPr>
          <w:rFonts w:hint="default" w:ascii="Times New Roman" w:hAnsi="Times New Roman" w:eastAsia="Open Sans" w:cs="Times New Roman"/>
          <w:i w:val="0"/>
          <w:color w:val="auto"/>
          <w:spacing w:val="0"/>
          <w:sz w:val="24"/>
          <w:szCs w:val="24"/>
          <w:shd w:val="clear" w:fill="FFFFFF"/>
          <w:lang w:val="en-GB"/>
        </w:rPr>
        <w:t>majority</w:t>
      </w:r>
      <w:r>
        <w:rPr>
          <w:rFonts w:hint="default" w:ascii="Times New Roman" w:hAnsi="Times New Roman" w:eastAsia="Open Sans" w:cs="Times New Roman"/>
          <w:i w:val="0"/>
          <w:caps w:val="0"/>
          <w:color w:val="auto"/>
          <w:spacing w:val="0"/>
          <w:sz w:val="24"/>
          <w:szCs w:val="24"/>
          <w:shd w:val="clear" w:fill="FFFFFF"/>
          <w:lang w:val="en-GB"/>
        </w:rPr>
        <w:t xml:space="preserve"> to promoting engagement in Nursery. It was still effective in nursery, although due to the age and the routines of the classroom the children do not spend considerable time on the carpet area - however, refinements have previously been discussed to overcome this issue with this age range and promote engagement further. </w:t>
      </w:r>
    </w:p>
    <w:p>
      <w:pPr>
        <w:spacing w:line="360" w:lineRule="auto"/>
        <w:jc w:val="both"/>
        <w:rPr>
          <w:rFonts w:hint="default" w:ascii="Times New Roman" w:hAnsi="Times New Roman" w:eastAsia="Open Sans" w:cs="Times New Roman"/>
          <w:i w:val="0"/>
          <w:caps w:val="0"/>
          <w:color w:val="auto"/>
          <w:spacing w:val="0"/>
          <w:sz w:val="24"/>
          <w:szCs w:val="24"/>
          <w:shd w:val="clear" w:fill="FFFFFF"/>
          <w:lang w:val="en-GB"/>
        </w:rPr>
      </w:pPr>
    </w:p>
    <w:p>
      <w:pPr>
        <w:spacing w:line="360" w:lineRule="auto"/>
        <w:jc w:val="both"/>
        <w:rPr>
          <w:rFonts w:hint="default" w:ascii="Times New Roman" w:hAnsi="Times New Roman" w:cs="Times New Roman"/>
          <w:sz w:val="24"/>
          <w:szCs w:val="24"/>
          <w:lang w:val="en-GB"/>
        </w:rPr>
      </w:pPr>
      <w:r>
        <w:rPr>
          <w:rFonts w:hint="default" w:cs="Times New Roman"/>
          <w:sz w:val="24"/>
          <w:szCs w:val="24"/>
          <w:lang w:val="en-GB"/>
        </w:rPr>
        <w:t>The final prediction to consider was the assumption that the strategy would better suit the girls, than boys. This would be seen to be true in the context of the Nursery whereby it was only the young boy who scored low involvement, compared to both the girls who achieved high. Although, in relation to year 2 it showed a significant impact on Child A, who was also a boy (see appendix 7, extract 1). This could also be accounted for in relation to Child C as although he gained a moderate, as previously discussed, this is of significant improvement for the child as he is usually disengaged. It can therefore be suggested that if the strategy is refined to suit the Nursery (following the recommendations discussed), along with praise and encouragement from practitioners then the approach can suit all pupils, regardless of gender.</w:t>
      </w:r>
    </w:p>
    <w:p>
      <w:pPr>
        <w:pStyle w:val="11"/>
        <w:spacing w:line="360" w:lineRule="auto"/>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GB"/>
        </w:rPr>
        <w:t>It can therefore be concluded if the necessary adjustments were to be made in future practice, both researchers are confident that the strategy could tackle poor engagement on the carpet area and promote the involvement of all pupils.</w:t>
      </w:r>
    </w:p>
    <w:p>
      <w:pPr>
        <w:spacing w:line="360" w:lineRule="auto"/>
        <w:jc w:val="both"/>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Discussion</w:t>
      </w: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research study has concluded that overall, the data collected is relatively consistent with the literature that has been examined throughout this paper</w:t>
      </w:r>
      <w:r>
        <w:rPr>
          <w:rFonts w:hint="default" w:cs="Times New Roman"/>
          <w:sz w:val="24"/>
          <w:szCs w:val="24"/>
          <w:lang w:val="en-GB"/>
        </w:rPr>
        <w:t xml:space="preserve"> in relation to the positive impact incentives have on involvement</w:t>
      </w:r>
      <w:r>
        <w:rPr>
          <w:rFonts w:hint="default" w:ascii="Times New Roman" w:hAnsi="Times New Roman" w:cs="Times New Roman"/>
          <w:sz w:val="24"/>
          <w:szCs w:val="24"/>
          <w:lang w:val="en-GB"/>
        </w:rPr>
        <w:t>. It has been identified that incentives in general, play a significant role in promoting children’s involvement and subsequently promoting their learning, allowing pupils to meet the detailed success criteria. It can therefore be understood that although there were authors who disputed Skinners positive reinforcement theory as explained within this paper, such an approach to learning is still relevant and evident in education today, as proven within this study as the overall majority of data collected has shown that incentives do reinforce the desired behaviour of pupils (Wheeler, 2001). This was particularly evident from the compiled research from both the Nursery and Year 2 class, whereby except for Child C in school A (see appendix 6, extract 3), each child’s involvement was enhanced when they were in possession of a Q.C.</w:t>
      </w:r>
    </w:p>
    <w:p>
      <w:pPr>
        <w:spacing w:line="360" w:lineRule="auto"/>
        <w:jc w:val="both"/>
        <w:rPr>
          <w:rFonts w:hint="default" w:ascii="Times New Roman" w:hAnsi="Times New Roman" w:cs="Times New Roman"/>
          <w:sz w:val="24"/>
          <w:szCs w:val="24"/>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As previously highlighted during reflection after lesson one, the literature gathered suggested that the lack of involvement by Child C in school A could be due to their gender as Samuelsson and Samuelsson (2016) suggested, it is natural for boys at a young age to be less engaged in passive learning opportunities compared to girls. As discussed, this was considered and therefore information detailed within the literature resulted in researchers intending to integrate more praise and encouragement if the boys in lesson two seemed to require further encouragement. To a certain degree the incorporation of further verbal praise was determined to be of benefit, especially in relation to Child B from school B, where immediately after praise he seemed more engaged. However, with further reference to the idea from Samuelsson and Samuelsson (2016) that boys are generally less engaged, further analysis of the data would contrast with this view. Child A in school B did not require any further verbal encouragement from the practitioner as the Q.C.S was sufficient in promoting the desired involvement. Discussion has therefore shown that in this instance, such literature cannot always be deemed ‘accurate’ and this aspect of the research has proven so. This has therefore outlined that generalisations can be made in relation to literature and although on occasions such information is correct, it has been identified that this cannot be generalised to all children, as the research has proven.</w:t>
      </w:r>
    </w:p>
    <w:p>
      <w:pPr>
        <w:spacing w:line="360" w:lineRule="auto"/>
        <w:jc w:val="both"/>
        <w:rPr>
          <w:rFonts w:hint="default"/>
          <w:lang w:val="en-GB"/>
        </w:rPr>
      </w:pPr>
    </w:p>
    <w:p>
      <w:pPr>
        <w:spacing w:line="36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Interestingly literature outlined by Wheeler (2001) suggests, incentives are deemed more appropriate for younger children as they are more intrigued by a minor reward, whereas older children will have the capacity to question what they have received. This would therefore contradict the initial perception of both researchers, based on their experience, that the Q.C.S would work better for the year 2 children. However, with reference to the data collected, overall the strategy was of more benefit for the Year 2 class, whereby the results collected demonstrate greater signs of involvement from each of the focus children, compared to the nursery focus group. Chaplain (2016) </w:t>
      </w:r>
      <w:r>
        <w:rPr>
          <w:rFonts w:hint="default" w:cs="Times New Roman"/>
          <w:sz w:val="24"/>
          <w:szCs w:val="24"/>
          <w:lang w:val="en-GB"/>
        </w:rPr>
        <w:t>further informs the possible reasoning</w:t>
      </w:r>
      <w:r>
        <w:rPr>
          <w:rFonts w:hint="default" w:ascii="Times New Roman" w:hAnsi="Times New Roman" w:cs="Times New Roman"/>
          <w:sz w:val="24"/>
          <w:szCs w:val="24"/>
          <w:lang w:val="en-GB"/>
        </w:rPr>
        <w:t xml:space="preserve"> this and states, rewards and incentives are a complex integration in classrooms, whereby some children may benefit from a strategy that does not work for others - this is due to the different interests and motivators of the children. This would therefore suggest that different strategies have different success rates for different children and therefore it could be suggested that in relation to Child C from school A, his lack of involvement with the Q.C.S was not due to his</w:t>
      </w:r>
      <w:r>
        <w:rPr>
          <w:rFonts w:hint="default" w:cs="Times New Roman"/>
          <w:sz w:val="24"/>
          <w:szCs w:val="24"/>
          <w:lang w:val="en-GB"/>
        </w:rPr>
        <w:t xml:space="preserve"> age,</w:t>
      </w:r>
      <w:r>
        <w:rPr>
          <w:rFonts w:hint="default" w:ascii="Times New Roman" w:hAnsi="Times New Roman" w:cs="Times New Roman"/>
          <w:sz w:val="24"/>
          <w:szCs w:val="24"/>
          <w:lang w:val="en-GB"/>
        </w:rPr>
        <w:t xml:space="preserve"> gender</w:t>
      </w:r>
      <w:r>
        <w:rPr>
          <w:rFonts w:hint="default" w:cs="Times New Roman"/>
          <w:sz w:val="24"/>
          <w:szCs w:val="24"/>
          <w:lang w:val="en-GB"/>
        </w:rPr>
        <w:t xml:space="preserve"> or a</w:t>
      </w:r>
      <w:r>
        <w:rPr>
          <w:rFonts w:hint="default" w:ascii="Times New Roman" w:hAnsi="Times New Roman" w:cs="Times New Roman"/>
          <w:sz w:val="24"/>
          <w:szCs w:val="24"/>
          <w:lang w:val="en-GB"/>
        </w:rPr>
        <w:t>bility, but instead it could be suggested that this specific approach had little interest to him. In essence it can therefore be highlighted that yes the study agreed with the researchers prediction</w:t>
      </w:r>
      <w:r>
        <w:rPr>
          <w:rFonts w:hint="default" w:cs="Times New Roman"/>
          <w:sz w:val="24"/>
          <w:szCs w:val="24"/>
          <w:lang w:val="en-GB"/>
        </w:rPr>
        <w:t xml:space="preserve"> and it did suit year 2 better but this cannot be implied due to their age and understanding</w:t>
      </w:r>
      <w:r>
        <w:rPr>
          <w:rFonts w:hint="default" w:ascii="Times New Roman" w:hAnsi="Times New Roman" w:cs="Times New Roman"/>
          <w:sz w:val="24"/>
          <w:szCs w:val="24"/>
          <w:lang w:val="en-GB"/>
        </w:rPr>
        <w:t xml:space="preserve">, but further discussion into this topic suggests that </w:t>
      </w:r>
      <w:r>
        <w:rPr>
          <w:rFonts w:hint="default" w:cs="Times New Roman"/>
          <w:sz w:val="24"/>
          <w:szCs w:val="24"/>
          <w:lang w:val="en-GB"/>
        </w:rPr>
        <w:t xml:space="preserve">simply, such an incentive could not have been of interest and therefore was not of motivation for the child to engage in the learning. </w:t>
      </w:r>
      <w:r>
        <w:rPr>
          <w:rFonts w:hint="default" w:ascii="Times New Roman" w:hAnsi="Times New Roman" w:cs="Times New Roman"/>
          <w:sz w:val="24"/>
          <w:szCs w:val="24"/>
          <w:lang w:val="en-GB"/>
        </w:rPr>
        <w:t>It can therefore be suggested that varied approaches to promoting involvement would be of benefit</w:t>
      </w:r>
      <w:r>
        <w:rPr>
          <w:rFonts w:hint="default" w:cs="Times New Roman"/>
          <w:sz w:val="24"/>
          <w:szCs w:val="24"/>
          <w:lang w:val="en-GB"/>
        </w:rPr>
        <w:t xml:space="preserve"> to further determine what methods work best for what children.</w:t>
      </w:r>
    </w:p>
    <w:p>
      <w:pPr>
        <w:pStyle w:val="23"/>
        <w:numPr>
          <w:ilvl w:val="0"/>
          <w:numId w:val="0"/>
        </w:numPr>
        <w:spacing w:line="360" w:lineRule="auto"/>
        <w:jc w:val="both"/>
        <w:rPr>
          <w:rFonts w:hint="default" w:cs="Times New Roman"/>
          <w:b/>
          <w:bCs/>
          <w:sz w:val="24"/>
          <w:szCs w:val="24"/>
          <w:lang w:val="en-GB"/>
        </w:rPr>
      </w:pPr>
    </w:p>
    <w:p>
      <w:pPr>
        <w:pStyle w:val="23"/>
        <w:numPr>
          <w:ilvl w:val="0"/>
          <w:numId w:val="0"/>
        </w:numPr>
        <w:spacing w:line="360" w:lineRule="auto"/>
        <w:jc w:val="both"/>
        <w:rPr>
          <w:rFonts w:hint="default" w:cs="Times New Roman"/>
          <w:b/>
          <w:bCs/>
          <w:sz w:val="24"/>
          <w:szCs w:val="24"/>
          <w:lang w:val="en-GB"/>
        </w:rPr>
      </w:pPr>
      <w:r>
        <w:rPr>
          <w:rFonts w:hint="default" w:cs="Times New Roman"/>
          <w:b/>
          <w:bCs/>
          <w:sz w:val="24"/>
          <w:szCs w:val="24"/>
          <w:lang w:val="en-GB"/>
        </w:rPr>
        <w:t>Conclusion</w:t>
      </w:r>
    </w:p>
    <w:p>
      <w:pPr>
        <w:pStyle w:val="23"/>
        <w:numPr>
          <w:ilvl w:val="0"/>
          <w:numId w:val="0"/>
        </w:numPr>
        <w:spacing w:line="360" w:lineRule="auto"/>
        <w:jc w:val="both"/>
        <w:rPr>
          <w:rFonts w:hint="default" w:cs="Times New Roman"/>
          <w:b w:val="0"/>
          <w:bCs w:val="0"/>
          <w:sz w:val="24"/>
          <w:szCs w:val="24"/>
          <w:lang w:val="en-GB"/>
        </w:rPr>
      </w:pPr>
      <w:r>
        <w:rPr>
          <w:rFonts w:hint="default" w:cs="Times New Roman"/>
          <w:b w:val="0"/>
          <w:bCs w:val="0"/>
          <w:sz w:val="24"/>
          <w:szCs w:val="24"/>
          <w:lang w:val="en-GB"/>
        </w:rPr>
        <w:t>To conclude this paper, it can be acknowledged that the carpet area as an educational context in Foundation Phase classrooms has significant benefits to pupil progression. The paper has highlighted the effects incentives like that of the Q.C.S has on children’s learning and it has emphasised the importance of such praise and rewards throughout education. The lesson study approach used has been evaluated in terms of its effectiveness to gaining the desired data and it can be concluded, that without such an extensive, beneficial method of action research such data would not have been obtained. The information outlined from the Leuven involvement Scale has also identified the characteristics of high/low involvement, promoting awareness of what behaviours are required for children to make the most out of the learning opportunities they are offered. The Q.C.S, although a relatively new, and unheard of approach has shown to significantly interest and motivate children when integrated into practice. Although the research has concluded that overall the children’s involvement was promoted when the strategy was implemented, the investigation has also outlined shortcomings in the approach. Literature has helped identify how such shortcomings can be overcome to refine the approach further to promote its usage in the Foundation Phase classroom.</w:t>
      </w:r>
    </w:p>
    <w:p>
      <w:pPr>
        <w:pStyle w:val="23"/>
        <w:numPr>
          <w:ilvl w:val="0"/>
          <w:numId w:val="0"/>
        </w:numPr>
        <w:spacing w:line="360" w:lineRule="auto"/>
        <w:jc w:val="both"/>
        <w:rPr>
          <w:rFonts w:hint="default" w:cs="Times New Roman"/>
          <w:b/>
          <w:bCs/>
          <w:sz w:val="24"/>
          <w:szCs w:val="24"/>
          <w:lang w:val="en-GB"/>
        </w:rPr>
      </w:pPr>
    </w:p>
    <w:p>
      <w:pPr>
        <w:spacing w:line="36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Recommendations</w:t>
      </w:r>
    </w:p>
    <w:p>
      <w:pPr>
        <w:spacing w:line="360" w:lineRule="auto"/>
        <w:jc w:val="both"/>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Having opportunity to revisit the information detailed throughout this paper, although it has been identified that the strategy was overall, effective in promoting involvement on the carpet area it is highlighted that this research study was of small-scale. The study, although integrating a beneficial approach like that of the lesson study, was constrained by limited time and therefore significant recommendations can be outlined. Fundamentally, further research is required in relation to the refinements to the approach discussed throughout this paper. Although both researchers were confident in their assumption that such alterations would further promote engagement on the carpet area, without the research and data to prove otherwise this is still purely an assumption. Therefore the further integration of the strategy for Nursery by incorporating it into daily activities (not just the carpet area) would need examining, as well as whether the integration of praise and encouragement by practitioners alongside the Q.C.S would require deeper examination.</w:t>
      </w:r>
    </w:p>
    <w:p>
      <w:pPr>
        <w:spacing w:line="360" w:lineRule="auto"/>
        <w:jc w:val="both"/>
        <w:rPr>
          <w:rFonts w:hint="default" w:ascii="Times New Roman" w:hAnsi="Times New Roman" w:cs="Times New Roman"/>
          <w:b w:val="0"/>
          <w:bCs w:val="0"/>
          <w:sz w:val="24"/>
          <w:szCs w:val="24"/>
          <w:lang w:val="en-GB"/>
        </w:rPr>
      </w:pPr>
    </w:p>
    <w:p>
      <w:pPr>
        <w:spacing w:line="360" w:lineRule="auto"/>
        <w:jc w:val="both"/>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It could also be suggested that practitioners in the schools where the research was undertaken could be provided with further information on the approach to determine whether if integrated by themselves, it would show to be of similar effect. It is also acknowledged that the study only focused on a select amount of pupils and therefore another recommendation would be to consider a wider scale study whilst also focusing more on specific attainment groupings to determine whether the Q.C.S would have differing implications in such an instance.</w:t>
      </w:r>
    </w:p>
    <w:p>
      <w:pPr>
        <w:rPr>
          <w:lang w:val="en-GB"/>
        </w:rPr>
      </w:pPr>
    </w:p>
    <w:p>
      <w:pPr>
        <w:pStyle w:val="23"/>
        <w:numPr>
          <w:ilvl w:val="0"/>
          <w:numId w:val="0"/>
        </w:numPr>
        <w:spacing w:line="240" w:lineRule="auto"/>
        <w:jc w:val="both"/>
        <w:rPr>
          <w:rFonts w:hint="default" w:cs="Times New Roman"/>
          <w:b/>
          <w:bCs/>
          <w:sz w:val="24"/>
          <w:szCs w:val="24"/>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jc w:val="center"/>
        <w:rPr>
          <w:rFonts w:hint="default" w:ascii="Times New Roman" w:hAnsi="Times New Roman" w:cs="Times New Roman"/>
          <w:b/>
          <w:bCs/>
          <w:sz w:val="48"/>
          <w:szCs w:val="48"/>
          <w:lang w:val="en-GB"/>
        </w:rPr>
      </w:pPr>
    </w:p>
    <w:p>
      <w:pPr>
        <w:jc w:val="center"/>
        <w:rPr>
          <w:rFonts w:hint="default" w:ascii="Times New Roman" w:hAnsi="Times New Roman" w:cs="Times New Roman"/>
          <w:b/>
          <w:bCs/>
          <w:sz w:val="48"/>
          <w:szCs w:val="48"/>
          <w:lang w:val="en-GB"/>
        </w:rPr>
      </w:pPr>
    </w:p>
    <w:p>
      <w:pPr>
        <w:jc w:val="center"/>
        <w:rPr>
          <w:rFonts w:hint="default" w:ascii="Times New Roman" w:hAnsi="Times New Roman" w:cs="Times New Roman"/>
          <w:b/>
          <w:bCs/>
          <w:sz w:val="48"/>
          <w:szCs w:val="48"/>
          <w:lang w:val="en-GB"/>
        </w:rPr>
      </w:pPr>
    </w:p>
    <w:p>
      <w:pPr>
        <w:jc w:val="center"/>
        <w:rPr>
          <w:rFonts w:hint="default" w:ascii="Times New Roman" w:hAnsi="Times New Roman" w:cs="Times New Roman"/>
          <w:b/>
          <w:bCs/>
          <w:sz w:val="48"/>
          <w:szCs w:val="48"/>
          <w:lang w:val="en-GB"/>
        </w:rPr>
      </w:pPr>
      <w:r>
        <w:rPr>
          <w:rFonts w:hint="default" w:ascii="Times New Roman" w:hAnsi="Times New Roman" w:cs="Times New Roman"/>
          <w:b/>
          <w:bCs/>
          <w:sz w:val="48"/>
          <w:szCs w:val="48"/>
          <w:lang w:val="en-GB"/>
        </w:rPr>
        <w:t>Appendices</w:t>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1 (Quiet Critters).</w:t>
      </w:r>
    </w:p>
    <w:p>
      <w:pPr>
        <w:pStyle w:val="11"/>
        <w:rPr>
          <w:rFonts w:ascii="Calibri" w:hAnsi="Calibri" w:cs="Arial"/>
          <w:color w:val="303B44"/>
          <w:sz w:val="22"/>
          <w:szCs w:val="22"/>
          <w:lang w:val="en-GB"/>
        </w:rPr>
      </w:pPr>
      <w:r>
        <w:drawing>
          <wp:anchor distT="0" distB="0" distL="114300" distR="114300" simplePos="0" relativeHeight="251659264" behindDoc="0" locked="0" layoutInCell="1" allowOverlap="1">
            <wp:simplePos x="0" y="0"/>
            <wp:positionH relativeFrom="column">
              <wp:posOffset>328295</wp:posOffset>
            </wp:positionH>
            <wp:positionV relativeFrom="paragraph">
              <wp:posOffset>240030</wp:posOffset>
            </wp:positionV>
            <wp:extent cx="5854065" cy="3971925"/>
            <wp:effectExtent l="0" t="0" r="1333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rcRect l="5219" t="23687" r="40027" b="16506"/>
                    <a:stretch>
                      <a:fillRect/>
                    </a:stretch>
                  </pic:blipFill>
                  <pic:spPr>
                    <a:xfrm>
                      <a:off x="0" y="0"/>
                      <a:ext cx="5854065" cy="3971925"/>
                    </a:xfrm>
                    <a:prstGeom prst="rect">
                      <a:avLst/>
                    </a:prstGeom>
                    <a:noFill/>
                    <a:ln w="9525">
                      <a:noFill/>
                    </a:ln>
                  </pic:spPr>
                </pic:pic>
              </a:graphicData>
            </a:graphic>
          </wp:anchor>
        </w:drawing>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ind w:firstLine="6960" w:firstLineChars="2900"/>
        <w:rPr>
          <w:rFonts w:hint="default" w:ascii="Times New Roman" w:hAnsi="Times New Roman" w:cs="Times New Roman"/>
          <w:sz w:val="24"/>
          <w:szCs w:val="24"/>
          <w:lang w:val="en-GB"/>
        </w:rPr>
      </w:pPr>
      <w:r>
        <w:rPr>
          <w:rFonts w:hint="default" w:ascii="Times New Roman" w:hAnsi="Times New Roman" w:cs="Times New Roman"/>
          <w:sz w:val="24"/>
          <w:szCs w:val="24"/>
          <w:lang w:val="en-GB"/>
        </w:rPr>
        <w:t>(</w:t>
      </w: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p>
    <w:p>
      <w:pPr>
        <w:ind w:firstLine="6960" w:firstLineChars="29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2 (Time Sample Observation Example).</w:t>
      </w:r>
    </w:p>
    <w:p>
      <w:pPr>
        <w:ind w:firstLine="4400" w:firstLineChars="2200"/>
        <w:rPr>
          <w:rFonts w:hint="default" w:ascii="Times New Roman" w:hAnsi="Times New Roman" w:cs="Times New Roman"/>
          <w:sz w:val="24"/>
          <w:szCs w:val="24"/>
          <w:lang w:val="en-GB"/>
        </w:rPr>
      </w:pPr>
      <w:r>
        <w:drawing>
          <wp:anchor distT="0" distB="0" distL="114300" distR="114300" simplePos="0" relativeHeight="251660288" behindDoc="0" locked="0" layoutInCell="1" allowOverlap="1">
            <wp:simplePos x="0" y="0"/>
            <wp:positionH relativeFrom="column">
              <wp:posOffset>828675</wp:posOffset>
            </wp:positionH>
            <wp:positionV relativeFrom="paragraph">
              <wp:posOffset>140970</wp:posOffset>
            </wp:positionV>
            <wp:extent cx="4574540" cy="4913630"/>
            <wp:effectExtent l="0" t="0" r="1651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srcRect l="22502" t="33269" r="56490" b="18607"/>
                    <a:stretch>
                      <a:fillRect/>
                    </a:stretch>
                  </pic:blipFill>
                  <pic:spPr>
                    <a:xfrm>
                      <a:off x="0" y="0"/>
                      <a:ext cx="4574540" cy="4913630"/>
                    </a:xfrm>
                    <a:prstGeom prst="rect">
                      <a:avLst/>
                    </a:prstGeom>
                    <a:noFill/>
                    <a:ln w="9525">
                      <a:noFill/>
                    </a:ln>
                  </pic:spPr>
                </pic:pic>
              </a:graphicData>
            </a:graphic>
          </wp:anchor>
        </w:drawing>
      </w: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520" w:firstLineChars="23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3 (Leuven Involvement Scale).</w:t>
      </w:r>
    </w:p>
    <w:p>
      <w:pPr>
        <w:ind w:firstLine="4400" w:firstLineChars="2200"/>
        <w:rPr>
          <w:rFonts w:hint="default" w:ascii="Times New Roman" w:hAnsi="Times New Roman" w:cs="Times New Roman"/>
          <w:sz w:val="24"/>
          <w:szCs w:val="24"/>
          <w:lang w:val="en-GB"/>
        </w:rPr>
      </w:pPr>
      <w:r>
        <w:drawing>
          <wp:anchor distT="0" distB="0" distL="114300" distR="114300" simplePos="0" relativeHeight="251661312" behindDoc="0" locked="0" layoutInCell="1" allowOverlap="1">
            <wp:simplePos x="0" y="0"/>
            <wp:positionH relativeFrom="column">
              <wp:posOffset>1019810</wp:posOffset>
            </wp:positionH>
            <wp:positionV relativeFrom="paragraph">
              <wp:posOffset>44450</wp:posOffset>
            </wp:positionV>
            <wp:extent cx="4589780" cy="4657090"/>
            <wp:effectExtent l="0" t="0" r="1270" b="1016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1"/>
                    <a:srcRect l="68217" t="29518" r="2796" b="6174"/>
                    <a:stretch>
                      <a:fillRect/>
                    </a:stretch>
                  </pic:blipFill>
                  <pic:spPr>
                    <a:xfrm>
                      <a:off x="0" y="0"/>
                      <a:ext cx="4589780" cy="4657090"/>
                    </a:xfrm>
                    <a:prstGeom prst="rect">
                      <a:avLst/>
                    </a:prstGeom>
                    <a:noFill/>
                    <a:ln w="9525">
                      <a:noFill/>
                    </a:ln>
                  </pic:spPr>
                </pic:pic>
              </a:graphicData>
            </a:graphic>
          </wp:anchor>
        </w:drawing>
      </w: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280" w:firstLineChars="220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ind w:firstLine="5880" w:firstLineChars="245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4 (Interview Questions)</w:t>
      </w:r>
    </w:p>
    <w:p>
      <w:pPr>
        <w:ind w:firstLine="4900" w:firstLineChars="2450"/>
        <w:rPr>
          <w:rFonts w:hint="default" w:ascii="Times New Roman" w:hAnsi="Times New Roman" w:cs="Times New Roman"/>
          <w:sz w:val="24"/>
          <w:szCs w:val="24"/>
          <w:lang w:val="en-GB"/>
        </w:rPr>
      </w:pPr>
      <w:r>
        <w:drawing>
          <wp:anchor distT="0" distB="0" distL="114300" distR="114300" simplePos="0" relativeHeight="251663360" behindDoc="0" locked="0" layoutInCell="1" allowOverlap="1">
            <wp:simplePos x="0" y="0"/>
            <wp:positionH relativeFrom="column">
              <wp:posOffset>1097280</wp:posOffset>
            </wp:positionH>
            <wp:positionV relativeFrom="paragraph">
              <wp:posOffset>120015</wp:posOffset>
            </wp:positionV>
            <wp:extent cx="4621530" cy="3042920"/>
            <wp:effectExtent l="0" t="0" r="762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srcRect l="19248" t="23365" r="14861" b="11533"/>
                    <a:stretch>
                      <a:fillRect/>
                    </a:stretch>
                  </pic:blipFill>
                  <pic:spPr>
                    <a:xfrm>
                      <a:off x="0" y="0"/>
                      <a:ext cx="4621530" cy="3042920"/>
                    </a:xfrm>
                    <a:prstGeom prst="rect">
                      <a:avLst/>
                    </a:prstGeom>
                    <a:noFill/>
                    <a:ln w="9525">
                      <a:noFill/>
                    </a:ln>
                  </pic:spPr>
                </pic:pic>
              </a:graphicData>
            </a:graphic>
          </wp:anchor>
        </w:drawing>
      </w:r>
    </w:p>
    <w:p>
      <w:pPr>
        <w:ind w:firstLine="6120" w:firstLineChars="255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ind w:firstLine="6120" w:firstLineChars="255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5 (Research Explanation)</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drawing>
          <wp:anchor distT="0" distB="0" distL="114300" distR="114300" simplePos="0" relativeHeight="251666432" behindDoc="0" locked="0" layoutInCell="1" allowOverlap="1">
            <wp:simplePos x="0" y="0"/>
            <wp:positionH relativeFrom="column">
              <wp:posOffset>1047750</wp:posOffset>
            </wp:positionH>
            <wp:positionV relativeFrom="paragraph">
              <wp:posOffset>138430</wp:posOffset>
            </wp:positionV>
            <wp:extent cx="4757420" cy="3366135"/>
            <wp:effectExtent l="0" t="0" r="508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3"/>
                    <a:srcRect l="20911" t="20407" r="17259" b="9110"/>
                    <a:stretch>
                      <a:fillRect/>
                    </a:stretch>
                  </pic:blipFill>
                  <pic:spPr>
                    <a:xfrm>
                      <a:off x="0" y="0"/>
                      <a:ext cx="4757420" cy="3366135"/>
                    </a:xfrm>
                    <a:prstGeom prst="rect">
                      <a:avLst/>
                    </a:prstGeom>
                    <a:noFill/>
                    <a:ln w="9525">
                      <a:noFill/>
                    </a:ln>
                  </pic:spPr>
                </pic:pic>
              </a:graphicData>
            </a:graphic>
          </wp:anchor>
        </w:drawing>
      </w:r>
    </w:p>
    <w:p>
      <w:pPr>
        <w:ind w:firstLine="6120" w:firstLineChars="255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ind w:firstLine="6000" w:firstLineChars="250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6, Extract 1 - Child A Records (School A).</w:t>
      </w:r>
    </w:p>
    <w:p>
      <w:pPr>
        <w:ind w:firstLine="5000" w:firstLineChars="2500"/>
        <w:rPr>
          <w:rFonts w:hint="default" w:ascii="Times New Roman" w:hAnsi="Times New Roman" w:cs="Times New Roman"/>
          <w:sz w:val="24"/>
          <w:szCs w:val="24"/>
          <w:lang w:val="en-GB"/>
        </w:rPr>
      </w:pPr>
      <w:r>
        <w:drawing>
          <wp:anchor distT="0" distB="0" distL="114300" distR="114300" simplePos="0" relativeHeight="251675648" behindDoc="0" locked="0" layoutInCell="1" allowOverlap="1">
            <wp:simplePos x="0" y="0"/>
            <wp:positionH relativeFrom="column">
              <wp:posOffset>3482975</wp:posOffset>
            </wp:positionH>
            <wp:positionV relativeFrom="paragraph">
              <wp:posOffset>73025</wp:posOffset>
            </wp:positionV>
            <wp:extent cx="3184525" cy="4234180"/>
            <wp:effectExtent l="0" t="0" r="15875" b="139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4"/>
                    <a:srcRect l="68736" t="23516" r="3351" b="12069"/>
                    <a:stretch>
                      <a:fillRect/>
                    </a:stretch>
                  </pic:blipFill>
                  <pic:spPr>
                    <a:xfrm>
                      <a:off x="0" y="0"/>
                      <a:ext cx="3184525" cy="4234180"/>
                    </a:xfrm>
                    <a:prstGeom prst="rect">
                      <a:avLst/>
                    </a:prstGeom>
                    <a:noFill/>
                    <a:ln w="9525">
                      <a:noFill/>
                    </a:ln>
                  </pic:spPr>
                </pic:pic>
              </a:graphicData>
            </a:graphic>
          </wp:anchor>
        </w:drawing>
      </w:r>
      <w:r>
        <w:drawing>
          <wp:anchor distT="0" distB="0" distL="114300" distR="114300" simplePos="0" relativeHeight="251670528" behindDoc="0" locked="0" layoutInCell="1" allowOverlap="1">
            <wp:simplePos x="0" y="0"/>
            <wp:positionH relativeFrom="column">
              <wp:posOffset>9525</wp:posOffset>
            </wp:positionH>
            <wp:positionV relativeFrom="paragraph">
              <wp:posOffset>95250</wp:posOffset>
            </wp:positionV>
            <wp:extent cx="3388995" cy="4286250"/>
            <wp:effectExtent l="0" t="0" r="190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5"/>
                    <a:srcRect l="68736" t="33441" r="3833" b="9646"/>
                    <a:stretch>
                      <a:fillRect/>
                    </a:stretch>
                  </pic:blipFill>
                  <pic:spPr>
                    <a:xfrm>
                      <a:off x="0" y="0"/>
                      <a:ext cx="3388995" cy="4286250"/>
                    </a:xfrm>
                    <a:prstGeom prst="rect">
                      <a:avLst/>
                    </a:prstGeom>
                    <a:noFill/>
                    <a:ln w="9525">
                      <a:noFill/>
                    </a:ln>
                  </pic:spPr>
                </pic:pic>
              </a:graphicData>
            </a:graphic>
          </wp:anchor>
        </w:drawing>
      </w:r>
    </w:p>
    <w:p>
      <w:pPr>
        <w:ind w:firstLine="7080" w:firstLineChars="295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6, Extract 2 - Child B Records (School A).</w:t>
      </w:r>
    </w:p>
    <w:p>
      <w:pPr>
        <w:rPr>
          <w:rFonts w:hint="default" w:ascii="Times New Roman" w:hAnsi="Times New Roman" w:cs="Times New Roman"/>
          <w:sz w:val="24"/>
          <w:szCs w:val="24"/>
          <w:lang w:val="en-GB"/>
        </w:rPr>
      </w:pPr>
      <w:r>
        <w:drawing>
          <wp:anchor distT="0" distB="0" distL="114300" distR="114300" simplePos="0" relativeHeight="251688960" behindDoc="0" locked="0" layoutInCell="1" allowOverlap="1">
            <wp:simplePos x="0" y="0"/>
            <wp:positionH relativeFrom="column">
              <wp:posOffset>3495040</wp:posOffset>
            </wp:positionH>
            <wp:positionV relativeFrom="paragraph">
              <wp:posOffset>42545</wp:posOffset>
            </wp:positionV>
            <wp:extent cx="3220085" cy="4639945"/>
            <wp:effectExtent l="0" t="0" r="18415"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6"/>
                    <a:srcRect l="67687" t="21865" r="4399" b="14212"/>
                    <a:stretch>
                      <a:fillRect/>
                    </a:stretch>
                  </pic:blipFill>
                  <pic:spPr>
                    <a:xfrm>
                      <a:off x="0" y="0"/>
                      <a:ext cx="3220085" cy="4639945"/>
                    </a:xfrm>
                    <a:prstGeom prst="rect">
                      <a:avLst/>
                    </a:prstGeom>
                    <a:noFill/>
                    <a:ln w="9525">
                      <a:noFill/>
                    </a:ln>
                  </pic:spPr>
                </pic:pic>
              </a:graphicData>
            </a:graphic>
          </wp:anchor>
        </w:drawing>
      </w:r>
      <w:r>
        <w:drawing>
          <wp:anchor distT="0" distB="0" distL="114300" distR="114300" simplePos="0" relativeHeight="251681792" behindDoc="0" locked="0" layoutInCell="1" allowOverlap="1">
            <wp:simplePos x="0" y="0"/>
            <wp:positionH relativeFrom="column">
              <wp:posOffset>68580</wp:posOffset>
            </wp:positionH>
            <wp:positionV relativeFrom="paragraph">
              <wp:posOffset>61595</wp:posOffset>
            </wp:positionV>
            <wp:extent cx="3364865" cy="4613275"/>
            <wp:effectExtent l="0" t="0" r="6985" b="158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7"/>
                    <a:srcRect l="69531" t="25616" r="3953" b="12069"/>
                    <a:stretch>
                      <a:fillRect/>
                    </a:stretch>
                  </pic:blipFill>
                  <pic:spPr>
                    <a:xfrm>
                      <a:off x="0" y="0"/>
                      <a:ext cx="3364865" cy="4613275"/>
                    </a:xfrm>
                    <a:prstGeom prst="rect">
                      <a:avLst/>
                    </a:prstGeom>
                    <a:noFill/>
                    <a:ln w="9525">
                      <a:noFill/>
                    </a:ln>
                  </pic:spPr>
                </pic:pic>
              </a:graphicData>
            </a:graphic>
          </wp:anchor>
        </w:drawing>
      </w:r>
    </w:p>
    <w:p>
      <w:pPr>
        <w:ind w:firstLine="7440" w:firstLineChars="31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ind w:firstLine="7440" w:firstLineChars="3100"/>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6, Extract 3 - Child C Records (School A).</w:t>
      </w:r>
    </w:p>
    <w:p>
      <w:pPr>
        <w:ind w:firstLine="6200" w:firstLineChars="3100"/>
        <w:rPr>
          <w:lang w:val="en-GB"/>
        </w:rPr>
      </w:pPr>
      <w:r>
        <w:drawing>
          <wp:anchor distT="0" distB="0" distL="114300" distR="114300" simplePos="0" relativeHeight="251706368" behindDoc="0" locked="0" layoutInCell="1" allowOverlap="1">
            <wp:simplePos x="0" y="0"/>
            <wp:positionH relativeFrom="column">
              <wp:posOffset>3454400</wp:posOffset>
            </wp:positionH>
            <wp:positionV relativeFrom="paragraph">
              <wp:posOffset>117475</wp:posOffset>
            </wp:positionV>
            <wp:extent cx="3095625" cy="5158740"/>
            <wp:effectExtent l="0" t="0" r="9525"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8"/>
                    <a:srcRect l="68892" t="25080" r="2784" b="10075"/>
                    <a:stretch>
                      <a:fillRect/>
                    </a:stretch>
                  </pic:blipFill>
                  <pic:spPr>
                    <a:xfrm>
                      <a:off x="0" y="0"/>
                      <a:ext cx="3095625" cy="5158740"/>
                    </a:xfrm>
                    <a:prstGeom prst="rect">
                      <a:avLst/>
                    </a:prstGeom>
                    <a:noFill/>
                    <a:ln w="9525">
                      <a:noFill/>
                    </a:ln>
                  </pic:spPr>
                </pic:pic>
              </a:graphicData>
            </a:graphic>
          </wp:anchor>
        </w:drawing>
      </w:r>
      <w:r>
        <w:drawing>
          <wp:anchor distT="0" distB="0" distL="114300" distR="114300" simplePos="0" relativeHeight="251697152" behindDoc="0" locked="0" layoutInCell="1" allowOverlap="1">
            <wp:simplePos x="0" y="0"/>
            <wp:positionH relativeFrom="column">
              <wp:posOffset>-9525</wp:posOffset>
            </wp:positionH>
            <wp:positionV relativeFrom="paragraph">
              <wp:posOffset>100330</wp:posOffset>
            </wp:positionV>
            <wp:extent cx="3423920" cy="5165090"/>
            <wp:effectExtent l="0" t="0" r="5080" b="1651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9"/>
                    <a:srcRect l="68290" t="23730" r="4676" b="11211"/>
                    <a:stretch>
                      <a:fillRect/>
                    </a:stretch>
                  </pic:blipFill>
                  <pic:spPr>
                    <a:xfrm>
                      <a:off x="0" y="0"/>
                      <a:ext cx="3423920" cy="5165090"/>
                    </a:xfrm>
                    <a:prstGeom prst="rect">
                      <a:avLst/>
                    </a:prstGeom>
                    <a:noFill/>
                    <a:ln w="9525">
                      <a:noFill/>
                    </a:ln>
                  </pic:spPr>
                </pic:pic>
              </a:graphicData>
            </a:graphic>
          </wp:anchor>
        </w:drawing>
      </w:r>
      <w:r>
        <w:rPr>
          <w:lang w:val="en-GB"/>
        </w:rPr>
        <w:t xml:space="preserve">    </w:t>
      </w:r>
    </w:p>
    <w:p>
      <w:pPr>
        <w:ind w:firstLine="7440" w:firstLineChars="3100"/>
        <w:rPr>
          <w:rFonts w:hint="default" w:ascii="Times New Roman" w:hAnsi="Times New Roman" w:cs="Times New Roman"/>
          <w:sz w:val="24"/>
          <w:szCs w:val="24"/>
          <w:lang w:val="en-GB"/>
        </w:rPr>
      </w:pPr>
      <w:r>
        <w:rPr>
          <w:rFonts w:hint="default" w:ascii="Times New Roman" w:hAnsi="Times New Roman" w:cs="Times New Roman"/>
          <w:sz w:val="24"/>
          <w:szCs w:val="24"/>
          <w:lang w:val="en-GB"/>
        </w:rPr>
        <w:t>(Source: Authors Own, 2018).</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7, Extract 1 - Child A Records (School B).</w:t>
      </w:r>
    </w:p>
    <w:p>
      <w:pPr>
        <w:rPr>
          <w:rFonts w:hint="default" w:ascii="Times New Roman" w:hAnsi="Times New Roman" w:cs="Times New Roman"/>
          <w:sz w:val="24"/>
          <w:szCs w:val="24"/>
          <w:lang w:val="en-GB"/>
        </w:rPr>
      </w:pPr>
      <w:r>
        <w:drawing>
          <wp:anchor distT="0" distB="0" distL="114300" distR="114300" simplePos="0" relativeHeight="251728896" behindDoc="0" locked="0" layoutInCell="1" allowOverlap="1">
            <wp:simplePos x="0" y="0"/>
            <wp:positionH relativeFrom="column">
              <wp:posOffset>3307715</wp:posOffset>
            </wp:positionH>
            <wp:positionV relativeFrom="paragraph">
              <wp:posOffset>59055</wp:posOffset>
            </wp:positionV>
            <wp:extent cx="3169920" cy="4370705"/>
            <wp:effectExtent l="0" t="0" r="11430" b="10795"/>
            <wp:wrapSquare wrapText="bothSides"/>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20"/>
                    <a:srcRect l="69097" t="19721" r="1772" b="7781"/>
                    <a:stretch>
                      <a:fillRect/>
                    </a:stretch>
                  </pic:blipFill>
                  <pic:spPr>
                    <a:xfrm>
                      <a:off x="0" y="0"/>
                      <a:ext cx="3169920" cy="4370705"/>
                    </a:xfrm>
                    <a:prstGeom prst="rect">
                      <a:avLst/>
                    </a:prstGeom>
                    <a:noFill/>
                    <a:ln w="9525">
                      <a:noFill/>
                    </a:ln>
                  </pic:spPr>
                </pic:pic>
              </a:graphicData>
            </a:graphic>
          </wp:anchor>
        </w:drawing>
      </w:r>
      <w:r>
        <w:drawing>
          <wp:anchor distT="0" distB="0" distL="114300" distR="114300" simplePos="0" relativeHeight="251718656" behindDoc="0" locked="0" layoutInCell="1" allowOverlap="1">
            <wp:simplePos x="0" y="0"/>
            <wp:positionH relativeFrom="column">
              <wp:posOffset>21590</wp:posOffset>
            </wp:positionH>
            <wp:positionV relativeFrom="paragraph">
              <wp:posOffset>64770</wp:posOffset>
            </wp:positionV>
            <wp:extent cx="3213735" cy="4362450"/>
            <wp:effectExtent l="0" t="0" r="5715" b="0"/>
            <wp:wrapSquare wrapText="bothSides"/>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3"/>
                    <pic:cNvPicPr>
                      <a:picLocks noChangeAspect="1"/>
                    </pic:cNvPicPr>
                  </pic:nvPicPr>
                  <pic:blipFill>
                    <a:blip r:embed="rId21"/>
                    <a:srcRect l="68591" t="21200" r="3049" b="9946"/>
                    <a:stretch>
                      <a:fillRect/>
                    </a:stretch>
                  </pic:blipFill>
                  <pic:spPr>
                    <a:xfrm>
                      <a:off x="0" y="0"/>
                      <a:ext cx="3213735" cy="4362450"/>
                    </a:xfrm>
                    <a:prstGeom prst="rect">
                      <a:avLst/>
                    </a:prstGeom>
                    <a:noFill/>
                    <a:ln w="9525">
                      <a:noFill/>
                    </a:ln>
                  </pic:spPr>
                </pic:pic>
              </a:graphicData>
            </a:graphic>
          </wp:anchor>
        </w:drawing>
      </w:r>
    </w:p>
    <w:p>
      <w:pPr>
        <w:ind w:firstLine="7080" w:firstLineChars="2950"/>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r>
        <w:rPr>
          <w:rFonts w:ascii="Times New Roman"/>
          <w:lang w:val="en-GB"/>
        </w:rPr>
        <w:t xml:space="preserve">                                                                 </w:t>
      </w:r>
      <w:r>
        <w:rPr>
          <w:lang w:val="en-GB"/>
        </w:rPr>
        <w:t xml:space="preserve">                                                                          </w:t>
      </w:r>
      <w:r>
        <w:rPr>
          <w:rFonts w:ascii="Times New Roman"/>
          <w:lang w:val="en-GB"/>
        </w:rPr>
        <w:t xml:space="preserve"> </w:t>
      </w:r>
      <w:r>
        <w:rPr>
          <w:rFonts w:hint="default" w:ascii="Times New Roman" w:hAnsi="Times New Roman" w:cs="Times New Roman"/>
          <w:sz w:val="24"/>
          <w:szCs w:val="24"/>
          <w:lang w:val="en-GB"/>
        </w:rPr>
        <w:t>(Source: Authors Own, 2018).</w:t>
      </w: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7, Extract 2 - Child B Records (School B).</w:t>
      </w:r>
    </w:p>
    <w:p>
      <w:pPr>
        <w:rPr>
          <w:rFonts w:hint="default" w:ascii="Times New Roman" w:hAnsi="Times New Roman" w:cs="Times New Roman"/>
          <w:sz w:val="24"/>
          <w:szCs w:val="24"/>
          <w:lang w:val="en-GB"/>
        </w:rPr>
      </w:pPr>
      <w:r>
        <w:drawing>
          <wp:anchor distT="0" distB="0" distL="114300" distR="114300" simplePos="0" relativeHeight="251756544" behindDoc="0" locked="0" layoutInCell="1" allowOverlap="1">
            <wp:simplePos x="0" y="0"/>
            <wp:positionH relativeFrom="column">
              <wp:posOffset>3313430</wp:posOffset>
            </wp:positionH>
            <wp:positionV relativeFrom="paragraph">
              <wp:posOffset>151130</wp:posOffset>
            </wp:positionV>
            <wp:extent cx="3344545" cy="4397375"/>
            <wp:effectExtent l="0" t="0" r="8255" b="3175"/>
            <wp:wrapSquare wrapText="bothSides"/>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a:blip r:embed="rId22"/>
                    <a:srcRect l="68145" t="21586" r="3025" b="10997"/>
                    <a:stretch>
                      <a:fillRect/>
                    </a:stretch>
                  </pic:blipFill>
                  <pic:spPr>
                    <a:xfrm>
                      <a:off x="0" y="0"/>
                      <a:ext cx="3344545" cy="4397375"/>
                    </a:xfrm>
                    <a:prstGeom prst="rect">
                      <a:avLst/>
                    </a:prstGeom>
                    <a:noFill/>
                    <a:ln w="9525">
                      <a:noFill/>
                    </a:ln>
                  </pic:spPr>
                </pic:pic>
              </a:graphicData>
            </a:graphic>
          </wp:anchor>
        </w:drawing>
      </w:r>
      <w:r>
        <w:drawing>
          <wp:anchor distT="0" distB="0" distL="114300" distR="114300" simplePos="0" relativeHeight="251743232" behindDoc="0" locked="0" layoutInCell="1" allowOverlap="1">
            <wp:simplePos x="0" y="0"/>
            <wp:positionH relativeFrom="column">
              <wp:posOffset>139065</wp:posOffset>
            </wp:positionH>
            <wp:positionV relativeFrom="paragraph">
              <wp:posOffset>142875</wp:posOffset>
            </wp:positionV>
            <wp:extent cx="3117215" cy="4370070"/>
            <wp:effectExtent l="0" t="0" r="6985" b="11430"/>
            <wp:wrapSquare wrapText="bothSides"/>
            <wp:docPr id="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pic:cNvPicPr>
                      <a:picLocks noChangeAspect="1"/>
                    </pic:cNvPicPr>
                  </pic:nvPicPr>
                  <pic:blipFill>
                    <a:blip r:embed="rId23"/>
                    <a:srcRect l="67844" t="21501" r="2519" b="9453"/>
                    <a:stretch>
                      <a:fillRect/>
                    </a:stretch>
                  </pic:blipFill>
                  <pic:spPr>
                    <a:xfrm>
                      <a:off x="0" y="0"/>
                      <a:ext cx="3117215" cy="4370070"/>
                    </a:xfrm>
                    <a:prstGeom prst="rect">
                      <a:avLst/>
                    </a:prstGeom>
                    <a:noFill/>
                    <a:ln w="9525">
                      <a:noFill/>
                    </a:ln>
                  </pic:spPr>
                </pic:pic>
              </a:graphicData>
            </a:graphic>
          </wp:anchor>
        </w:drawing>
      </w:r>
      <w:r>
        <w:rPr>
          <w:lang w:val="en-GB"/>
        </w:rPr>
        <w:t xml:space="preserve">        </w:t>
      </w:r>
    </w:p>
    <w:p>
      <w:pPr>
        <w:jc w:val="center"/>
        <w:rPr>
          <w:rFonts w:hint="default" w:ascii="Times New Roman" w:hAnsi="Times New Roman" w:cs="Times New Roman"/>
          <w:sz w:val="24"/>
          <w:szCs w:val="24"/>
          <w:lang w:val="en-GB"/>
        </w:rPr>
      </w:pPr>
      <w:r>
        <w:rPr>
          <w:rFonts w:ascii="Times New Roman"/>
          <w:lang w:val="en-GB"/>
        </w:rPr>
        <w:t xml:space="preserve">                                                                  </w:t>
      </w:r>
      <w:r>
        <w:rPr>
          <w:lang w:val="en-GB"/>
        </w:rPr>
        <w:t xml:space="preserve">                                                                             </w:t>
      </w:r>
      <w:r>
        <w:rPr>
          <w:rFonts w:hint="default" w:ascii="Times New Roman" w:hAnsi="Times New Roman" w:cs="Times New Roman"/>
          <w:sz w:val="24"/>
          <w:szCs w:val="24"/>
          <w:lang w:val="en-GB"/>
        </w:rPr>
        <w:t>(Source: Authors Own, 2018).</w:t>
      </w: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jc w:val="cente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Appendix 7, Extract 3 - Child C Records (School B).</w:t>
      </w:r>
    </w:p>
    <w:p>
      <w:pPr>
        <w:jc w:val="center"/>
        <w:rPr>
          <w:rFonts w:hint="default" w:ascii="Times New Roman" w:hAnsi="Times New Roman" w:cs="Times New Roman"/>
          <w:sz w:val="24"/>
          <w:szCs w:val="24"/>
          <w:lang w:val="en-GB"/>
        </w:rPr>
      </w:pPr>
      <w:r>
        <w:drawing>
          <wp:anchor distT="0" distB="0" distL="114300" distR="114300" simplePos="0" relativeHeight="251792384" behindDoc="0" locked="0" layoutInCell="1" allowOverlap="1">
            <wp:simplePos x="0" y="0"/>
            <wp:positionH relativeFrom="column">
              <wp:posOffset>3561715</wp:posOffset>
            </wp:positionH>
            <wp:positionV relativeFrom="paragraph">
              <wp:posOffset>63500</wp:posOffset>
            </wp:positionV>
            <wp:extent cx="2920365" cy="4303395"/>
            <wp:effectExtent l="0" t="0" r="13335" b="1905"/>
            <wp:wrapSquare wrapText="bothSides"/>
            <wp:docPr id="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4"/>
                    <pic:cNvPicPr>
                      <a:picLocks noChangeAspect="1"/>
                    </pic:cNvPicPr>
                  </pic:nvPicPr>
                  <pic:blipFill>
                    <a:blip r:embed="rId24"/>
                    <a:srcRect l="68434" t="19721" r="2640" b="9110"/>
                    <a:stretch>
                      <a:fillRect/>
                    </a:stretch>
                  </pic:blipFill>
                  <pic:spPr>
                    <a:xfrm>
                      <a:off x="0" y="0"/>
                      <a:ext cx="2920365" cy="4303395"/>
                    </a:xfrm>
                    <a:prstGeom prst="rect">
                      <a:avLst/>
                    </a:prstGeom>
                    <a:noFill/>
                    <a:ln w="9525">
                      <a:noFill/>
                    </a:ln>
                  </pic:spPr>
                </pic:pic>
              </a:graphicData>
            </a:graphic>
          </wp:anchor>
        </w:drawing>
      </w:r>
      <w:r>
        <w:drawing>
          <wp:anchor distT="0" distB="0" distL="114300" distR="114300" simplePos="0" relativeHeight="251773952" behindDoc="0" locked="0" layoutInCell="1" allowOverlap="1">
            <wp:simplePos x="0" y="0"/>
            <wp:positionH relativeFrom="column">
              <wp:posOffset>45720</wp:posOffset>
            </wp:positionH>
            <wp:positionV relativeFrom="paragraph">
              <wp:posOffset>73025</wp:posOffset>
            </wp:positionV>
            <wp:extent cx="3439160" cy="4301490"/>
            <wp:effectExtent l="0" t="0" r="8890" b="3810"/>
            <wp:wrapSquare wrapText="bothSides"/>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a:blip r:embed="rId25"/>
                    <a:srcRect l="68953" t="25359" r="4688" b="8189"/>
                    <a:stretch>
                      <a:fillRect/>
                    </a:stretch>
                  </pic:blipFill>
                  <pic:spPr>
                    <a:xfrm>
                      <a:off x="0" y="0"/>
                      <a:ext cx="3439160" cy="4301490"/>
                    </a:xfrm>
                    <a:prstGeom prst="rect">
                      <a:avLst/>
                    </a:prstGeom>
                    <a:noFill/>
                    <a:ln w="9525">
                      <a:noFill/>
                    </a:ln>
                  </pic:spPr>
                </pic:pic>
              </a:graphicData>
            </a:graphic>
          </wp:anchor>
        </w:drawing>
      </w:r>
    </w:p>
    <w:p>
      <w:pPr>
        <w:jc w:val="center"/>
        <w:rPr>
          <w:rFonts w:hint="default" w:ascii="Times New Roman" w:hAnsi="Times New Roman" w:cs="Times New Roman"/>
          <w:sz w:val="24"/>
          <w:szCs w:val="24"/>
          <w:lang w:val="en-GB"/>
        </w:rPr>
      </w:pPr>
      <w:r>
        <w:rPr>
          <w:rFonts w:ascii="Times New Roman"/>
          <w:lang w:val="en-GB"/>
        </w:rPr>
        <w:t xml:space="preserve">                                                              </w:t>
      </w:r>
      <w:r>
        <w:rPr>
          <w:lang w:val="en-GB"/>
        </w:rPr>
        <w:t xml:space="preserve">                                                                          </w:t>
      </w:r>
      <w:r>
        <w:rPr>
          <w:rFonts w:ascii="Times New Roman"/>
          <w:lang w:val="en-GB"/>
        </w:rPr>
        <w:t xml:space="preserve">    </w:t>
      </w:r>
      <w:r>
        <w:rPr>
          <w:rFonts w:hint="default" w:ascii="Times New Roman" w:hAnsi="Times New Roman" w:cs="Times New Roman"/>
          <w:sz w:val="24"/>
          <w:szCs w:val="24"/>
          <w:lang w:val="en-GB"/>
        </w:rPr>
        <w:t>(Source: Authors Own, 2018).</w:t>
      </w:r>
    </w:p>
    <w:p>
      <w:pPr>
        <w:jc w:val="both"/>
        <w:rPr>
          <w:rFonts w:hint="default" w:ascii="Times New Roman" w:hAnsi="Times New Roman" w:cs="Times New Roman"/>
          <w:sz w:val="24"/>
          <w:szCs w:val="24"/>
          <w:lang w:val="en-GB"/>
        </w:rPr>
      </w:pPr>
    </w:p>
    <w:p>
      <w:pPr>
        <w:ind w:firstLine="7080" w:firstLineChars="2950"/>
        <w:rPr>
          <w:rFonts w:hint="default" w:ascii="Times New Roman" w:hAnsi="Times New Roman" w:cs="Times New Roman"/>
          <w:sz w:val="24"/>
          <w:szCs w:val="24"/>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p>
      <w:pPr>
        <w:jc w:val="both"/>
        <w:rPr>
          <w:rFonts w:hint="default" w:ascii="Times New Roman" w:hAnsi="Times New Roman" w:cs="Times New Roman"/>
          <w:sz w:val="24"/>
          <w:szCs w:val="24"/>
          <w:u w:val="single"/>
          <w:lang w:val="en-GB"/>
        </w:rPr>
      </w:pPr>
      <w:r>
        <w:rPr>
          <w:rFonts w:hint="default" w:ascii="Times New Roman" w:hAnsi="Times New Roman" w:cs="Times New Roman"/>
          <w:sz w:val="24"/>
          <w:szCs w:val="24"/>
          <w:u w:val="single"/>
          <w:lang w:val="en-GB"/>
        </w:rPr>
        <w:t>References.</w:t>
      </w:r>
    </w:p>
    <w:p>
      <w:pPr>
        <w:jc w:val="both"/>
        <w:rPr>
          <w:rFonts w:hint="default" w:ascii="Times New Roman" w:hAnsi="Times New Roman" w:cs="Times New Roman"/>
          <w:sz w:val="24"/>
          <w:szCs w:val="24"/>
          <w:u w:val="single"/>
          <w:lang w:val="en-GB"/>
        </w:rPr>
      </w:pPr>
    </w:p>
    <w:p>
      <w:pPr>
        <w:jc w:val="both"/>
        <w:rPr>
          <w:rFonts w:hint="default" w:ascii="Times New Roman" w:hAnsi="Times New Roman" w:cs="Times New Roman"/>
          <w:sz w:val="24"/>
          <w:szCs w:val="24"/>
          <w:u w:val="single"/>
          <w:lang w:val="en-GB"/>
        </w:rPr>
      </w:pPr>
      <w:r>
        <w:rPr>
          <w:rFonts w:hint="default" w:ascii="Times New Roman" w:hAnsi="Times New Roman" w:eastAsia="SimSun" w:cs="Times New Roman"/>
          <w:sz w:val="24"/>
          <w:szCs w:val="24"/>
          <w:lang w:val="en-GB"/>
        </w:rPr>
        <w:t xml:space="preserve">Bell, J. and Waters, S. (2014) </w:t>
      </w:r>
      <w:r>
        <w:rPr>
          <w:rFonts w:hint="default" w:ascii="Times New Roman" w:hAnsi="Times New Roman" w:eastAsia="SimSun" w:cs="Times New Roman"/>
          <w:i/>
          <w:iCs/>
          <w:sz w:val="24"/>
          <w:szCs w:val="24"/>
          <w:lang w:val="en-GB"/>
        </w:rPr>
        <w:t>Doing Your Research Project: A Guide for First Time Researchers, 6</w:t>
      </w:r>
      <w:r>
        <w:rPr>
          <w:rFonts w:hint="default" w:ascii="Times New Roman" w:hAnsi="Times New Roman" w:eastAsia="SimSun" w:cs="Times New Roman"/>
          <w:i/>
          <w:iCs/>
          <w:sz w:val="24"/>
          <w:szCs w:val="24"/>
          <w:vertAlign w:val="superscript"/>
          <w:lang w:val="en-GB"/>
        </w:rPr>
        <w:t>th</w:t>
      </w:r>
      <w:r>
        <w:rPr>
          <w:rFonts w:hint="default" w:ascii="Times New Roman" w:hAnsi="Times New Roman" w:eastAsia="SimSun" w:cs="Times New Roman"/>
          <w:i/>
          <w:iCs/>
          <w:sz w:val="24"/>
          <w:szCs w:val="24"/>
          <w:lang w:val="en-GB"/>
        </w:rPr>
        <w:t xml:space="preserve"> Edition</w:t>
      </w:r>
      <w:r>
        <w:rPr>
          <w:rFonts w:hint="default" w:ascii="Times New Roman" w:hAnsi="Times New Roman" w:eastAsia="SimSun" w:cs="Times New Roman"/>
          <w:sz w:val="24"/>
          <w:szCs w:val="24"/>
          <w:lang w:val="en-GB"/>
        </w:rPr>
        <w:t>. Maidenhead: Open University Press.</w:t>
      </w:r>
    </w:p>
    <w:p>
      <w:pPr>
        <w:jc w:val="both"/>
        <w:rPr>
          <w:rFonts w:hint="default" w:ascii="Times New Roman" w:hAnsi="Times New Roman" w:cs="Times New Roman"/>
          <w:sz w:val="24"/>
          <w:szCs w:val="24"/>
          <w:u w:val="single"/>
          <w:lang w:val="en-GB"/>
        </w:rPr>
      </w:pPr>
    </w:p>
    <w:p>
      <w:pPr>
        <w:jc w:val="both"/>
        <w:rPr>
          <w:rFonts w:hint="default" w:ascii="Times New Roman" w:hAnsi="Times New Roman" w:cs="Times New Roman"/>
          <w:sz w:val="24"/>
          <w:szCs w:val="24"/>
          <w:u w:val="none"/>
          <w:lang w:val="en-GB"/>
        </w:rPr>
      </w:pPr>
      <w:r>
        <w:rPr>
          <w:rFonts w:hint="default" w:ascii="Times New Roman" w:hAnsi="Times New Roman" w:cs="Times New Roman"/>
          <w:sz w:val="24"/>
          <w:szCs w:val="24"/>
          <w:u w:val="none"/>
          <w:lang w:val="en-GB"/>
        </w:rPr>
        <w:t>British Educational Research Association. (2011)</w:t>
      </w:r>
      <w:r>
        <w:rPr>
          <w:rFonts w:hint="default" w:ascii="Times New Roman" w:hAnsi="Times New Roman" w:cs="Times New Roman"/>
          <w:i/>
          <w:iCs/>
          <w:sz w:val="24"/>
          <w:szCs w:val="24"/>
          <w:u w:val="none"/>
          <w:lang w:val="en-GB"/>
        </w:rPr>
        <w:t xml:space="preserve"> Ethical Guidelines for Ethical Research.</w:t>
      </w:r>
      <w:r>
        <w:rPr>
          <w:rFonts w:hint="default" w:ascii="Times New Roman" w:hAnsi="Times New Roman" w:cs="Times New Roman"/>
          <w:sz w:val="24"/>
          <w:szCs w:val="24"/>
          <w:u w:val="none"/>
          <w:lang w:val="en-GB"/>
        </w:rPr>
        <w:t xml:space="preserve"> London: BERA. </w:t>
      </w:r>
    </w:p>
    <w:p>
      <w:pPr>
        <w:jc w:val="both"/>
        <w:rPr>
          <w:rFonts w:hint="default" w:ascii="Times New Roman" w:hAnsi="Times New Roman" w:cs="Times New Roman"/>
          <w:sz w:val="24"/>
          <w:szCs w:val="24"/>
          <w:u w:val="none"/>
          <w:lang w:val="en-GB"/>
        </w:rPr>
      </w:pPr>
    </w:p>
    <w:p>
      <w:pPr>
        <w:jc w:val="both"/>
        <w:rPr>
          <w:rFonts w:hint="default" w:ascii="Times New Roman" w:hAnsi="Times New Roman" w:cs="Times New Roman"/>
          <w:sz w:val="24"/>
          <w:szCs w:val="24"/>
          <w:u w:val="none"/>
          <w:lang w:val="en-GB"/>
        </w:rPr>
      </w:pPr>
      <w:r>
        <w:rPr>
          <w:rFonts w:hint="default" w:ascii="Times New Roman" w:hAnsi="Times New Roman" w:cs="Times New Roman"/>
          <w:sz w:val="24"/>
          <w:szCs w:val="24"/>
          <w:lang w:val="en-GB"/>
        </w:rPr>
        <w:t xml:space="preserve">Brophy, J., Alleman, J. and Knighton, B. (2010) A Learning Community in the Primary Classroom. Abingdon: Routledge. [e-book]. Available at: </w:t>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HYPERLINK "https://books.google.co.uk/books?id=4B_GBQAAQBAJ&amp;pg=PT59&amp;dq=carpet+time+in+primary+school&amp;hl=en&amp;sa=X&amp;ved=0ahUKEwjm96WpoavaAhWLC8AKHXJVB6AQ6wEIMzAC#v=onepage&amp;q=carpet%20time%20in%20primary%20school&amp;f=false" </w:instrText>
      </w:r>
      <w:r>
        <w:rPr>
          <w:rFonts w:hint="default" w:ascii="Times New Roman" w:hAnsi="Times New Roman" w:cs="Times New Roman"/>
          <w:sz w:val="24"/>
          <w:szCs w:val="24"/>
          <w:lang w:val="en-GB"/>
        </w:rPr>
        <w:fldChar w:fldCharType="separate"/>
      </w:r>
      <w:r>
        <w:rPr>
          <w:rStyle w:val="14"/>
          <w:rFonts w:hint="default" w:ascii="Times New Roman" w:hAnsi="Times New Roman" w:cs="Times New Roman"/>
          <w:sz w:val="24"/>
          <w:szCs w:val="24"/>
          <w:lang w:val="en-GB"/>
        </w:rPr>
        <w:t>https://books.google.co.uk/books?id=4B_GBQAAQBAJ&amp;pg=PT59&amp;dq=carpet+time+in+primary+school&amp;hl=en&amp;sa=X&amp;ved=0ahUKEwjm96WpoavaAhWLC8AKHXJVB6AQ6wEIMzAC#v=onepage&amp;q=carpet%20time%20in%20primary%20school&amp;f=false</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t xml:space="preserve"> [Accessed: 1</w:t>
      </w:r>
      <w:r>
        <w:rPr>
          <w:rFonts w:hint="default" w:ascii="Times New Roman" w:hAnsi="Times New Roman" w:cs="Times New Roman"/>
          <w:sz w:val="24"/>
          <w:szCs w:val="24"/>
          <w:vertAlign w:val="superscript"/>
          <w:lang w:val="en-GB"/>
        </w:rPr>
        <w:t>st</w:t>
      </w:r>
      <w:r>
        <w:rPr>
          <w:rFonts w:hint="default" w:ascii="Times New Roman" w:hAnsi="Times New Roman" w:cs="Times New Roman"/>
          <w:sz w:val="24"/>
          <w:szCs w:val="24"/>
          <w:lang w:val="en-GB"/>
        </w:rPr>
        <w:t xml:space="preserve"> April 2018].</w:t>
      </w:r>
    </w:p>
    <w:p>
      <w:pPr>
        <w:jc w:val="both"/>
        <w:rPr>
          <w:rFonts w:hint="default" w:ascii="Times New Roman" w:hAnsi="Times New Roman" w:eastAsia="SimSun" w:cs="Times New Roman"/>
          <w:color w:val="auto"/>
          <w:sz w:val="24"/>
          <w:szCs w:val="24"/>
          <w:lang w:val="en-GB"/>
        </w:rPr>
      </w:pPr>
    </w:p>
    <w:p>
      <w:pPr>
        <w:pStyle w:val="23"/>
        <w:numPr>
          <w:ilvl w:val="0"/>
          <w:numId w:val="0"/>
        </w:numPr>
        <w:spacing w:line="24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Carroll, C. (2013) </w:t>
      </w:r>
      <w:r>
        <w:rPr>
          <w:rFonts w:hint="default" w:ascii="Times New Roman" w:hAnsi="Times New Roman" w:eastAsia="SimSun" w:cs="Times New Roman"/>
          <w:i/>
          <w:iCs/>
          <w:sz w:val="24"/>
          <w:szCs w:val="24"/>
        </w:rPr>
        <w:t>Exploring the Impact of Lesson Study on the Theory-Practice Gap in Pre-service Teacher Education</w:t>
      </w:r>
      <w:r>
        <w:rPr>
          <w:rFonts w:hint="default" w:ascii="Times New Roman" w:hAnsi="Times New Roman" w:eastAsia="SimSun" w:cs="Times New Roman"/>
          <w:sz w:val="24"/>
          <w:szCs w:val="24"/>
          <w:lang w:val="en-GB"/>
        </w:rPr>
        <w:t>. Thesis (PhD). Limerick University.</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Chaplain, R. (2016) </w:t>
      </w:r>
      <w:r>
        <w:rPr>
          <w:rFonts w:hint="default" w:ascii="Times New Roman" w:hAnsi="Times New Roman" w:eastAsia="SimSun" w:cs="Times New Roman"/>
          <w:i/>
          <w:iCs/>
          <w:sz w:val="24"/>
          <w:szCs w:val="24"/>
          <w:lang w:val="en-GB"/>
        </w:rPr>
        <w:t>Teaching Without Disruption in the Primary School: A Practical Approach to Managing Pupil Behaviour, Second Edition.</w:t>
      </w:r>
      <w:r>
        <w:rPr>
          <w:rFonts w:hint="default" w:ascii="Times New Roman" w:hAnsi="Times New Roman" w:eastAsia="SimSun" w:cs="Times New Roman"/>
          <w:sz w:val="24"/>
          <w:szCs w:val="24"/>
          <w:lang w:val="en-GB"/>
        </w:rPr>
        <w:t xml:space="preserve"> Abingdon: Routledge. [e-book]. Available at: </w:t>
      </w:r>
      <w:r>
        <w:rPr>
          <w:rFonts w:hint="default" w:ascii="Times New Roman" w:hAnsi="Times New Roman" w:eastAsia="SimSun" w:cs="Times New Roman"/>
          <w:sz w:val="24"/>
          <w:szCs w:val="24"/>
          <w:lang w:val="en-GB"/>
        </w:rPr>
        <w:fldChar w:fldCharType="begin"/>
      </w:r>
      <w:r>
        <w:rPr>
          <w:rFonts w:hint="default" w:ascii="Times New Roman" w:hAnsi="Times New Roman" w:eastAsia="SimSun" w:cs="Times New Roman"/>
          <w:sz w:val="24"/>
          <w:szCs w:val="24"/>
          <w:lang w:val="en-GB"/>
        </w:rPr>
        <w:instrText xml:space="preserve"> HYPERLINK "https://books.google.co.uk/books?id=bWeaCwAAQBAJ&amp;pg=PA5&amp;dq=disruption+during+whole+class+teaching+in+schools&amp;hl=en&amp;sa=X&amp;ved=0ahUKEwjipIyN1K_aAhWOa8AKHfovBT0Q6wEIKzAA#v=onepage&amp;q=disruption%20during%20whole%20class%20teaching%20in%20schools&amp;f=false" </w:instrText>
      </w:r>
      <w:r>
        <w:rPr>
          <w:rFonts w:hint="default" w:ascii="Times New Roman" w:hAnsi="Times New Roman" w:eastAsia="SimSun" w:cs="Times New Roman"/>
          <w:sz w:val="24"/>
          <w:szCs w:val="24"/>
          <w:lang w:val="en-GB"/>
        </w:rPr>
        <w:fldChar w:fldCharType="separate"/>
      </w:r>
      <w:r>
        <w:rPr>
          <w:rStyle w:val="14"/>
          <w:rFonts w:hint="default" w:ascii="Times New Roman" w:hAnsi="Times New Roman" w:eastAsia="SimSun" w:cs="Times New Roman"/>
          <w:sz w:val="24"/>
          <w:szCs w:val="24"/>
          <w:lang w:val="en-GB"/>
        </w:rPr>
        <w:t>https://books.google.co.uk/books?id=bWeaCwAAQBAJ&amp;pg=PA5&amp;dq=disruption+during+whole+class+teaching+in+schools&amp;hl=en&amp;sa=X&amp;ved=0ahUKEwjipIyN1K_aAhWOa8AKHfovBT0Q6wEIKzAA#v=onepage&amp;q=disruption%20during%20whole%20class%20teaching%20in%20schools&amp;f=false</w:t>
      </w:r>
      <w:r>
        <w:rPr>
          <w:rFonts w:hint="default" w:ascii="Times New Roman" w:hAnsi="Times New Roman" w:eastAsia="SimSun" w:cs="Times New Roman"/>
          <w:sz w:val="24"/>
          <w:szCs w:val="24"/>
          <w:lang w:val="en-GB"/>
        </w:rPr>
        <w:fldChar w:fldCharType="end"/>
      </w:r>
      <w:r>
        <w:rPr>
          <w:rFonts w:hint="default" w:ascii="Times New Roman" w:hAnsi="Times New Roman" w:eastAsia="SimSun" w:cs="Times New Roman"/>
          <w:sz w:val="24"/>
          <w:szCs w:val="24"/>
          <w:lang w:val="en-GB"/>
        </w:rPr>
        <w:t xml:space="preserve"> [Accessed: 22</w:t>
      </w:r>
      <w:r>
        <w:rPr>
          <w:rFonts w:hint="default" w:ascii="Times New Roman" w:hAnsi="Times New Roman" w:eastAsia="SimSun" w:cs="Times New Roman"/>
          <w:sz w:val="24"/>
          <w:szCs w:val="24"/>
          <w:vertAlign w:val="superscript"/>
          <w:lang w:val="en-GB"/>
        </w:rPr>
        <w:t>nd</w:t>
      </w:r>
      <w:r>
        <w:rPr>
          <w:rFonts w:hint="default" w:ascii="Times New Roman" w:hAnsi="Times New Roman" w:eastAsia="SimSun" w:cs="Times New Roman"/>
          <w:sz w:val="24"/>
          <w:szCs w:val="24"/>
          <w:lang w:val="en-GB"/>
        </w:rPr>
        <w:t xml:space="preserve"> March 2018].</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eastAsia="Open Sans" w:cs="Times New Roman"/>
          <w:i w:val="0"/>
          <w:caps w:val="0"/>
          <w:color w:val="auto"/>
          <w:spacing w:val="0"/>
          <w:sz w:val="24"/>
          <w:szCs w:val="24"/>
          <w:shd w:val="clear" w:fill="FFFFFF"/>
          <w:lang w:val="en-GB"/>
        </w:rPr>
        <w:t xml:space="preserve">Charles, N. (2017) Carpet Teaching Areas in Primary Schools. [Blog].  </w:t>
      </w:r>
      <w:r>
        <w:rPr>
          <w:rFonts w:hint="default" w:ascii="Times New Roman" w:hAnsi="Times New Roman" w:eastAsia="Open Sans" w:cs="Times New Roman"/>
          <w:i/>
          <w:iCs/>
          <w:caps w:val="0"/>
          <w:color w:val="auto"/>
          <w:spacing w:val="0"/>
          <w:sz w:val="24"/>
          <w:szCs w:val="24"/>
          <w:shd w:val="clear" w:fill="FFFFFF"/>
          <w:lang w:val="en-GB"/>
        </w:rPr>
        <w:t>Primary Practice</w:t>
      </w:r>
      <w:r>
        <w:rPr>
          <w:rFonts w:hint="default" w:ascii="Times New Roman" w:hAnsi="Times New Roman" w:eastAsia="Open Sans" w:cs="Times New Roman"/>
          <w:i w:val="0"/>
          <w:caps w:val="0"/>
          <w:color w:val="auto"/>
          <w:spacing w:val="0"/>
          <w:sz w:val="24"/>
          <w:szCs w:val="24"/>
          <w:shd w:val="clear" w:fill="FFFFFF"/>
          <w:lang w:val="en-GB"/>
        </w:rPr>
        <w:t xml:space="preserve">. Available at: </w:t>
      </w:r>
      <w:r>
        <w:rPr>
          <w:rFonts w:hint="default" w:ascii="Times New Roman" w:hAnsi="Times New Roman" w:eastAsia="Open Sans" w:cs="Times New Roman"/>
          <w:i w:val="0"/>
          <w:caps w:val="0"/>
          <w:color w:val="auto"/>
          <w:spacing w:val="0"/>
          <w:sz w:val="24"/>
          <w:szCs w:val="24"/>
          <w:shd w:val="clear" w:fill="FFFFFF"/>
          <w:lang w:val="en-GB"/>
        </w:rPr>
        <w:fldChar w:fldCharType="begin"/>
      </w:r>
      <w:r>
        <w:rPr>
          <w:rFonts w:hint="default" w:ascii="Times New Roman" w:hAnsi="Times New Roman" w:eastAsia="Open Sans" w:cs="Times New Roman"/>
          <w:i w:val="0"/>
          <w:caps w:val="0"/>
          <w:color w:val="auto"/>
          <w:spacing w:val="0"/>
          <w:sz w:val="24"/>
          <w:szCs w:val="24"/>
          <w:shd w:val="clear" w:fill="FFFFFF"/>
          <w:lang w:val="en-GB"/>
        </w:rPr>
        <w:instrText xml:space="preserve"> HYPERLINK "http://primarypractice.co.uk/2017/05/08/carpet-teaching-areas-primary-schools/" </w:instrText>
      </w:r>
      <w:r>
        <w:rPr>
          <w:rFonts w:hint="default" w:ascii="Times New Roman" w:hAnsi="Times New Roman" w:eastAsia="Open Sans" w:cs="Times New Roman"/>
          <w:i w:val="0"/>
          <w:caps w:val="0"/>
          <w:color w:val="auto"/>
          <w:spacing w:val="0"/>
          <w:sz w:val="24"/>
          <w:szCs w:val="24"/>
          <w:shd w:val="clear" w:fill="FFFFFF"/>
          <w:lang w:val="en-GB"/>
        </w:rPr>
        <w:fldChar w:fldCharType="separate"/>
      </w:r>
      <w:r>
        <w:rPr>
          <w:rStyle w:val="14"/>
          <w:rFonts w:hint="default" w:ascii="Times New Roman" w:hAnsi="Times New Roman" w:eastAsia="Open Sans" w:cs="Times New Roman"/>
          <w:i w:val="0"/>
          <w:caps w:val="0"/>
          <w:spacing w:val="0"/>
          <w:sz w:val="24"/>
          <w:szCs w:val="24"/>
          <w:shd w:val="clear" w:fill="FFFFFF"/>
          <w:lang w:val="en-GB"/>
        </w:rPr>
        <w:t>http://primarypractice.co.uk/2017/05/08/carpet-teaching-areas-primary-schools/</w:t>
      </w:r>
      <w:r>
        <w:rPr>
          <w:rFonts w:hint="default" w:ascii="Times New Roman" w:hAnsi="Times New Roman" w:eastAsia="Open Sans" w:cs="Times New Roman"/>
          <w:i w:val="0"/>
          <w:caps w:val="0"/>
          <w:color w:val="auto"/>
          <w:spacing w:val="0"/>
          <w:sz w:val="24"/>
          <w:szCs w:val="24"/>
          <w:shd w:val="clear" w:fill="FFFFFF"/>
          <w:lang w:val="en-GB"/>
        </w:rPr>
        <w:fldChar w:fldCharType="end"/>
      </w:r>
      <w:r>
        <w:rPr>
          <w:rFonts w:hint="default" w:ascii="Times New Roman" w:hAnsi="Times New Roman" w:eastAsia="Open Sans" w:cs="Times New Roman"/>
          <w:i w:val="0"/>
          <w:caps w:val="0"/>
          <w:color w:val="auto"/>
          <w:spacing w:val="0"/>
          <w:sz w:val="24"/>
          <w:szCs w:val="24"/>
          <w:shd w:val="clear" w:fill="FFFFFF"/>
          <w:lang w:val="en-GB"/>
        </w:rPr>
        <w:t xml:space="preserve"> [Accessed: 24</w:t>
      </w:r>
      <w:r>
        <w:rPr>
          <w:rFonts w:hint="default" w:ascii="Times New Roman" w:hAnsi="Times New Roman" w:eastAsia="Open Sans" w:cs="Times New Roman"/>
          <w:i w:val="0"/>
          <w:caps w:val="0"/>
          <w:color w:val="auto"/>
          <w:spacing w:val="0"/>
          <w:sz w:val="24"/>
          <w:szCs w:val="24"/>
          <w:shd w:val="clear" w:fill="FFFFFF"/>
          <w:vertAlign w:val="superscript"/>
          <w:lang w:val="en-GB"/>
        </w:rPr>
        <w:t>th</w:t>
      </w:r>
      <w:r>
        <w:rPr>
          <w:rFonts w:hint="default" w:ascii="Times New Roman" w:hAnsi="Times New Roman" w:eastAsia="Open Sans" w:cs="Times New Roman"/>
          <w:i w:val="0"/>
          <w:caps w:val="0"/>
          <w:color w:val="auto"/>
          <w:spacing w:val="0"/>
          <w:sz w:val="24"/>
          <w:szCs w:val="24"/>
          <w:shd w:val="clear" w:fill="FFFFFF"/>
          <w:lang w:val="en-GB"/>
        </w:rPr>
        <w:t xml:space="preserve"> March 2018].</w:t>
      </w:r>
    </w:p>
    <w:p>
      <w:pPr>
        <w:jc w:val="both"/>
        <w:rPr>
          <w:rFonts w:hint="default" w:ascii="Times New Roman" w:hAnsi="Times New Roman" w:eastAsia="Open Sans" w:cs="Times New Roman"/>
          <w:i w:val="0"/>
          <w:caps w:val="0"/>
          <w:color w:val="auto"/>
          <w:spacing w:val="0"/>
          <w:sz w:val="24"/>
          <w:szCs w:val="24"/>
          <w:shd w:val="clear" w:fill="FFFFFF"/>
          <w:lang w:val="en-GB"/>
        </w:rPr>
      </w:pPr>
    </w:p>
    <w:p>
      <w:pPr>
        <w:pStyle w:val="11"/>
        <w:jc w:val="both"/>
        <w:rPr>
          <w:rFonts w:hint="default" w:ascii="Times New Roman" w:hAnsi="Times New Roman" w:eastAsia="Open Sans" w:cs="Times New Roman"/>
          <w:i w:val="0"/>
          <w:caps w:val="0"/>
          <w:color w:val="auto"/>
          <w:spacing w:val="0"/>
          <w:sz w:val="24"/>
          <w:szCs w:val="24"/>
          <w:shd w:val="clear" w:fill="FFFFFF"/>
          <w:lang w:val="en-GB"/>
        </w:rPr>
      </w:pPr>
      <w:r>
        <w:rPr>
          <w:rFonts w:hint="default" w:ascii="Times New Roman" w:hAnsi="Times New Roman" w:cs="Times New Roman"/>
          <w:b w:val="0"/>
          <w:bCs w:val="0"/>
          <w:color w:val="auto"/>
          <w:sz w:val="24"/>
          <w:szCs w:val="24"/>
          <w:lang w:val="en-GB"/>
        </w:rPr>
        <w:t xml:space="preserve">Chassels, C. and Melville, V. (2009) ‘Collaborative, Reflective and Iterative Japanese Lesson Study in an Initial Teacher Education Programme: Benefits and Challenges’, </w:t>
      </w:r>
      <w:r>
        <w:rPr>
          <w:rFonts w:hint="default" w:ascii="Times New Roman" w:hAnsi="Times New Roman" w:cs="Times New Roman"/>
          <w:b w:val="0"/>
          <w:bCs w:val="0"/>
          <w:i/>
          <w:iCs/>
          <w:color w:val="auto"/>
          <w:sz w:val="24"/>
          <w:szCs w:val="24"/>
          <w:lang w:val="en-GB"/>
        </w:rPr>
        <w:t>Canadian Journal of Education</w:t>
      </w:r>
      <w:r>
        <w:rPr>
          <w:rFonts w:hint="default" w:ascii="Times New Roman" w:hAnsi="Times New Roman" w:cs="Times New Roman"/>
          <w:b w:val="0"/>
          <w:bCs w:val="0"/>
          <w:color w:val="auto"/>
          <w:sz w:val="24"/>
          <w:szCs w:val="24"/>
          <w:lang w:val="en-GB"/>
        </w:rPr>
        <w:t>, Volume 32, Issue 4, pp.734-763.</w:t>
      </w:r>
    </w:p>
    <w:p>
      <w:pPr>
        <w:jc w:val="both"/>
        <w:rPr>
          <w:rFonts w:hint="default" w:ascii="Times New Roman" w:hAnsi="Times New Roman" w:eastAsia="Open Sans" w:cs="Times New Roman"/>
          <w:i w:val="0"/>
          <w:caps w:val="0"/>
          <w:color w:val="auto"/>
          <w:spacing w:val="0"/>
          <w:sz w:val="24"/>
          <w:szCs w:val="24"/>
          <w:shd w:val="clear" w:fill="FFFFFF"/>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David, M., Edwards, R. and Alldred, P. (2001) ‘Children and School-Based Research: ‘Informed Consent’ or ‘Educated Consent’?’, </w:t>
      </w:r>
      <w:r>
        <w:rPr>
          <w:rFonts w:hint="default" w:ascii="Times New Roman" w:hAnsi="Times New Roman" w:eastAsia="SimSun" w:cs="Times New Roman"/>
          <w:i/>
          <w:iCs/>
          <w:color w:val="auto"/>
          <w:sz w:val="24"/>
          <w:szCs w:val="24"/>
          <w:lang w:val="en-GB"/>
        </w:rPr>
        <w:t>British Educational Research Journal</w:t>
      </w:r>
      <w:r>
        <w:rPr>
          <w:rFonts w:hint="default" w:ascii="Times New Roman" w:hAnsi="Times New Roman" w:eastAsia="SimSun" w:cs="Times New Roman"/>
          <w:color w:val="auto"/>
          <w:sz w:val="24"/>
          <w:szCs w:val="24"/>
          <w:lang w:val="en-GB"/>
        </w:rPr>
        <w:t xml:space="preserve">, Volume 27, Issue 3, June, pp.347-365. </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Department for Education. (2010) </w:t>
      </w:r>
      <w:r>
        <w:rPr>
          <w:rFonts w:hint="default" w:ascii="Times New Roman" w:hAnsi="Times New Roman" w:eastAsia="SimSun" w:cs="Times New Roman"/>
          <w:i/>
          <w:iCs/>
          <w:color w:val="auto"/>
          <w:sz w:val="24"/>
          <w:szCs w:val="24"/>
          <w:lang w:val="en-GB"/>
        </w:rPr>
        <w:t xml:space="preserve">Improving Subject Pedagogy through Lesson Study: Handbook for Leading Teachers in Mathematics and English. </w:t>
      </w:r>
      <w:r>
        <w:rPr>
          <w:rFonts w:hint="default" w:ascii="Times New Roman" w:hAnsi="Times New Roman" w:eastAsia="SimSun" w:cs="Times New Roman"/>
          <w:color w:val="auto"/>
          <w:sz w:val="24"/>
          <w:szCs w:val="24"/>
          <w:lang w:val="en-GB"/>
        </w:rPr>
        <w:t>Nottingham: DCSF Publications.</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Department for Education and Skills. (2012) </w:t>
      </w:r>
      <w:r>
        <w:rPr>
          <w:rFonts w:hint="default" w:ascii="Times New Roman" w:hAnsi="Times New Roman" w:eastAsia="SimSun" w:cs="Times New Roman"/>
          <w:i/>
          <w:iCs/>
          <w:color w:val="auto"/>
          <w:sz w:val="24"/>
          <w:szCs w:val="24"/>
          <w:lang w:val="en-GB"/>
        </w:rPr>
        <w:t>Practical Approaches to Behaviour Management in the Classroom: A Handbook for Classroom Teachers in Primary Schools.</w:t>
      </w:r>
      <w:r>
        <w:rPr>
          <w:rFonts w:hint="default" w:ascii="Times New Roman" w:hAnsi="Times New Roman" w:eastAsia="SimSun" w:cs="Times New Roman"/>
          <w:color w:val="auto"/>
          <w:sz w:val="24"/>
          <w:szCs w:val="24"/>
          <w:lang w:val="en-GB"/>
        </w:rPr>
        <w:t xml:space="preserve"> Cardiff: Welsh Government.</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sz w:val="24"/>
          <w:szCs w:val="24"/>
          <w:lang w:val="en-GB"/>
        </w:rPr>
        <w:t xml:space="preserve">Donaldson, P.G.(2015) </w:t>
      </w:r>
      <w:r>
        <w:rPr>
          <w:rFonts w:hint="default" w:ascii="Times New Roman" w:hAnsi="Times New Roman" w:eastAsia="SimSun" w:cs="Times New Roman"/>
          <w:i/>
          <w:iCs/>
          <w:sz w:val="24"/>
          <w:szCs w:val="24"/>
          <w:lang w:val="en-GB"/>
        </w:rPr>
        <w:t>Successful Futures: Independent Review of Curriculum and Assessment Arrangements in Wales.</w:t>
      </w:r>
      <w:r>
        <w:rPr>
          <w:rFonts w:hint="default" w:ascii="Times New Roman" w:hAnsi="Times New Roman" w:eastAsia="SimSun" w:cs="Times New Roman"/>
          <w:sz w:val="24"/>
          <w:szCs w:val="24"/>
          <w:lang w:val="en-GB"/>
        </w:rPr>
        <w:t xml:space="preserve"> Cardiff: Welsh Assembly Government. </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color w:val="auto"/>
          <w:sz w:val="24"/>
          <w:szCs w:val="24"/>
          <w:lang w:val="en-GB"/>
        </w:rPr>
        <w:t xml:space="preserve">Dudley, P. (2014) ‘Lesson Study: A Handbook’ </w:t>
      </w:r>
      <w:r>
        <w:rPr>
          <w:rFonts w:hint="default" w:ascii="Times New Roman" w:hAnsi="Times New Roman" w:eastAsia="SimSun" w:cs="Times New Roman"/>
          <w:color w:val="auto"/>
          <w:sz w:val="24"/>
          <w:szCs w:val="24"/>
          <w:lang w:val="en-GB"/>
        </w:rPr>
        <w:fldChar w:fldCharType="begin"/>
      </w:r>
      <w:r>
        <w:rPr>
          <w:rFonts w:hint="default" w:ascii="Times New Roman" w:hAnsi="Times New Roman" w:eastAsia="SimSun" w:cs="Times New Roman"/>
          <w:color w:val="auto"/>
          <w:sz w:val="24"/>
          <w:szCs w:val="24"/>
          <w:lang w:val="en-GB"/>
        </w:rPr>
        <w:instrText xml:space="preserve"> HYPERLINK "http://lessonstudy.co.uk/wp-content/uploads/2012/03/new-handbook-revisedMay14.pdf" </w:instrText>
      </w:r>
      <w:r>
        <w:rPr>
          <w:rFonts w:hint="default" w:ascii="Times New Roman" w:hAnsi="Times New Roman" w:eastAsia="SimSun" w:cs="Times New Roman"/>
          <w:color w:val="auto"/>
          <w:sz w:val="24"/>
          <w:szCs w:val="24"/>
          <w:lang w:val="en-GB"/>
        </w:rPr>
        <w:fldChar w:fldCharType="separate"/>
      </w:r>
      <w:r>
        <w:rPr>
          <w:rStyle w:val="14"/>
          <w:rFonts w:hint="default" w:ascii="Times New Roman" w:hAnsi="Times New Roman" w:eastAsia="SimSun" w:cs="Times New Roman"/>
          <w:sz w:val="24"/>
          <w:szCs w:val="24"/>
          <w:lang w:val="en-GB"/>
        </w:rPr>
        <w:t>http://lessonstudy.co.uk/wp-content/uploads/2012/03/new-handbook-revisedMay14.pdf</w:t>
      </w:r>
      <w:r>
        <w:rPr>
          <w:rFonts w:hint="default" w:ascii="Times New Roman" w:hAnsi="Times New Roman" w:eastAsia="SimSun" w:cs="Times New Roman"/>
          <w:color w:val="auto"/>
          <w:sz w:val="24"/>
          <w:szCs w:val="24"/>
          <w:lang w:val="en-GB"/>
        </w:rPr>
        <w:fldChar w:fldCharType="end"/>
      </w:r>
      <w:r>
        <w:rPr>
          <w:rFonts w:hint="default" w:ascii="Times New Roman" w:hAnsi="Times New Roman" w:eastAsia="SimSun" w:cs="Times New Roman"/>
          <w:color w:val="auto"/>
          <w:sz w:val="24"/>
          <w:szCs w:val="24"/>
          <w:lang w:val="en-GB"/>
        </w:rPr>
        <w:t xml:space="preserve"> [Accessed: 1</w:t>
      </w:r>
      <w:r>
        <w:rPr>
          <w:rFonts w:hint="default" w:ascii="Times New Roman" w:hAnsi="Times New Roman" w:eastAsia="SimSun" w:cs="Times New Roman"/>
          <w:color w:val="auto"/>
          <w:sz w:val="24"/>
          <w:szCs w:val="24"/>
          <w:vertAlign w:val="superscript"/>
          <w:lang w:val="en-GB"/>
        </w:rPr>
        <w:t>st</w:t>
      </w:r>
      <w:r>
        <w:rPr>
          <w:rFonts w:hint="default" w:ascii="Times New Roman" w:hAnsi="Times New Roman" w:eastAsia="SimSun" w:cs="Times New Roman"/>
          <w:color w:val="auto"/>
          <w:sz w:val="24"/>
          <w:szCs w:val="24"/>
          <w:lang w:val="en-GB"/>
        </w:rPr>
        <w:t xml:space="preserve"> April 2018].</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Dudley, P. (2015) </w:t>
      </w:r>
      <w:r>
        <w:rPr>
          <w:rFonts w:hint="default" w:ascii="Times New Roman" w:hAnsi="Times New Roman" w:eastAsia="SimSun" w:cs="Times New Roman"/>
          <w:i/>
          <w:iCs/>
          <w:sz w:val="24"/>
          <w:szCs w:val="24"/>
          <w:lang w:val="en-GB"/>
        </w:rPr>
        <w:t xml:space="preserve">Lesson Study: Professional Learning for Our Time. </w:t>
      </w:r>
      <w:r>
        <w:rPr>
          <w:rFonts w:hint="default" w:ascii="Times New Roman" w:hAnsi="Times New Roman" w:eastAsia="SimSun" w:cs="Times New Roman"/>
          <w:sz w:val="24"/>
          <w:szCs w:val="24"/>
          <w:lang w:val="en-GB"/>
        </w:rPr>
        <w:t>Abingdon: Routledge.</w:t>
      </w:r>
    </w:p>
    <w:p>
      <w:pPr>
        <w:jc w:val="both"/>
        <w:rPr>
          <w:rFonts w:hint="default" w:ascii="Times New Roman" w:hAnsi="Times New Roman" w:eastAsia="SimSun" w:cs="Times New Roman"/>
          <w:sz w:val="24"/>
          <w:szCs w:val="24"/>
          <w:lang w:val="en-GB"/>
        </w:rPr>
      </w:pPr>
    </w:p>
    <w:p>
      <w:pPr>
        <w:spacing w:line="240" w:lineRule="auto"/>
        <w:jc w:val="both"/>
        <w:rPr>
          <w:rFonts w:hint="default" w:ascii="Times New Roman" w:hAnsi="Times New Roman" w:eastAsia="SimSun" w:cs="Times New Roman"/>
          <w:sz w:val="24"/>
          <w:szCs w:val="24"/>
          <w:lang w:val="en-GB"/>
        </w:rPr>
      </w:pPr>
      <w:r>
        <w:rPr>
          <w:rFonts w:hint="default" w:ascii="Times New Roman" w:hAnsi="Times New Roman" w:cs="Times New Roman"/>
          <w:b w:val="0"/>
          <w:bCs w:val="0"/>
          <w:color w:val="auto"/>
          <w:sz w:val="24"/>
          <w:szCs w:val="24"/>
          <w:highlight w:val="none"/>
          <w:lang w:val="en-GB"/>
        </w:rPr>
        <w:t xml:space="preserve">Early Learning HQ. (2018) ‘Ferre Leavers Emotional Well-Being and Involvement Scales’ </w:t>
      </w:r>
      <w:r>
        <w:rPr>
          <w:rFonts w:hint="default" w:ascii="Times New Roman" w:hAnsi="Times New Roman" w:cs="Times New Roman"/>
          <w:b w:val="0"/>
          <w:bCs w:val="0"/>
          <w:color w:val="auto"/>
          <w:sz w:val="24"/>
          <w:szCs w:val="24"/>
          <w:highlight w:val="none"/>
          <w:lang w:val="en-GB"/>
        </w:rPr>
        <w:fldChar w:fldCharType="begin"/>
      </w:r>
      <w:r>
        <w:rPr>
          <w:rFonts w:hint="default" w:ascii="Times New Roman" w:hAnsi="Times New Roman" w:cs="Times New Roman"/>
          <w:b w:val="0"/>
          <w:bCs w:val="0"/>
          <w:color w:val="auto"/>
          <w:sz w:val="24"/>
          <w:szCs w:val="24"/>
          <w:highlight w:val="none"/>
          <w:lang w:val="en-GB"/>
        </w:rPr>
        <w:instrText xml:space="preserve"> HYPERLINK "https://www.earlylearninghq.org.uk/earlylearninghq-blog/the-leuven-well-being-and-involvement-scales/" </w:instrText>
      </w:r>
      <w:r>
        <w:rPr>
          <w:rFonts w:hint="default" w:ascii="Times New Roman" w:hAnsi="Times New Roman" w:cs="Times New Roman"/>
          <w:b w:val="0"/>
          <w:bCs w:val="0"/>
          <w:color w:val="auto"/>
          <w:sz w:val="24"/>
          <w:szCs w:val="24"/>
          <w:highlight w:val="none"/>
          <w:lang w:val="en-GB"/>
        </w:rPr>
        <w:fldChar w:fldCharType="separate"/>
      </w:r>
      <w:r>
        <w:rPr>
          <w:rStyle w:val="14"/>
          <w:rFonts w:hint="default" w:ascii="Times New Roman" w:hAnsi="Times New Roman" w:cs="Times New Roman"/>
          <w:b w:val="0"/>
          <w:bCs w:val="0"/>
          <w:sz w:val="24"/>
          <w:szCs w:val="24"/>
          <w:highlight w:val="none"/>
          <w:lang w:val="en-GB"/>
        </w:rPr>
        <w:t>https://www.earlylearninghq.org.uk/earlylearninghq-blog/the-leuven-well-being-and-involvement-scales/</w:t>
      </w:r>
      <w:r>
        <w:rPr>
          <w:rFonts w:hint="default" w:ascii="Times New Roman" w:hAnsi="Times New Roman" w:cs="Times New Roman"/>
          <w:b w:val="0"/>
          <w:bCs w:val="0"/>
          <w:color w:val="auto"/>
          <w:sz w:val="24"/>
          <w:szCs w:val="24"/>
          <w:highlight w:val="none"/>
          <w:lang w:val="en-GB"/>
        </w:rPr>
        <w:fldChar w:fldCharType="end"/>
      </w:r>
      <w:r>
        <w:rPr>
          <w:rFonts w:hint="default" w:ascii="Times New Roman" w:hAnsi="Times New Roman" w:cs="Times New Roman"/>
          <w:b w:val="0"/>
          <w:bCs w:val="0"/>
          <w:color w:val="auto"/>
          <w:sz w:val="24"/>
          <w:szCs w:val="24"/>
          <w:highlight w:val="none"/>
          <w:lang w:val="en-GB"/>
        </w:rPr>
        <w:t xml:space="preserve"> [Accessed: 27</w:t>
      </w:r>
      <w:r>
        <w:rPr>
          <w:rFonts w:hint="default" w:ascii="Times New Roman" w:hAnsi="Times New Roman" w:cs="Times New Roman"/>
          <w:b w:val="0"/>
          <w:bCs w:val="0"/>
          <w:color w:val="auto"/>
          <w:sz w:val="24"/>
          <w:szCs w:val="24"/>
          <w:highlight w:val="none"/>
          <w:vertAlign w:val="superscript"/>
          <w:lang w:val="en-GB"/>
        </w:rPr>
        <w:t>th</w:t>
      </w:r>
      <w:r>
        <w:rPr>
          <w:rFonts w:hint="default" w:ascii="Times New Roman" w:hAnsi="Times New Roman" w:cs="Times New Roman"/>
          <w:b w:val="0"/>
          <w:bCs w:val="0"/>
          <w:color w:val="auto"/>
          <w:sz w:val="24"/>
          <w:szCs w:val="24"/>
          <w:highlight w:val="none"/>
          <w:lang w:val="en-GB"/>
        </w:rPr>
        <w:t xml:space="preserve"> March 2018].</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color w:val="auto"/>
          <w:sz w:val="24"/>
          <w:szCs w:val="24"/>
          <w:lang w:val="en-GB"/>
        </w:rPr>
      </w:pPr>
      <w:r>
        <w:rPr>
          <w:rFonts w:hint="default" w:ascii="Times New Roman" w:hAnsi="Times New Roman" w:eastAsia="SimSun" w:cs="Times New Roman"/>
          <w:i w:val="0"/>
          <w:caps w:val="0"/>
          <w:color w:val="auto"/>
          <w:spacing w:val="0"/>
          <w:sz w:val="24"/>
          <w:szCs w:val="24"/>
          <w:shd w:val="clear" w:fill="FFFFFF"/>
          <w:lang w:val="en-GB"/>
        </w:rPr>
        <w:t xml:space="preserve">Ester, B. (2010) ‘Praise and Reward’, </w:t>
      </w:r>
      <w:r>
        <w:rPr>
          <w:rFonts w:hint="default" w:ascii="Times New Roman" w:hAnsi="Times New Roman" w:eastAsia="SimSun" w:cs="Times New Roman"/>
          <w:i/>
          <w:iCs/>
          <w:caps w:val="0"/>
          <w:color w:val="auto"/>
          <w:spacing w:val="0"/>
          <w:sz w:val="24"/>
          <w:szCs w:val="24"/>
          <w:shd w:val="clear" w:fill="FFFFFF"/>
          <w:lang w:val="en-GB"/>
        </w:rPr>
        <w:t>ESSAI,</w:t>
      </w:r>
      <w:r>
        <w:rPr>
          <w:rFonts w:hint="default" w:ascii="Times New Roman" w:hAnsi="Times New Roman" w:eastAsia="SimSun" w:cs="Times New Roman"/>
          <w:i w:val="0"/>
          <w:caps w:val="0"/>
          <w:color w:val="auto"/>
          <w:spacing w:val="0"/>
          <w:sz w:val="24"/>
          <w:szCs w:val="24"/>
          <w:shd w:val="clear" w:fill="FFFFFF"/>
          <w:lang w:val="en-GB"/>
        </w:rPr>
        <w:t xml:space="preserve"> Volume 7,Issue 19, September, pp.48-51.</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Estyn. (2015) ‘A Report on </w:t>
      </w:r>
      <w:r>
        <w:rPr>
          <w:rFonts w:hint="default" w:ascii="Times New Roman" w:hAnsi="Times New Roman" w:cs="Times New Roman"/>
          <w:sz w:val="24"/>
          <w:szCs w:val="24"/>
          <w:highlight w:val="black"/>
          <w:lang w:val="en-GB"/>
        </w:rPr>
        <w:t>Caerau</w:t>
      </w:r>
      <w:r>
        <w:rPr>
          <w:rFonts w:hint="default" w:ascii="Times New Roman" w:hAnsi="Times New Roman" w:cs="Times New Roman"/>
          <w:sz w:val="24"/>
          <w:szCs w:val="24"/>
          <w:lang w:val="en-GB"/>
        </w:rPr>
        <w:t xml:space="preserve"> Primary School’ </w:t>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HYPERLINK "https://www.estyn.gov.wales/sites/default/files/documents/Inspection%20report%20Caerau%20Primary%20School%202015%20%28English%20only%29%20.pdf.pdf.pdf.pdf.pdf.pdf.pdf.pdf.pdf.pdf.pdf.pdf.pdf.pdf.pdf.pdf.pdf.pdf.pdf.pdf" </w:instrText>
      </w:r>
      <w:r>
        <w:rPr>
          <w:rFonts w:hint="default" w:ascii="Times New Roman" w:hAnsi="Times New Roman" w:cs="Times New Roman"/>
          <w:sz w:val="24"/>
          <w:szCs w:val="24"/>
          <w:lang w:val="en-GB"/>
        </w:rPr>
        <w:fldChar w:fldCharType="separate"/>
      </w:r>
      <w:r>
        <w:rPr>
          <w:rStyle w:val="14"/>
          <w:rFonts w:hint="default" w:ascii="Times New Roman" w:hAnsi="Times New Roman" w:cs="Times New Roman"/>
          <w:sz w:val="24"/>
          <w:szCs w:val="24"/>
          <w:lang w:val="en-GB"/>
        </w:rPr>
        <w:t>https://www.estyn.gov.wales/sites/default/files/documents/Inspection%20report%20</w:t>
      </w:r>
      <w:r>
        <w:rPr>
          <w:rStyle w:val="14"/>
          <w:rFonts w:hint="default" w:ascii="Times New Roman" w:hAnsi="Times New Roman" w:cs="Times New Roman"/>
          <w:color w:val="auto"/>
          <w:sz w:val="24"/>
          <w:szCs w:val="24"/>
          <w:highlight w:val="black"/>
          <w:lang w:val="en-GB"/>
        </w:rPr>
        <w:t>Caerau</w:t>
      </w:r>
      <w:r>
        <w:rPr>
          <w:rStyle w:val="14"/>
          <w:rFonts w:hint="default" w:ascii="Times New Roman" w:hAnsi="Times New Roman" w:cs="Times New Roman"/>
          <w:sz w:val="24"/>
          <w:szCs w:val="24"/>
          <w:lang w:val="en-GB"/>
        </w:rPr>
        <w:t>%20Primary%20School%202015%20%28English%20only%29%20.pdf.pdf.pdf.pdf.pdf.pdf.pdf.pdf.pdf.pdf.pdf.pdf.pdf.pdf.pdf.pdf.pdf.pdf.pdf.pdf</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t xml:space="preserve"> [Accessed: 27</w:t>
      </w:r>
      <w:r>
        <w:rPr>
          <w:rFonts w:hint="default" w:ascii="Times New Roman" w:hAnsi="Times New Roman" w:cs="Times New Roman"/>
          <w:sz w:val="24"/>
          <w:szCs w:val="24"/>
          <w:vertAlign w:val="superscript"/>
          <w:lang w:val="en-GB"/>
        </w:rPr>
        <w:t>th</w:t>
      </w:r>
      <w:r>
        <w:rPr>
          <w:rFonts w:hint="default" w:ascii="Times New Roman" w:hAnsi="Times New Roman" w:cs="Times New Roman"/>
          <w:sz w:val="24"/>
          <w:szCs w:val="24"/>
          <w:lang w:val="en-GB"/>
        </w:rPr>
        <w:t xml:space="preserve"> March 2018].</w:t>
      </w:r>
    </w:p>
    <w:p>
      <w:pPr>
        <w:jc w:val="both"/>
        <w:rPr>
          <w:rFonts w:hint="default" w:ascii="Times New Roman" w:hAnsi="Times New Roma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Estyn. (2017) ‘An Inspection on </w:t>
      </w:r>
      <w:r>
        <w:rPr>
          <w:rFonts w:hint="default" w:ascii="Times New Roman" w:hAnsi="Times New Roman" w:cs="Times New Roman"/>
          <w:sz w:val="24"/>
          <w:szCs w:val="24"/>
          <w:highlight w:val="black"/>
          <w:lang w:val="en-GB"/>
        </w:rPr>
        <w:t>Alderman Davies C.I.W</w:t>
      </w:r>
      <w:r>
        <w:rPr>
          <w:rFonts w:hint="default" w:ascii="Times New Roman" w:hAnsi="Times New Roman" w:cs="Times New Roman"/>
          <w:sz w:val="24"/>
          <w:szCs w:val="24"/>
          <w:lang w:val="en-GB"/>
        </w:rPr>
        <w:t xml:space="preserve"> School’ </w:t>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HYPERLINK "https://www.estyn.gov.wales/sites/default/files/documents/Alderman%20Davies%20C.I.W.%20School.pdf" </w:instrText>
      </w:r>
      <w:r>
        <w:rPr>
          <w:rFonts w:hint="default" w:ascii="Times New Roman" w:hAnsi="Times New Roman" w:cs="Times New Roman"/>
          <w:sz w:val="24"/>
          <w:szCs w:val="24"/>
          <w:lang w:val="en-GB"/>
        </w:rPr>
        <w:fldChar w:fldCharType="separate"/>
      </w:r>
      <w:r>
        <w:rPr>
          <w:rStyle w:val="14"/>
          <w:rFonts w:hint="default" w:ascii="Times New Roman" w:hAnsi="Times New Roman" w:cs="Times New Roman"/>
          <w:sz w:val="24"/>
          <w:szCs w:val="24"/>
          <w:lang w:val="en-GB"/>
        </w:rPr>
        <w:t>https://www.estyn.gov.wales/sites/default/files/documents/</w:t>
      </w:r>
      <w:r>
        <w:rPr>
          <w:rStyle w:val="14"/>
          <w:rFonts w:hint="default" w:ascii="Times New Roman" w:hAnsi="Times New Roman" w:cs="Times New Roman"/>
          <w:color w:val="auto"/>
          <w:sz w:val="24"/>
          <w:szCs w:val="24"/>
          <w:highlight w:val="black"/>
          <w:lang w:val="en-GB"/>
        </w:rPr>
        <w:t>Alderman%20Davie</w:t>
      </w:r>
      <w:r>
        <w:rPr>
          <w:rStyle w:val="14"/>
          <w:rFonts w:hint="default" w:ascii="Times New Roman" w:hAnsi="Times New Roman" w:cs="Times New Roman"/>
          <w:sz w:val="24"/>
          <w:szCs w:val="24"/>
          <w:lang w:val="en-GB"/>
        </w:rPr>
        <w:t>s%20C.I.W.%20School.pdf</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t xml:space="preserve"> [Accessed: 27</w:t>
      </w:r>
      <w:r>
        <w:rPr>
          <w:rFonts w:hint="default" w:ascii="Times New Roman" w:hAnsi="Times New Roman" w:cs="Times New Roman"/>
          <w:sz w:val="24"/>
          <w:szCs w:val="24"/>
          <w:vertAlign w:val="superscript"/>
          <w:lang w:val="en-GB"/>
        </w:rPr>
        <w:t>th</w:t>
      </w:r>
      <w:r>
        <w:rPr>
          <w:rFonts w:hint="default" w:ascii="Times New Roman" w:hAnsi="Times New Roman" w:cs="Times New Roman"/>
          <w:sz w:val="24"/>
          <w:szCs w:val="24"/>
          <w:lang w:val="en-GB"/>
        </w:rPr>
        <w:t xml:space="preserve"> March 2018].</w:t>
      </w:r>
    </w:p>
    <w:p>
      <w:pPr>
        <w:jc w:val="both"/>
        <w:rPr>
          <w:rFonts w:hint="default" w:ascii="Times New Roman" w:hAnsi="Times New Roma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Galton, M. (2017)</w:t>
      </w:r>
      <w:r>
        <w:rPr>
          <w:rFonts w:hint="default" w:ascii="Times New Roman" w:hAnsi="Times New Roman" w:eastAsia="SimSun" w:cs="Times New Roman"/>
          <w:i/>
          <w:iCs/>
          <w:sz w:val="24"/>
          <w:szCs w:val="24"/>
          <w:lang w:val="en-GB"/>
        </w:rPr>
        <w:t xml:space="preserve"> Teaching in the Primary School</w:t>
      </w:r>
      <w:r>
        <w:rPr>
          <w:rFonts w:hint="default" w:ascii="Times New Roman" w:hAnsi="Times New Roman" w:eastAsia="SimSun" w:cs="Times New Roman"/>
          <w:sz w:val="24"/>
          <w:szCs w:val="24"/>
          <w:lang w:val="en-GB"/>
        </w:rPr>
        <w:t>. Abingdon: Routledge.</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color w:val="auto"/>
          <w:sz w:val="24"/>
          <w:szCs w:val="24"/>
          <w:lang w:val="en-GB"/>
        </w:rPr>
        <w:t xml:space="preserve">Graduate School of Education. (2014) ‘Guidance Booklet: Using a Lesson Study Approach for Developing the Teaching of Pupils with Special Educational Needs/Disabilities’ </w:t>
      </w:r>
      <w:r>
        <w:rPr>
          <w:rFonts w:hint="default" w:ascii="Times New Roman" w:hAnsi="Times New Roman" w:eastAsia="SimSun" w:cs="Times New Roman"/>
          <w:color w:val="0000FF"/>
          <w:sz w:val="24"/>
          <w:szCs w:val="24"/>
          <w:lang w:val="en-GB"/>
        </w:rPr>
        <w:fldChar w:fldCharType="begin"/>
      </w:r>
      <w:r>
        <w:rPr>
          <w:rFonts w:hint="default" w:ascii="Times New Roman" w:hAnsi="Times New Roman" w:eastAsia="SimSun" w:cs="Times New Roman"/>
          <w:color w:val="0000FF"/>
          <w:sz w:val="24"/>
          <w:szCs w:val="24"/>
          <w:lang w:val="en-GB"/>
        </w:rPr>
        <w:instrText xml:space="preserve"> HYPERLINK "https://moodle.uwtsd.ac.uk/pluginfile.php/133345/mod_resource/content/1/Lesson%20Study%20GUIDE%20BOOKLET%20.pdf" </w:instrText>
      </w:r>
      <w:r>
        <w:rPr>
          <w:rFonts w:hint="default" w:ascii="Times New Roman" w:hAnsi="Times New Roman" w:eastAsia="SimSun" w:cs="Times New Roman"/>
          <w:color w:val="0000FF"/>
          <w:sz w:val="24"/>
          <w:szCs w:val="24"/>
          <w:lang w:val="en-GB"/>
        </w:rPr>
        <w:fldChar w:fldCharType="separate"/>
      </w:r>
      <w:r>
        <w:rPr>
          <w:rStyle w:val="14"/>
          <w:rFonts w:hint="default" w:ascii="Times New Roman" w:hAnsi="Times New Roman" w:eastAsia="SimSun" w:cs="Times New Roman"/>
          <w:color w:val="0000FF"/>
          <w:sz w:val="24"/>
          <w:szCs w:val="24"/>
          <w:lang w:val="en-GB"/>
        </w:rPr>
        <w:t>https://moodle.uwtsd.ac.uk/pluginfile.php/133345/mod_resource/content/1/Lesson%20Study%20GUIDE%20BOOKLET%20.pdf</w:t>
      </w:r>
      <w:r>
        <w:rPr>
          <w:rFonts w:hint="default" w:ascii="Times New Roman" w:hAnsi="Times New Roman" w:eastAsia="SimSun" w:cs="Times New Roman"/>
          <w:color w:val="0000FF"/>
          <w:sz w:val="24"/>
          <w:szCs w:val="24"/>
          <w:lang w:val="en-GB"/>
        </w:rPr>
        <w:fldChar w:fldCharType="end"/>
      </w:r>
      <w:r>
        <w:rPr>
          <w:rFonts w:hint="default" w:ascii="Times New Roman" w:hAnsi="Times New Roman" w:eastAsia="SimSun" w:cs="Times New Roman"/>
          <w:color w:val="0000FF"/>
          <w:sz w:val="24"/>
          <w:szCs w:val="24"/>
          <w:lang w:val="en-GB"/>
        </w:rPr>
        <w:t xml:space="preserve"> </w:t>
      </w:r>
      <w:r>
        <w:rPr>
          <w:rFonts w:hint="default" w:ascii="Times New Roman" w:hAnsi="Times New Roman" w:eastAsia="SimSun" w:cs="Times New Roman"/>
          <w:color w:val="auto"/>
          <w:sz w:val="24"/>
          <w:szCs w:val="24"/>
          <w:lang w:val="en-GB"/>
        </w:rPr>
        <w:t>[Accessed: 24</w:t>
      </w:r>
      <w:r>
        <w:rPr>
          <w:rFonts w:hint="default" w:ascii="Times New Roman" w:hAnsi="Times New Roman" w:eastAsia="SimSun" w:cs="Times New Roman"/>
          <w:color w:val="auto"/>
          <w:sz w:val="24"/>
          <w:szCs w:val="24"/>
          <w:vertAlign w:val="superscript"/>
          <w:lang w:val="en-GB"/>
        </w:rPr>
        <w:t>th</w:t>
      </w:r>
      <w:r>
        <w:rPr>
          <w:rFonts w:hint="default" w:ascii="Times New Roman" w:hAnsi="Times New Roman" w:eastAsia="SimSun" w:cs="Times New Roman"/>
          <w:color w:val="auto"/>
          <w:sz w:val="24"/>
          <w:szCs w:val="24"/>
          <w:lang w:val="en-GB"/>
        </w:rPr>
        <w:t xml:space="preserve"> March 2018].</w:t>
      </w:r>
    </w:p>
    <w:p>
      <w:pPr>
        <w:jc w:val="both"/>
        <w:rPr>
          <w:rFonts w:hint="default" w:ascii="Times New Roman" w:hAnsi="Times New Roma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Great Britain: Data Protection Act (1998) Chapter 29. London, Her Majesty Stationary Office. </w:t>
      </w:r>
    </w:p>
    <w:p>
      <w:pPr>
        <w:jc w:val="both"/>
        <w:rPr>
          <w:rFonts w:hint="default" w:ascii="Times New Roman" w:hAnsi="Times New Roman" w:cs="Times New Roman"/>
          <w:sz w:val="24"/>
          <w:szCs w:val="24"/>
          <w:lang w:val="en-GB"/>
        </w:rPr>
      </w:pPr>
    </w:p>
    <w:p>
      <w:pPr>
        <w:jc w:val="both"/>
        <w:rPr>
          <w:rFonts w:hint="default" w:ascii="Times New Roman" w:hAnsi="Times New Roman" w:eastAsia="SimSun" w:cs="Times New Roman"/>
          <w:color w:val="1822F5"/>
          <w:sz w:val="24"/>
          <w:szCs w:val="24"/>
          <w:lang w:val="en-GB"/>
        </w:rPr>
      </w:pPr>
      <w:r>
        <w:rPr>
          <w:rFonts w:hint="default" w:ascii="Times New Roman" w:hAnsi="Times New Roman" w:eastAsia="SimSun" w:cs="Times New Roman"/>
          <w:color w:val="auto"/>
          <w:sz w:val="24"/>
          <w:szCs w:val="24"/>
          <w:lang w:val="en-GB"/>
        </w:rPr>
        <w:t xml:space="preserve">Grigg, R. and Lewis, H. (no date) ‘Is Reflective Practice Worth all the Effort?’ </w:t>
      </w:r>
      <w:r>
        <w:rPr>
          <w:rFonts w:hint="default" w:ascii="Times New Roman" w:hAnsi="Times New Roman" w:eastAsia="SimSun" w:cs="Times New Roman"/>
          <w:color w:val="1822F5"/>
          <w:sz w:val="24"/>
          <w:szCs w:val="24"/>
          <w:lang w:val="en-GB"/>
        </w:rPr>
        <w:fldChar w:fldCharType="begin"/>
      </w:r>
      <w:r>
        <w:rPr>
          <w:rFonts w:hint="default" w:ascii="Times New Roman" w:hAnsi="Times New Roman" w:eastAsia="SimSun" w:cs="Times New Roman"/>
          <w:color w:val="1822F5"/>
          <w:sz w:val="24"/>
          <w:szCs w:val="24"/>
          <w:lang w:val="en-GB"/>
        </w:rPr>
        <w:instrText xml:space="preserve"> HYPERLINK "https://moodle.uwtsd.ac.uk/pluginfile.php/133362/mod_resource/content/1/Is%20reflective%20practice%20worth%20all%20the%20effort.pdf" </w:instrText>
      </w:r>
      <w:r>
        <w:rPr>
          <w:rFonts w:hint="default" w:ascii="Times New Roman" w:hAnsi="Times New Roman" w:eastAsia="SimSun" w:cs="Times New Roman"/>
          <w:color w:val="1822F5"/>
          <w:sz w:val="24"/>
          <w:szCs w:val="24"/>
          <w:lang w:val="en-GB"/>
        </w:rPr>
        <w:fldChar w:fldCharType="separate"/>
      </w:r>
      <w:r>
        <w:rPr>
          <w:rStyle w:val="14"/>
          <w:rFonts w:hint="default" w:ascii="Times New Roman" w:hAnsi="Times New Roman" w:eastAsia="SimSun" w:cs="Times New Roman"/>
          <w:color w:val="1822F5"/>
          <w:sz w:val="24"/>
          <w:szCs w:val="24"/>
          <w:lang w:val="en-GB"/>
        </w:rPr>
        <w:t>https://moodle.uwtsd.ac.uk/pluginfile.php/133362/mod_resource/content/1/Is%20reflective%20practice%20worth%20all%20the%20effort.pdf</w:t>
      </w:r>
      <w:r>
        <w:rPr>
          <w:rFonts w:hint="default" w:ascii="Times New Roman" w:hAnsi="Times New Roman" w:eastAsia="SimSun" w:cs="Times New Roman"/>
          <w:color w:val="1822F5"/>
          <w:sz w:val="24"/>
          <w:szCs w:val="24"/>
          <w:lang w:val="en-GB"/>
        </w:rPr>
        <w:fldChar w:fldCharType="end"/>
      </w:r>
      <w:r>
        <w:rPr>
          <w:rFonts w:hint="default" w:ascii="Times New Roman" w:hAnsi="Times New Roman" w:eastAsia="SimSun" w:cs="Times New Roman"/>
          <w:color w:val="1822F5"/>
          <w:sz w:val="24"/>
          <w:szCs w:val="24"/>
          <w:lang w:val="en-GB"/>
        </w:rPr>
        <w:t xml:space="preserve"> </w:t>
      </w:r>
      <w:r>
        <w:rPr>
          <w:rFonts w:hint="default" w:ascii="Times New Roman" w:hAnsi="Times New Roman" w:eastAsia="SimSun" w:cs="Times New Roman"/>
          <w:color w:val="auto"/>
          <w:sz w:val="24"/>
          <w:szCs w:val="24"/>
          <w:lang w:val="en-GB"/>
        </w:rPr>
        <w:t>[Accessed: 25</w:t>
      </w:r>
      <w:r>
        <w:rPr>
          <w:rFonts w:hint="default" w:ascii="Times New Roman" w:hAnsi="Times New Roman" w:eastAsia="SimSun" w:cs="Times New Roman"/>
          <w:color w:val="auto"/>
          <w:sz w:val="24"/>
          <w:szCs w:val="24"/>
          <w:vertAlign w:val="superscript"/>
          <w:lang w:val="en-GB"/>
        </w:rPr>
        <w:t>th</w:t>
      </w:r>
      <w:r>
        <w:rPr>
          <w:rFonts w:hint="default" w:ascii="Times New Roman" w:hAnsi="Times New Roman" w:eastAsia="SimSun" w:cs="Times New Roman"/>
          <w:color w:val="auto"/>
          <w:sz w:val="24"/>
          <w:szCs w:val="24"/>
          <w:lang w:val="en-GB"/>
        </w:rPr>
        <w:t xml:space="preserve"> March 2018].</w:t>
      </w:r>
    </w:p>
    <w:p>
      <w:pPr>
        <w:jc w:val="both"/>
        <w:rPr>
          <w:rFonts w:hint="default" w:ascii="Times New Roman" w:hAnsi="Times New Roman" w:cs="Times New Roman"/>
          <w:sz w:val="24"/>
          <w:szCs w:val="24"/>
          <w:lang w:val="en-GB"/>
        </w:rPr>
      </w:pPr>
    </w:p>
    <w:p>
      <w:pPr>
        <w:pStyle w:val="11"/>
        <w:jc w:val="both"/>
        <w:rPr>
          <w:rFonts w:hint="default" w:ascii="Times New Roman" w:hAnsi="Times New Roman" w:cs="Times New Roman"/>
          <w:b w:val="0"/>
          <w:bCs w:val="0"/>
          <w:color w:val="auto"/>
          <w:sz w:val="24"/>
          <w:szCs w:val="24"/>
          <w:lang w:val="en-GB"/>
        </w:rPr>
      </w:pPr>
      <w:r>
        <w:rPr>
          <w:rFonts w:hint="default" w:ascii="Times New Roman" w:hAnsi="Times New Roman" w:cs="Times New Roman"/>
          <w:b w:val="0"/>
          <w:bCs w:val="0"/>
          <w:color w:val="auto"/>
          <w:sz w:val="24"/>
          <w:szCs w:val="24"/>
          <w:lang w:val="en-GB"/>
        </w:rPr>
        <w:t xml:space="preserve">Hammersley, M. (2012) </w:t>
      </w:r>
      <w:r>
        <w:rPr>
          <w:rFonts w:hint="default" w:ascii="Times New Roman" w:hAnsi="Times New Roman" w:cs="Times New Roman"/>
          <w:b w:val="0"/>
          <w:bCs w:val="0"/>
          <w:i/>
          <w:iCs/>
          <w:color w:val="auto"/>
          <w:sz w:val="24"/>
          <w:szCs w:val="24"/>
          <w:lang w:val="en-GB"/>
        </w:rPr>
        <w:t xml:space="preserve">‘What is Qualitative Research?’ </w:t>
      </w:r>
      <w:r>
        <w:rPr>
          <w:rFonts w:hint="default" w:ascii="Times New Roman" w:hAnsi="Times New Roman" w:cs="Times New Roman"/>
          <w:b w:val="0"/>
          <w:bCs w:val="0"/>
          <w:color w:val="auto"/>
          <w:sz w:val="24"/>
          <w:szCs w:val="24"/>
          <w:lang w:val="en-GB"/>
        </w:rPr>
        <w:t xml:space="preserve">London: Bloomsbury Publishing. </w:t>
      </w:r>
    </w:p>
    <w:p>
      <w:pPr>
        <w:pStyle w:val="11"/>
        <w:jc w:val="both"/>
        <w:rPr>
          <w:rFonts w:hint="default" w:ascii="Times New Roman" w:hAnsi="Times New Roman" w:cs="Times New Roman"/>
          <w:b w:val="0"/>
          <w:bCs w:val="0"/>
          <w:color w:val="auto"/>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Hattie, J. (2012) </w:t>
      </w:r>
      <w:r>
        <w:rPr>
          <w:rFonts w:hint="default" w:ascii="Times New Roman" w:hAnsi="Times New Roman" w:eastAsia="SimSun" w:cs="Times New Roman"/>
          <w:i/>
          <w:iCs/>
          <w:sz w:val="24"/>
          <w:szCs w:val="24"/>
          <w:lang w:val="en-GB"/>
        </w:rPr>
        <w:t xml:space="preserve">Visible Learning for Teachers: Maximising Impact on Learning. </w:t>
      </w:r>
      <w:r>
        <w:rPr>
          <w:rFonts w:hint="default" w:ascii="Times New Roman" w:hAnsi="Times New Roman" w:eastAsia="SimSun" w:cs="Times New Roman"/>
          <w:sz w:val="24"/>
          <w:szCs w:val="24"/>
          <w:lang w:val="en-GB"/>
        </w:rPr>
        <w:t xml:space="preserve">Abingdon: Routledge. </w:t>
      </w:r>
    </w:p>
    <w:p>
      <w:pPr>
        <w:jc w:val="both"/>
        <w:rPr>
          <w:rFonts w:hint="default" w:ascii="Times New Roman" w:hAnsi="Times New Roman" w:eastAsia="SimSun" w:cs="Times New Roman"/>
          <w:sz w:val="24"/>
          <w:szCs w:val="24"/>
          <w:lang w:val="en-GB"/>
        </w:rPr>
      </w:pPr>
    </w:p>
    <w:p>
      <w:pPr>
        <w:spacing w:line="240" w:lineRule="auto"/>
        <w:jc w:val="both"/>
        <w:rPr>
          <w:rFonts w:hint="default" w:ascii="Times New Roman" w:hAnsi="Times New Roman" w:eastAsia="SimSun" w:cs="Times New Roman"/>
          <w:sz w:val="24"/>
          <w:szCs w:val="24"/>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Palaiologou, I. (2016) </w:t>
      </w:r>
      <w:r>
        <w:rPr>
          <w:rFonts w:hint="default" w:ascii="Times New Roman" w:hAnsi="Times New Roman" w:eastAsia="Pontano Sans" w:cs="Times New Roman"/>
          <w:b w:val="0"/>
          <w:bCs w:val="0"/>
          <w:i/>
          <w:iCs/>
          <w:caps w:val="0"/>
          <w:color w:val="auto"/>
          <w:spacing w:val="0"/>
          <w:sz w:val="24"/>
          <w:szCs w:val="24"/>
          <w:shd w:val="clear" w:fill="FFFFFF"/>
          <w:lang w:val="en-GB"/>
        </w:rPr>
        <w:t xml:space="preserve">Child Observation: A Guide for Students of Early Childhood, Second Edition. </w:t>
      </w:r>
      <w:r>
        <w:rPr>
          <w:rFonts w:hint="default" w:ascii="Times New Roman" w:hAnsi="Times New Roman" w:eastAsia="Pontano Sans" w:cs="Times New Roman"/>
          <w:b w:val="0"/>
          <w:bCs w:val="0"/>
          <w:i w:val="0"/>
          <w:caps w:val="0"/>
          <w:color w:val="auto"/>
          <w:spacing w:val="0"/>
          <w:sz w:val="24"/>
          <w:szCs w:val="24"/>
          <w:shd w:val="clear" w:fill="FFFFFF"/>
          <w:lang w:val="en-GB"/>
        </w:rPr>
        <w:t xml:space="preserve">London: SAGE Publications. </w:t>
      </w:r>
    </w:p>
    <w:p>
      <w:pPr>
        <w:jc w:val="both"/>
        <w:rPr>
          <w:rFonts w:hint="default" w:ascii="Times New Roman" w:hAnsi="Times New Roman" w:eastAsia="SimSun" w:cs="Times New Roman"/>
          <w:color w:val="auto"/>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Pichon, C. (2012) ‘Sitting on the Carpet - Children’s Attitudes to the Spaces of the Classroom’, </w:t>
      </w:r>
      <w:r>
        <w:rPr>
          <w:rFonts w:hint="default" w:ascii="Times New Roman" w:hAnsi="Times New Roman" w:cs="Times New Roman"/>
          <w:i/>
          <w:iCs/>
          <w:sz w:val="24"/>
          <w:szCs w:val="24"/>
          <w:lang w:val="en-GB"/>
        </w:rPr>
        <w:t>Journal of Trainee Teacher Education Research</w:t>
      </w:r>
      <w:r>
        <w:rPr>
          <w:rFonts w:hint="default" w:ascii="Times New Roman" w:hAnsi="Times New Roman" w:cs="Times New Roman"/>
          <w:sz w:val="24"/>
          <w:szCs w:val="24"/>
          <w:lang w:val="en-GB"/>
        </w:rPr>
        <w:t>, Volume 4, pp.2-21.</w:t>
      </w:r>
    </w:p>
    <w:p>
      <w:pPr>
        <w:jc w:val="both"/>
        <w:rPr>
          <w:rFonts w:hint="default" w:ascii="Times New Roman" w:hAnsi="Times New Roma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eastAsia="SimSun" w:cs="Times New Roman"/>
          <w:b w:val="0"/>
          <w:bCs w:val="0"/>
          <w:i w:val="0"/>
          <w:caps w:val="0"/>
          <w:color w:val="auto"/>
          <w:spacing w:val="0"/>
          <w:sz w:val="24"/>
          <w:szCs w:val="24"/>
          <w:shd w:val="clear" w:fill="FFFFFF"/>
          <w:lang w:val="en-GB"/>
        </w:rPr>
        <w:t xml:space="preserve">Rothgeb-Bird, S. (2015) Seven Reasons to Gather Students at the Carpet. [Blog]. </w:t>
      </w:r>
      <w:r>
        <w:rPr>
          <w:rFonts w:hint="default" w:ascii="Times New Roman" w:hAnsi="Times New Roman" w:eastAsia="SimSun" w:cs="Times New Roman"/>
          <w:b w:val="0"/>
          <w:bCs w:val="0"/>
          <w:i/>
          <w:iCs/>
          <w:caps w:val="0"/>
          <w:color w:val="auto"/>
          <w:spacing w:val="0"/>
          <w:sz w:val="24"/>
          <w:szCs w:val="24"/>
          <w:shd w:val="clear" w:fill="FFFFFF"/>
          <w:lang w:val="en-GB"/>
        </w:rPr>
        <w:t>The Heart and Art of Teaching and Learning</w:t>
      </w:r>
      <w:r>
        <w:rPr>
          <w:rFonts w:hint="default" w:ascii="Times New Roman" w:hAnsi="Times New Roman" w:eastAsia="SimSun" w:cs="Times New Roman"/>
          <w:b w:val="0"/>
          <w:bCs w:val="0"/>
          <w:i w:val="0"/>
          <w:caps w:val="0"/>
          <w:color w:val="auto"/>
          <w:spacing w:val="0"/>
          <w:sz w:val="24"/>
          <w:szCs w:val="24"/>
          <w:shd w:val="clear" w:fill="FFFFFF"/>
          <w:lang w:val="en-GB"/>
        </w:rPr>
        <w:t xml:space="preserve">. Available at: </w:t>
      </w:r>
      <w:r>
        <w:rPr>
          <w:rFonts w:hint="default" w:ascii="Times New Roman" w:hAnsi="Times New Roman" w:eastAsia="SimSun" w:cs="Times New Roman"/>
          <w:b w:val="0"/>
          <w:bCs w:val="0"/>
          <w:i w:val="0"/>
          <w:caps w:val="0"/>
          <w:color w:val="auto"/>
          <w:spacing w:val="0"/>
          <w:sz w:val="24"/>
          <w:szCs w:val="24"/>
          <w:shd w:val="clear" w:fill="FFFFFF"/>
          <w:lang w:val="en-GB"/>
        </w:rPr>
        <w:fldChar w:fldCharType="begin"/>
      </w:r>
      <w:r>
        <w:rPr>
          <w:rFonts w:hint="default" w:ascii="Times New Roman" w:hAnsi="Times New Roman" w:eastAsia="SimSun" w:cs="Times New Roman"/>
          <w:b w:val="0"/>
          <w:bCs w:val="0"/>
          <w:i w:val="0"/>
          <w:caps w:val="0"/>
          <w:color w:val="auto"/>
          <w:spacing w:val="0"/>
          <w:sz w:val="24"/>
          <w:szCs w:val="24"/>
          <w:shd w:val="clear" w:fill="FFFFFF"/>
          <w:lang w:val="en-GB"/>
        </w:rPr>
        <w:instrText xml:space="preserve"> HYPERLINK "http://heartandart.ca/?p=3285" </w:instrText>
      </w:r>
      <w:r>
        <w:rPr>
          <w:rFonts w:hint="default" w:ascii="Times New Roman" w:hAnsi="Times New Roman" w:eastAsia="SimSun" w:cs="Times New Roman"/>
          <w:b w:val="0"/>
          <w:bCs w:val="0"/>
          <w:i w:val="0"/>
          <w:caps w:val="0"/>
          <w:color w:val="auto"/>
          <w:spacing w:val="0"/>
          <w:sz w:val="24"/>
          <w:szCs w:val="24"/>
          <w:shd w:val="clear" w:fill="FFFFFF"/>
          <w:lang w:val="en-GB"/>
        </w:rPr>
        <w:fldChar w:fldCharType="separate"/>
      </w:r>
      <w:r>
        <w:rPr>
          <w:rStyle w:val="14"/>
          <w:rFonts w:hint="default" w:ascii="Times New Roman" w:hAnsi="Times New Roman" w:eastAsia="SimSun" w:cs="Times New Roman"/>
          <w:b w:val="0"/>
          <w:bCs w:val="0"/>
          <w:i w:val="0"/>
          <w:caps w:val="0"/>
          <w:spacing w:val="0"/>
          <w:sz w:val="24"/>
          <w:szCs w:val="24"/>
          <w:shd w:val="clear" w:fill="FFFFFF"/>
          <w:lang w:val="en-GB"/>
        </w:rPr>
        <w:t>http://heartandart.ca/?p=3285</w:t>
      </w:r>
      <w:r>
        <w:rPr>
          <w:rFonts w:hint="default" w:ascii="Times New Roman" w:hAnsi="Times New Roman" w:eastAsia="SimSun" w:cs="Times New Roman"/>
          <w:b w:val="0"/>
          <w:bCs w:val="0"/>
          <w:i w:val="0"/>
          <w:caps w:val="0"/>
          <w:color w:val="auto"/>
          <w:spacing w:val="0"/>
          <w:sz w:val="24"/>
          <w:szCs w:val="24"/>
          <w:shd w:val="clear" w:fill="FFFFFF"/>
          <w:lang w:val="en-GB"/>
        </w:rPr>
        <w:fldChar w:fldCharType="end"/>
      </w:r>
      <w:r>
        <w:rPr>
          <w:rFonts w:hint="default" w:ascii="Times New Roman" w:hAnsi="Times New Roman" w:eastAsia="SimSun" w:cs="Times New Roman"/>
          <w:b w:val="0"/>
          <w:bCs w:val="0"/>
          <w:i w:val="0"/>
          <w:caps w:val="0"/>
          <w:color w:val="auto"/>
          <w:spacing w:val="0"/>
          <w:sz w:val="24"/>
          <w:szCs w:val="24"/>
          <w:shd w:val="clear" w:fill="FFFFFF"/>
          <w:lang w:val="en-GB"/>
        </w:rPr>
        <w:t xml:space="preserve"> [Accessed: 24</w:t>
      </w:r>
      <w:r>
        <w:rPr>
          <w:rFonts w:hint="default" w:ascii="Times New Roman" w:hAnsi="Times New Roman" w:eastAsia="SimSun" w:cs="Times New Roman"/>
          <w:b w:val="0"/>
          <w:bCs w:val="0"/>
          <w:i w:val="0"/>
          <w:caps w:val="0"/>
          <w:color w:val="auto"/>
          <w:spacing w:val="0"/>
          <w:sz w:val="24"/>
          <w:szCs w:val="24"/>
          <w:shd w:val="clear" w:fill="FFFFFF"/>
          <w:vertAlign w:val="superscript"/>
          <w:lang w:val="en-GB"/>
        </w:rPr>
        <w:t>th</w:t>
      </w:r>
      <w:r>
        <w:rPr>
          <w:rFonts w:hint="default" w:ascii="Times New Roman" w:hAnsi="Times New Roman" w:eastAsia="SimSun" w:cs="Times New Roman"/>
          <w:b w:val="0"/>
          <w:bCs w:val="0"/>
          <w:i w:val="0"/>
          <w:caps w:val="0"/>
          <w:color w:val="auto"/>
          <w:spacing w:val="0"/>
          <w:sz w:val="24"/>
          <w:szCs w:val="24"/>
          <w:shd w:val="clear" w:fill="FFFFFF"/>
          <w:lang w:val="en-GB"/>
        </w:rPr>
        <w:t xml:space="preserve"> March 2017].</w:t>
      </w:r>
    </w:p>
    <w:p>
      <w:pPr>
        <w:jc w:val="both"/>
        <w:rPr>
          <w:rFonts w:hint="default" w:ascii="Times New Roman" w:hAnsi="Times New Roman" w:eastAsia="SimSun" w:cs="Times New Roman"/>
          <w:sz w:val="24"/>
          <w:szCs w:val="24"/>
          <w:lang w:val="en-GB"/>
        </w:rPr>
      </w:pPr>
    </w:p>
    <w:p>
      <w:pPr>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Samuelsson, M. and Samuelsson, J. (2016) ‘Gender Differences in Boys and Girls Perception of Teaching and Learning Mathematics’, </w:t>
      </w:r>
      <w:r>
        <w:rPr>
          <w:rFonts w:hint="default" w:ascii="Times New Roman" w:hAnsi="Times New Roman" w:cs="Times New Roman"/>
          <w:i/>
          <w:iCs/>
          <w:sz w:val="24"/>
          <w:szCs w:val="24"/>
          <w:lang w:val="en-GB"/>
        </w:rPr>
        <w:t>Open Review of Educational Research</w:t>
      </w:r>
      <w:r>
        <w:rPr>
          <w:rFonts w:hint="default" w:ascii="Times New Roman" w:hAnsi="Times New Roman" w:cs="Times New Roman"/>
          <w:sz w:val="24"/>
          <w:szCs w:val="24"/>
          <w:lang w:val="en-GB"/>
        </w:rPr>
        <w:t xml:space="preserve">, Volume 3, Issue 1, March, pp. 14-18. </w:t>
      </w:r>
    </w:p>
    <w:p>
      <w:pPr>
        <w:jc w:val="both"/>
        <w:rPr>
          <w:rFonts w:hint="default" w:ascii="Times New Roman" w:hAnsi="Times New Roman" w:cs="Times New Roman"/>
          <w:sz w:val="24"/>
          <w:szCs w:val="24"/>
          <w:lang w:val="en-GB"/>
        </w:rPr>
      </w:pPr>
    </w:p>
    <w:p>
      <w:pPr>
        <w:pStyle w:val="23"/>
        <w:numPr>
          <w:ilvl w:val="0"/>
          <w:numId w:val="0"/>
        </w:numPr>
        <w:spacing w:line="24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Slater, J. J. and Ravid, R. (2010) (eds) </w:t>
      </w:r>
      <w:r>
        <w:rPr>
          <w:rFonts w:hint="default" w:ascii="Times New Roman" w:hAnsi="Times New Roman" w:cs="Times New Roman"/>
          <w:i/>
          <w:iCs/>
          <w:sz w:val="24"/>
          <w:szCs w:val="24"/>
          <w:lang w:val="en-GB"/>
        </w:rPr>
        <w:t>Collaboration in Education</w:t>
      </w:r>
      <w:r>
        <w:rPr>
          <w:rFonts w:hint="default" w:ascii="Times New Roman" w:hAnsi="Times New Roman" w:cs="Times New Roman"/>
          <w:sz w:val="24"/>
          <w:szCs w:val="24"/>
          <w:lang w:val="en-GB"/>
        </w:rPr>
        <w:t>. Abingdon: Routledge.</w:t>
      </w:r>
    </w:p>
    <w:p>
      <w:pPr>
        <w:jc w:val="both"/>
        <w:rPr>
          <w:rFonts w:hint="default" w:ascii="Times New Roman" w:hAnsi="Times New Roman" w:cs="Times New Roman"/>
          <w:sz w:val="24"/>
          <w:szCs w:val="24"/>
          <w:lang w:val="en-GB"/>
        </w:rPr>
      </w:pPr>
    </w:p>
    <w:p>
      <w:pPr>
        <w:jc w:val="both"/>
        <w:rPr>
          <w:rFonts w:hint="default" w:ascii="Times New Roman" w:hAnsi="Times New Roman" w:eastAsia="Roboto" w:cs="Times New Roman"/>
          <w:i w:val="0"/>
          <w:caps w:val="0"/>
          <w:color w:val="auto"/>
          <w:spacing w:val="0"/>
          <w:sz w:val="24"/>
          <w:szCs w:val="24"/>
          <w:shd w:val="clear" w:fill="FFFFFF"/>
          <w:lang w:val="en-GB"/>
        </w:rPr>
      </w:pPr>
      <w:r>
        <w:rPr>
          <w:rFonts w:hint="default" w:ascii="Times New Roman" w:hAnsi="Times New Roman" w:eastAsia="Roboto" w:cs="Times New Roman"/>
          <w:i w:val="0"/>
          <w:caps w:val="0"/>
          <w:color w:val="auto"/>
          <w:spacing w:val="0"/>
          <w:sz w:val="24"/>
          <w:szCs w:val="24"/>
          <w:shd w:val="clear" w:fill="FFFFFF"/>
          <w:lang w:val="en-GB"/>
        </w:rPr>
        <w:t xml:space="preserve">Sugrue, M. (2018) ‘Quiet, Critters!’. [Blog]. The Contemporary Teacher. Available at: </w:t>
      </w:r>
      <w:r>
        <w:rPr>
          <w:rFonts w:hint="default" w:ascii="Times New Roman" w:hAnsi="Times New Roman" w:eastAsia="Roboto" w:cs="Times New Roman"/>
          <w:i w:val="0"/>
          <w:caps w:val="0"/>
          <w:color w:val="888888"/>
          <w:spacing w:val="0"/>
          <w:sz w:val="24"/>
          <w:szCs w:val="24"/>
          <w:shd w:val="clear" w:fill="FFFFFF"/>
          <w:lang w:val="en-GB"/>
        </w:rPr>
        <w:fldChar w:fldCharType="begin"/>
      </w:r>
      <w:r>
        <w:rPr>
          <w:rFonts w:hint="default" w:ascii="Times New Roman" w:hAnsi="Times New Roman" w:eastAsia="Roboto" w:cs="Times New Roman"/>
          <w:i w:val="0"/>
          <w:caps w:val="0"/>
          <w:color w:val="888888"/>
          <w:spacing w:val="0"/>
          <w:sz w:val="24"/>
          <w:szCs w:val="24"/>
          <w:shd w:val="clear" w:fill="FFFFFF"/>
          <w:lang w:val="en-GB"/>
        </w:rPr>
        <w:instrText xml:space="preserve"> HYPERLINK "http://thecontemporaryteacher.global2.vic.edu.au/2013/10/09/quiet-critters/" </w:instrText>
      </w:r>
      <w:r>
        <w:rPr>
          <w:rFonts w:hint="default" w:ascii="Times New Roman" w:hAnsi="Times New Roman" w:eastAsia="Roboto" w:cs="Times New Roman"/>
          <w:i w:val="0"/>
          <w:caps w:val="0"/>
          <w:color w:val="888888"/>
          <w:spacing w:val="0"/>
          <w:sz w:val="24"/>
          <w:szCs w:val="24"/>
          <w:shd w:val="clear" w:fill="FFFFFF"/>
          <w:lang w:val="en-GB"/>
        </w:rPr>
        <w:fldChar w:fldCharType="separate"/>
      </w:r>
      <w:r>
        <w:rPr>
          <w:rStyle w:val="14"/>
          <w:rFonts w:hint="default" w:ascii="Times New Roman" w:hAnsi="Times New Roman" w:eastAsia="Roboto" w:cs="Times New Roman"/>
          <w:i w:val="0"/>
          <w:caps w:val="0"/>
          <w:spacing w:val="0"/>
          <w:sz w:val="24"/>
          <w:szCs w:val="24"/>
          <w:shd w:val="clear" w:fill="FFFFFF"/>
          <w:lang w:val="en-GB"/>
        </w:rPr>
        <w:t>http://thecontemporaryteacher.global2.vic.edu.au/2013/10/09/quiet-critters/</w:t>
      </w:r>
      <w:r>
        <w:rPr>
          <w:rFonts w:hint="default" w:ascii="Times New Roman" w:hAnsi="Times New Roman" w:eastAsia="Roboto" w:cs="Times New Roman"/>
          <w:i w:val="0"/>
          <w:caps w:val="0"/>
          <w:color w:val="888888"/>
          <w:spacing w:val="0"/>
          <w:sz w:val="24"/>
          <w:szCs w:val="24"/>
          <w:shd w:val="clear" w:fill="FFFFFF"/>
          <w:lang w:val="en-GB"/>
        </w:rPr>
        <w:fldChar w:fldCharType="end"/>
      </w:r>
      <w:r>
        <w:rPr>
          <w:rFonts w:hint="default" w:ascii="Times New Roman" w:hAnsi="Times New Roman" w:eastAsia="Roboto" w:cs="Times New Roman"/>
          <w:i w:val="0"/>
          <w:caps w:val="0"/>
          <w:color w:val="888888"/>
          <w:spacing w:val="0"/>
          <w:sz w:val="24"/>
          <w:szCs w:val="24"/>
          <w:shd w:val="clear" w:fill="FFFFFF"/>
          <w:lang w:val="en-GB"/>
        </w:rPr>
        <w:t xml:space="preserve"> </w:t>
      </w:r>
      <w:r>
        <w:rPr>
          <w:rFonts w:hint="default" w:ascii="Times New Roman" w:hAnsi="Times New Roman" w:eastAsia="Roboto" w:cs="Times New Roman"/>
          <w:i w:val="0"/>
          <w:caps w:val="0"/>
          <w:color w:val="auto"/>
          <w:spacing w:val="0"/>
          <w:sz w:val="24"/>
          <w:szCs w:val="24"/>
          <w:shd w:val="clear" w:fill="FFFFFF"/>
          <w:lang w:val="en-GB"/>
        </w:rPr>
        <w:t>[Accessed: 26</w:t>
      </w:r>
      <w:r>
        <w:rPr>
          <w:rFonts w:hint="default" w:ascii="Times New Roman" w:hAnsi="Times New Roman" w:eastAsia="Roboto" w:cs="Times New Roman"/>
          <w:i w:val="0"/>
          <w:caps w:val="0"/>
          <w:color w:val="auto"/>
          <w:spacing w:val="0"/>
          <w:sz w:val="24"/>
          <w:szCs w:val="24"/>
          <w:shd w:val="clear" w:fill="FFFFFF"/>
          <w:vertAlign w:val="superscript"/>
          <w:lang w:val="en-GB"/>
        </w:rPr>
        <w:t>th</w:t>
      </w:r>
      <w:r>
        <w:rPr>
          <w:rFonts w:hint="default" w:ascii="Times New Roman" w:hAnsi="Times New Roman" w:eastAsia="Roboto" w:cs="Times New Roman"/>
          <w:i w:val="0"/>
          <w:caps w:val="0"/>
          <w:color w:val="auto"/>
          <w:spacing w:val="0"/>
          <w:sz w:val="24"/>
          <w:szCs w:val="24"/>
          <w:shd w:val="clear" w:fill="FFFFFF"/>
          <w:lang w:val="en-GB"/>
        </w:rPr>
        <w:t xml:space="preserve"> March 2018].</w:t>
      </w:r>
    </w:p>
    <w:p>
      <w:pPr>
        <w:jc w:val="both"/>
        <w:rPr>
          <w:rFonts w:hint="default" w:ascii="Times New Roman" w:hAnsi="Times New Roman" w:eastAsia="Roboto" w:cs="Times New Roman"/>
          <w:i w:val="0"/>
          <w:caps w:val="0"/>
          <w:color w:val="auto"/>
          <w:spacing w:val="0"/>
          <w:sz w:val="24"/>
          <w:szCs w:val="24"/>
          <w:shd w:val="clear" w:fill="FFFFFF"/>
          <w:lang w:val="en-GB"/>
        </w:rPr>
      </w:pPr>
    </w:p>
    <w:p>
      <w:pPr>
        <w:spacing w:line="240" w:lineRule="auto"/>
        <w:jc w:val="both"/>
        <w:rPr>
          <w:rFonts w:hint="default" w:ascii="Times New Roman" w:hAnsi="Times New Roman" w:eastAsia="Roboto" w:cs="Times New Roman"/>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Suter, W. N. (2011) </w:t>
      </w:r>
      <w:r>
        <w:rPr>
          <w:rFonts w:hint="default" w:ascii="Times New Roman" w:hAnsi="Times New Roman" w:eastAsia="Pontano Sans" w:cs="Times New Roman"/>
          <w:b w:val="0"/>
          <w:bCs w:val="0"/>
          <w:i/>
          <w:iCs/>
          <w:caps w:val="0"/>
          <w:color w:val="auto"/>
          <w:spacing w:val="0"/>
          <w:sz w:val="24"/>
          <w:szCs w:val="24"/>
          <w:shd w:val="clear" w:fill="FFFFFF"/>
          <w:lang w:val="en-GB"/>
        </w:rPr>
        <w:t>Introduction to Educational Research: A Critical Thinking Approach, Second Edition</w:t>
      </w:r>
      <w:r>
        <w:rPr>
          <w:rFonts w:hint="default" w:ascii="Times New Roman" w:hAnsi="Times New Roman" w:eastAsia="Pontano Sans" w:cs="Times New Roman"/>
          <w:b w:val="0"/>
          <w:bCs w:val="0"/>
          <w:i w:val="0"/>
          <w:caps w:val="0"/>
          <w:color w:val="auto"/>
          <w:spacing w:val="0"/>
          <w:sz w:val="24"/>
          <w:szCs w:val="24"/>
          <w:shd w:val="clear" w:fill="FFFFFF"/>
          <w:lang w:val="en-GB"/>
        </w:rPr>
        <w:t>. London: SAGE Publications.</w:t>
      </w:r>
    </w:p>
    <w:p>
      <w:pPr>
        <w:jc w:val="both"/>
        <w:rPr>
          <w:rFonts w:hint="default" w:ascii="Times New Roman" w:hAnsi="Times New Roman" w:eastAsia="SimSun" w:cs="Times New Roman"/>
          <w:sz w:val="24"/>
          <w:szCs w:val="24"/>
          <w:lang w:val="en-GB"/>
        </w:rPr>
      </w:pPr>
    </w:p>
    <w:p>
      <w:pPr>
        <w:pStyle w:val="23"/>
        <w:numPr>
          <w:ilvl w:val="0"/>
          <w:numId w:val="0"/>
        </w:numPr>
        <w:spacing w:line="240" w:lineRule="auto"/>
        <w:jc w:val="both"/>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Swain, J. (2016) (ed) </w:t>
      </w:r>
      <w:r>
        <w:rPr>
          <w:rFonts w:hint="default" w:ascii="Times New Roman" w:hAnsi="Times New Roman" w:cs="Times New Roman"/>
          <w:i/>
          <w:iCs/>
          <w:sz w:val="24"/>
          <w:szCs w:val="24"/>
          <w:lang w:val="en-GB"/>
        </w:rPr>
        <w:t>Designing Research in Education: Concepts and Methodologies</w:t>
      </w:r>
      <w:r>
        <w:rPr>
          <w:rFonts w:hint="default" w:ascii="Times New Roman" w:hAnsi="Times New Roman" w:cs="Times New Roman"/>
          <w:sz w:val="24"/>
          <w:szCs w:val="24"/>
          <w:lang w:val="en-GB"/>
        </w:rPr>
        <w:t>. London: SAGE Publications.</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Teacher Development Trust. (2017) ‘Can Lesson Study Work in the UK?’ </w:t>
      </w:r>
      <w:r>
        <w:rPr>
          <w:rFonts w:hint="default" w:ascii="Times New Roman" w:hAnsi="Times New Roman" w:eastAsia="SimSun" w:cs="Times New Roman"/>
          <w:sz w:val="24"/>
          <w:szCs w:val="24"/>
          <w:lang w:val="en-GB"/>
        </w:rPr>
        <w:fldChar w:fldCharType="begin"/>
      </w:r>
      <w:r>
        <w:rPr>
          <w:rFonts w:hint="default" w:ascii="Times New Roman" w:hAnsi="Times New Roman" w:eastAsia="SimSun" w:cs="Times New Roman"/>
          <w:sz w:val="24"/>
          <w:szCs w:val="24"/>
          <w:lang w:val="en-GB"/>
        </w:rPr>
        <w:instrText xml:space="preserve"> HYPERLINK "http://tdtrust.org/lessonstudyintheuk" </w:instrText>
      </w:r>
      <w:r>
        <w:rPr>
          <w:rFonts w:hint="default" w:ascii="Times New Roman" w:hAnsi="Times New Roman" w:eastAsia="SimSun" w:cs="Times New Roman"/>
          <w:sz w:val="24"/>
          <w:szCs w:val="24"/>
          <w:lang w:val="en-GB"/>
        </w:rPr>
        <w:fldChar w:fldCharType="separate"/>
      </w:r>
      <w:r>
        <w:rPr>
          <w:rStyle w:val="14"/>
          <w:rFonts w:hint="default" w:ascii="Times New Roman" w:hAnsi="Times New Roman" w:eastAsia="SimSun" w:cs="Times New Roman"/>
          <w:sz w:val="24"/>
          <w:szCs w:val="24"/>
          <w:lang w:val="en-GB"/>
        </w:rPr>
        <w:t>http://tdtrust.org/lessonstudyintheuk</w:t>
      </w:r>
      <w:r>
        <w:rPr>
          <w:rFonts w:hint="default" w:ascii="Times New Roman" w:hAnsi="Times New Roman" w:eastAsia="SimSun" w:cs="Times New Roman"/>
          <w:sz w:val="24"/>
          <w:szCs w:val="24"/>
          <w:lang w:val="en-GB"/>
        </w:rPr>
        <w:fldChar w:fldCharType="end"/>
      </w:r>
      <w:r>
        <w:rPr>
          <w:rFonts w:hint="default" w:ascii="Times New Roman" w:hAnsi="Times New Roman" w:eastAsia="SimSun" w:cs="Times New Roman"/>
          <w:sz w:val="24"/>
          <w:szCs w:val="24"/>
          <w:lang w:val="en-GB"/>
        </w:rPr>
        <w:t xml:space="preserve"> [Accessed: 24</w:t>
      </w:r>
      <w:r>
        <w:rPr>
          <w:rFonts w:hint="default" w:ascii="Times New Roman" w:hAnsi="Times New Roman" w:eastAsia="SimSun" w:cs="Times New Roman"/>
          <w:sz w:val="24"/>
          <w:szCs w:val="24"/>
          <w:vertAlign w:val="superscript"/>
          <w:lang w:val="en-GB"/>
        </w:rPr>
        <w:t>th</w:t>
      </w:r>
      <w:r>
        <w:rPr>
          <w:rFonts w:hint="default" w:ascii="Times New Roman" w:hAnsi="Times New Roman" w:eastAsia="SimSun" w:cs="Times New Roman"/>
          <w:sz w:val="24"/>
          <w:szCs w:val="24"/>
          <w:lang w:val="en-GB"/>
        </w:rPr>
        <w:t xml:space="preserve"> March 2018].</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sz w:val="24"/>
          <w:szCs w:val="24"/>
          <w:lang w:val="en-GB"/>
        </w:rPr>
        <w:t xml:space="preserve">University of Wales Trinity Saint David. (2017)‘Research Ethics and Integrity Code of Practice’ </w:t>
      </w:r>
      <w:r>
        <w:rPr>
          <w:rFonts w:hint="default" w:ascii="Times New Roman" w:hAnsi="Times New Roman" w:eastAsia="SimSun" w:cs="Times New Roman"/>
          <w:sz w:val="24"/>
          <w:szCs w:val="24"/>
          <w:lang w:val="en-GB"/>
        </w:rPr>
        <w:fldChar w:fldCharType="begin"/>
      </w:r>
      <w:r>
        <w:rPr>
          <w:rFonts w:hint="default" w:ascii="Times New Roman" w:hAnsi="Times New Roman" w:eastAsia="SimSun" w:cs="Times New Roman"/>
          <w:sz w:val="24"/>
          <w:szCs w:val="24"/>
          <w:lang w:val="en-GB"/>
        </w:rPr>
        <w:instrText xml:space="preserve"> HYPERLINK "http://www.uwtsd.ac.uk/media/uwtsd-website/content-assets/documents/research/research-ethics-integrity-code-practice.pdf" </w:instrText>
      </w:r>
      <w:r>
        <w:rPr>
          <w:rFonts w:hint="default" w:ascii="Times New Roman" w:hAnsi="Times New Roman" w:eastAsia="SimSun" w:cs="Times New Roman"/>
          <w:sz w:val="24"/>
          <w:szCs w:val="24"/>
          <w:lang w:val="en-GB"/>
        </w:rPr>
        <w:fldChar w:fldCharType="separate"/>
      </w:r>
      <w:r>
        <w:rPr>
          <w:rStyle w:val="14"/>
          <w:rFonts w:hint="default" w:ascii="Times New Roman" w:hAnsi="Times New Roman" w:eastAsia="SimSun" w:cs="Times New Roman"/>
          <w:sz w:val="24"/>
          <w:szCs w:val="24"/>
          <w:lang w:val="en-GB"/>
        </w:rPr>
        <w:t>http://www.uwtsd.ac.uk/media/uwtsd-website/content-assets/documents/research/research-ethics-integrity-code-practice.pdf</w:t>
      </w:r>
      <w:r>
        <w:rPr>
          <w:rFonts w:hint="default" w:ascii="Times New Roman" w:hAnsi="Times New Roman" w:eastAsia="SimSun" w:cs="Times New Roman"/>
          <w:sz w:val="24"/>
          <w:szCs w:val="24"/>
          <w:lang w:val="en-GB"/>
        </w:rPr>
        <w:fldChar w:fldCharType="end"/>
      </w:r>
      <w:r>
        <w:rPr>
          <w:rFonts w:hint="default" w:ascii="Times New Roman" w:hAnsi="Times New Roman" w:eastAsia="SimSun" w:cs="Times New Roman"/>
          <w:sz w:val="24"/>
          <w:szCs w:val="24"/>
          <w:lang w:val="en-GB"/>
        </w:rPr>
        <w:t xml:space="preserve"> [Accessed: 4</w:t>
      </w:r>
      <w:r>
        <w:rPr>
          <w:rFonts w:hint="default" w:ascii="Times New Roman" w:hAnsi="Times New Roman" w:eastAsia="SimSun" w:cs="Times New Roman"/>
          <w:sz w:val="24"/>
          <w:szCs w:val="24"/>
          <w:vertAlign w:val="superscript"/>
          <w:lang w:val="en-GB"/>
        </w:rPr>
        <w:t>th</w:t>
      </w:r>
      <w:r>
        <w:rPr>
          <w:rFonts w:hint="default" w:ascii="Times New Roman" w:hAnsi="Times New Roman" w:eastAsia="SimSun" w:cs="Times New Roman"/>
          <w:sz w:val="24"/>
          <w:szCs w:val="24"/>
          <w:lang w:val="en-GB"/>
        </w:rPr>
        <w:t xml:space="preserve"> April 2018]. </w:t>
      </w:r>
    </w:p>
    <w:p>
      <w:pPr>
        <w:jc w:val="both"/>
        <w:rPr>
          <w:rFonts w:hint="default" w:ascii="Times New Roman" w:hAnsi="Times New Roman" w:eastAsia="SimSun" w:cs="Times New Roman"/>
          <w:sz w:val="24"/>
          <w:szCs w:val="24"/>
          <w:lang w:val="en-GB"/>
        </w:rPr>
      </w:pPr>
    </w:p>
    <w:p>
      <w:pPr>
        <w:jc w:val="both"/>
        <w:rPr>
          <w:rFonts w:hint="default" w:ascii="Times New Roman" w:hAnsi="Times New Roman" w:eastAsia="SimSun" w:cs="Times New Roman"/>
          <w:sz w:val="24"/>
          <w:szCs w:val="24"/>
          <w:lang w:val="en-GB"/>
        </w:rPr>
      </w:pPr>
      <w:r>
        <w:rPr>
          <w:rFonts w:hint="default" w:ascii="Times New Roman" w:hAnsi="Times New Roman" w:eastAsia="SimSun" w:cs="Times New Roman"/>
          <w:color w:val="auto"/>
          <w:sz w:val="24"/>
          <w:szCs w:val="24"/>
          <w:lang w:val="en-GB"/>
        </w:rPr>
        <w:t>Wheeler, A. (2001)</w:t>
      </w:r>
      <w:r>
        <w:rPr>
          <w:rFonts w:hint="default" w:ascii="Times New Roman" w:hAnsi="Times New Roman" w:eastAsia="SimSun" w:cs="Times New Roman"/>
          <w:i/>
          <w:iCs/>
          <w:color w:val="auto"/>
          <w:sz w:val="24"/>
          <w:szCs w:val="24"/>
          <w:lang w:val="en-GB"/>
        </w:rPr>
        <w:t xml:space="preserve"> Carpet Time Chaos: Exploring Ways to Decrease Off-task Behaviour. </w:t>
      </w:r>
      <w:r>
        <w:rPr>
          <w:rFonts w:hint="default" w:ascii="Times New Roman" w:hAnsi="Times New Roman" w:eastAsia="SimSun" w:cs="Times New Roman"/>
          <w:color w:val="auto"/>
          <w:sz w:val="24"/>
          <w:szCs w:val="24"/>
          <w:lang w:val="en-GB"/>
        </w:rPr>
        <w:t>Thesis (PhD). The Penn State University.</w:t>
      </w:r>
    </w:p>
    <w:p>
      <w:pPr>
        <w:jc w:val="both"/>
        <w:rPr>
          <w:rFonts w:hint="default" w:ascii="Times New Roman" w:hAnsi="Times New Roman" w:cs="Times New Roman"/>
          <w:sz w:val="24"/>
          <w:szCs w:val="24"/>
          <w:u w:val="none"/>
          <w:lang w:val="en-GB"/>
        </w:rPr>
      </w:pPr>
    </w:p>
    <w:p>
      <w:pPr>
        <w:spacing w:line="240" w:lineRule="auto"/>
        <w:jc w:val="both"/>
        <w:rPr>
          <w:rFonts w:hint="default" w:ascii="Times New Roman" w:hAnsi="Times New Roman" w:eastAsia="Pontano Sans" w:cs="Times New Roman"/>
          <w:b w:val="0"/>
          <w:bCs w:val="0"/>
          <w:i w:val="0"/>
          <w:caps w:val="0"/>
          <w:color w:val="auto"/>
          <w:spacing w:val="0"/>
          <w:sz w:val="24"/>
          <w:szCs w:val="24"/>
          <w:shd w:val="clear" w:fill="FFFFFF"/>
          <w:lang w:val="en-GB"/>
        </w:rPr>
      </w:pPr>
      <w:r>
        <w:rPr>
          <w:rFonts w:hint="default" w:ascii="Times New Roman" w:hAnsi="Times New Roman" w:eastAsia="Pontano Sans" w:cs="Times New Roman"/>
          <w:b w:val="0"/>
          <w:bCs w:val="0"/>
          <w:i w:val="0"/>
          <w:caps w:val="0"/>
          <w:color w:val="auto"/>
          <w:spacing w:val="0"/>
          <w:sz w:val="24"/>
          <w:szCs w:val="24"/>
          <w:shd w:val="clear" w:fill="FFFFFF"/>
          <w:lang w:val="en-GB"/>
        </w:rPr>
        <w:t xml:space="preserve">Wragg, E. C. (2012) </w:t>
      </w:r>
      <w:r>
        <w:rPr>
          <w:rFonts w:hint="default" w:ascii="Times New Roman" w:hAnsi="Times New Roman" w:eastAsia="Pontano Sans" w:cs="Times New Roman"/>
          <w:b w:val="0"/>
          <w:bCs w:val="0"/>
          <w:i/>
          <w:iCs/>
          <w:caps w:val="0"/>
          <w:color w:val="auto"/>
          <w:spacing w:val="0"/>
          <w:sz w:val="24"/>
          <w:szCs w:val="24"/>
          <w:shd w:val="clear" w:fill="FFFFFF"/>
          <w:lang w:val="en-GB"/>
        </w:rPr>
        <w:t xml:space="preserve">An Introduction to Classroom Observation. </w:t>
      </w:r>
      <w:r>
        <w:rPr>
          <w:rFonts w:hint="default" w:ascii="Times New Roman" w:hAnsi="Times New Roman" w:eastAsia="Pontano Sans" w:cs="Times New Roman"/>
          <w:b w:val="0"/>
          <w:bCs w:val="0"/>
          <w:i w:val="0"/>
          <w:caps w:val="0"/>
          <w:color w:val="auto"/>
          <w:spacing w:val="0"/>
          <w:sz w:val="24"/>
          <w:szCs w:val="24"/>
          <w:shd w:val="clear" w:fill="FFFFFF"/>
          <w:lang w:val="en-GB"/>
        </w:rPr>
        <w:t>Abingdon: Routledge.</w:t>
      </w:r>
    </w:p>
    <w:p>
      <w:pPr>
        <w:jc w:val="both"/>
        <w:rPr>
          <w:rFonts w:hint="default" w:ascii="Times New Roman" w:hAnsi="Times New Roman" w:cs="Times New Roman"/>
          <w:sz w:val="24"/>
          <w:szCs w:val="24"/>
          <w:u w:val="none"/>
          <w:lang w:val="en-GB"/>
        </w:rPr>
      </w:pPr>
    </w:p>
    <w:p>
      <w:pPr>
        <w:jc w:val="both"/>
        <w:rPr>
          <w:rFonts w:hint="default" w:ascii="Times New Roman" w:hAnsi="Times New Roman" w:cs="Times New Roman"/>
          <w:sz w:val="24"/>
          <w:szCs w:val="24"/>
          <w:u w:val="none"/>
          <w:lang w:val="en-GB"/>
        </w:rPr>
      </w:pPr>
    </w:p>
    <w:p>
      <w:pPr>
        <w:jc w:val="both"/>
        <w:rPr>
          <w:rFonts w:hint="default" w:ascii="Times New Roman" w:hAnsi="Times New Roman" w:cs="Times New Roman"/>
          <w:sz w:val="24"/>
          <w:szCs w:val="24"/>
          <w:u w:val="none"/>
          <w:lang w:val="en-GB"/>
        </w:rPr>
      </w:pPr>
    </w:p>
    <w:p>
      <w:pPr>
        <w:pStyle w:val="11"/>
        <w:rPr>
          <w:rFonts w:ascii="Calibri" w:hAnsi="Calibri" w:cs="Arial"/>
          <w:color w:val="303B44"/>
          <w:sz w:val="22"/>
          <w:szCs w:val="22"/>
          <w:lang w:val="en-GB"/>
        </w:rPr>
      </w:pPr>
    </w:p>
    <w:p>
      <w:pPr>
        <w:pStyle w:val="11"/>
        <w:rPr>
          <w:rFonts w:ascii="Calibri" w:hAnsi="Calibri" w:cs="Arial"/>
          <w:color w:val="303B44"/>
          <w:sz w:val="22"/>
          <w:szCs w:val="22"/>
          <w:lang w:val="en-GB"/>
        </w:rPr>
      </w:pPr>
    </w:p>
    <w:sectPr>
      <w:footerReference r:id="rId4" w:type="default"/>
      <w:type w:val="continuous"/>
      <w:pgSz w:w="11894" w:h="16834"/>
      <w:pgMar w:top="720" w:right="720" w:bottom="720" w:left="720" w:header="706" w:footer="706" w:gutter="0"/>
      <w:paperSrc w:first="1" w:other="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00"/>
    <w:family w:val="swiss"/>
    <w:pitch w:val="default"/>
    <w:sig w:usb0="E00002FF" w:usb1="4000ACFF" w:usb2="00000001" w:usb3="00000000" w:csb0="2000019F" w:csb1="00000000"/>
  </w:font>
  <w:font w:name="Tahoma">
    <w:panose1 w:val="020B0604030504040204"/>
    <w:charset w:val="00"/>
    <w:family w:val="auto"/>
    <w:pitch w:val="default"/>
    <w:sig w:usb0="E1002EFF" w:usb1="C000605B" w:usb2="00000029" w:usb3="00000000" w:csb0="200101FF" w:csb1="20280000"/>
  </w:font>
  <w:font w:name="CG Times (WN)">
    <w:altName w:val="Segoe Print"/>
    <w:panose1 w:val="00000000000000000000"/>
    <w:charset w:val="00"/>
    <w:family w:val="roman"/>
    <w:pitch w:val="default"/>
    <w:sig w:usb0="00000000" w:usb1="00000000" w:usb2="00000000" w:usb3="00000000" w:csb0="00000001" w:csb1="00000000"/>
  </w:font>
  <w:font w:name="Symbol">
    <w:panose1 w:val="05050102010706020507"/>
    <w:charset w:val="02"/>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MS Mincho">
    <w:panose1 w:val="02020609040205080304"/>
    <w:charset w:val="80"/>
    <w:family w:val="auto"/>
    <w:pitch w:val="default"/>
    <w:sig w:usb0="E00002FF" w:usb1="6AC7FDFB" w:usb2="08000012" w:usb3="00000000" w:csb0="4002009F" w:csb1="DFD70000"/>
  </w:font>
  <w:font w:name="Pontano Sans">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center"/>
    </w:pPr>
    <w:r>
      <w:rPr>
        <w:sz w:val="20"/>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jc w:val="center"/>
                          </w:pPr>
                          <w:r>
                            <w:t xml:space="preserve">Page </w:t>
                          </w:r>
                          <w:r>
                            <w:rPr>
                              <w:b/>
                              <w:sz w:val="24"/>
                              <w:szCs w:val="24"/>
                            </w:rPr>
                            <w:fldChar w:fldCharType="begin"/>
                          </w:r>
                          <w:r>
                            <w:rPr>
                              <w:b/>
                            </w:rPr>
                            <w:instrText xml:space="preserve"> PAGE </w:instrText>
                          </w:r>
                          <w:r>
                            <w:rPr>
                              <w:b/>
                              <w:sz w:val="24"/>
                              <w:szCs w:val="24"/>
                            </w:rPr>
                            <w:fldChar w:fldCharType="separate"/>
                          </w:r>
                          <w:r>
                            <w:rPr>
                              <w:b/>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7</w:t>
                          </w:r>
                          <w:r>
                            <w:rPr>
                              <w:b/>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yVa9sEAgAAFA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zzizwmBHL6qP7DP1DCrg07mwhNvewTH20GPPoz5Amcbua2/SjYEY7ED6ckM3ZZMp&#10;aDFfLKYwSdjGB/IXr+HOh/hFkWFJKLnH+jKq4rwLcXAdXVI1S9tW67xCbVlX8ruPn6Y54GZBcm1R&#10;Iw0xNJuk2B/662QHqi4YzNNAjeDktkXxnQjxWXhwAQ2D3/EJR60JRegqcdaQ//k3ffLHimDlrAO3&#10;Sm5Bfs70V4vVJRqOgh+FwyjYk3kgkBXbQC9ZRICPehRrT+YHSL9JNWASVqJSyeMoPsSB3/g0Um02&#10;2enkfHtshgAQz4m4s3snU5kEZHCbUwSYGeME0IDKFTdQL2/p+k0St9++s9frZ17/Al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MlWvbBAIAABQEAAAOAAAAAAAAAAEAIAAAAB8BAABkcnMvZTJv&#10;RG9jLnhtbFBLBQYAAAAABgAGAFkBAACVBQAAAAA=&#10;">
              <v:fill on="f" focussize="0,0"/>
              <v:stroke on="f" weight="0.5pt"/>
              <v:imagedata o:title=""/>
              <o:lock v:ext="edit" aspectratio="f"/>
              <v:textbox inset="0mm,0mm,0mm,0mm" style="mso-fit-shape-to-text:t;">
                <w:txbxContent>
                  <w:p>
                    <w:pPr>
                      <w:pStyle w:val="9"/>
                      <w:jc w:val="center"/>
                    </w:pPr>
                    <w:r>
                      <w:t xml:space="preserve">Page </w:t>
                    </w:r>
                    <w:r>
                      <w:rPr>
                        <w:b/>
                        <w:sz w:val="24"/>
                        <w:szCs w:val="24"/>
                      </w:rPr>
                      <w:fldChar w:fldCharType="begin"/>
                    </w:r>
                    <w:r>
                      <w:rPr>
                        <w:b/>
                      </w:rPr>
                      <w:instrText xml:space="preserve"> PAGE </w:instrText>
                    </w:r>
                    <w:r>
                      <w:rPr>
                        <w:b/>
                        <w:sz w:val="24"/>
                        <w:szCs w:val="24"/>
                      </w:rPr>
                      <w:fldChar w:fldCharType="separate"/>
                    </w:r>
                    <w:r>
                      <w:rPr>
                        <w:b/>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7</w:t>
                    </w:r>
                    <w:r>
                      <w:rPr>
                        <w:b/>
                        <w:sz w:val="24"/>
                        <w:szCs w:val="24"/>
                      </w:rPr>
                      <w:fldChar w:fldCharType="end"/>
                    </w:r>
                  </w:p>
                </w:txbxContent>
              </v:textbox>
            </v:shape>
          </w:pict>
        </mc:Fallback>
      </mc:AlternateContent>
    </w:r>
  </w:p>
  <w:p>
    <w:pPr>
      <w:pStyle w:val="9"/>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rPr>
        <w:sz w:val="16"/>
      </w:rPr>
    </w:pPr>
    <w:r>
      <w:rPr>
        <w:sz w:val="16"/>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rPr>
                              <w:lang w:val="en-GB"/>
                            </w:rPr>
                          </w:pPr>
                          <w:r>
                            <w:rPr>
                              <w:lang w:val="en-GB"/>
                            </w:rPr>
                            <w:fldChar w:fldCharType="begin"/>
                          </w:r>
                          <w:r>
                            <w:rPr>
                              <w:lang w:val="en-GB"/>
                            </w:rPr>
                            <w:instrText xml:space="preserve"> PAGE  \* MERGEFORMAT </w:instrText>
                          </w:r>
                          <w:r>
                            <w:rPr>
                              <w:lang w:val="en-GB"/>
                            </w:rPr>
                            <w:fldChar w:fldCharType="separate"/>
                          </w:r>
                          <w:r>
                            <w:rPr>
                              <w:lang w:val="en-GB"/>
                            </w:rPr>
                            <w:t>4</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OS1JQFAgAAFA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zzmzwmBHL6qP7DP1DCrg07mwhNvewTH20GPPoz5Amcbua2/SjYEY7ED6ckM3ZZMp&#10;aDFfLKYwSdjGB/IXr+HOh/hFkWFJKLnH+jKq4rwLcXAdXVI1S9tW67xCbVlX8ruPn6Y54GZBcm1R&#10;Iw0xNJuk2B/662QHqi4YzNNAjeDktkXxnQjxWXhwAQ2D3/EJR60JRegqcdaQ//k3ffLHimDlrAO3&#10;Sm5Bfs70V4vVJRqOgh+FwyjYk3kgkHWGf+NkFhHgox7F2pP5AdJvUg2YhJWoVPI4ig9x4Dc+jVSb&#10;TXY6Od8emyEAxHMi7uzeyVQmARnc5hQBZsY4ATSgcsUN1Mtbun6TxO237+z1+pnXvwB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BuBAAAW0NvbnRl&#10;bnRfVHlwZXNdLnhtbFBLAQIUAAoAAAAAAIdO4kAAAAAAAAAAAAAAAAAGAAAAAAAAAAAAEAAAAFAD&#10;AABfcmVscy9QSwECFAAUAAAACACHTuJAihRmPNEAAACUAQAACwAAAAAAAAABACAAAAB0AwAAX3Jl&#10;bHMvLnJlbHNQSwECFAAKAAAAAACHTuJAAAAAAAAAAAAAAAAABAAAAAAAAAAAABAAAAAAAAAAZHJz&#10;L1BLAQIUABQAAAAIAIdO4kCzSVju0AAAAAUBAAAPAAAAAAAAAAEAIAAAACIAAABkcnMvZG93bnJl&#10;di54bWxQSwECFAAUAAAACACHTuJAg5LUlAUCAAAUBAAADgAAAAAAAAABACAAAAAfAQAAZHJzL2Uy&#10;b0RvYy54bWxQSwUGAAAAAAYABgBZAQAAlgUAAAAA&#10;">
              <v:fill on="f" focussize="0,0"/>
              <v:stroke on="f" weight="0.5pt"/>
              <v:imagedata o:title=""/>
              <o:lock v:ext="edit" aspectratio="f"/>
              <v:textbox inset="0mm,0mm,0mm,0mm" style="mso-fit-shape-to-text:t;">
                <w:txbxContent>
                  <w:p>
                    <w:pPr>
                      <w:pStyle w:val="9"/>
                      <w:rPr>
                        <w:lang w:val="en-GB"/>
                      </w:rPr>
                    </w:pPr>
                    <w:r>
                      <w:rPr>
                        <w:lang w:val="en-GB"/>
                      </w:rPr>
                      <w:fldChar w:fldCharType="begin"/>
                    </w:r>
                    <w:r>
                      <w:rPr>
                        <w:lang w:val="en-GB"/>
                      </w:rPr>
                      <w:instrText xml:space="preserve"> PAGE  \* MERGEFORMAT </w:instrText>
                    </w:r>
                    <w:r>
                      <w:rPr>
                        <w:lang w:val="en-GB"/>
                      </w:rPr>
                      <w:fldChar w:fldCharType="separate"/>
                    </w:r>
                    <w:r>
                      <w:rPr>
                        <w:lang w:val="en-GB"/>
                      </w:rPr>
                      <w:t>4</w:t>
                    </w:r>
                    <w:r>
                      <w:rPr>
                        <w:lang w:val="en-GB"/>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370A96B"/>
    <w:multiLevelType w:val="singleLevel"/>
    <w:tmpl w:val="D370A96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311A72B5"/>
    <w:multiLevelType w:val="multilevel"/>
    <w:tmpl w:val="311A72B5"/>
    <w:lvl w:ilvl="0" w:tentative="0">
      <w:start w:val="1"/>
      <w:numFmt w:val="bullet"/>
      <w:pStyle w:val="21"/>
      <w:lvlText w:val=""/>
      <w:lvlJc w:val="left"/>
      <w:pPr>
        <w:tabs>
          <w:tab w:val="left" w:pos="288"/>
        </w:tabs>
        <w:ind w:left="432" w:hanging="288"/>
      </w:pPr>
      <w:rPr>
        <w:rFonts w:hint="default" w:ascii="Symbol" w:hAnsi="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7FC59ABA"/>
    <w:multiLevelType w:val="singleLevel"/>
    <w:tmpl w:val="7FC59ABA"/>
    <w:lvl w:ilvl="0" w:tentative="0">
      <w:start w:val="19"/>
      <w:numFmt w:val="upperLetter"/>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0"/>
  <w:bordersDoNotSurroundFooter w:val="0"/>
  <w:doNotTrackMoves/>
  <w:attachedTemplate r:id="rId1"/>
  <w:documentProtection w:enforcement="0"/>
  <w:defaultTabStop w:val="720"/>
  <w:drawingGridHorizontalSpacing w:val="100"/>
  <w:displayHorizontalDrawingGridEvery w:val="1"/>
  <w:displayVerticalDrawingGridEvery w:val="1"/>
  <w:doNotShadeFormData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647C"/>
    <w:rsid w:val="00075DE4"/>
    <w:rsid w:val="000822E5"/>
    <w:rsid w:val="000971FC"/>
    <w:rsid w:val="000A2A3A"/>
    <w:rsid w:val="000A492A"/>
    <w:rsid w:val="000C3A1C"/>
    <w:rsid w:val="000D2F80"/>
    <w:rsid w:val="000D7834"/>
    <w:rsid w:val="000E413A"/>
    <w:rsid w:val="000F5AA3"/>
    <w:rsid w:val="00100396"/>
    <w:rsid w:val="00100B5C"/>
    <w:rsid w:val="00107BC2"/>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3FEE"/>
    <w:rsid w:val="0028204E"/>
    <w:rsid w:val="0028591B"/>
    <w:rsid w:val="00291841"/>
    <w:rsid w:val="00296572"/>
    <w:rsid w:val="002C07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87D"/>
    <w:rsid w:val="004046A9"/>
    <w:rsid w:val="00404C50"/>
    <w:rsid w:val="00423934"/>
    <w:rsid w:val="00426244"/>
    <w:rsid w:val="004653E7"/>
    <w:rsid w:val="00470A38"/>
    <w:rsid w:val="004874DE"/>
    <w:rsid w:val="004B5334"/>
    <w:rsid w:val="004B6C14"/>
    <w:rsid w:val="004D63D9"/>
    <w:rsid w:val="004E356C"/>
    <w:rsid w:val="0050249F"/>
    <w:rsid w:val="00524566"/>
    <w:rsid w:val="00530BEF"/>
    <w:rsid w:val="00561F00"/>
    <w:rsid w:val="00562C4E"/>
    <w:rsid w:val="00562DEC"/>
    <w:rsid w:val="00575502"/>
    <w:rsid w:val="00576AB4"/>
    <w:rsid w:val="00577917"/>
    <w:rsid w:val="00590667"/>
    <w:rsid w:val="005969E2"/>
    <w:rsid w:val="005A1689"/>
    <w:rsid w:val="005B61CD"/>
    <w:rsid w:val="005D1D58"/>
    <w:rsid w:val="005D29F9"/>
    <w:rsid w:val="005D432C"/>
    <w:rsid w:val="005E285E"/>
    <w:rsid w:val="005E43A2"/>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A2657"/>
    <w:rsid w:val="007C682C"/>
    <w:rsid w:val="007D2385"/>
    <w:rsid w:val="007F214F"/>
    <w:rsid w:val="00800069"/>
    <w:rsid w:val="00820F5B"/>
    <w:rsid w:val="008310A0"/>
    <w:rsid w:val="00835D29"/>
    <w:rsid w:val="00842E7F"/>
    <w:rsid w:val="00852933"/>
    <w:rsid w:val="00853099"/>
    <w:rsid w:val="008566E5"/>
    <w:rsid w:val="008566FE"/>
    <w:rsid w:val="00865B46"/>
    <w:rsid w:val="008733E5"/>
    <w:rsid w:val="0088296F"/>
    <w:rsid w:val="00896134"/>
    <w:rsid w:val="008A62BC"/>
    <w:rsid w:val="008B43E7"/>
    <w:rsid w:val="008C1855"/>
    <w:rsid w:val="008D763F"/>
    <w:rsid w:val="008F036F"/>
    <w:rsid w:val="008F78C2"/>
    <w:rsid w:val="00901749"/>
    <w:rsid w:val="00904568"/>
    <w:rsid w:val="00911394"/>
    <w:rsid w:val="00912F91"/>
    <w:rsid w:val="00923EF2"/>
    <w:rsid w:val="00926D25"/>
    <w:rsid w:val="00926E9D"/>
    <w:rsid w:val="00932C6E"/>
    <w:rsid w:val="00933F10"/>
    <w:rsid w:val="009433C5"/>
    <w:rsid w:val="00965881"/>
    <w:rsid w:val="009871FF"/>
    <w:rsid w:val="00990799"/>
    <w:rsid w:val="009A0631"/>
    <w:rsid w:val="009D3EA4"/>
    <w:rsid w:val="009D649C"/>
    <w:rsid w:val="009E4BC1"/>
    <w:rsid w:val="009F5CB2"/>
    <w:rsid w:val="00A03BB8"/>
    <w:rsid w:val="00A27BEF"/>
    <w:rsid w:val="00A3505D"/>
    <w:rsid w:val="00A4036F"/>
    <w:rsid w:val="00A4641C"/>
    <w:rsid w:val="00A52FDE"/>
    <w:rsid w:val="00A55876"/>
    <w:rsid w:val="00A67FB1"/>
    <w:rsid w:val="00A85CD1"/>
    <w:rsid w:val="00AB6FE7"/>
    <w:rsid w:val="00AB7AD7"/>
    <w:rsid w:val="00AD2430"/>
    <w:rsid w:val="00AE41A6"/>
    <w:rsid w:val="00AF0E34"/>
    <w:rsid w:val="00AF271D"/>
    <w:rsid w:val="00AF56C2"/>
    <w:rsid w:val="00B004E6"/>
    <w:rsid w:val="00B0744D"/>
    <w:rsid w:val="00B541E8"/>
    <w:rsid w:val="00B64082"/>
    <w:rsid w:val="00B72325"/>
    <w:rsid w:val="00B81AD3"/>
    <w:rsid w:val="00B829D8"/>
    <w:rsid w:val="00B84B5B"/>
    <w:rsid w:val="00B86446"/>
    <w:rsid w:val="00BA1176"/>
    <w:rsid w:val="00BA6B2C"/>
    <w:rsid w:val="00BC57B1"/>
    <w:rsid w:val="00BE0B01"/>
    <w:rsid w:val="00BE79C7"/>
    <w:rsid w:val="00BF3CB5"/>
    <w:rsid w:val="00C1285B"/>
    <w:rsid w:val="00C1361B"/>
    <w:rsid w:val="00C14E1F"/>
    <w:rsid w:val="00C315AF"/>
    <w:rsid w:val="00C36D9A"/>
    <w:rsid w:val="00C44A72"/>
    <w:rsid w:val="00C61FC2"/>
    <w:rsid w:val="00C705F9"/>
    <w:rsid w:val="00C80F0F"/>
    <w:rsid w:val="00C8667A"/>
    <w:rsid w:val="00C91C1E"/>
    <w:rsid w:val="00C93BCB"/>
    <w:rsid w:val="00CC241A"/>
    <w:rsid w:val="00CE4035"/>
    <w:rsid w:val="00CE65AB"/>
    <w:rsid w:val="00CF4266"/>
    <w:rsid w:val="00D22D9C"/>
    <w:rsid w:val="00D241F1"/>
    <w:rsid w:val="00D275CB"/>
    <w:rsid w:val="00D30DFA"/>
    <w:rsid w:val="00D463A5"/>
    <w:rsid w:val="00D4710D"/>
    <w:rsid w:val="00D47D25"/>
    <w:rsid w:val="00D62ACD"/>
    <w:rsid w:val="00D825B0"/>
    <w:rsid w:val="00DA36EE"/>
    <w:rsid w:val="00DB116D"/>
    <w:rsid w:val="00DC3A44"/>
    <w:rsid w:val="00DD0B35"/>
    <w:rsid w:val="00DD17CC"/>
    <w:rsid w:val="00DE217A"/>
    <w:rsid w:val="00DF321B"/>
    <w:rsid w:val="00E230E0"/>
    <w:rsid w:val="00E33523"/>
    <w:rsid w:val="00E51AAC"/>
    <w:rsid w:val="00E66CC0"/>
    <w:rsid w:val="00E728A9"/>
    <w:rsid w:val="00E807D9"/>
    <w:rsid w:val="00EA0F4E"/>
    <w:rsid w:val="00EA295B"/>
    <w:rsid w:val="00EA6801"/>
    <w:rsid w:val="00EA7401"/>
    <w:rsid w:val="00EB4F96"/>
    <w:rsid w:val="00ED7072"/>
    <w:rsid w:val="00EE3132"/>
    <w:rsid w:val="00EE3D9D"/>
    <w:rsid w:val="00EE6F25"/>
    <w:rsid w:val="00F02126"/>
    <w:rsid w:val="00F03D85"/>
    <w:rsid w:val="00F07C8C"/>
    <w:rsid w:val="00F13306"/>
    <w:rsid w:val="00F249F1"/>
    <w:rsid w:val="00F2516C"/>
    <w:rsid w:val="00F25B9D"/>
    <w:rsid w:val="00F2664E"/>
    <w:rsid w:val="00F31163"/>
    <w:rsid w:val="00F31C04"/>
    <w:rsid w:val="00F442A7"/>
    <w:rsid w:val="00F57A89"/>
    <w:rsid w:val="00F61A20"/>
    <w:rsid w:val="00F63C28"/>
    <w:rsid w:val="00F63DD9"/>
    <w:rsid w:val="00F67644"/>
    <w:rsid w:val="00F8381F"/>
    <w:rsid w:val="00FA04CD"/>
    <w:rsid w:val="00FA25F5"/>
    <w:rsid w:val="00FA2810"/>
    <w:rsid w:val="00FA68F8"/>
    <w:rsid w:val="00FB1DC0"/>
    <w:rsid w:val="00FB3B4E"/>
    <w:rsid w:val="00FB4521"/>
    <w:rsid w:val="00FB4F84"/>
    <w:rsid w:val="00FB5CF8"/>
    <w:rsid w:val="00FF273B"/>
    <w:rsid w:val="00FF564C"/>
    <w:rsid w:val="12581256"/>
    <w:rsid w:val="12D45CF4"/>
    <w:rsid w:val="13A62FF0"/>
    <w:rsid w:val="18FA5A9B"/>
    <w:rsid w:val="19F55119"/>
    <w:rsid w:val="1F99081A"/>
    <w:rsid w:val="1FDA174F"/>
    <w:rsid w:val="2E072541"/>
    <w:rsid w:val="30217CD8"/>
    <w:rsid w:val="31266F5D"/>
    <w:rsid w:val="3297098E"/>
    <w:rsid w:val="3D7D5BFE"/>
    <w:rsid w:val="5E0100FC"/>
    <w:rsid w:val="61415B90"/>
    <w:rsid w:val="61576DBC"/>
    <w:rsid w:val="63392219"/>
    <w:rsid w:val="71E86E9C"/>
    <w:rsid w:val="75352D6D"/>
  </w:rsids>
  <m:mathPr>
    <m:mathFont m:val="Segoe UI"/>
    <m:brkBin m:val="before"/>
    <m:brkBinSub m:val="--"/>
    <m:smallFrac m:val="1"/>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name="toc 1"/>
    <w:lsdException w:uiPriority="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iPriority="0" w:name="annotation text"/>
    <w:lsdException w:qFormat="1" w:unhideWhenUsed="0" w:uiPriority="99" w:semiHidden="0" w:name="header"/>
    <w:lsdException w:qFormat="1" w:unhideWhenUsed="0" w:uiPriority="99"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iPriority="0"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qFormat="1" w:uiPriority="0"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qFormat="1" w:unhideWhenUsed="0" w:uiPriority="0" w:semiHidden="0" w:name="Body Text 2"/>
    <w:lsdException w:uiPriority="0" w:name="Body Text 3"/>
    <w:lsdException w:uiPriority="0" w:name="Body Text Indent 2"/>
    <w:lsdException w:uiPriority="0" w:name="Body Text Indent 3"/>
    <w:lsdException w:uiPriority="0" w:name="Block Text"/>
    <w:lsdException w:qFormat="1" w:uiPriority="99" w:semiHidden="0" w:name="Hyperlink"/>
    <w:lsdException w:uiPriority="0" w:name="FollowedHyperlink"/>
    <w:lsdException w:qFormat="1" w:unhideWhenUsed="0" w:uiPriority="0" w:semiHidden="0" w:name="Strong"/>
    <w:lsdException w:qFormat="1" w:unhideWhenUsed="0" w:uiPriority="20" w:semiHidden="0" w:name="Emphasis"/>
    <w:lsdException w:uiPriority="0" w:name="Document Map"/>
    <w:lsdException w:uiPriority="0" w:name="Plain Text"/>
    <w:lsdException w:uiPriority="0" w:name="E-mail Signature"/>
    <w:lsdException w:qFormat="1" w:unhideWhenUsed="0" w:uiPriority="99"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qFormat="1" w:uiPriority="0"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99" w:semiHidden="0" w:name="Balloon Text"/>
    <w:lsdException w:qFormat="1" w:unhideWhenUsed="0" w:uiPriority="59"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link w:val="24"/>
    <w:qFormat/>
    <w:uiPriority w:val="9"/>
    <w:pPr>
      <w:keepNext/>
      <w:pBdr>
        <w:top w:val="single" w:color="auto" w:sz="12" w:space="1"/>
        <w:left w:val="single" w:color="auto" w:sz="12" w:space="1"/>
        <w:bottom w:val="single" w:color="auto" w:sz="12" w:space="1"/>
        <w:right w:val="single" w:color="auto" w:sz="12" w:space="1"/>
      </w:pBdr>
      <w:shd w:val="pct10" w:color="auto" w:fill="auto"/>
      <w:jc w:val="center"/>
      <w:outlineLvl w:val="0"/>
    </w:pPr>
    <w:rPr>
      <w:b/>
      <w:sz w:val="36"/>
    </w:rPr>
  </w:style>
  <w:style w:type="paragraph" w:styleId="3">
    <w:name w:val="heading 2"/>
    <w:basedOn w:val="1"/>
    <w:next w:val="1"/>
    <w:qFormat/>
    <w:uiPriority w:val="0"/>
    <w:pPr>
      <w:keepNext/>
      <w:jc w:val="both"/>
      <w:outlineLvl w:val="1"/>
    </w:pPr>
    <w:rPr>
      <w:b/>
      <w:sz w:val="24"/>
    </w:rPr>
  </w:style>
  <w:style w:type="paragraph" w:styleId="4">
    <w:name w:val="heading 3"/>
    <w:basedOn w:val="1"/>
    <w:next w:val="1"/>
    <w:qFormat/>
    <w:uiPriority w:val="0"/>
    <w:pPr>
      <w:keepNext/>
      <w:jc w:val="center"/>
      <w:outlineLvl w:val="2"/>
    </w:pPr>
    <w:rPr>
      <w:b/>
      <w:sz w:val="24"/>
    </w:rPr>
  </w:style>
  <w:style w:type="paragraph" w:styleId="5">
    <w:name w:val="heading 4"/>
    <w:basedOn w:val="1"/>
    <w:next w:val="1"/>
    <w:qFormat/>
    <w:uiPriority w:val="0"/>
    <w:pPr>
      <w:keepNext/>
      <w:spacing w:before="120" w:after="120"/>
      <w:jc w:val="center"/>
      <w:outlineLvl w:val="3"/>
    </w:pPr>
    <w:rPr>
      <w:sz w:val="40"/>
    </w:rPr>
  </w:style>
  <w:style w:type="paragraph" w:styleId="6">
    <w:name w:val="heading 6"/>
    <w:basedOn w:val="1"/>
    <w:next w:val="1"/>
    <w:link w:val="20"/>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12">
    <w:name w:val="Default Paragraph Font"/>
    <w:semiHidden/>
    <w:unhideWhenUsed/>
    <w:qFormat/>
    <w:uiPriority w:val="0"/>
  </w:style>
  <w:style w:type="table" w:default="1" w:styleId="15">
    <w:name w:val="Normal Table"/>
    <w:semiHidden/>
    <w:unhideWhenUsed/>
    <w:qFormat/>
    <w:uiPriority w:val="0"/>
    <w:tblPr>
      <w:tblLayout w:type="fixed"/>
      <w:tblCellMar>
        <w:top w:w="0" w:type="dxa"/>
        <w:left w:w="108" w:type="dxa"/>
        <w:bottom w:w="0" w:type="dxa"/>
        <w:right w:w="108" w:type="dxa"/>
      </w:tblCellMar>
    </w:tblPr>
  </w:style>
  <w:style w:type="paragraph" w:styleId="7">
    <w:name w:val="Balloon Text"/>
    <w:basedOn w:val="1"/>
    <w:link w:val="18"/>
    <w:uiPriority w:val="99"/>
    <w:rPr>
      <w:rFonts w:ascii="Tahoma" w:hAnsi="Tahoma" w:cs="Tahoma"/>
      <w:sz w:val="16"/>
      <w:szCs w:val="16"/>
    </w:rPr>
  </w:style>
  <w:style w:type="paragraph" w:styleId="8">
    <w:name w:val="Body Text 2"/>
    <w:basedOn w:val="1"/>
    <w:qFormat/>
    <w:uiPriority w:val="0"/>
    <w:rPr>
      <w:sz w:val="16"/>
      <w:lang w:eastAsia="en-US"/>
    </w:rPr>
  </w:style>
  <w:style w:type="paragraph" w:styleId="9">
    <w:name w:val="footer"/>
    <w:basedOn w:val="1"/>
    <w:link w:val="19"/>
    <w:qFormat/>
    <w:uiPriority w:val="99"/>
    <w:pPr>
      <w:tabs>
        <w:tab w:val="center" w:pos="4153"/>
        <w:tab w:val="right" w:pos="8306"/>
      </w:tabs>
    </w:pPr>
  </w:style>
  <w:style w:type="paragraph" w:styleId="10">
    <w:name w:val="header"/>
    <w:basedOn w:val="1"/>
    <w:link w:val="22"/>
    <w:qFormat/>
    <w:uiPriority w:val="99"/>
    <w:pPr>
      <w:tabs>
        <w:tab w:val="center" w:pos="4153"/>
        <w:tab w:val="right" w:pos="8306"/>
      </w:tabs>
    </w:pPr>
  </w:style>
  <w:style w:type="paragraph" w:styleId="11">
    <w:name w:val="Normal (Web)"/>
    <w:basedOn w:val="1"/>
    <w:qFormat/>
    <w:uiPriority w:val="99"/>
    <w:pPr>
      <w:spacing w:before="100" w:after="100"/>
    </w:pPr>
    <w:rPr>
      <w:sz w:val="24"/>
      <w:lang w:eastAsia="en-US"/>
    </w:rPr>
  </w:style>
  <w:style w:type="character" w:styleId="13">
    <w:name w:val="Emphasis"/>
    <w:qFormat/>
    <w:uiPriority w:val="20"/>
    <w:rPr>
      <w:i/>
      <w:iCs/>
    </w:rPr>
  </w:style>
  <w:style w:type="character" w:styleId="14">
    <w:name w:val="Hyperlink"/>
    <w:unhideWhenUsed/>
    <w:qFormat/>
    <w:uiPriority w:val="99"/>
    <w:rPr>
      <w:color w:val="0000FF"/>
      <w:u w:val="single"/>
    </w:rPr>
  </w:style>
  <w:style w:type="table" w:styleId="16">
    <w:name w:val="Table Grid"/>
    <w:basedOn w:val="1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paragraph" w:customStyle="1" w:styleId="17">
    <w:name w:val="Body Text1"/>
    <w:basedOn w:val="1"/>
    <w:qFormat/>
    <w:uiPriority w:val="0"/>
    <w:pPr>
      <w:tabs>
        <w:tab w:val="left" w:pos="720"/>
        <w:tab w:val="left" w:pos="1440"/>
      </w:tabs>
    </w:pPr>
    <w:rPr>
      <w:rFonts w:ascii="CG Times (WN)" w:hAnsi="CG Times (WN)"/>
      <w:sz w:val="24"/>
      <w:lang w:eastAsia="en-US"/>
    </w:rPr>
  </w:style>
  <w:style w:type="character" w:customStyle="1" w:styleId="18">
    <w:name w:val="Balloon Text Char"/>
    <w:link w:val="7"/>
    <w:qFormat/>
    <w:uiPriority w:val="99"/>
    <w:rPr>
      <w:rFonts w:ascii="Tahoma" w:hAnsi="Tahoma" w:cs="Tahoma"/>
      <w:sz w:val="16"/>
      <w:szCs w:val="16"/>
    </w:rPr>
  </w:style>
  <w:style w:type="character" w:customStyle="1" w:styleId="19">
    <w:name w:val="Footer Char"/>
    <w:basedOn w:val="12"/>
    <w:link w:val="9"/>
    <w:qFormat/>
    <w:uiPriority w:val="99"/>
  </w:style>
  <w:style w:type="character" w:customStyle="1" w:styleId="20">
    <w:name w:val="Heading 6 Char"/>
    <w:link w:val="6"/>
    <w:qFormat/>
    <w:uiPriority w:val="0"/>
    <w:rPr>
      <w:rFonts w:ascii="Arial" w:hAnsi="Arial" w:cs="Arial"/>
      <w:b/>
      <w:bCs/>
      <w:sz w:val="24"/>
      <w:lang w:val="en-GB"/>
    </w:rPr>
  </w:style>
  <w:style w:type="paragraph" w:customStyle="1" w:styleId="21">
    <w:name w:val="Bulleted List"/>
    <w:basedOn w:val="1"/>
    <w:uiPriority w:val="0"/>
    <w:pPr>
      <w:numPr>
        <w:ilvl w:val="0"/>
        <w:numId w:val="1"/>
      </w:numPr>
      <w:spacing w:before="120" w:after="240"/>
    </w:pPr>
    <w:rPr>
      <w:rFonts w:ascii="Verdana" w:hAnsi="Verdana"/>
      <w:sz w:val="16"/>
      <w:szCs w:val="24"/>
      <w:lang w:val="en-US" w:eastAsia="en-US"/>
    </w:rPr>
  </w:style>
  <w:style w:type="character" w:customStyle="1" w:styleId="22">
    <w:name w:val="Header Char"/>
    <w:basedOn w:val="12"/>
    <w:link w:val="10"/>
    <w:uiPriority w:val="99"/>
  </w:style>
  <w:style w:type="paragraph" w:styleId="23">
    <w:name w:val="List Paragraph"/>
    <w:basedOn w:val="1"/>
    <w:qFormat/>
    <w:uiPriority w:val="34"/>
    <w:pPr>
      <w:ind w:left="720"/>
      <w:contextualSpacing/>
    </w:pPr>
  </w:style>
  <w:style w:type="character" w:customStyle="1" w:styleId="24">
    <w:name w:val="Heading 1 Char"/>
    <w:basedOn w:val="12"/>
    <w:link w:val="2"/>
    <w:qFormat/>
    <w:uiPriority w:val="9"/>
    <w:rPr>
      <w:b/>
      <w:sz w:val="36"/>
      <w:shd w:val="pct10" w:color="auto" w:fill="auto"/>
      <w:lang w:eastAsia="en-GB"/>
    </w:rPr>
  </w:style>
  <w:style w:type="character" w:customStyle="1" w:styleId="25">
    <w:name w:val="Subtle Emphasis1"/>
    <w:qFormat/>
    <w:uiPriority w:val="65"/>
    <w:rPr>
      <w:i/>
      <w:iCs/>
      <w:color w:val="808080"/>
    </w:rPr>
  </w:style>
  <w:style w:type="paragraph" w:styleId="26">
    <w:name w:val="No Spacing"/>
    <w:basedOn w:val="1"/>
    <w:qFormat/>
    <w:uiPriority w:val="1"/>
    <w:rPr>
      <w:rFonts w:ascii="Arial" w:hAnsi="Arial" w:cs="Arial" w:eastAsiaTheme="minorEastAsia"/>
      <w:sz w:val="22"/>
      <w:szCs w:val="22"/>
      <w:lang w:eastAsia="en-US" w:bidi="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cid:image001.png@01D0EA4A.2BD679A0" TargetMode="External"/><Relationship Id="rId7" Type="http://schemas.openxmlformats.org/officeDocument/2006/relationships/image" Target="media/image2.png"/><Relationship Id="rId6" Type="http://schemas.openxmlformats.org/officeDocument/2006/relationships/image" Target="media/image1.emf"/><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Company>S.I.H.E.</Company>
  <Pages>7</Pages>
  <Words>2639</Words>
  <Characters>13990</Characters>
  <Lines>259</Lines>
  <Paragraphs>28</Paragraphs>
  <ScaleCrop>false</ScaleCrop>
  <LinksUpToDate>false</LinksUpToDate>
  <CharactersWithSpaces>18477</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2017-11-21T13:06:00Z</dcterms:created>
  <dc:creator>fad-lc</dc:creator>
  <cp:lastModifiedBy>Lauren</cp:lastModifiedBy>
  <cp:lastPrinted>2014-10-10T07:42:00Z</cp:lastPrinted>
  <dcterms:modified xsi:type="dcterms:W3CDTF">2018-04-16T07:50:51Z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2057-10.2.0.6020</vt:lpwstr>
  </property>
</Properties>
</file>