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BF717" w14:textId="77777777" w:rsidR="00856423" w:rsidRPr="000F6B7C" w:rsidRDefault="00856423" w:rsidP="00856423">
      <w:pPr>
        <w:jc w:val="center"/>
        <w:rPr>
          <w:rFonts w:asciiTheme="majorHAnsi" w:hAnsiTheme="majorHAnsi" w:cstheme="majorHAnsi"/>
          <w:bCs/>
          <w:sz w:val="28"/>
          <w:szCs w:val="28"/>
        </w:rPr>
      </w:pPr>
      <w:r w:rsidRPr="000F6B7C">
        <w:rPr>
          <w:rFonts w:asciiTheme="majorHAnsi" w:hAnsiTheme="majorHAnsi" w:cstheme="majorHAnsi"/>
          <w:bCs/>
          <w:sz w:val="28"/>
          <w:szCs w:val="28"/>
        </w:rPr>
        <w:t xml:space="preserve">BA Law &amp; Public Services </w:t>
      </w:r>
    </w:p>
    <w:p w14:paraId="3953DD59" w14:textId="2BB959DF" w:rsidR="00856423" w:rsidRDefault="00856423" w:rsidP="00856423">
      <w:pPr>
        <w:jc w:val="center"/>
        <w:rPr>
          <w:rFonts w:asciiTheme="majorHAnsi" w:hAnsiTheme="majorHAnsi" w:cstheme="majorHAnsi"/>
          <w:bCs/>
          <w:sz w:val="28"/>
          <w:szCs w:val="28"/>
        </w:rPr>
      </w:pPr>
      <w:r w:rsidRPr="00856423">
        <w:rPr>
          <w:rFonts w:asciiTheme="majorHAnsi" w:hAnsiTheme="majorHAnsi" w:cstheme="majorHAnsi"/>
          <w:bCs/>
          <w:sz w:val="28"/>
          <w:szCs w:val="28"/>
        </w:rPr>
        <w:t>Property Law</w:t>
      </w:r>
      <w:r>
        <w:rPr>
          <w:rFonts w:asciiTheme="majorHAnsi" w:hAnsiTheme="majorHAnsi" w:cstheme="majorHAnsi"/>
          <w:bCs/>
          <w:sz w:val="28"/>
          <w:szCs w:val="28"/>
        </w:rPr>
        <w:t xml:space="preserve"> </w:t>
      </w:r>
      <w:r w:rsidRPr="00856423">
        <w:rPr>
          <w:rFonts w:asciiTheme="majorHAnsi" w:hAnsiTheme="majorHAnsi" w:cstheme="majorHAnsi"/>
          <w:bCs/>
          <w:sz w:val="28"/>
          <w:szCs w:val="28"/>
        </w:rPr>
        <w:t>BMLW6006</w:t>
      </w:r>
    </w:p>
    <w:p w14:paraId="53541331" w14:textId="684EFD2F" w:rsidR="00856423" w:rsidRPr="00856423" w:rsidRDefault="00856423" w:rsidP="00856423">
      <w:pPr>
        <w:jc w:val="center"/>
        <w:rPr>
          <w:rFonts w:asciiTheme="majorHAnsi" w:hAnsiTheme="majorHAnsi" w:cstheme="majorHAnsi"/>
          <w:bCs/>
          <w:sz w:val="28"/>
          <w:szCs w:val="28"/>
        </w:rPr>
      </w:pPr>
      <w:r w:rsidRPr="00856423">
        <w:rPr>
          <w:rFonts w:asciiTheme="majorHAnsi" w:hAnsiTheme="majorHAnsi" w:cstheme="majorHAnsi"/>
          <w:bCs/>
          <w:sz w:val="28"/>
          <w:szCs w:val="28"/>
        </w:rPr>
        <w:t>Critically analyse to what extent the characteristics of an easement restrict the types of rights that landowners may grant or reserve</w:t>
      </w:r>
    </w:p>
    <w:p w14:paraId="3FC4C961" w14:textId="77777777" w:rsidR="00856423" w:rsidRPr="000F6B7C" w:rsidRDefault="00856423" w:rsidP="00856423">
      <w:pPr>
        <w:jc w:val="center"/>
        <w:rPr>
          <w:rFonts w:asciiTheme="majorHAnsi" w:hAnsiTheme="majorHAnsi" w:cstheme="majorHAnsi"/>
          <w:bCs/>
          <w:sz w:val="28"/>
          <w:szCs w:val="28"/>
        </w:rPr>
      </w:pPr>
      <w:r w:rsidRPr="000F6B7C">
        <w:rPr>
          <w:rFonts w:asciiTheme="majorHAnsi" w:hAnsiTheme="majorHAnsi" w:cstheme="majorHAnsi"/>
          <w:bCs/>
          <w:sz w:val="28"/>
          <w:szCs w:val="28"/>
        </w:rPr>
        <w:t>Stephen Emyr Harries 1801259</w:t>
      </w:r>
    </w:p>
    <w:p w14:paraId="18596B74" w14:textId="0D765E32" w:rsidR="002B6E34" w:rsidRDefault="002B6E34">
      <w:pPr>
        <w:rPr>
          <w:rFonts w:asciiTheme="majorHAnsi" w:hAnsiTheme="majorHAnsi" w:cstheme="majorHAnsi"/>
          <w:bCs/>
          <w:sz w:val="28"/>
          <w:szCs w:val="28"/>
        </w:rPr>
      </w:pPr>
      <w:r>
        <w:rPr>
          <w:rFonts w:asciiTheme="majorHAnsi" w:hAnsiTheme="majorHAnsi" w:cstheme="majorHAnsi"/>
          <w:bCs/>
          <w:sz w:val="28"/>
          <w:szCs w:val="28"/>
        </w:rPr>
        <w:br w:type="page"/>
      </w:r>
    </w:p>
    <w:p w14:paraId="11086907" w14:textId="74275DDF" w:rsidR="000118BD" w:rsidRPr="00023351" w:rsidRDefault="00965FDA" w:rsidP="00F83724">
      <w:pPr>
        <w:spacing w:line="480" w:lineRule="auto"/>
        <w:rPr>
          <w:rFonts w:cstheme="minorHAnsi"/>
          <w:bCs/>
          <w:sz w:val="24"/>
          <w:szCs w:val="24"/>
        </w:rPr>
      </w:pPr>
      <w:r w:rsidRPr="00023351">
        <w:rPr>
          <w:rFonts w:cstheme="minorHAnsi"/>
          <w:bCs/>
          <w:sz w:val="24"/>
          <w:szCs w:val="24"/>
        </w:rPr>
        <w:lastRenderedPageBreak/>
        <w:t xml:space="preserve">An easement is a right to use land that is belonging to another person where it would be split into a dominant land and </w:t>
      </w:r>
      <w:r w:rsidR="00F05155" w:rsidRPr="00023351">
        <w:rPr>
          <w:rFonts w:cstheme="minorHAnsi"/>
          <w:bCs/>
          <w:sz w:val="24"/>
          <w:szCs w:val="24"/>
        </w:rPr>
        <w:t>servient</w:t>
      </w:r>
      <w:r w:rsidRPr="00023351">
        <w:rPr>
          <w:rFonts w:cstheme="minorHAnsi"/>
          <w:bCs/>
          <w:sz w:val="24"/>
          <w:szCs w:val="24"/>
        </w:rPr>
        <w:t xml:space="preserve"> land</w:t>
      </w:r>
      <w:r w:rsidR="000118BD" w:rsidRPr="00023351">
        <w:rPr>
          <w:rFonts w:cstheme="minorHAnsi"/>
          <w:bCs/>
          <w:sz w:val="24"/>
          <w:szCs w:val="24"/>
        </w:rPr>
        <w:t xml:space="preserve">, this can be seen in the case of </w:t>
      </w:r>
      <w:r w:rsidR="000118BD" w:rsidRPr="00023351">
        <w:rPr>
          <w:rFonts w:cstheme="minorHAnsi"/>
          <w:bCs/>
          <w:sz w:val="24"/>
          <w:szCs w:val="24"/>
        </w:rPr>
        <w:t>London &amp; Blenheim Estates Ltd v Ladbroke Retail Parks Ltd</w:t>
      </w:r>
      <w:r w:rsidR="000118BD" w:rsidRPr="00023351">
        <w:rPr>
          <w:rFonts w:cstheme="minorHAnsi"/>
          <w:bCs/>
          <w:sz w:val="24"/>
          <w:szCs w:val="24"/>
        </w:rPr>
        <w:t xml:space="preserve"> 1993</w:t>
      </w:r>
      <w:r w:rsidR="00614C9C" w:rsidRPr="00023351">
        <w:rPr>
          <w:rFonts w:cstheme="minorHAnsi"/>
          <w:bCs/>
          <w:sz w:val="24"/>
          <w:szCs w:val="24"/>
        </w:rPr>
        <w:t>,</w:t>
      </w:r>
      <w:r w:rsidR="00CE0DBE" w:rsidRPr="00023351">
        <w:rPr>
          <w:rFonts w:cstheme="minorHAnsi"/>
          <w:bCs/>
          <w:sz w:val="24"/>
          <w:szCs w:val="24"/>
        </w:rPr>
        <w:t xml:space="preserve"> whereas a result of the clear separation of what was the dominant land </w:t>
      </w:r>
      <w:r w:rsidR="00F05155" w:rsidRPr="00023351">
        <w:rPr>
          <w:rFonts w:cstheme="minorHAnsi"/>
          <w:bCs/>
          <w:sz w:val="24"/>
          <w:szCs w:val="24"/>
        </w:rPr>
        <w:t xml:space="preserve">it was decided that an easement was not able to form. This is a key as it limits an owner to what they </w:t>
      </w:r>
      <w:r w:rsidR="0093473A" w:rsidRPr="00023351">
        <w:rPr>
          <w:rFonts w:cstheme="minorHAnsi"/>
          <w:bCs/>
          <w:sz w:val="24"/>
          <w:szCs w:val="24"/>
        </w:rPr>
        <w:t>can</w:t>
      </w:r>
      <w:r w:rsidR="00F05155" w:rsidRPr="00023351">
        <w:rPr>
          <w:rFonts w:cstheme="minorHAnsi"/>
          <w:bCs/>
          <w:sz w:val="24"/>
          <w:szCs w:val="24"/>
        </w:rPr>
        <w:t xml:space="preserve"> calin as easement ensuring they would not be able to arbitrarily claim an easement without clear boundaries.</w:t>
      </w:r>
      <w:r w:rsidR="0093473A" w:rsidRPr="00023351">
        <w:rPr>
          <w:rFonts w:cstheme="minorHAnsi"/>
          <w:bCs/>
          <w:sz w:val="24"/>
          <w:szCs w:val="24"/>
        </w:rPr>
        <w:t xml:space="preserve"> </w:t>
      </w:r>
      <w:sdt>
        <w:sdtPr>
          <w:rPr>
            <w:rFonts w:cstheme="minorHAnsi"/>
            <w:bCs/>
            <w:sz w:val="24"/>
            <w:szCs w:val="24"/>
          </w:rPr>
          <w:id w:val="245241666"/>
          <w:citation/>
        </w:sdtPr>
        <w:sdtContent>
          <w:r w:rsidR="0093473A" w:rsidRPr="00023351">
            <w:rPr>
              <w:rFonts w:cstheme="minorHAnsi"/>
              <w:bCs/>
              <w:sz w:val="24"/>
              <w:szCs w:val="24"/>
            </w:rPr>
            <w:fldChar w:fldCharType="begin"/>
          </w:r>
          <w:r w:rsidR="00F83724">
            <w:rPr>
              <w:rFonts w:cstheme="minorHAnsi"/>
              <w:bCs/>
              <w:sz w:val="24"/>
              <w:szCs w:val="24"/>
            </w:rPr>
            <w:instrText xml:space="preserve">CITATION Gra11 \l 2057 </w:instrText>
          </w:r>
          <w:r w:rsidR="0093473A" w:rsidRPr="00023351">
            <w:rPr>
              <w:rFonts w:cstheme="minorHAnsi"/>
              <w:bCs/>
              <w:sz w:val="24"/>
              <w:szCs w:val="24"/>
            </w:rPr>
            <w:fldChar w:fldCharType="separate"/>
          </w:r>
          <w:r w:rsidR="00F83724" w:rsidRPr="00F83724">
            <w:rPr>
              <w:rFonts w:cstheme="minorHAnsi"/>
              <w:noProof/>
              <w:sz w:val="24"/>
              <w:szCs w:val="24"/>
            </w:rPr>
            <w:t>(Gray &amp; Gray, 2011)</w:t>
          </w:r>
          <w:r w:rsidR="0093473A" w:rsidRPr="00023351">
            <w:rPr>
              <w:rFonts w:cstheme="minorHAnsi"/>
              <w:bCs/>
              <w:sz w:val="24"/>
              <w:szCs w:val="24"/>
            </w:rPr>
            <w:fldChar w:fldCharType="end"/>
          </w:r>
        </w:sdtContent>
      </w:sdt>
    </w:p>
    <w:p w14:paraId="29CCCBED" w14:textId="629F4B50" w:rsidR="00016647" w:rsidRPr="00023351" w:rsidRDefault="00016647" w:rsidP="00F83724">
      <w:pPr>
        <w:spacing w:line="480" w:lineRule="auto"/>
        <w:rPr>
          <w:rFonts w:cstheme="minorHAnsi"/>
          <w:bCs/>
          <w:sz w:val="24"/>
          <w:szCs w:val="24"/>
        </w:rPr>
      </w:pPr>
      <w:r w:rsidRPr="00023351">
        <w:rPr>
          <w:rFonts w:cstheme="minorHAnsi"/>
          <w:bCs/>
          <w:sz w:val="24"/>
          <w:szCs w:val="24"/>
        </w:rPr>
        <w:t xml:space="preserve">The main characteristics of the easement was brought forth in the case of </w:t>
      </w:r>
      <w:r w:rsidRPr="00023351">
        <w:rPr>
          <w:rFonts w:cstheme="minorHAnsi"/>
          <w:bCs/>
          <w:sz w:val="24"/>
          <w:szCs w:val="24"/>
        </w:rPr>
        <w:t>Re Ellenborough Park 1956</w:t>
      </w:r>
      <w:r w:rsidRPr="00023351">
        <w:rPr>
          <w:rFonts w:cstheme="minorHAnsi"/>
          <w:bCs/>
          <w:sz w:val="24"/>
          <w:szCs w:val="24"/>
        </w:rPr>
        <w:t xml:space="preserve"> and then each of the aspects then elaborated on in further cases. As one of the foundation stones of putting into place what an easement it </w:t>
      </w:r>
      <w:r w:rsidR="007832D2" w:rsidRPr="00023351">
        <w:rPr>
          <w:rFonts w:cstheme="minorHAnsi"/>
          <w:bCs/>
          <w:sz w:val="24"/>
          <w:szCs w:val="24"/>
        </w:rPr>
        <w:t>serves</w:t>
      </w:r>
      <w:r w:rsidRPr="00023351">
        <w:rPr>
          <w:rFonts w:cstheme="minorHAnsi"/>
          <w:bCs/>
          <w:sz w:val="24"/>
          <w:szCs w:val="24"/>
        </w:rPr>
        <w:t xml:space="preserve"> the </w:t>
      </w:r>
      <w:r w:rsidR="007832D2" w:rsidRPr="00023351">
        <w:rPr>
          <w:rFonts w:cstheme="minorHAnsi"/>
          <w:bCs/>
          <w:sz w:val="24"/>
          <w:szCs w:val="24"/>
        </w:rPr>
        <w:t>function</w:t>
      </w:r>
      <w:r w:rsidRPr="00023351">
        <w:rPr>
          <w:rFonts w:cstheme="minorHAnsi"/>
          <w:bCs/>
          <w:sz w:val="24"/>
          <w:szCs w:val="24"/>
        </w:rPr>
        <w:t xml:space="preserve"> to ensure that new easements can be established in a manner that does not interfere with the rights of others to too high of an extent.</w:t>
      </w:r>
      <w:r w:rsidR="00EC69E5">
        <w:rPr>
          <w:rFonts w:cstheme="minorHAnsi"/>
          <w:bCs/>
          <w:sz w:val="24"/>
          <w:szCs w:val="24"/>
        </w:rPr>
        <w:t xml:space="preserve"> </w:t>
      </w:r>
      <w:sdt>
        <w:sdtPr>
          <w:rPr>
            <w:rFonts w:cstheme="minorHAnsi"/>
            <w:bCs/>
            <w:sz w:val="24"/>
            <w:szCs w:val="24"/>
          </w:rPr>
          <w:id w:val="-1075743624"/>
          <w:citation/>
        </w:sdtPr>
        <w:sdtContent>
          <w:r w:rsidR="00EC69E5">
            <w:rPr>
              <w:rFonts w:cstheme="minorHAnsi"/>
              <w:bCs/>
              <w:sz w:val="24"/>
              <w:szCs w:val="24"/>
            </w:rPr>
            <w:fldChar w:fldCharType="begin"/>
          </w:r>
          <w:r w:rsidR="00EC69E5">
            <w:rPr>
              <w:rFonts w:cstheme="minorHAnsi"/>
              <w:bCs/>
              <w:sz w:val="24"/>
              <w:szCs w:val="24"/>
            </w:rPr>
            <w:instrText xml:space="preserve"> CITATION Dix21 \l 2057 </w:instrText>
          </w:r>
          <w:r w:rsidR="00EC69E5">
            <w:rPr>
              <w:rFonts w:cstheme="minorHAnsi"/>
              <w:bCs/>
              <w:sz w:val="24"/>
              <w:szCs w:val="24"/>
            </w:rPr>
            <w:fldChar w:fldCharType="separate"/>
          </w:r>
          <w:r w:rsidR="00F83724" w:rsidRPr="00F83724">
            <w:rPr>
              <w:rFonts w:cstheme="minorHAnsi"/>
              <w:noProof/>
              <w:sz w:val="24"/>
              <w:szCs w:val="24"/>
            </w:rPr>
            <w:t>(Dixon, 2021)</w:t>
          </w:r>
          <w:r w:rsidR="00EC69E5">
            <w:rPr>
              <w:rFonts w:cstheme="minorHAnsi"/>
              <w:bCs/>
              <w:sz w:val="24"/>
              <w:szCs w:val="24"/>
            </w:rPr>
            <w:fldChar w:fldCharType="end"/>
          </w:r>
        </w:sdtContent>
      </w:sdt>
    </w:p>
    <w:p w14:paraId="166895DE" w14:textId="6AFF5ED7" w:rsidR="008765AA" w:rsidRPr="00023351" w:rsidRDefault="002327A0" w:rsidP="00F83724">
      <w:pPr>
        <w:spacing w:line="480" w:lineRule="auto"/>
        <w:rPr>
          <w:rFonts w:cstheme="minorHAnsi"/>
          <w:bCs/>
          <w:sz w:val="24"/>
          <w:szCs w:val="24"/>
        </w:rPr>
      </w:pPr>
      <w:r w:rsidRPr="00023351">
        <w:rPr>
          <w:rFonts w:cstheme="minorHAnsi"/>
          <w:bCs/>
          <w:sz w:val="24"/>
          <w:szCs w:val="24"/>
        </w:rPr>
        <w:t xml:space="preserve">Furthermore, the </w:t>
      </w:r>
      <w:r w:rsidR="00E14F35" w:rsidRPr="00023351">
        <w:rPr>
          <w:rFonts w:cstheme="minorHAnsi"/>
          <w:bCs/>
          <w:sz w:val="24"/>
          <w:szCs w:val="24"/>
        </w:rPr>
        <w:t xml:space="preserve">dominant </w:t>
      </w:r>
      <w:r w:rsidRPr="00023351">
        <w:rPr>
          <w:rFonts w:cstheme="minorHAnsi"/>
          <w:bCs/>
          <w:sz w:val="24"/>
          <w:szCs w:val="24"/>
        </w:rPr>
        <w:t xml:space="preserve">land must be </w:t>
      </w:r>
      <w:r w:rsidR="00E14F35" w:rsidRPr="00023351">
        <w:rPr>
          <w:rFonts w:cstheme="minorHAnsi"/>
          <w:bCs/>
          <w:sz w:val="24"/>
          <w:szCs w:val="24"/>
        </w:rPr>
        <w:t xml:space="preserve">attached to the </w:t>
      </w:r>
      <w:r w:rsidR="00E14F35" w:rsidRPr="00023351">
        <w:rPr>
          <w:rFonts w:cstheme="minorHAnsi"/>
          <w:bCs/>
          <w:sz w:val="24"/>
          <w:szCs w:val="24"/>
        </w:rPr>
        <w:t>servient land</w:t>
      </w:r>
      <w:r w:rsidR="00E14F35" w:rsidRPr="00023351">
        <w:rPr>
          <w:rFonts w:cstheme="minorHAnsi"/>
          <w:bCs/>
          <w:sz w:val="24"/>
          <w:szCs w:val="24"/>
        </w:rPr>
        <w:t xml:space="preserve">, this is to ensure that </w:t>
      </w:r>
      <w:r w:rsidR="004F4383" w:rsidRPr="00023351">
        <w:rPr>
          <w:rFonts w:cstheme="minorHAnsi"/>
          <w:bCs/>
          <w:sz w:val="24"/>
          <w:szCs w:val="24"/>
        </w:rPr>
        <w:t>there can be a clear distinction made there the easement is and the function it is serving</w:t>
      </w:r>
      <w:r w:rsidR="00D25D0B" w:rsidRPr="00023351">
        <w:rPr>
          <w:rFonts w:cstheme="minorHAnsi"/>
          <w:bCs/>
          <w:sz w:val="24"/>
          <w:szCs w:val="24"/>
        </w:rPr>
        <w:t xml:space="preserve">, the demonstration of this would be with </w:t>
      </w:r>
      <w:r w:rsidR="00D25D0B" w:rsidRPr="00023351">
        <w:rPr>
          <w:rFonts w:cstheme="minorHAnsi"/>
          <w:bCs/>
          <w:sz w:val="24"/>
          <w:szCs w:val="24"/>
        </w:rPr>
        <w:t>Banstead Downs Golf Club v Customs and Excise Commissioners</w:t>
      </w:r>
      <w:r w:rsidR="00D25D0B" w:rsidRPr="00023351">
        <w:rPr>
          <w:rFonts w:cstheme="minorHAnsi"/>
          <w:bCs/>
          <w:sz w:val="24"/>
          <w:szCs w:val="24"/>
        </w:rPr>
        <w:t xml:space="preserve"> 1974, where it was seen </w:t>
      </w:r>
      <w:r w:rsidR="00614C9C" w:rsidRPr="00023351">
        <w:rPr>
          <w:rFonts w:cstheme="minorHAnsi"/>
          <w:bCs/>
          <w:sz w:val="24"/>
          <w:szCs w:val="24"/>
        </w:rPr>
        <w:t>that you would not be able to claim an easement to play golf as a result of the need of having a dominant section of land. As well the case shows that an easement cannot be a personal use of the land, rather a real use that exclusively applies to the land rather than the person.</w:t>
      </w:r>
      <w:sdt>
        <w:sdtPr>
          <w:rPr>
            <w:rFonts w:cstheme="minorHAnsi"/>
            <w:bCs/>
            <w:sz w:val="24"/>
            <w:szCs w:val="24"/>
          </w:rPr>
          <w:id w:val="893476411"/>
          <w:citation/>
        </w:sdtPr>
        <w:sdtContent>
          <w:r w:rsidR="000F3AA3">
            <w:rPr>
              <w:rFonts w:cstheme="minorHAnsi"/>
              <w:bCs/>
              <w:sz w:val="24"/>
              <w:szCs w:val="24"/>
            </w:rPr>
            <w:fldChar w:fldCharType="begin"/>
          </w:r>
          <w:r w:rsidR="000F3AA3">
            <w:rPr>
              <w:rFonts w:cstheme="minorHAnsi"/>
              <w:bCs/>
              <w:sz w:val="24"/>
              <w:szCs w:val="24"/>
            </w:rPr>
            <w:instrText xml:space="preserve"> CITATION McF18 \l 2057 </w:instrText>
          </w:r>
          <w:r w:rsidR="000F3AA3">
            <w:rPr>
              <w:rFonts w:cstheme="minorHAnsi"/>
              <w:bCs/>
              <w:sz w:val="24"/>
              <w:szCs w:val="24"/>
            </w:rPr>
            <w:fldChar w:fldCharType="separate"/>
          </w:r>
          <w:r w:rsidR="00F83724">
            <w:rPr>
              <w:rFonts w:cstheme="minorHAnsi"/>
              <w:bCs/>
              <w:noProof/>
              <w:sz w:val="24"/>
              <w:szCs w:val="24"/>
            </w:rPr>
            <w:t xml:space="preserve"> </w:t>
          </w:r>
          <w:r w:rsidR="00F83724" w:rsidRPr="00F83724">
            <w:rPr>
              <w:rFonts w:cstheme="minorHAnsi"/>
              <w:noProof/>
              <w:sz w:val="24"/>
              <w:szCs w:val="24"/>
            </w:rPr>
            <w:t>(McFarlanr, Hopkins, &amp; Nield, 2018)</w:t>
          </w:r>
          <w:r w:rsidR="000F3AA3">
            <w:rPr>
              <w:rFonts w:cstheme="minorHAnsi"/>
              <w:bCs/>
              <w:sz w:val="24"/>
              <w:szCs w:val="24"/>
            </w:rPr>
            <w:fldChar w:fldCharType="end"/>
          </w:r>
        </w:sdtContent>
      </w:sdt>
    </w:p>
    <w:p w14:paraId="4ECFC027" w14:textId="3927068C" w:rsidR="000118BD" w:rsidRPr="00023351" w:rsidRDefault="008765AA" w:rsidP="00F83724">
      <w:pPr>
        <w:spacing w:line="480" w:lineRule="auto"/>
        <w:rPr>
          <w:rFonts w:cstheme="minorHAnsi"/>
          <w:bCs/>
          <w:sz w:val="24"/>
          <w:szCs w:val="24"/>
        </w:rPr>
      </w:pPr>
      <w:r w:rsidRPr="00023351">
        <w:rPr>
          <w:rFonts w:cstheme="minorHAnsi"/>
          <w:bCs/>
          <w:sz w:val="24"/>
          <w:szCs w:val="24"/>
        </w:rPr>
        <w:t xml:space="preserve">Next the easement must accommodate the dominant land, this means that the easement must be in the beatifical interest of specially the land rarer than the people who are currently using it. The case that exemplifies this would be </w:t>
      </w:r>
      <w:r w:rsidR="002E4E76" w:rsidRPr="00023351">
        <w:rPr>
          <w:rFonts w:cstheme="minorHAnsi"/>
          <w:bCs/>
          <w:sz w:val="24"/>
          <w:szCs w:val="24"/>
        </w:rPr>
        <w:t>Bailey v Stephens 1862</w:t>
      </w:r>
      <w:r w:rsidR="002E4E76" w:rsidRPr="00023351">
        <w:rPr>
          <w:rFonts w:cstheme="minorHAnsi"/>
          <w:bCs/>
          <w:sz w:val="24"/>
          <w:szCs w:val="24"/>
        </w:rPr>
        <w:t xml:space="preserve"> where an </w:t>
      </w:r>
      <w:r w:rsidR="002E4E76" w:rsidRPr="00023351">
        <w:rPr>
          <w:rFonts w:cstheme="minorHAnsi"/>
          <w:bCs/>
          <w:sz w:val="24"/>
          <w:szCs w:val="24"/>
        </w:rPr>
        <w:lastRenderedPageBreak/>
        <w:t>example that a right of way that would be in two separate locations would be ridicules as there would be no practical benefit of the easement.</w:t>
      </w:r>
      <w:r w:rsidR="00EC69E5">
        <w:rPr>
          <w:rFonts w:cstheme="minorHAnsi"/>
          <w:bCs/>
          <w:sz w:val="24"/>
          <w:szCs w:val="24"/>
        </w:rPr>
        <w:t xml:space="preserve"> </w:t>
      </w:r>
      <w:sdt>
        <w:sdtPr>
          <w:rPr>
            <w:rFonts w:cstheme="minorHAnsi"/>
            <w:bCs/>
            <w:sz w:val="24"/>
            <w:szCs w:val="24"/>
          </w:rPr>
          <w:id w:val="-560252818"/>
          <w:citation/>
        </w:sdtPr>
        <w:sdtContent>
          <w:r w:rsidR="00EC69E5">
            <w:rPr>
              <w:rFonts w:cstheme="minorHAnsi"/>
              <w:bCs/>
              <w:sz w:val="24"/>
              <w:szCs w:val="24"/>
            </w:rPr>
            <w:fldChar w:fldCharType="begin"/>
          </w:r>
          <w:r w:rsidR="00EC69E5">
            <w:rPr>
              <w:rFonts w:cstheme="minorHAnsi"/>
              <w:bCs/>
              <w:sz w:val="24"/>
              <w:szCs w:val="24"/>
            </w:rPr>
            <w:instrText xml:space="preserve"> CITATION McF18 \l 2057 </w:instrText>
          </w:r>
          <w:r w:rsidR="00EC69E5">
            <w:rPr>
              <w:rFonts w:cstheme="minorHAnsi"/>
              <w:bCs/>
              <w:sz w:val="24"/>
              <w:szCs w:val="24"/>
            </w:rPr>
            <w:fldChar w:fldCharType="separate"/>
          </w:r>
          <w:r w:rsidR="00F83724" w:rsidRPr="00F83724">
            <w:rPr>
              <w:rFonts w:cstheme="minorHAnsi"/>
              <w:noProof/>
              <w:sz w:val="24"/>
              <w:szCs w:val="24"/>
            </w:rPr>
            <w:t>(McFarlanr, Hopkins, &amp; Nield, 2018)</w:t>
          </w:r>
          <w:r w:rsidR="00EC69E5">
            <w:rPr>
              <w:rFonts w:cstheme="minorHAnsi"/>
              <w:bCs/>
              <w:sz w:val="24"/>
              <w:szCs w:val="24"/>
            </w:rPr>
            <w:fldChar w:fldCharType="end"/>
          </w:r>
        </w:sdtContent>
      </w:sdt>
    </w:p>
    <w:p w14:paraId="03A27793" w14:textId="2BEED837" w:rsidR="007832D2" w:rsidRPr="00023351" w:rsidRDefault="001538AA" w:rsidP="00F83724">
      <w:pPr>
        <w:spacing w:line="480" w:lineRule="auto"/>
        <w:rPr>
          <w:rFonts w:cstheme="minorHAnsi"/>
          <w:bCs/>
          <w:sz w:val="24"/>
          <w:szCs w:val="24"/>
        </w:rPr>
      </w:pPr>
      <w:r w:rsidRPr="00023351">
        <w:rPr>
          <w:rFonts w:cstheme="minorHAnsi"/>
          <w:bCs/>
          <w:sz w:val="24"/>
          <w:szCs w:val="24"/>
        </w:rPr>
        <w:t xml:space="preserve">Another aspect of </w:t>
      </w:r>
      <w:r w:rsidR="00F03159" w:rsidRPr="00023351">
        <w:rPr>
          <w:rFonts w:cstheme="minorHAnsi"/>
          <w:bCs/>
          <w:sz w:val="24"/>
          <w:szCs w:val="24"/>
        </w:rPr>
        <w:t xml:space="preserve">whether an easement would be allowed would be the purpose and use of the easement, this can be seen in the case of Hill v Tupper 1863 </w:t>
      </w:r>
      <w:r w:rsidR="008D6B27" w:rsidRPr="00023351">
        <w:rPr>
          <w:rFonts w:cstheme="minorHAnsi"/>
          <w:bCs/>
          <w:sz w:val="24"/>
          <w:szCs w:val="24"/>
        </w:rPr>
        <w:t>whereas</w:t>
      </w:r>
      <w:r w:rsidR="00F03159" w:rsidRPr="00023351">
        <w:rPr>
          <w:rFonts w:cstheme="minorHAnsi"/>
          <w:bCs/>
          <w:sz w:val="24"/>
          <w:szCs w:val="24"/>
        </w:rPr>
        <w:t xml:space="preserve"> a person was denied the granting of an easement as a result of the want to use it for commercial gain, it is stated that if the easement was to gain </w:t>
      </w:r>
      <w:r w:rsidR="008D6B27" w:rsidRPr="00023351">
        <w:rPr>
          <w:rFonts w:cstheme="minorHAnsi"/>
          <w:bCs/>
          <w:sz w:val="24"/>
          <w:szCs w:val="24"/>
        </w:rPr>
        <w:t>access</w:t>
      </w:r>
      <w:r w:rsidR="00F03159" w:rsidRPr="00023351">
        <w:rPr>
          <w:rFonts w:cstheme="minorHAnsi"/>
          <w:bCs/>
          <w:sz w:val="24"/>
          <w:szCs w:val="24"/>
        </w:rPr>
        <w:t xml:space="preserve"> across the land it would have been likely to have been granted</w:t>
      </w:r>
      <w:r w:rsidR="008D6B27" w:rsidRPr="00023351">
        <w:rPr>
          <w:rFonts w:cstheme="minorHAnsi"/>
          <w:bCs/>
          <w:sz w:val="24"/>
          <w:szCs w:val="24"/>
        </w:rPr>
        <w:t>. Although there would be some access to land for some commercial gain it would have needed to have been a specific situation such as the right to graze on the land or a right to fish., there was no president for the specific use in this case.</w:t>
      </w:r>
      <w:sdt>
        <w:sdtPr>
          <w:rPr>
            <w:rFonts w:cstheme="minorHAnsi"/>
            <w:bCs/>
            <w:sz w:val="24"/>
            <w:szCs w:val="24"/>
          </w:rPr>
          <w:id w:val="-1216123299"/>
          <w:citation/>
        </w:sdtPr>
        <w:sdtContent>
          <w:r w:rsidR="00BF6F7D">
            <w:rPr>
              <w:rFonts w:cstheme="minorHAnsi"/>
              <w:bCs/>
              <w:sz w:val="24"/>
              <w:szCs w:val="24"/>
            </w:rPr>
            <w:fldChar w:fldCharType="begin"/>
          </w:r>
          <w:r w:rsidR="00BF6F7D">
            <w:rPr>
              <w:rFonts w:cstheme="minorHAnsi"/>
              <w:bCs/>
              <w:sz w:val="24"/>
              <w:szCs w:val="24"/>
            </w:rPr>
            <w:instrText xml:space="preserve"> CITATION Dud21 \l 2057 </w:instrText>
          </w:r>
          <w:r w:rsidR="00BF6F7D">
            <w:rPr>
              <w:rFonts w:cstheme="minorHAnsi"/>
              <w:bCs/>
              <w:sz w:val="24"/>
              <w:szCs w:val="24"/>
            </w:rPr>
            <w:fldChar w:fldCharType="separate"/>
          </w:r>
          <w:r w:rsidR="00F83724">
            <w:rPr>
              <w:rFonts w:cstheme="minorHAnsi"/>
              <w:bCs/>
              <w:noProof/>
              <w:sz w:val="24"/>
              <w:szCs w:val="24"/>
            </w:rPr>
            <w:t xml:space="preserve"> </w:t>
          </w:r>
          <w:r w:rsidR="00F83724" w:rsidRPr="00F83724">
            <w:rPr>
              <w:rFonts w:cstheme="minorHAnsi"/>
              <w:noProof/>
              <w:sz w:val="24"/>
              <w:szCs w:val="24"/>
            </w:rPr>
            <w:t>(Duddington, 2021)</w:t>
          </w:r>
          <w:r w:rsidR="00BF6F7D">
            <w:rPr>
              <w:rFonts w:cstheme="minorHAnsi"/>
              <w:bCs/>
              <w:sz w:val="24"/>
              <w:szCs w:val="24"/>
            </w:rPr>
            <w:fldChar w:fldCharType="end"/>
          </w:r>
        </w:sdtContent>
      </w:sdt>
    </w:p>
    <w:p w14:paraId="2D5441C4" w14:textId="403F8C23" w:rsidR="00FD16E3" w:rsidRPr="00023351" w:rsidRDefault="00FD16E3" w:rsidP="00F83724">
      <w:pPr>
        <w:spacing w:line="480" w:lineRule="auto"/>
        <w:rPr>
          <w:rFonts w:cstheme="minorHAnsi"/>
          <w:bCs/>
          <w:sz w:val="24"/>
          <w:szCs w:val="24"/>
        </w:rPr>
      </w:pPr>
      <w:r w:rsidRPr="00023351">
        <w:rPr>
          <w:rFonts w:cstheme="minorHAnsi"/>
          <w:bCs/>
          <w:sz w:val="24"/>
          <w:szCs w:val="24"/>
        </w:rPr>
        <w:t>Another concern would be with the alteration of access to land would be allowed if it indirectly or directly affects the access or use of an easement. In the case of Harris v Flower 1904</w:t>
      </w:r>
      <w:r w:rsidR="00B26DA8" w:rsidRPr="00023351">
        <w:rPr>
          <w:rFonts w:cstheme="minorHAnsi"/>
          <w:bCs/>
          <w:sz w:val="24"/>
          <w:szCs w:val="24"/>
        </w:rPr>
        <w:t xml:space="preserve"> the dominant landowner wanted to alter the right of way through the land to an adjoining piece of land, it was seen that it would be unjust to expect the owner of the addental land to suffer a hardship that was not shared between all parties without consideration or consent. Furthermore</w:t>
      </w:r>
      <w:r w:rsidR="00824711" w:rsidRPr="00023351">
        <w:rPr>
          <w:rFonts w:cstheme="minorHAnsi"/>
          <w:bCs/>
          <w:sz w:val="24"/>
          <w:szCs w:val="24"/>
        </w:rPr>
        <w:t>,</w:t>
      </w:r>
      <w:r w:rsidR="00B26DA8" w:rsidRPr="00023351">
        <w:rPr>
          <w:rFonts w:cstheme="minorHAnsi"/>
          <w:bCs/>
          <w:sz w:val="24"/>
          <w:szCs w:val="24"/>
        </w:rPr>
        <w:t xml:space="preserve"> dependent on the purpose of the easement and the extent in that it will be altered it</w:t>
      </w:r>
      <w:r w:rsidR="0054306C" w:rsidRPr="00023351">
        <w:rPr>
          <w:rFonts w:cstheme="minorHAnsi"/>
          <w:bCs/>
          <w:sz w:val="24"/>
          <w:szCs w:val="24"/>
        </w:rPr>
        <w:t xml:space="preserve">, the courts are also reluctant to </w:t>
      </w:r>
      <w:r w:rsidR="00824711" w:rsidRPr="00023351">
        <w:rPr>
          <w:rFonts w:cstheme="minorHAnsi"/>
          <w:bCs/>
          <w:sz w:val="24"/>
          <w:szCs w:val="24"/>
        </w:rPr>
        <w:t>define who would be considered an ancillary user to the land and so there is not much clear cases that demonstrate whether such an order would be allowed.</w:t>
      </w:r>
      <w:r w:rsidR="00EC69E5">
        <w:rPr>
          <w:rFonts w:cstheme="minorHAnsi"/>
          <w:bCs/>
          <w:sz w:val="24"/>
          <w:szCs w:val="24"/>
        </w:rPr>
        <w:t xml:space="preserve"> </w:t>
      </w:r>
      <w:sdt>
        <w:sdtPr>
          <w:rPr>
            <w:rFonts w:cstheme="minorHAnsi"/>
            <w:bCs/>
            <w:sz w:val="24"/>
            <w:szCs w:val="24"/>
          </w:rPr>
          <w:id w:val="1611159691"/>
          <w:citation/>
        </w:sdtPr>
        <w:sdtContent>
          <w:r w:rsidR="00EC69E5">
            <w:rPr>
              <w:rFonts w:cstheme="minorHAnsi"/>
              <w:bCs/>
              <w:sz w:val="24"/>
              <w:szCs w:val="24"/>
            </w:rPr>
            <w:fldChar w:fldCharType="begin"/>
          </w:r>
          <w:r w:rsidR="00F83724">
            <w:rPr>
              <w:rFonts w:cstheme="minorHAnsi"/>
              <w:bCs/>
              <w:sz w:val="24"/>
              <w:szCs w:val="24"/>
            </w:rPr>
            <w:instrText xml:space="preserve">CITATION Gra11 \l 2057 </w:instrText>
          </w:r>
          <w:r w:rsidR="00EC69E5">
            <w:rPr>
              <w:rFonts w:cstheme="minorHAnsi"/>
              <w:bCs/>
              <w:sz w:val="24"/>
              <w:szCs w:val="24"/>
            </w:rPr>
            <w:fldChar w:fldCharType="separate"/>
          </w:r>
          <w:r w:rsidR="00F83724" w:rsidRPr="00F83724">
            <w:rPr>
              <w:rFonts w:cstheme="minorHAnsi"/>
              <w:noProof/>
              <w:sz w:val="24"/>
              <w:szCs w:val="24"/>
            </w:rPr>
            <w:t>(Gray &amp; Gray, 2011)</w:t>
          </w:r>
          <w:r w:rsidR="00EC69E5">
            <w:rPr>
              <w:rFonts w:cstheme="minorHAnsi"/>
              <w:bCs/>
              <w:sz w:val="24"/>
              <w:szCs w:val="24"/>
            </w:rPr>
            <w:fldChar w:fldCharType="end"/>
          </w:r>
        </w:sdtContent>
      </w:sdt>
    </w:p>
    <w:p w14:paraId="2FCD3FD1" w14:textId="1F323323" w:rsidR="00824711" w:rsidRPr="00023351" w:rsidRDefault="00824711" w:rsidP="00F83724">
      <w:pPr>
        <w:spacing w:line="480" w:lineRule="auto"/>
        <w:rPr>
          <w:rFonts w:cstheme="minorHAnsi"/>
          <w:bCs/>
          <w:sz w:val="24"/>
          <w:szCs w:val="24"/>
        </w:rPr>
      </w:pPr>
      <w:r w:rsidRPr="00023351">
        <w:rPr>
          <w:rFonts w:cstheme="minorHAnsi"/>
          <w:bCs/>
          <w:sz w:val="24"/>
          <w:szCs w:val="24"/>
        </w:rPr>
        <w:t xml:space="preserve">By the </w:t>
      </w:r>
      <w:r w:rsidR="00072060" w:rsidRPr="00023351">
        <w:rPr>
          <w:rFonts w:cstheme="minorHAnsi"/>
          <w:bCs/>
          <w:sz w:val="24"/>
          <w:szCs w:val="24"/>
        </w:rPr>
        <w:t>definition</w:t>
      </w:r>
      <w:r w:rsidRPr="00023351">
        <w:rPr>
          <w:rFonts w:cstheme="minorHAnsi"/>
          <w:bCs/>
          <w:sz w:val="24"/>
          <w:szCs w:val="24"/>
        </w:rPr>
        <w:t xml:space="preserve"> of an </w:t>
      </w:r>
      <w:r w:rsidR="00072060" w:rsidRPr="00023351">
        <w:rPr>
          <w:rFonts w:cstheme="minorHAnsi"/>
          <w:bCs/>
          <w:sz w:val="24"/>
          <w:szCs w:val="24"/>
        </w:rPr>
        <w:t>easement,</w:t>
      </w:r>
      <w:r w:rsidRPr="00023351">
        <w:rPr>
          <w:rFonts w:cstheme="minorHAnsi"/>
          <w:bCs/>
          <w:sz w:val="24"/>
          <w:szCs w:val="24"/>
        </w:rPr>
        <w:t xml:space="preserve"> it the </w:t>
      </w:r>
      <w:r w:rsidR="00072060" w:rsidRPr="00023351">
        <w:rPr>
          <w:rFonts w:cstheme="minorHAnsi"/>
          <w:bCs/>
          <w:sz w:val="24"/>
          <w:szCs w:val="24"/>
        </w:rPr>
        <w:t>dormant</w:t>
      </w:r>
      <w:r w:rsidRPr="00023351">
        <w:rPr>
          <w:rFonts w:cstheme="minorHAnsi"/>
          <w:bCs/>
          <w:sz w:val="24"/>
          <w:szCs w:val="24"/>
        </w:rPr>
        <w:t xml:space="preserve"> land and </w:t>
      </w:r>
      <w:r w:rsidR="00072060" w:rsidRPr="00023351">
        <w:rPr>
          <w:rFonts w:cstheme="minorHAnsi"/>
          <w:bCs/>
          <w:sz w:val="24"/>
          <w:szCs w:val="24"/>
        </w:rPr>
        <w:t>servient</w:t>
      </w:r>
      <w:r w:rsidRPr="00023351">
        <w:rPr>
          <w:rFonts w:cstheme="minorHAnsi"/>
          <w:bCs/>
          <w:sz w:val="24"/>
          <w:szCs w:val="24"/>
        </w:rPr>
        <w:t xml:space="preserve"> land would have to be owned by separate people, this is because the </w:t>
      </w:r>
      <w:r w:rsidR="00072060" w:rsidRPr="00023351">
        <w:rPr>
          <w:rFonts w:cstheme="minorHAnsi"/>
          <w:bCs/>
          <w:sz w:val="24"/>
          <w:szCs w:val="24"/>
        </w:rPr>
        <w:t>printable</w:t>
      </w:r>
      <w:r w:rsidRPr="00023351">
        <w:rPr>
          <w:rFonts w:cstheme="minorHAnsi"/>
          <w:bCs/>
          <w:sz w:val="24"/>
          <w:szCs w:val="24"/>
        </w:rPr>
        <w:t xml:space="preserve"> of an easement would be the rights over </w:t>
      </w:r>
      <w:r w:rsidR="00072060" w:rsidRPr="00023351">
        <w:rPr>
          <w:rFonts w:cstheme="minorHAnsi"/>
          <w:bCs/>
          <w:sz w:val="24"/>
          <w:szCs w:val="24"/>
        </w:rPr>
        <w:t>another person’s</w:t>
      </w:r>
      <w:r w:rsidRPr="00023351">
        <w:rPr>
          <w:rFonts w:cstheme="minorHAnsi"/>
          <w:bCs/>
          <w:sz w:val="24"/>
          <w:szCs w:val="24"/>
        </w:rPr>
        <w:t xml:space="preserve"> land. A key case that demonstrates this would be </w:t>
      </w:r>
      <w:r w:rsidR="00072060" w:rsidRPr="00023351">
        <w:rPr>
          <w:rFonts w:cstheme="minorHAnsi"/>
          <w:bCs/>
          <w:sz w:val="24"/>
          <w:szCs w:val="24"/>
        </w:rPr>
        <w:t xml:space="preserve">Peckham v Ellison 2000 where </w:t>
      </w:r>
      <w:r w:rsidR="00A1771C" w:rsidRPr="00023351">
        <w:rPr>
          <w:rFonts w:cstheme="minorHAnsi"/>
          <w:bCs/>
          <w:sz w:val="24"/>
          <w:szCs w:val="24"/>
        </w:rPr>
        <w:t xml:space="preserve">houses were slod with the implication of an easement but when owned by the council an easement was not necessary. It was only when the land was then sold to the </w:t>
      </w:r>
      <w:r w:rsidR="00A1771C" w:rsidRPr="00023351">
        <w:rPr>
          <w:rFonts w:cstheme="minorHAnsi"/>
          <w:bCs/>
          <w:sz w:val="24"/>
          <w:szCs w:val="24"/>
        </w:rPr>
        <w:lastRenderedPageBreak/>
        <w:t>occupants of the house it became a problem as there was no formal easement. The court found in this extreme circumstances it could have an implied easement although it was made clear that this was not the norm and would be reluctant to make the same ruling.</w:t>
      </w:r>
      <w:r w:rsidR="007476EA" w:rsidRPr="00023351">
        <w:rPr>
          <w:rFonts w:cstheme="minorHAnsi"/>
          <w:bCs/>
          <w:sz w:val="24"/>
          <w:szCs w:val="24"/>
        </w:rPr>
        <w:t xml:space="preserve"> On the other </w:t>
      </w:r>
      <w:r w:rsidR="00BB0B9C" w:rsidRPr="00023351">
        <w:rPr>
          <w:rFonts w:cstheme="minorHAnsi"/>
          <w:bCs/>
          <w:sz w:val="24"/>
          <w:szCs w:val="24"/>
        </w:rPr>
        <w:t>hand,</w:t>
      </w:r>
      <w:r w:rsidR="007476EA" w:rsidRPr="00023351">
        <w:rPr>
          <w:rFonts w:cstheme="minorHAnsi"/>
          <w:bCs/>
          <w:sz w:val="24"/>
          <w:szCs w:val="24"/>
        </w:rPr>
        <w:t xml:space="preserve"> with the relationship of a tenant and a landlord they would be able to gain an easement to pass over each other’s land if so set out in the lease of the property.</w:t>
      </w:r>
      <w:r w:rsidR="00EC69E5">
        <w:rPr>
          <w:rFonts w:cstheme="minorHAnsi"/>
          <w:bCs/>
          <w:sz w:val="24"/>
          <w:szCs w:val="24"/>
        </w:rPr>
        <w:t xml:space="preserve"> </w:t>
      </w:r>
      <w:sdt>
        <w:sdtPr>
          <w:rPr>
            <w:rFonts w:cstheme="minorHAnsi"/>
            <w:bCs/>
            <w:sz w:val="24"/>
            <w:szCs w:val="24"/>
          </w:rPr>
          <w:id w:val="-1213259441"/>
          <w:citation/>
        </w:sdtPr>
        <w:sdtContent>
          <w:r w:rsidR="00EC69E5">
            <w:rPr>
              <w:rFonts w:cstheme="minorHAnsi"/>
              <w:bCs/>
              <w:sz w:val="24"/>
              <w:szCs w:val="24"/>
            </w:rPr>
            <w:fldChar w:fldCharType="begin"/>
          </w:r>
          <w:r w:rsidR="00EC69E5">
            <w:rPr>
              <w:rFonts w:cstheme="minorHAnsi"/>
              <w:bCs/>
              <w:sz w:val="24"/>
              <w:szCs w:val="24"/>
            </w:rPr>
            <w:instrText xml:space="preserve"> CITATION McF18 \l 2057 </w:instrText>
          </w:r>
          <w:r w:rsidR="00EC69E5">
            <w:rPr>
              <w:rFonts w:cstheme="minorHAnsi"/>
              <w:bCs/>
              <w:sz w:val="24"/>
              <w:szCs w:val="24"/>
            </w:rPr>
            <w:fldChar w:fldCharType="separate"/>
          </w:r>
          <w:r w:rsidR="00F83724" w:rsidRPr="00F83724">
            <w:rPr>
              <w:rFonts w:cstheme="minorHAnsi"/>
              <w:noProof/>
              <w:sz w:val="24"/>
              <w:szCs w:val="24"/>
            </w:rPr>
            <w:t>(McFarlanr, Hopkins, &amp; Nield, 2018)</w:t>
          </w:r>
          <w:r w:rsidR="00EC69E5">
            <w:rPr>
              <w:rFonts w:cstheme="minorHAnsi"/>
              <w:bCs/>
              <w:sz w:val="24"/>
              <w:szCs w:val="24"/>
            </w:rPr>
            <w:fldChar w:fldCharType="end"/>
          </w:r>
        </w:sdtContent>
      </w:sdt>
    </w:p>
    <w:p w14:paraId="04BBC52F" w14:textId="1BEFD17B" w:rsidR="00BB0B9C" w:rsidRPr="00023351" w:rsidRDefault="00BB0B9C" w:rsidP="00F83724">
      <w:pPr>
        <w:spacing w:line="480" w:lineRule="auto"/>
        <w:rPr>
          <w:rFonts w:cstheme="minorHAnsi"/>
          <w:bCs/>
          <w:sz w:val="24"/>
          <w:szCs w:val="24"/>
        </w:rPr>
      </w:pPr>
      <w:r w:rsidRPr="00023351">
        <w:rPr>
          <w:rFonts w:cstheme="minorHAnsi"/>
          <w:bCs/>
          <w:sz w:val="24"/>
          <w:szCs w:val="24"/>
        </w:rPr>
        <w:t xml:space="preserve">Next </w:t>
      </w:r>
      <w:r w:rsidR="00E309D6" w:rsidRPr="00023351">
        <w:rPr>
          <w:rFonts w:cstheme="minorHAnsi"/>
          <w:bCs/>
          <w:sz w:val="24"/>
          <w:szCs w:val="24"/>
        </w:rPr>
        <w:t>regardless of</w:t>
      </w:r>
      <w:r w:rsidRPr="00023351">
        <w:rPr>
          <w:rFonts w:cstheme="minorHAnsi"/>
          <w:bCs/>
          <w:sz w:val="24"/>
          <w:szCs w:val="24"/>
        </w:rPr>
        <w:t xml:space="preserve"> if in fact they have been formed into a grant, the </w:t>
      </w:r>
      <w:r w:rsidR="00E309D6" w:rsidRPr="00023351">
        <w:rPr>
          <w:rFonts w:cstheme="minorHAnsi"/>
          <w:bCs/>
          <w:sz w:val="24"/>
          <w:szCs w:val="24"/>
        </w:rPr>
        <w:t>easement</w:t>
      </w:r>
      <w:r w:rsidRPr="00023351">
        <w:rPr>
          <w:rFonts w:cstheme="minorHAnsi"/>
          <w:bCs/>
          <w:sz w:val="24"/>
          <w:szCs w:val="24"/>
        </w:rPr>
        <w:t xml:space="preserve"> must be able to be formed into a one. Rather than looking </w:t>
      </w:r>
      <w:r w:rsidR="00E309D6" w:rsidRPr="00023351">
        <w:rPr>
          <w:rFonts w:cstheme="minorHAnsi"/>
          <w:bCs/>
          <w:sz w:val="24"/>
          <w:szCs w:val="24"/>
        </w:rPr>
        <w:t>if it has the key point is whether it would be possible to be formed.</w:t>
      </w:r>
      <w:r w:rsidR="00DC74C6" w:rsidRPr="00023351">
        <w:rPr>
          <w:rFonts w:cstheme="minorHAnsi"/>
          <w:bCs/>
          <w:sz w:val="24"/>
          <w:szCs w:val="24"/>
        </w:rPr>
        <w:t xml:space="preserve"> They would be a need for a guarantor as well as a guarantee who are both capable, the aspects of the easement must be in a clear and concise manner that gives no room for wrong interpretations. It must also be in a from that would be expecting of an easement and the rights but as such that would be expected of an easement and the servient landowner must not have to take an active role in caring out the easement.</w:t>
      </w:r>
      <w:r w:rsidR="00341BAC" w:rsidRPr="00023351">
        <w:rPr>
          <w:rFonts w:cstheme="minorHAnsi"/>
          <w:bCs/>
          <w:sz w:val="24"/>
          <w:szCs w:val="24"/>
        </w:rPr>
        <w:t xml:space="preserve"> </w:t>
      </w:r>
      <w:sdt>
        <w:sdtPr>
          <w:rPr>
            <w:rFonts w:cstheme="minorHAnsi"/>
            <w:bCs/>
            <w:sz w:val="24"/>
            <w:szCs w:val="24"/>
          </w:rPr>
          <w:id w:val="-1365515918"/>
          <w:citation/>
        </w:sdtPr>
        <w:sdtContent>
          <w:r w:rsidR="00341BAC" w:rsidRPr="00023351">
            <w:rPr>
              <w:rFonts w:cstheme="minorHAnsi"/>
              <w:bCs/>
              <w:sz w:val="24"/>
              <w:szCs w:val="24"/>
            </w:rPr>
            <w:fldChar w:fldCharType="begin"/>
          </w:r>
          <w:r w:rsidR="00F83724">
            <w:rPr>
              <w:rFonts w:cstheme="minorHAnsi"/>
              <w:bCs/>
              <w:sz w:val="24"/>
              <w:szCs w:val="24"/>
            </w:rPr>
            <w:instrText xml:space="preserve">CITATION Gra11 \l 2057 </w:instrText>
          </w:r>
          <w:r w:rsidR="00341BAC" w:rsidRPr="00023351">
            <w:rPr>
              <w:rFonts w:cstheme="minorHAnsi"/>
              <w:bCs/>
              <w:sz w:val="24"/>
              <w:szCs w:val="24"/>
            </w:rPr>
            <w:fldChar w:fldCharType="separate"/>
          </w:r>
          <w:r w:rsidR="00F83724" w:rsidRPr="00F83724">
            <w:rPr>
              <w:rFonts w:cstheme="minorHAnsi"/>
              <w:noProof/>
              <w:sz w:val="24"/>
              <w:szCs w:val="24"/>
            </w:rPr>
            <w:t>(Gray &amp; Gray, 2011)</w:t>
          </w:r>
          <w:r w:rsidR="00341BAC" w:rsidRPr="00023351">
            <w:rPr>
              <w:rFonts w:cstheme="minorHAnsi"/>
              <w:bCs/>
              <w:sz w:val="24"/>
              <w:szCs w:val="24"/>
            </w:rPr>
            <w:fldChar w:fldCharType="end"/>
          </w:r>
        </w:sdtContent>
      </w:sdt>
    </w:p>
    <w:p w14:paraId="1EA78CD7" w14:textId="4799E1AF" w:rsidR="00341BAC" w:rsidRPr="00023351" w:rsidRDefault="00341BAC" w:rsidP="00F83724">
      <w:pPr>
        <w:spacing w:line="480" w:lineRule="auto"/>
        <w:rPr>
          <w:rFonts w:cstheme="minorHAnsi"/>
          <w:bCs/>
          <w:sz w:val="24"/>
          <w:szCs w:val="24"/>
        </w:rPr>
      </w:pPr>
      <w:r w:rsidRPr="00023351">
        <w:rPr>
          <w:rFonts w:cstheme="minorHAnsi"/>
          <w:bCs/>
          <w:sz w:val="24"/>
          <w:szCs w:val="24"/>
        </w:rPr>
        <w:t xml:space="preserve">Looking at the need for a guarantor, this can be seen in the case of Wall v Collings 2007 </w:t>
      </w:r>
      <w:r w:rsidR="008161FF" w:rsidRPr="00023351">
        <w:rPr>
          <w:rFonts w:cstheme="minorHAnsi"/>
          <w:bCs/>
          <w:sz w:val="24"/>
          <w:szCs w:val="24"/>
        </w:rPr>
        <w:t>an</w:t>
      </w:r>
      <w:r w:rsidRPr="00023351">
        <w:rPr>
          <w:rFonts w:cstheme="minorHAnsi"/>
          <w:bCs/>
          <w:sz w:val="24"/>
          <w:szCs w:val="24"/>
        </w:rPr>
        <w:t xml:space="preserve"> easement wild has to be made within the interest or the direct ownership of the dominant </w:t>
      </w:r>
      <w:r w:rsidR="008161FF" w:rsidRPr="00023351">
        <w:rPr>
          <w:rFonts w:cstheme="minorHAnsi"/>
          <w:bCs/>
          <w:sz w:val="24"/>
          <w:szCs w:val="24"/>
        </w:rPr>
        <w:t>landowner. Furthermore, if the instigator of the easement was, at the time, unable to comply with the competence then the easement would fail as all parties would have to be heled to the same slandered.</w:t>
      </w:r>
      <w:r w:rsidR="00EC69E5">
        <w:rPr>
          <w:rFonts w:cstheme="minorHAnsi"/>
          <w:bCs/>
          <w:sz w:val="24"/>
          <w:szCs w:val="24"/>
        </w:rPr>
        <w:t xml:space="preserve"> </w:t>
      </w:r>
      <w:sdt>
        <w:sdtPr>
          <w:rPr>
            <w:rFonts w:cstheme="minorHAnsi"/>
            <w:bCs/>
            <w:sz w:val="24"/>
            <w:szCs w:val="24"/>
          </w:rPr>
          <w:id w:val="801504115"/>
          <w:citation/>
        </w:sdtPr>
        <w:sdtContent>
          <w:r w:rsidR="00EC69E5">
            <w:rPr>
              <w:rFonts w:cstheme="minorHAnsi"/>
              <w:bCs/>
              <w:sz w:val="24"/>
              <w:szCs w:val="24"/>
            </w:rPr>
            <w:fldChar w:fldCharType="begin"/>
          </w:r>
          <w:r w:rsidR="00EC69E5">
            <w:rPr>
              <w:rFonts w:cstheme="minorHAnsi"/>
              <w:bCs/>
              <w:sz w:val="24"/>
              <w:szCs w:val="24"/>
            </w:rPr>
            <w:instrText xml:space="preserve"> CITATION Dix21 \l 2057 </w:instrText>
          </w:r>
          <w:r w:rsidR="00EC69E5">
            <w:rPr>
              <w:rFonts w:cstheme="minorHAnsi"/>
              <w:bCs/>
              <w:sz w:val="24"/>
              <w:szCs w:val="24"/>
            </w:rPr>
            <w:fldChar w:fldCharType="separate"/>
          </w:r>
          <w:r w:rsidR="00F83724" w:rsidRPr="00F83724">
            <w:rPr>
              <w:rFonts w:cstheme="minorHAnsi"/>
              <w:noProof/>
              <w:sz w:val="24"/>
              <w:szCs w:val="24"/>
            </w:rPr>
            <w:t>(Dixon, 2021)</w:t>
          </w:r>
          <w:r w:rsidR="00EC69E5">
            <w:rPr>
              <w:rFonts w:cstheme="minorHAnsi"/>
              <w:bCs/>
              <w:sz w:val="24"/>
              <w:szCs w:val="24"/>
            </w:rPr>
            <w:fldChar w:fldCharType="end"/>
          </w:r>
        </w:sdtContent>
      </w:sdt>
    </w:p>
    <w:p w14:paraId="23AFFB65" w14:textId="0775292E" w:rsidR="00343A5C" w:rsidRPr="00023351" w:rsidRDefault="00343A5C" w:rsidP="00F83724">
      <w:pPr>
        <w:spacing w:line="480" w:lineRule="auto"/>
        <w:rPr>
          <w:rFonts w:cstheme="minorHAnsi"/>
          <w:bCs/>
          <w:sz w:val="24"/>
          <w:szCs w:val="24"/>
        </w:rPr>
      </w:pPr>
      <w:r w:rsidRPr="00023351">
        <w:rPr>
          <w:rFonts w:cstheme="minorHAnsi"/>
          <w:bCs/>
          <w:sz w:val="24"/>
          <w:szCs w:val="24"/>
        </w:rPr>
        <w:t xml:space="preserve">An </w:t>
      </w:r>
      <w:r w:rsidR="00D40FC8" w:rsidRPr="00023351">
        <w:rPr>
          <w:rFonts w:cstheme="minorHAnsi"/>
          <w:bCs/>
          <w:sz w:val="24"/>
          <w:szCs w:val="24"/>
        </w:rPr>
        <w:t>easement</w:t>
      </w:r>
      <w:r w:rsidRPr="00023351">
        <w:rPr>
          <w:rFonts w:cstheme="minorHAnsi"/>
          <w:bCs/>
          <w:sz w:val="24"/>
          <w:szCs w:val="24"/>
        </w:rPr>
        <w:t xml:space="preserve"> would have to be put forth so that there is no way it could be </w:t>
      </w:r>
      <w:r w:rsidR="00D40FC8" w:rsidRPr="00023351">
        <w:rPr>
          <w:rFonts w:cstheme="minorHAnsi"/>
          <w:bCs/>
          <w:sz w:val="24"/>
          <w:szCs w:val="24"/>
        </w:rPr>
        <w:t>interpreted</w:t>
      </w:r>
      <w:r w:rsidRPr="00023351">
        <w:rPr>
          <w:rFonts w:cstheme="minorHAnsi"/>
          <w:bCs/>
          <w:sz w:val="24"/>
          <w:szCs w:val="24"/>
        </w:rPr>
        <w:t xml:space="preserve"> in a way other than the intention, this is important as </w:t>
      </w:r>
      <w:r w:rsidR="00D40FC8" w:rsidRPr="00023351">
        <w:rPr>
          <w:rFonts w:cstheme="minorHAnsi"/>
          <w:bCs/>
          <w:sz w:val="24"/>
          <w:szCs w:val="24"/>
        </w:rPr>
        <w:t xml:space="preserve">over time more complex or poorly defined aspects could become lost or change to the detriment of parties involved. In the case of Hunter v Canary Wharf 1997 </w:t>
      </w:r>
      <w:r w:rsidR="003526A6" w:rsidRPr="00023351">
        <w:rPr>
          <w:rFonts w:cstheme="minorHAnsi"/>
          <w:bCs/>
          <w:sz w:val="24"/>
          <w:szCs w:val="24"/>
        </w:rPr>
        <w:t>there</w:t>
      </w:r>
      <w:r w:rsidR="00D40FC8" w:rsidRPr="00023351">
        <w:rPr>
          <w:rFonts w:cstheme="minorHAnsi"/>
          <w:bCs/>
          <w:sz w:val="24"/>
          <w:szCs w:val="24"/>
        </w:rPr>
        <w:t xml:space="preserve"> are </w:t>
      </w:r>
      <w:r w:rsidR="003526A6" w:rsidRPr="00023351">
        <w:rPr>
          <w:rFonts w:cstheme="minorHAnsi"/>
          <w:bCs/>
          <w:sz w:val="24"/>
          <w:szCs w:val="24"/>
        </w:rPr>
        <w:t>limitations</w:t>
      </w:r>
      <w:r w:rsidR="00D40FC8" w:rsidRPr="00023351">
        <w:rPr>
          <w:rFonts w:cstheme="minorHAnsi"/>
          <w:bCs/>
          <w:sz w:val="24"/>
          <w:szCs w:val="24"/>
        </w:rPr>
        <w:t xml:space="preserve"> too the action that the claimant can bring </w:t>
      </w:r>
      <w:r w:rsidR="00D40FC8" w:rsidRPr="00023351">
        <w:rPr>
          <w:rFonts w:cstheme="minorHAnsi"/>
          <w:bCs/>
          <w:sz w:val="24"/>
          <w:szCs w:val="24"/>
        </w:rPr>
        <w:lastRenderedPageBreak/>
        <w:t>over land that they do not have an interest in</w:t>
      </w:r>
      <w:r w:rsidR="003526A6" w:rsidRPr="00023351">
        <w:rPr>
          <w:rFonts w:cstheme="minorHAnsi"/>
          <w:bCs/>
          <w:sz w:val="24"/>
          <w:szCs w:val="24"/>
        </w:rPr>
        <w:t xml:space="preserve"> as well it was seen that there is no right to receive a television signal, therefore the case was denied.</w:t>
      </w:r>
      <w:r w:rsidR="00EC69E5">
        <w:rPr>
          <w:rFonts w:cstheme="minorHAnsi"/>
          <w:bCs/>
          <w:sz w:val="24"/>
          <w:szCs w:val="24"/>
        </w:rPr>
        <w:t xml:space="preserve"> </w:t>
      </w:r>
      <w:sdt>
        <w:sdtPr>
          <w:rPr>
            <w:rFonts w:cstheme="minorHAnsi"/>
            <w:bCs/>
            <w:sz w:val="24"/>
            <w:szCs w:val="24"/>
          </w:rPr>
          <w:id w:val="-1305309338"/>
          <w:citation/>
        </w:sdtPr>
        <w:sdtContent>
          <w:r w:rsidR="00EC69E5">
            <w:rPr>
              <w:rFonts w:cstheme="minorHAnsi"/>
              <w:bCs/>
              <w:sz w:val="24"/>
              <w:szCs w:val="24"/>
            </w:rPr>
            <w:fldChar w:fldCharType="begin"/>
          </w:r>
          <w:r w:rsidR="00F83724">
            <w:rPr>
              <w:rFonts w:cstheme="minorHAnsi"/>
              <w:bCs/>
              <w:sz w:val="24"/>
              <w:szCs w:val="24"/>
            </w:rPr>
            <w:instrText xml:space="preserve">CITATION Gra11 \l 2057 </w:instrText>
          </w:r>
          <w:r w:rsidR="00EC69E5">
            <w:rPr>
              <w:rFonts w:cstheme="minorHAnsi"/>
              <w:bCs/>
              <w:sz w:val="24"/>
              <w:szCs w:val="24"/>
            </w:rPr>
            <w:fldChar w:fldCharType="separate"/>
          </w:r>
          <w:r w:rsidR="00F83724" w:rsidRPr="00F83724">
            <w:rPr>
              <w:rFonts w:cstheme="minorHAnsi"/>
              <w:noProof/>
              <w:sz w:val="24"/>
              <w:szCs w:val="24"/>
            </w:rPr>
            <w:t>(Gray &amp; Gray, 2011)</w:t>
          </w:r>
          <w:r w:rsidR="00EC69E5">
            <w:rPr>
              <w:rFonts w:cstheme="minorHAnsi"/>
              <w:bCs/>
              <w:sz w:val="24"/>
              <w:szCs w:val="24"/>
            </w:rPr>
            <w:fldChar w:fldCharType="end"/>
          </w:r>
        </w:sdtContent>
      </w:sdt>
    </w:p>
    <w:p w14:paraId="408D47DE" w14:textId="4A5B47D1" w:rsidR="00EE470B" w:rsidRPr="00023351" w:rsidRDefault="00EE470B" w:rsidP="00F83724">
      <w:pPr>
        <w:spacing w:line="480" w:lineRule="auto"/>
        <w:rPr>
          <w:rFonts w:cstheme="minorHAnsi"/>
          <w:bCs/>
          <w:sz w:val="24"/>
          <w:szCs w:val="24"/>
        </w:rPr>
      </w:pPr>
      <w:r w:rsidRPr="00023351">
        <w:rPr>
          <w:rFonts w:cstheme="minorHAnsi"/>
          <w:bCs/>
          <w:sz w:val="24"/>
          <w:szCs w:val="24"/>
        </w:rPr>
        <w:t xml:space="preserve">Then </w:t>
      </w:r>
      <w:r w:rsidR="00866BAB" w:rsidRPr="00023351">
        <w:rPr>
          <w:rFonts w:cstheme="minorHAnsi"/>
          <w:bCs/>
          <w:sz w:val="24"/>
          <w:szCs w:val="24"/>
        </w:rPr>
        <w:t>the</w:t>
      </w:r>
      <w:r w:rsidRPr="00023351">
        <w:rPr>
          <w:rFonts w:cstheme="minorHAnsi"/>
          <w:bCs/>
          <w:sz w:val="24"/>
          <w:szCs w:val="24"/>
        </w:rPr>
        <w:t xml:space="preserve"> </w:t>
      </w:r>
      <w:r w:rsidR="00866BAB" w:rsidRPr="00023351">
        <w:rPr>
          <w:rFonts w:cstheme="minorHAnsi"/>
          <w:bCs/>
          <w:sz w:val="24"/>
          <w:szCs w:val="24"/>
        </w:rPr>
        <w:t>easements</w:t>
      </w:r>
      <w:r w:rsidRPr="00023351">
        <w:rPr>
          <w:rFonts w:cstheme="minorHAnsi"/>
          <w:bCs/>
          <w:sz w:val="24"/>
          <w:szCs w:val="24"/>
        </w:rPr>
        <w:t xml:space="preserve"> would not be able to request </w:t>
      </w:r>
      <w:r w:rsidR="00866BAB" w:rsidRPr="00023351">
        <w:rPr>
          <w:rFonts w:cstheme="minorHAnsi"/>
          <w:bCs/>
          <w:sz w:val="24"/>
          <w:szCs w:val="24"/>
        </w:rPr>
        <w:t>parties</w:t>
      </w:r>
      <w:r w:rsidRPr="00023351">
        <w:rPr>
          <w:rFonts w:cstheme="minorHAnsi"/>
          <w:bCs/>
          <w:sz w:val="24"/>
          <w:szCs w:val="24"/>
        </w:rPr>
        <w:t xml:space="preserve"> in</w:t>
      </w:r>
      <w:r w:rsidR="00866BAB" w:rsidRPr="00023351">
        <w:rPr>
          <w:rFonts w:cstheme="minorHAnsi"/>
          <w:bCs/>
          <w:sz w:val="24"/>
          <w:szCs w:val="24"/>
        </w:rPr>
        <w:t>volved</w:t>
      </w:r>
      <w:r w:rsidRPr="00023351">
        <w:rPr>
          <w:rFonts w:cstheme="minorHAnsi"/>
          <w:bCs/>
          <w:sz w:val="24"/>
          <w:szCs w:val="24"/>
        </w:rPr>
        <w:t xml:space="preserve"> to </w:t>
      </w:r>
      <w:r w:rsidR="00866BAB" w:rsidRPr="00023351">
        <w:rPr>
          <w:rFonts w:cstheme="minorHAnsi"/>
          <w:bCs/>
          <w:sz w:val="24"/>
          <w:szCs w:val="24"/>
        </w:rPr>
        <w:t>preform</w:t>
      </w:r>
      <w:r w:rsidRPr="00023351">
        <w:rPr>
          <w:rFonts w:cstheme="minorHAnsi"/>
          <w:bCs/>
          <w:sz w:val="24"/>
          <w:szCs w:val="24"/>
        </w:rPr>
        <w:t xml:space="preserve"> and action or not </w:t>
      </w:r>
      <w:r w:rsidR="00866BAB" w:rsidRPr="00023351">
        <w:rPr>
          <w:rFonts w:cstheme="minorHAnsi"/>
          <w:bCs/>
          <w:sz w:val="24"/>
          <w:szCs w:val="24"/>
        </w:rPr>
        <w:t>perform</w:t>
      </w:r>
      <w:r w:rsidRPr="00023351">
        <w:rPr>
          <w:rFonts w:cstheme="minorHAnsi"/>
          <w:bCs/>
          <w:sz w:val="24"/>
          <w:szCs w:val="24"/>
        </w:rPr>
        <w:t xml:space="preserve"> an action that would not typically come under an easement. As can be seen in Hill v Tipper 1992 where </w:t>
      </w:r>
      <w:r w:rsidR="00866BAB" w:rsidRPr="00023351">
        <w:rPr>
          <w:rFonts w:cstheme="minorHAnsi"/>
          <w:bCs/>
          <w:sz w:val="24"/>
          <w:szCs w:val="24"/>
        </w:rPr>
        <w:t xml:space="preserve">it was refused on a lack of president. Another example of this would be with Miller v </w:t>
      </w:r>
      <w:r w:rsidR="007125E7" w:rsidRPr="00023351">
        <w:rPr>
          <w:rFonts w:cstheme="minorHAnsi"/>
          <w:bCs/>
          <w:sz w:val="24"/>
          <w:szCs w:val="24"/>
        </w:rPr>
        <w:t>Jackson 1977 a person could not have the right to hit cricket balls into another person property</w:t>
      </w:r>
      <w:r w:rsidR="004F5079" w:rsidRPr="00023351">
        <w:rPr>
          <w:rFonts w:cstheme="minorHAnsi"/>
          <w:bCs/>
          <w:sz w:val="24"/>
          <w:szCs w:val="24"/>
        </w:rPr>
        <w:t xml:space="preserve">. On the other </w:t>
      </w:r>
      <w:r w:rsidR="000C3C2F" w:rsidRPr="00023351">
        <w:rPr>
          <w:rFonts w:cstheme="minorHAnsi"/>
          <w:bCs/>
          <w:sz w:val="24"/>
          <w:szCs w:val="24"/>
        </w:rPr>
        <w:t>hand,</w:t>
      </w:r>
      <w:r w:rsidR="004F5079" w:rsidRPr="00023351">
        <w:rPr>
          <w:rFonts w:cstheme="minorHAnsi"/>
          <w:bCs/>
          <w:sz w:val="24"/>
          <w:szCs w:val="24"/>
        </w:rPr>
        <w:t xml:space="preserve"> Lord Lane disagreed with the Lord Denning and stated that as a result of the amount of time the cricket field had been there it would be a loss to the community to allow the injunction to be passed, the resonating for this decision was as a result of </w:t>
      </w:r>
      <w:r w:rsidR="004F5079" w:rsidRPr="00023351">
        <w:rPr>
          <w:rFonts w:cstheme="minorHAnsi"/>
          <w:bCs/>
          <w:sz w:val="24"/>
          <w:szCs w:val="24"/>
        </w:rPr>
        <w:t xml:space="preserve">Sturges v </w:t>
      </w:r>
      <w:r w:rsidR="00435803" w:rsidRPr="00023351">
        <w:rPr>
          <w:rFonts w:cstheme="minorHAnsi"/>
          <w:bCs/>
          <w:sz w:val="24"/>
          <w:szCs w:val="24"/>
        </w:rPr>
        <w:t>Bridgman</w:t>
      </w:r>
      <w:r w:rsidR="004F5079" w:rsidRPr="00023351">
        <w:rPr>
          <w:rFonts w:cstheme="minorHAnsi"/>
          <w:bCs/>
          <w:sz w:val="24"/>
          <w:szCs w:val="24"/>
        </w:rPr>
        <w:t xml:space="preserve"> 1879</w:t>
      </w:r>
      <w:r w:rsidR="004F5079" w:rsidRPr="00023351">
        <w:rPr>
          <w:rFonts w:cstheme="minorHAnsi"/>
          <w:bCs/>
          <w:sz w:val="24"/>
          <w:szCs w:val="24"/>
        </w:rPr>
        <w:t xml:space="preserve"> </w:t>
      </w:r>
      <w:r w:rsidR="000C3C2F" w:rsidRPr="00023351">
        <w:rPr>
          <w:rFonts w:cstheme="minorHAnsi"/>
          <w:bCs/>
          <w:sz w:val="24"/>
          <w:szCs w:val="24"/>
        </w:rPr>
        <w:t>that used the length of time a noise had been active for to show that it was a known factor.</w:t>
      </w:r>
      <w:r w:rsidR="00EC69E5">
        <w:rPr>
          <w:rFonts w:cstheme="minorHAnsi"/>
          <w:bCs/>
          <w:sz w:val="24"/>
          <w:szCs w:val="24"/>
        </w:rPr>
        <w:t xml:space="preserve"> </w:t>
      </w:r>
      <w:sdt>
        <w:sdtPr>
          <w:rPr>
            <w:rFonts w:cstheme="minorHAnsi"/>
            <w:bCs/>
            <w:sz w:val="24"/>
            <w:szCs w:val="24"/>
          </w:rPr>
          <w:id w:val="-650823862"/>
          <w:citation/>
        </w:sdtPr>
        <w:sdtContent>
          <w:r w:rsidR="00EC69E5">
            <w:rPr>
              <w:rFonts w:cstheme="minorHAnsi"/>
              <w:bCs/>
              <w:sz w:val="24"/>
              <w:szCs w:val="24"/>
            </w:rPr>
            <w:fldChar w:fldCharType="begin"/>
          </w:r>
          <w:r w:rsidR="00F83724">
            <w:rPr>
              <w:rFonts w:cstheme="minorHAnsi"/>
              <w:bCs/>
              <w:sz w:val="24"/>
              <w:szCs w:val="24"/>
            </w:rPr>
            <w:instrText xml:space="preserve">CITATION Gra11 \l 2057 </w:instrText>
          </w:r>
          <w:r w:rsidR="00EC69E5">
            <w:rPr>
              <w:rFonts w:cstheme="minorHAnsi"/>
              <w:bCs/>
              <w:sz w:val="24"/>
              <w:szCs w:val="24"/>
            </w:rPr>
            <w:fldChar w:fldCharType="separate"/>
          </w:r>
          <w:r w:rsidR="00F83724" w:rsidRPr="00F83724">
            <w:rPr>
              <w:rFonts w:cstheme="minorHAnsi"/>
              <w:noProof/>
              <w:sz w:val="24"/>
              <w:szCs w:val="24"/>
            </w:rPr>
            <w:t>(Gray &amp; Gray, 2011)</w:t>
          </w:r>
          <w:r w:rsidR="00EC69E5">
            <w:rPr>
              <w:rFonts w:cstheme="minorHAnsi"/>
              <w:bCs/>
              <w:sz w:val="24"/>
              <w:szCs w:val="24"/>
            </w:rPr>
            <w:fldChar w:fldCharType="end"/>
          </w:r>
        </w:sdtContent>
      </w:sdt>
    </w:p>
    <w:p w14:paraId="329ACAF5" w14:textId="65252E33" w:rsidR="000C3C2F" w:rsidRPr="00023351" w:rsidRDefault="00A15087" w:rsidP="00F83724">
      <w:pPr>
        <w:spacing w:line="480" w:lineRule="auto"/>
        <w:rPr>
          <w:rFonts w:cstheme="minorHAnsi"/>
          <w:bCs/>
          <w:sz w:val="24"/>
          <w:szCs w:val="24"/>
        </w:rPr>
      </w:pPr>
      <w:r w:rsidRPr="00023351">
        <w:rPr>
          <w:rFonts w:cstheme="minorHAnsi"/>
          <w:bCs/>
          <w:sz w:val="24"/>
          <w:szCs w:val="24"/>
        </w:rPr>
        <w:t>Another aspect of easements would be removing the burden of having to carry out a positive action by the servient landowner on the behalf of the dominant landowner</w:t>
      </w:r>
      <w:r w:rsidR="007346B2" w:rsidRPr="00023351">
        <w:rPr>
          <w:rFonts w:cstheme="minorHAnsi"/>
          <w:bCs/>
          <w:sz w:val="24"/>
          <w:szCs w:val="24"/>
        </w:rPr>
        <w:t xml:space="preserve">. This can be seen in the case of </w:t>
      </w:r>
      <w:r w:rsidR="007346B2" w:rsidRPr="00023351">
        <w:rPr>
          <w:rFonts w:cstheme="minorHAnsi"/>
          <w:bCs/>
          <w:sz w:val="24"/>
          <w:szCs w:val="24"/>
        </w:rPr>
        <w:t>Liverpool City Council v Irwin</w:t>
      </w:r>
      <w:r w:rsidR="007346B2" w:rsidRPr="00023351">
        <w:rPr>
          <w:rFonts w:cstheme="minorHAnsi"/>
          <w:bCs/>
          <w:sz w:val="24"/>
          <w:szCs w:val="24"/>
        </w:rPr>
        <w:t xml:space="preserve"> 1977 that shows that an easement on a subservient piece of land cannot force the owner to carryout repairs to maintenance as well as to supply it with. Although it can demand that such a </w:t>
      </w:r>
      <w:r w:rsidR="005A1474" w:rsidRPr="00023351">
        <w:rPr>
          <w:rFonts w:cstheme="minorHAnsi"/>
          <w:bCs/>
          <w:sz w:val="24"/>
          <w:szCs w:val="24"/>
        </w:rPr>
        <w:t>supply</w:t>
      </w:r>
      <w:r w:rsidR="007346B2" w:rsidRPr="00023351">
        <w:rPr>
          <w:rFonts w:cstheme="minorHAnsi"/>
          <w:bCs/>
          <w:sz w:val="24"/>
          <w:szCs w:val="24"/>
        </w:rPr>
        <w:t xml:space="preserve"> is not </w:t>
      </w:r>
      <w:r w:rsidR="005A1474" w:rsidRPr="00023351">
        <w:rPr>
          <w:rFonts w:cstheme="minorHAnsi"/>
          <w:bCs/>
          <w:sz w:val="24"/>
          <w:szCs w:val="24"/>
        </w:rPr>
        <w:t>actively</w:t>
      </w:r>
      <w:r w:rsidR="007346B2" w:rsidRPr="00023351">
        <w:rPr>
          <w:rFonts w:cstheme="minorHAnsi"/>
          <w:bCs/>
          <w:sz w:val="24"/>
          <w:szCs w:val="24"/>
        </w:rPr>
        <w:t xml:space="preserve"> stopped</w:t>
      </w:r>
      <w:r w:rsidR="005A1474" w:rsidRPr="00023351">
        <w:rPr>
          <w:rFonts w:cstheme="minorHAnsi"/>
          <w:bCs/>
          <w:sz w:val="24"/>
          <w:szCs w:val="24"/>
        </w:rPr>
        <w:t>, for example damning a stream would not be allowed. This can be seen in the case of Duffy v Lamb 1997.</w:t>
      </w:r>
      <w:r w:rsidR="00F83724">
        <w:rPr>
          <w:rFonts w:cstheme="minorHAnsi"/>
          <w:bCs/>
          <w:sz w:val="24"/>
          <w:szCs w:val="24"/>
        </w:rPr>
        <w:t xml:space="preserve"> </w:t>
      </w:r>
      <w:sdt>
        <w:sdtPr>
          <w:rPr>
            <w:rFonts w:cstheme="minorHAnsi"/>
            <w:bCs/>
            <w:sz w:val="24"/>
            <w:szCs w:val="24"/>
          </w:rPr>
          <w:id w:val="-1120991530"/>
          <w:citation/>
        </w:sdtPr>
        <w:sdtContent>
          <w:r w:rsidR="00F83724">
            <w:rPr>
              <w:rFonts w:cstheme="minorHAnsi"/>
              <w:bCs/>
              <w:sz w:val="24"/>
              <w:szCs w:val="24"/>
            </w:rPr>
            <w:fldChar w:fldCharType="begin"/>
          </w:r>
          <w:r w:rsidR="00F83724">
            <w:rPr>
              <w:rFonts w:cstheme="minorHAnsi"/>
              <w:bCs/>
              <w:sz w:val="24"/>
              <w:szCs w:val="24"/>
            </w:rPr>
            <w:instrText xml:space="preserve"> CITATION Gra11 \l 2057 </w:instrText>
          </w:r>
          <w:r w:rsidR="00F83724">
            <w:rPr>
              <w:rFonts w:cstheme="minorHAnsi"/>
              <w:bCs/>
              <w:sz w:val="24"/>
              <w:szCs w:val="24"/>
            </w:rPr>
            <w:fldChar w:fldCharType="separate"/>
          </w:r>
          <w:r w:rsidR="00F83724" w:rsidRPr="00F83724">
            <w:rPr>
              <w:rFonts w:cstheme="minorHAnsi"/>
              <w:noProof/>
              <w:sz w:val="24"/>
              <w:szCs w:val="24"/>
            </w:rPr>
            <w:t>(Gray &amp; Gray, 2011)</w:t>
          </w:r>
          <w:r w:rsidR="00F83724">
            <w:rPr>
              <w:rFonts w:cstheme="minorHAnsi"/>
              <w:bCs/>
              <w:sz w:val="24"/>
              <w:szCs w:val="24"/>
            </w:rPr>
            <w:fldChar w:fldCharType="end"/>
          </w:r>
        </w:sdtContent>
      </w:sdt>
    </w:p>
    <w:p w14:paraId="65FF04F1" w14:textId="4DAF699A" w:rsidR="005A1474" w:rsidRPr="00023351" w:rsidRDefault="00DD6111" w:rsidP="00F83724">
      <w:pPr>
        <w:spacing w:line="480" w:lineRule="auto"/>
        <w:rPr>
          <w:rFonts w:cstheme="minorHAnsi"/>
          <w:bCs/>
          <w:sz w:val="24"/>
          <w:szCs w:val="24"/>
        </w:rPr>
      </w:pPr>
      <w:r w:rsidRPr="00023351">
        <w:rPr>
          <w:rFonts w:cstheme="minorHAnsi"/>
          <w:bCs/>
          <w:sz w:val="24"/>
          <w:szCs w:val="24"/>
        </w:rPr>
        <w:t xml:space="preserve">Then the easement cannot take the ownership of the land away from the subservient landowner. This is because they still have a right to benefit from the ownership land and the easement is meant to be on a benefit to the dominant landowner. This can be seen in the case of </w:t>
      </w:r>
      <w:r w:rsidRPr="00023351">
        <w:rPr>
          <w:rFonts w:cstheme="minorHAnsi"/>
          <w:bCs/>
          <w:sz w:val="24"/>
          <w:szCs w:val="24"/>
        </w:rPr>
        <w:t>Moncrieff v Jamieson</w:t>
      </w:r>
      <w:r w:rsidRPr="00023351">
        <w:rPr>
          <w:rFonts w:cstheme="minorHAnsi"/>
          <w:bCs/>
          <w:sz w:val="24"/>
          <w:szCs w:val="24"/>
        </w:rPr>
        <w:t xml:space="preserve"> 2007</w:t>
      </w:r>
      <w:r w:rsidR="0065493E" w:rsidRPr="00023351">
        <w:rPr>
          <w:rFonts w:cstheme="minorHAnsi"/>
          <w:bCs/>
          <w:sz w:val="24"/>
          <w:szCs w:val="24"/>
        </w:rPr>
        <w:t xml:space="preserve"> in this case it was seen that the right to drive over a piece of land was not the same as the tight to park there. A clear distinction between the use of </w:t>
      </w:r>
      <w:r w:rsidR="0065493E" w:rsidRPr="00023351">
        <w:rPr>
          <w:rFonts w:cstheme="minorHAnsi"/>
          <w:bCs/>
          <w:sz w:val="24"/>
          <w:szCs w:val="24"/>
        </w:rPr>
        <w:lastRenderedPageBreak/>
        <w:t>the land as a benefit and removing rights that the owner of the land should maintain.</w:t>
      </w:r>
      <w:r w:rsidR="00577E0E" w:rsidRPr="00023351">
        <w:rPr>
          <w:rFonts w:cstheme="minorHAnsi"/>
          <w:bCs/>
          <w:sz w:val="24"/>
          <w:szCs w:val="24"/>
        </w:rPr>
        <w:t xml:space="preserve"> This is then supported with the ruling of </w:t>
      </w:r>
      <w:r w:rsidR="00577E0E" w:rsidRPr="00023351">
        <w:rPr>
          <w:rFonts w:cstheme="minorHAnsi"/>
          <w:bCs/>
          <w:sz w:val="24"/>
          <w:szCs w:val="24"/>
        </w:rPr>
        <w:t xml:space="preserve">Copeland v </w:t>
      </w:r>
      <w:proofErr w:type="spellStart"/>
      <w:r w:rsidR="00577E0E" w:rsidRPr="00023351">
        <w:rPr>
          <w:rFonts w:cstheme="minorHAnsi"/>
          <w:bCs/>
          <w:sz w:val="24"/>
          <w:szCs w:val="24"/>
        </w:rPr>
        <w:t>Greenhalf</w:t>
      </w:r>
      <w:proofErr w:type="spellEnd"/>
      <w:r w:rsidR="00577E0E" w:rsidRPr="00023351">
        <w:rPr>
          <w:rFonts w:cstheme="minorHAnsi"/>
          <w:bCs/>
          <w:sz w:val="24"/>
          <w:szCs w:val="24"/>
        </w:rPr>
        <w:t xml:space="preserve"> 1952</w:t>
      </w:r>
      <w:r w:rsidR="00577E0E" w:rsidRPr="00023351">
        <w:rPr>
          <w:rFonts w:cstheme="minorHAnsi"/>
          <w:bCs/>
          <w:sz w:val="24"/>
          <w:szCs w:val="24"/>
        </w:rPr>
        <w:t xml:space="preserve"> where the owner of the </w:t>
      </w:r>
      <w:r w:rsidR="005D3891" w:rsidRPr="00023351">
        <w:rPr>
          <w:rFonts w:cstheme="minorHAnsi"/>
          <w:bCs/>
          <w:sz w:val="24"/>
          <w:szCs w:val="24"/>
        </w:rPr>
        <w:t>dominant</w:t>
      </w:r>
      <w:r w:rsidR="00577E0E" w:rsidRPr="00023351">
        <w:rPr>
          <w:rFonts w:cstheme="minorHAnsi"/>
          <w:bCs/>
          <w:sz w:val="24"/>
          <w:szCs w:val="24"/>
        </w:rPr>
        <w:t xml:space="preserve"> land was </w:t>
      </w:r>
      <w:r w:rsidR="005D3891" w:rsidRPr="00023351">
        <w:rPr>
          <w:rFonts w:cstheme="minorHAnsi"/>
          <w:bCs/>
          <w:sz w:val="24"/>
          <w:szCs w:val="24"/>
        </w:rPr>
        <w:t>parking</w:t>
      </w:r>
      <w:r w:rsidR="00577E0E" w:rsidRPr="00023351">
        <w:rPr>
          <w:rFonts w:cstheme="minorHAnsi"/>
          <w:bCs/>
          <w:sz w:val="24"/>
          <w:szCs w:val="24"/>
        </w:rPr>
        <w:t xml:space="preserve"> cars on the subservient land, the </w:t>
      </w:r>
      <w:r w:rsidR="005D3891" w:rsidRPr="00023351">
        <w:rPr>
          <w:rFonts w:cstheme="minorHAnsi"/>
          <w:bCs/>
          <w:sz w:val="24"/>
          <w:szCs w:val="24"/>
        </w:rPr>
        <w:t>argument</w:t>
      </w:r>
      <w:r w:rsidR="00577E0E" w:rsidRPr="00023351">
        <w:rPr>
          <w:rFonts w:cstheme="minorHAnsi"/>
          <w:bCs/>
          <w:sz w:val="24"/>
          <w:szCs w:val="24"/>
        </w:rPr>
        <w:t xml:space="preserve"> was made that </w:t>
      </w:r>
      <w:r w:rsidR="005D3891" w:rsidRPr="00023351">
        <w:rPr>
          <w:rFonts w:cstheme="minorHAnsi"/>
          <w:bCs/>
          <w:sz w:val="24"/>
          <w:szCs w:val="24"/>
        </w:rPr>
        <w:t>it did not take away the rights of the owner, but this case was denied as permanently preventing the use of a section of land was no different than having total ownership of said land. This shows the clear distinction that the subservient landowner maintains all rights to ownership.</w:t>
      </w:r>
      <w:r w:rsidR="00901B04" w:rsidRPr="00023351">
        <w:rPr>
          <w:rFonts w:cstheme="minorHAnsi"/>
          <w:bCs/>
          <w:sz w:val="24"/>
          <w:szCs w:val="24"/>
        </w:rPr>
        <w:t xml:space="preserve"> On the other hand, there is a destination between the sole user of a piece of land and the possessor and the owner of the land. This is a key distinction as it would be the different of allowing an easement and having it denied.</w:t>
      </w:r>
      <w:r w:rsidR="00F83724">
        <w:rPr>
          <w:rFonts w:cstheme="minorHAnsi"/>
          <w:bCs/>
          <w:sz w:val="24"/>
          <w:szCs w:val="24"/>
        </w:rPr>
        <w:t xml:space="preserve"> </w:t>
      </w:r>
      <w:sdt>
        <w:sdtPr>
          <w:rPr>
            <w:rFonts w:cstheme="minorHAnsi"/>
            <w:bCs/>
            <w:sz w:val="24"/>
            <w:szCs w:val="24"/>
          </w:rPr>
          <w:id w:val="345524196"/>
          <w:citation/>
        </w:sdtPr>
        <w:sdtContent>
          <w:r w:rsidR="00F83724">
            <w:rPr>
              <w:rFonts w:cstheme="minorHAnsi"/>
              <w:bCs/>
              <w:sz w:val="24"/>
              <w:szCs w:val="24"/>
            </w:rPr>
            <w:fldChar w:fldCharType="begin"/>
          </w:r>
          <w:r w:rsidR="00F83724">
            <w:rPr>
              <w:rFonts w:cstheme="minorHAnsi"/>
              <w:bCs/>
              <w:sz w:val="24"/>
              <w:szCs w:val="24"/>
            </w:rPr>
            <w:instrText xml:space="preserve"> CITATION Dud21 \l 2057 </w:instrText>
          </w:r>
          <w:r w:rsidR="00F83724">
            <w:rPr>
              <w:rFonts w:cstheme="minorHAnsi"/>
              <w:bCs/>
              <w:sz w:val="24"/>
              <w:szCs w:val="24"/>
            </w:rPr>
            <w:fldChar w:fldCharType="separate"/>
          </w:r>
          <w:r w:rsidR="00F83724" w:rsidRPr="00F83724">
            <w:rPr>
              <w:rFonts w:cstheme="minorHAnsi"/>
              <w:noProof/>
              <w:sz w:val="24"/>
              <w:szCs w:val="24"/>
            </w:rPr>
            <w:t>(Duddington, 2021)</w:t>
          </w:r>
          <w:r w:rsidR="00F83724">
            <w:rPr>
              <w:rFonts w:cstheme="minorHAnsi"/>
              <w:bCs/>
              <w:sz w:val="24"/>
              <w:szCs w:val="24"/>
            </w:rPr>
            <w:fldChar w:fldCharType="end"/>
          </w:r>
        </w:sdtContent>
      </w:sdt>
    </w:p>
    <w:p w14:paraId="3A8EDE8F" w14:textId="1A9D6B64" w:rsidR="00F12887" w:rsidRPr="00023351" w:rsidRDefault="00F12887" w:rsidP="00F83724">
      <w:pPr>
        <w:spacing w:line="480" w:lineRule="auto"/>
        <w:rPr>
          <w:rFonts w:cstheme="minorHAnsi"/>
          <w:bCs/>
          <w:sz w:val="24"/>
          <w:szCs w:val="24"/>
        </w:rPr>
      </w:pPr>
      <w:r w:rsidRPr="00023351">
        <w:rPr>
          <w:rFonts w:cstheme="minorHAnsi"/>
          <w:bCs/>
          <w:sz w:val="24"/>
          <w:szCs w:val="24"/>
        </w:rPr>
        <w:t xml:space="preserve">When an easement is made there are two main ways in that it can be made. The first would be a grant, this is when person 1 </w:t>
      </w:r>
      <w:r w:rsidR="00FE5AA0" w:rsidRPr="00023351">
        <w:rPr>
          <w:rFonts w:cstheme="minorHAnsi"/>
          <w:bCs/>
          <w:sz w:val="24"/>
          <w:szCs w:val="24"/>
        </w:rPr>
        <w:t>grants person 2 an easement of land belonging to person 1 and then retains ownership of the land with person 2 having an interest in said land. The other way it could be done would be when person 1 gives the land to person 2 but with the intent to maintain some of the rights in an easement of the land, therefore the owner of the land would be person 2 and person 1 would be the one with interest. This is called a renovation.</w:t>
      </w:r>
      <w:r w:rsidR="00F83724">
        <w:rPr>
          <w:rFonts w:cstheme="minorHAnsi"/>
          <w:bCs/>
          <w:sz w:val="24"/>
          <w:szCs w:val="24"/>
        </w:rPr>
        <w:t xml:space="preserve"> </w:t>
      </w:r>
      <w:sdt>
        <w:sdtPr>
          <w:rPr>
            <w:rFonts w:cstheme="minorHAnsi"/>
            <w:bCs/>
            <w:sz w:val="24"/>
            <w:szCs w:val="24"/>
          </w:rPr>
          <w:id w:val="-1457250590"/>
          <w:citation/>
        </w:sdtPr>
        <w:sdtContent>
          <w:r w:rsidR="00F83724">
            <w:rPr>
              <w:rFonts w:cstheme="minorHAnsi"/>
              <w:bCs/>
              <w:sz w:val="24"/>
              <w:szCs w:val="24"/>
            </w:rPr>
            <w:fldChar w:fldCharType="begin"/>
          </w:r>
          <w:r w:rsidR="00F83724">
            <w:rPr>
              <w:rFonts w:cstheme="minorHAnsi"/>
              <w:bCs/>
              <w:sz w:val="24"/>
              <w:szCs w:val="24"/>
            </w:rPr>
            <w:instrText xml:space="preserve"> CITATION McF18 \l 2057 </w:instrText>
          </w:r>
          <w:r w:rsidR="00F83724">
            <w:rPr>
              <w:rFonts w:cstheme="minorHAnsi"/>
              <w:bCs/>
              <w:sz w:val="24"/>
              <w:szCs w:val="24"/>
            </w:rPr>
            <w:fldChar w:fldCharType="separate"/>
          </w:r>
          <w:r w:rsidR="00F83724" w:rsidRPr="00F83724">
            <w:rPr>
              <w:rFonts w:cstheme="minorHAnsi"/>
              <w:noProof/>
              <w:sz w:val="24"/>
              <w:szCs w:val="24"/>
            </w:rPr>
            <w:t>(McFarlanr, Hopkins, &amp; Nield, 2018)</w:t>
          </w:r>
          <w:r w:rsidR="00F83724">
            <w:rPr>
              <w:rFonts w:cstheme="minorHAnsi"/>
              <w:bCs/>
              <w:sz w:val="24"/>
              <w:szCs w:val="24"/>
            </w:rPr>
            <w:fldChar w:fldCharType="end"/>
          </w:r>
        </w:sdtContent>
      </w:sdt>
    </w:p>
    <w:p w14:paraId="0F17CBE6" w14:textId="102EAA93" w:rsidR="008161FF" w:rsidRPr="00023351" w:rsidRDefault="00EC4DD9" w:rsidP="00F83724">
      <w:pPr>
        <w:spacing w:line="480" w:lineRule="auto"/>
        <w:rPr>
          <w:rFonts w:cstheme="minorHAnsi"/>
          <w:bCs/>
          <w:sz w:val="24"/>
          <w:szCs w:val="24"/>
        </w:rPr>
      </w:pPr>
      <w:r w:rsidRPr="00023351">
        <w:rPr>
          <w:rFonts w:cstheme="minorHAnsi"/>
          <w:bCs/>
          <w:sz w:val="24"/>
          <w:szCs w:val="24"/>
        </w:rPr>
        <w:t xml:space="preserve">An easement can exist in both law or equity depending on the facts surrounding each specific one and the manner it was made and the purpose it was to fill. First for it to be legal the easement must be made from the subservient land and then the rights afforded to the parties, remain equitable not legal. The time duration also </w:t>
      </w:r>
      <w:r w:rsidR="00FE3697" w:rsidRPr="00023351">
        <w:rPr>
          <w:rFonts w:cstheme="minorHAnsi"/>
          <w:bCs/>
          <w:sz w:val="24"/>
          <w:szCs w:val="24"/>
        </w:rPr>
        <w:t>must</w:t>
      </w:r>
      <w:r w:rsidRPr="00023351">
        <w:rPr>
          <w:rFonts w:cstheme="minorHAnsi"/>
          <w:bCs/>
          <w:sz w:val="24"/>
          <w:szCs w:val="24"/>
        </w:rPr>
        <w:t xml:space="preserve"> be defined, this could be for a</w:t>
      </w:r>
      <w:r w:rsidR="0025337B" w:rsidRPr="00023351">
        <w:rPr>
          <w:rFonts w:cstheme="minorHAnsi"/>
          <w:bCs/>
          <w:sz w:val="24"/>
          <w:szCs w:val="24"/>
        </w:rPr>
        <w:t>n estate in</w:t>
      </w:r>
      <w:r w:rsidRPr="00023351">
        <w:rPr>
          <w:rFonts w:cstheme="minorHAnsi"/>
          <w:bCs/>
          <w:sz w:val="24"/>
          <w:szCs w:val="24"/>
        </w:rPr>
        <w:t xml:space="preserve"> free</w:t>
      </w:r>
      <w:r w:rsidR="0025337B" w:rsidRPr="00023351">
        <w:rPr>
          <w:rFonts w:cstheme="minorHAnsi"/>
          <w:bCs/>
          <w:sz w:val="24"/>
          <w:szCs w:val="24"/>
        </w:rPr>
        <w:t xml:space="preserve"> simple absolute in possession or a lease hold, but with a lese hold it must be withing the limit of the terms.</w:t>
      </w:r>
      <w:r w:rsidRPr="00023351">
        <w:rPr>
          <w:rFonts w:cstheme="minorHAnsi"/>
          <w:bCs/>
          <w:sz w:val="24"/>
          <w:szCs w:val="24"/>
        </w:rPr>
        <w:t xml:space="preserve"> </w:t>
      </w:r>
      <w:r w:rsidR="0025337B" w:rsidRPr="00023351">
        <w:rPr>
          <w:rFonts w:cstheme="minorHAnsi"/>
          <w:bCs/>
          <w:sz w:val="24"/>
          <w:szCs w:val="24"/>
        </w:rPr>
        <w:t xml:space="preserve">This is set out in the Law of property Act 1925 s1(2)(a) that sets out the different types of </w:t>
      </w:r>
      <w:r w:rsidR="00FE3697" w:rsidRPr="00023351">
        <w:rPr>
          <w:rFonts w:cstheme="minorHAnsi"/>
          <w:bCs/>
          <w:sz w:val="24"/>
          <w:szCs w:val="24"/>
        </w:rPr>
        <w:t xml:space="preserve">land that can being conveyed. </w:t>
      </w:r>
      <w:r w:rsidR="001919CC" w:rsidRPr="00023351">
        <w:rPr>
          <w:rFonts w:cstheme="minorHAnsi"/>
          <w:bCs/>
          <w:sz w:val="24"/>
          <w:szCs w:val="24"/>
        </w:rPr>
        <w:t xml:space="preserve">This then shows that both with </w:t>
      </w:r>
      <w:r w:rsidR="001919CC" w:rsidRPr="00023351">
        <w:rPr>
          <w:rFonts w:cstheme="minorHAnsi"/>
          <w:bCs/>
          <w:sz w:val="24"/>
          <w:szCs w:val="24"/>
        </w:rPr>
        <w:lastRenderedPageBreak/>
        <w:t>an indefinite amount of time as well as a fixed amount of time could be done legally or either equity, when the amount of time is unknown then this can only be created within equity.</w:t>
      </w:r>
      <w:r w:rsidR="00F83724">
        <w:rPr>
          <w:rFonts w:cstheme="minorHAnsi"/>
          <w:bCs/>
          <w:sz w:val="24"/>
          <w:szCs w:val="24"/>
        </w:rPr>
        <w:t xml:space="preserve"> </w:t>
      </w:r>
      <w:sdt>
        <w:sdtPr>
          <w:rPr>
            <w:rFonts w:cstheme="minorHAnsi"/>
            <w:bCs/>
            <w:sz w:val="24"/>
            <w:szCs w:val="24"/>
          </w:rPr>
          <w:id w:val="1193265911"/>
          <w:citation/>
        </w:sdtPr>
        <w:sdtContent>
          <w:r w:rsidR="00F83724">
            <w:rPr>
              <w:rFonts w:cstheme="minorHAnsi"/>
              <w:bCs/>
              <w:sz w:val="24"/>
              <w:szCs w:val="24"/>
            </w:rPr>
            <w:fldChar w:fldCharType="begin"/>
          </w:r>
          <w:r w:rsidR="00F83724">
            <w:rPr>
              <w:rFonts w:cstheme="minorHAnsi"/>
              <w:bCs/>
              <w:sz w:val="24"/>
              <w:szCs w:val="24"/>
            </w:rPr>
            <w:instrText xml:space="preserve"> CITATION Gra11 \l 2057 </w:instrText>
          </w:r>
          <w:r w:rsidR="00F83724">
            <w:rPr>
              <w:rFonts w:cstheme="minorHAnsi"/>
              <w:bCs/>
              <w:sz w:val="24"/>
              <w:szCs w:val="24"/>
            </w:rPr>
            <w:fldChar w:fldCharType="separate"/>
          </w:r>
          <w:r w:rsidR="00F83724" w:rsidRPr="00F83724">
            <w:rPr>
              <w:rFonts w:cstheme="minorHAnsi"/>
              <w:noProof/>
              <w:sz w:val="24"/>
              <w:szCs w:val="24"/>
            </w:rPr>
            <w:t>(Gray &amp; Gray, 2011)</w:t>
          </w:r>
          <w:r w:rsidR="00F83724">
            <w:rPr>
              <w:rFonts w:cstheme="minorHAnsi"/>
              <w:bCs/>
              <w:sz w:val="24"/>
              <w:szCs w:val="24"/>
            </w:rPr>
            <w:fldChar w:fldCharType="end"/>
          </w:r>
        </w:sdtContent>
      </w:sdt>
    </w:p>
    <w:p w14:paraId="5D02F0DA" w14:textId="0D05F237" w:rsidR="008161FF" w:rsidRPr="00023351" w:rsidRDefault="001919CC" w:rsidP="00F83724">
      <w:pPr>
        <w:spacing w:line="480" w:lineRule="auto"/>
        <w:rPr>
          <w:rFonts w:cstheme="minorHAnsi"/>
          <w:bCs/>
          <w:sz w:val="24"/>
          <w:szCs w:val="24"/>
        </w:rPr>
      </w:pPr>
      <w:r w:rsidRPr="00023351">
        <w:rPr>
          <w:rFonts w:cstheme="minorHAnsi"/>
          <w:bCs/>
          <w:sz w:val="24"/>
          <w:szCs w:val="24"/>
        </w:rPr>
        <w:t xml:space="preserve">To be able to create an easement it can be done with a deed, this is set out in the Law of Property Act 1925 s52(1) </w:t>
      </w:r>
      <w:r w:rsidR="00EC477B" w:rsidRPr="00023351">
        <w:rPr>
          <w:rFonts w:cstheme="minorHAnsi"/>
          <w:bCs/>
          <w:sz w:val="24"/>
          <w:szCs w:val="24"/>
        </w:rPr>
        <w:t>that states that unless a dead is used in the creation of the legal estate then it would be void.</w:t>
      </w:r>
      <w:r w:rsidR="00F83724">
        <w:rPr>
          <w:rFonts w:cstheme="minorHAnsi"/>
          <w:bCs/>
          <w:sz w:val="24"/>
          <w:szCs w:val="24"/>
        </w:rPr>
        <w:t xml:space="preserve"> </w:t>
      </w:r>
      <w:sdt>
        <w:sdtPr>
          <w:rPr>
            <w:rFonts w:cstheme="minorHAnsi"/>
            <w:bCs/>
            <w:sz w:val="24"/>
            <w:szCs w:val="24"/>
          </w:rPr>
          <w:id w:val="1750232836"/>
          <w:citation/>
        </w:sdtPr>
        <w:sdtContent>
          <w:r w:rsidR="00F83724">
            <w:rPr>
              <w:rFonts w:cstheme="minorHAnsi"/>
              <w:bCs/>
              <w:sz w:val="24"/>
              <w:szCs w:val="24"/>
            </w:rPr>
            <w:fldChar w:fldCharType="begin"/>
          </w:r>
          <w:r w:rsidR="00F83724">
            <w:rPr>
              <w:rFonts w:cstheme="minorHAnsi"/>
              <w:bCs/>
              <w:sz w:val="24"/>
              <w:szCs w:val="24"/>
            </w:rPr>
            <w:instrText xml:space="preserve"> CITATION Gra11 \l 2057 </w:instrText>
          </w:r>
          <w:r w:rsidR="00F83724">
            <w:rPr>
              <w:rFonts w:cstheme="minorHAnsi"/>
              <w:bCs/>
              <w:sz w:val="24"/>
              <w:szCs w:val="24"/>
            </w:rPr>
            <w:fldChar w:fldCharType="separate"/>
          </w:r>
          <w:r w:rsidR="00F83724" w:rsidRPr="00F83724">
            <w:rPr>
              <w:rFonts w:cstheme="minorHAnsi"/>
              <w:noProof/>
              <w:sz w:val="24"/>
              <w:szCs w:val="24"/>
            </w:rPr>
            <w:t>(Gray &amp; Gray, 2011)</w:t>
          </w:r>
          <w:r w:rsidR="00F83724">
            <w:rPr>
              <w:rFonts w:cstheme="minorHAnsi"/>
              <w:bCs/>
              <w:sz w:val="24"/>
              <w:szCs w:val="24"/>
            </w:rPr>
            <w:fldChar w:fldCharType="end"/>
          </w:r>
        </w:sdtContent>
      </w:sdt>
    </w:p>
    <w:p w14:paraId="4457B746" w14:textId="75C61AE2" w:rsidR="00EC477B" w:rsidRPr="00023351" w:rsidRDefault="00EC477B" w:rsidP="00F83724">
      <w:pPr>
        <w:spacing w:line="480" w:lineRule="auto"/>
        <w:rPr>
          <w:rFonts w:cstheme="minorHAnsi"/>
          <w:bCs/>
          <w:sz w:val="24"/>
          <w:szCs w:val="24"/>
        </w:rPr>
      </w:pPr>
      <w:r w:rsidRPr="00023351">
        <w:rPr>
          <w:rFonts w:cstheme="minorHAnsi"/>
          <w:bCs/>
          <w:sz w:val="24"/>
          <w:szCs w:val="24"/>
        </w:rPr>
        <w:t xml:space="preserve">There are an </w:t>
      </w:r>
      <w:r w:rsidR="00C53ABB" w:rsidRPr="00023351">
        <w:rPr>
          <w:rFonts w:cstheme="minorHAnsi"/>
          <w:bCs/>
          <w:sz w:val="24"/>
          <w:szCs w:val="24"/>
        </w:rPr>
        <w:t>addental</w:t>
      </w:r>
      <w:r w:rsidRPr="00023351">
        <w:rPr>
          <w:rFonts w:cstheme="minorHAnsi"/>
          <w:bCs/>
          <w:sz w:val="24"/>
          <w:szCs w:val="24"/>
        </w:rPr>
        <w:t xml:space="preserve"> </w:t>
      </w:r>
      <w:r w:rsidR="00C53ABB" w:rsidRPr="00023351">
        <w:rPr>
          <w:rFonts w:cstheme="minorHAnsi"/>
          <w:bCs/>
          <w:sz w:val="24"/>
          <w:szCs w:val="24"/>
        </w:rPr>
        <w:t>three ways an easement may come about. First, it could be a statute. This is most used to ensure the continues service of utilities, and the connection of utilities and so do not have to comply with other aspects of easements, specifically the requirement of there to be a tenant present as that would not be possible for utilities.</w:t>
      </w:r>
      <w:r w:rsidR="00066AAB" w:rsidRPr="00023351">
        <w:rPr>
          <w:rFonts w:cstheme="minorHAnsi"/>
          <w:bCs/>
          <w:sz w:val="24"/>
          <w:szCs w:val="24"/>
        </w:rPr>
        <w:t xml:space="preserve"> Furthermore</w:t>
      </w:r>
      <w:r w:rsidR="001B16C2" w:rsidRPr="00023351">
        <w:rPr>
          <w:rFonts w:cstheme="minorHAnsi"/>
          <w:bCs/>
          <w:sz w:val="24"/>
          <w:szCs w:val="24"/>
        </w:rPr>
        <w:t>,</w:t>
      </w:r>
      <w:r w:rsidR="00066AAB" w:rsidRPr="00023351">
        <w:rPr>
          <w:rFonts w:cstheme="minorHAnsi"/>
          <w:bCs/>
          <w:sz w:val="24"/>
          <w:szCs w:val="24"/>
        </w:rPr>
        <w:t xml:space="preserve"> an easement could be crated through an implied grant is typically </w:t>
      </w:r>
      <w:r w:rsidR="001B16C2" w:rsidRPr="00023351">
        <w:rPr>
          <w:rFonts w:cstheme="minorHAnsi"/>
          <w:bCs/>
          <w:sz w:val="24"/>
          <w:szCs w:val="24"/>
        </w:rPr>
        <w:t>when</w:t>
      </w:r>
      <w:r w:rsidR="00066AAB" w:rsidRPr="00023351">
        <w:rPr>
          <w:rFonts w:cstheme="minorHAnsi"/>
          <w:bCs/>
          <w:sz w:val="24"/>
          <w:szCs w:val="24"/>
        </w:rPr>
        <w:t xml:space="preserve"> land </w:t>
      </w:r>
      <w:r w:rsidR="001B16C2" w:rsidRPr="00023351">
        <w:rPr>
          <w:rFonts w:cstheme="minorHAnsi"/>
          <w:bCs/>
          <w:sz w:val="24"/>
          <w:szCs w:val="24"/>
        </w:rPr>
        <w:t>changes</w:t>
      </w:r>
      <w:r w:rsidR="00066AAB" w:rsidRPr="00023351">
        <w:rPr>
          <w:rFonts w:cstheme="minorHAnsi"/>
          <w:bCs/>
          <w:sz w:val="24"/>
          <w:szCs w:val="24"/>
        </w:rPr>
        <w:t xml:space="preserve"> hands, this can be with </w:t>
      </w:r>
      <w:r w:rsidR="001B16C2" w:rsidRPr="00023351">
        <w:rPr>
          <w:rFonts w:cstheme="minorHAnsi"/>
          <w:bCs/>
          <w:sz w:val="24"/>
          <w:szCs w:val="24"/>
        </w:rPr>
        <w:t xml:space="preserve">both resisted and unresisted land although there are some differences between. If the land was resisted it would mean that initially the person would have an overriding interest but with unregistered land the transfer of rights is instant. It will additionally mean that a person who would gain </w:t>
      </w:r>
      <w:r w:rsidR="003551BB" w:rsidRPr="00023351">
        <w:rPr>
          <w:rFonts w:cstheme="minorHAnsi"/>
          <w:bCs/>
          <w:sz w:val="24"/>
          <w:szCs w:val="24"/>
        </w:rPr>
        <w:t>position</w:t>
      </w:r>
      <w:r w:rsidR="001B16C2" w:rsidRPr="00023351">
        <w:rPr>
          <w:rFonts w:cstheme="minorHAnsi"/>
          <w:bCs/>
          <w:sz w:val="24"/>
          <w:szCs w:val="24"/>
        </w:rPr>
        <w:t xml:space="preserve"> of the land would also have to be a capable person in terms of maintaining the easement otherwise they would not be able to </w:t>
      </w:r>
      <w:r w:rsidR="003551BB" w:rsidRPr="00023351">
        <w:rPr>
          <w:rFonts w:cstheme="minorHAnsi"/>
          <w:bCs/>
          <w:sz w:val="24"/>
          <w:szCs w:val="24"/>
        </w:rPr>
        <w:t xml:space="preserve">gain position of the land. </w:t>
      </w:r>
      <w:r w:rsidR="00D04E43" w:rsidRPr="00023351">
        <w:rPr>
          <w:rFonts w:cstheme="minorHAnsi"/>
          <w:bCs/>
          <w:sz w:val="24"/>
          <w:szCs w:val="24"/>
        </w:rPr>
        <w:t>Finally,</w:t>
      </w:r>
      <w:r w:rsidR="003551BB" w:rsidRPr="00023351">
        <w:rPr>
          <w:rFonts w:cstheme="minorHAnsi"/>
          <w:bCs/>
          <w:sz w:val="24"/>
          <w:szCs w:val="24"/>
        </w:rPr>
        <w:t xml:space="preserve"> there is </w:t>
      </w:r>
      <w:r w:rsidR="00D04E43" w:rsidRPr="00023351">
        <w:rPr>
          <w:rFonts w:cstheme="minorHAnsi"/>
          <w:bCs/>
          <w:sz w:val="24"/>
          <w:szCs w:val="24"/>
        </w:rPr>
        <w:t>an</w:t>
      </w:r>
      <w:r w:rsidR="003551BB" w:rsidRPr="00023351">
        <w:rPr>
          <w:rFonts w:cstheme="minorHAnsi"/>
          <w:bCs/>
          <w:sz w:val="24"/>
          <w:szCs w:val="24"/>
        </w:rPr>
        <w:t xml:space="preserve"> easement through Prescription, this is when a </w:t>
      </w:r>
      <w:r w:rsidR="00D04E43" w:rsidRPr="00023351">
        <w:rPr>
          <w:rFonts w:cstheme="minorHAnsi"/>
          <w:bCs/>
          <w:sz w:val="24"/>
          <w:szCs w:val="24"/>
        </w:rPr>
        <w:t>person</w:t>
      </w:r>
      <w:r w:rsidR="003551BB" w:rsidRPr="00023351">
        <w:rPr>
          <w:rFonts w:cstheme="minorHAnsi"/>
          <w:bCs/>
          <w:sz w:val="24"/>
          <w:szCs w:val="24"/>
        </w:rPr>
        <w:t xml:space="preserve"> has been using land as if they did have an easement for a long period of time, usually around 20 years</w:t>
      </w:r>
      <w:r w:rsidR="00D04E43" w:rsidRPr="00023351">
        <w:rPr>
          <w:rFonts w:cstheme="minorHAnsi"/>
          <w:bCs/>
          <w:sz w:val="24"/>
          <w:szCs w:val="24"/>
        </w:rPr>
        <w:t xml:space="preserve">, an easement would have assumed would have been in place and so one is made as a result. This can be seen in </w:t>
      </w:r>
      <w:r w:rsidR="00D04E43" w:rsidRPr="00023351">
        <w:rPr>
          <w:rFonts w:cstheme="minorHAnsi"/>
          <w:bCs/>
          <w:sz w:val="24"/>
          <w:szCs w:val="24"/>
        </w:rPr>
        <w:t>Regina v. Oxfordshire County Council and Others Ex Parte Sunningwell Parish Council</w:t>
      </w:r>
      <w:r w:rsidR="00D04E43" w:rsidRPr="00023351">
        <w:rPr>
          <w:rFonts w:cstheme="minorHAnsi"/>
          <w:bCs/>
          <w:sz w:val="24"/>
          <w:szCs w:val="24"/>
        </w:rPr>
        <w:t xml:space="preserve"> 1999 in this case the appeal was allowed as a result of the amount of time that the land was used as a village green removing the council’s ability to say otherwise</w:t>
      </w:r>
      <w:r w:rsidR="009B014E" w:rsidRPr="00023351">
        <w:rPr>
          <w:rFonts w:cstheme="minorHAnsi"/>
          <w:bCs/>
          <w:sz w:val="24"/>
          <w:szCs w:val="24"/>
        </w:rPr>
        <w:t xml:space="preserve">. It can also be seen in the case of </w:t>
      </w:r>
      <w:r w:rsidR="009B014E" w:rsidRPr="00023351">
        <w:rPr>
          <w:rFonts w:cstheme="minorHAnsi"/>
          <w:bCs/>
          <w:sz w:val="24"/>
          <w:szCs w:val="24"/>
        </w:rPr>
        <w:t>Mills v Silver 1991</w:t>
      </w:r>
      <w:r w:rsidR="009B014E" w:rsidRPr="00023351">
        <w:rPr>
          <w:rFonts w:cstheme="minorHAnsi"/>
          <w:bCs/>
          <w:sz w:val="24"/>
          <w:szCs w:val="24"/>
        </w:rPr>
        <w:t xml:space="preserve"> where the limitation of </w:t>
      </w:r>
      <w:r w:rsidR="009B014E" w:rsidRPr="00023351">
        <w:rPr>
          <w:rFonts w:cstheme="minorHAnsi"/>
          <w:bCs/>
          <w:sz w:val="24"/>
          <w:szCs w:val="24"/>
        </w:rPr>
        <w:lastRenderedPageBreak/>
        <w:t xml:space="preserve">the rights that was afforded, it was made clears that there was the right for Silver to repair the </w:t>
      </w:r>
      <w:r w:rsidR="0022457D" w:rsidRPr="00023351">
        <w:rPr>
          <w:rFonts w:cstheme="minorHAnsi"/>
          <w:bCs/>
          <w:sz w:val="24"/>
          <w:szCs w:val="24"/>
        </w:rPr>
        <w:t>lane,</w:t>
      </w:r>
      <w:r w:rsidR="009B014E" w:rsidRPr="00023351">
        <w:rPr>
          <w:rFonts w:cstheme="minorHAnsi"/>
          <w:bCs/>
          <w:sz w:val="24"/>
          <w:szCs w:val="24"/>
        </w:rPr>
        <w:t xml:space="preserve"> but it did not extend to improving it and that was considered the overstep in the easement.</w:t>
      </w:r>
      <w:r w:rsidR="0022457D" w:rsidRPr="00023351">
        <w:rPr>
          <w:rFonts w:cstheme="minorHAnsi"/>
          <w:bCs/>
          <w:sz w:val="24"/>
          <w:szCs w:val="24"/>
        </w:rPr>
        <w:t xml:space="preserve"> The is all under the Prescription Act 1832</w:t>
      </w:r>
      <w:r w:rsidR="00F83724">
        <w:rPr>
          <w:rFonts w:cstheme="minorHAnsi"/>
          <w:bCs/>
          <w:sz w:val="24"/>
          <w:szCs w:val="24"/>
        </w:rPr>
        <w:t xml:space="preserve"> </w:t>
      </w:r>
      <w:sdt>
        <w:sdtPr>
          <w:rPr>
            <w:rFonts w:cstheme="minorHAnsi"/>
            <w:bCs/>
            <w:sz w:val="24"/>
            <w:szCs w:val="24"/>
          </w:rPr>
          <w:id w:val="-906601414"/>
          <w:citation/>
        </w:sdtPr>
        <w:sdtContent>
          <w:r w:rsidR="00F83724">
            <w:rPr>
              <w:rFonts w:cstheme="minorHAnsi"/>
              <w:bCs/>
              <w:sz w:val="24"/>
              <w:szCs w:val="24"/>
            </w:rPr>
            <w:fldChar w:fldCharType="begin"/>
          </w:r>
          <w:r w:rsidR="00F83724">
            <w:rPr>
              <w:rFonts w:cstheme="minorHAnsi"/>
              <w:bCs/>
              <w:sz w:val="24"/>
              <w:szCs w:val="24"/>
            </w:rPr>
            <w:instrText xml:space="preserve"> CITATION Gra11 \l 2057 </w:instrText>
          </w:r>
          <w:r w:rsidR="00F83724">
            <w:rPr>
              <w:rFonts w:cstheme="minorHAnsi"/>
              <w:bCs/>
              <w:sz w:val="24"/>
              <w:szCs w:val="24"/>
            </w:rPr>
            <w:fldChar w:fldCharType="separate"/>
          </w:r>
          <w:r w:rsidR="00F83724" w:rsidRPr="00F83724">
            <w:rPr>
              <w:rFonts w:cstheme="minorHAnsi"/>
              <w:noProof/>
              <w:sz w:val="24"/>
              <w:szCs w:val="24"/>
            </w:rPr>
            <w:t>(Gray &amp; Gray, 2011)</w:t>
          </w:r>
          <w:r w:rsidR="00F83724">
            <w:rPr>
              <w:rFonts w:cstheme="minorHAnsi"/>
              <w:bCs/>
              <w:sz w:val="24"/>
              <w:szCs w:val="24"/>
            </w:rPr>
            <w:fldChar w:fldCharType="end"/>
          </w:r>
        </w:sdtContent>
      </w:sdt>
    </w:p>
    <w:p w14:paraId="331A92B0" w14:textId="2C679001" w:rsidR="007832D2" w:rsidRPr="00023351" w:rsidRDefault="00A54C00" w:rsidP="00F83724">
      <w:pPr>
        <w:spacing w:line="480" w:lineRule="auto"/>
        <w:rPr>
          <w:rFonts w:cstheme="minorHAnsi"/>
          <w:bCs/>
          <w:sz w:val="24"/>
          <w:szCs w:val="24"/>
        </w:rPr>
      </w:pPr>
      <w:r w:rsidRPr="00023351">
        <w:rPr>
          <w:rFonts w:cstheme="minorHAnsi"/>
          <w:bCs/>
          <w:sz w:val="24"/>
          <w:szCs w:val="24"/>
        </w:rPr>
        <w:t xml:space="preserve">Finally, an easement </w:t>
      </w:r>
      <w:r w:rsidR="00023351" w:rsidRPr="00023351">
        <w:rPr>
          <w:rFonts w:cstheme="minorHAnsi"/>
          <w:bCs/>
          <w:sz w:val="24"/>
          <w:szCs w:val="24"/>
        </w:rPr>
        <w:t>can</w:t>
      </w:r>
      <w:r w:rsidRPr="00023351">
        <w:rPr>
          <w:rFonts w:cstheme="minorHAnsi"/>
          <w:bCs/>
          <w:sz w:val="24"/>
          <w:szCs w:val="24"/>
        </w:rPr>
        <w:t xml:space="preserve"> come about without the direct intention of forming a</w:t>
      </w:r>
      <w:r w:rsidR="00023351" w:rsidRPr="00023351">
        <w:rPr>
          <w:rFonts w:cstheme="minorHAnsi"/>
          <w:bCs/>
          <w:sz w:val="24"/>
          <w:szCs w:val="24"/>
        </w:rPr>
        <w:t>n</w:t>
      </w:r>
      <w:r w:rsidRPr="00023351">
        <w:rPr>
          <w:rFonts w:cstheme="minorHAnsi"/>
          <w:bCs/>
          <w:sz w:val="24"/>
          <w:szCs w:val="24"/>
        </w:rPr>
        <w:t xml:space="preserve"> </w:t>
      </w:r>
      <w:r w:rsidR="003E7D01" w:rsidRPr="00023351">
        <w:rPr>
          <w:rFonts w:cstheme="minorHAnsi"/>
          <w:bCs/>
          <w:sz w:val="24"/>
          <w:szCs w:val="24"/>
        </w:rPr>
        <w:t>easement</w:t>
      </w:r>
      <w:r w:rsidRPr="00023351">
        <w:rPr>
          <w:rFonts w:cstheme="minorHAnsi"/>
          <w:bCs/>
          <w:sz w:val="24"/>
          <w:szCs w:val="24"/>
        </w:rPr>
        <w:t xml:space="preserve">. The only requirement of it would be to see if there was any intent to prevent such an act </w:t>
      </w:r>
      <w:r w:rsidR="003E7D01" w:rsidRPr="00023351">
        <w:rPr>
          <w:rFonts w:cstheme="minorHAnsi"/>
          <w:bCs/>
          <w:sz w:val="24"/>
          <w:szCs w:val="24"/>
        </w:rPr>
        <w:t>accruing.</w:t>
      </w:r>
      <w:r w:rsidRPr="00023351">
        <w:rPr>
          <w:rFonts w:cstheme="minorHAnsi"/>
          <w:bCs/>
          <w:sz w:val="24"/>
          <w:szCs w:val="24"/>
        </w:rPr>
        <w:t xml:space="preserve"> this would mean that it would be acting proactively rather than reactively in the creation of </w:t>
      </w:r>
      <w:r w:rsidR="003E7D01" w:rsidRPr="00023351">
        <w:rPr>
          <w:rFonts w:cstheme="minorHAnsi"/>
          <w:bCs/>
          <w:sz w:val="24"/>
          <w:szCs w:val="24"/>
        </w:rPr>
        <w:t>easements</w:t>
      </w:r>
      <w:r w:rsidRPr="00023351">
        <w:rPr>
          <w:rFonts w:cstheme="minorHAnsi"/>
          <w:bCs/>
          <w:sz w:val="24"/>
          <w:szCs w:val="24"/>
        </w:rPr>
        <w:t xml:space="preserve">. And in doing so it </w:t>
      </w:r>
      <w:r w:rsidR="003E7D01" w:rsidRPr="00023351">
        <w:rPr>
          <w:rFonts w:cstheme="minorHAnsi"/>
          <w:bCs/>
          <w:sz w:val="24"/>
          <w:szCs w:val="24"/>
        </w:rPr>
        <w:t>removes</w:t>
      </w:r>
      <w:r w:rsidRPr="00023351">
        <w:rPr>
          <w:rFonts w:cstheme="minorHAnsi"/>
          <w:bCs/>
          <w:sz w:val="24"/>
          <w:szCs w:val="24"/>
        </w:rPr>
        <w:t xml:space="preserve"> the smaller more difficult to define </w:t>
      </w:r>
      <w:r w:rsidR="003E7D01" w:rsidRPr="00023351">
        <w:rPr>
          <w:rFonts w:cstheme="minorHAnsi"/>
          <w:bCs/>
          <w:sz w:val="24"/>
          <w:szCs w:val="24"/>
        </w:rPr>
        <w:t xml:space="preserve">non easement agreements that would come up time-to-time. This comes under the Law of </w:t>
      </w:r>
      <w:r w:rsidR="0052232D" w:rsidRPr="00023351">
        <w:rPr>
          <w:rFonts w:cstheme="minorHAnsi"/>
          <w:bCs/>
          <w:sz w:val="24"/>
          <w:szCs w:val="24"/>
        </w:rPr>
        <w:t>Property</w:t>
      </w:r>
      <w:r w:rsidR="003E7D01" w:rsidRPr="00023351">
        <w:rPr>
          <w:rFonts w:cstheme="minorHAnsi"/>
          <w:bCs/>
          <w:sz w:val="24"/>
          <w:szCs w:val="24"/>
        </w:rPr>
        <w:t xml:space="preserve"> Act 1925 s62. An example of this would be in the case of </w:t>
      </w:r>
      <w:r w:rsidR="003E7D01" w:rsidRPr="00023351">
        <w:rPr>
          <w:rFonts w:cstheme="minorHAnsi"/>
          <w:bCs/>
          <w:sz w:val="24"/>
          <w:szCs w:val="24"/>
        </w:rPr>
        <w:t>International Tea Stores Co v Hobbs</w:t>
      </w:r>
      <w:r w:rsidR="003E7D01" w:rsidRPr="00023351">
        <w:rPr>
          <w:rFonts w:cstheme="minorHAnsi"/>
          <w:bCs/>
          <w:sz w:val="24"/>
          <w:szCs w:val="24"/>
        </w:rPr>
        <w:t xml:space="preserve"> 1903 where the </w:t>
      </w:r>
      <w:r w:rsidR="0052232D" w:rsidRPr="00023351">
        <w:rPr>
          <w:rFonts w:cstheme="minorHAnsi"/>
          <w:bCs/>
          <w:sz w:val="24"/>
          <w:szCs w:val="24"/>
        </w:rPr>
        <w:t>access</w:t>
      </w:r>
      <w:r w:rsidR="003E7D01" w:rsidRPr="00023351">
        <w:rPr>
          <w:rFonts w:cstheme="minorHAnsi"/>
          <w:bCs/>
          <w:sz w:val="24"/>
          <w:szCs w:val="24"/>
        </w:rPr>
        <w:t xml:space="preserve"> to land was through the land of another, this was done on the </w:t>
      </w:r>
      <w:r w:rsidR="0052232D" w:rsidRPr="00023351">
        <w:rPr>
          <w:rFonts w:cstheme="minorHAnsi"/>
          <w:bCs/>
          <w:sz w:val="24"/>
          <w:szCs w:val="24"/>
        </w:rPr>
        <w:t>kindness</w:t>
      </w:r>
      <w:r w:rsidR="003E7D01" w:rsidRPr="00023351">
        <w:rPr>
          <w:rFonts w:cstheme="minorHAnsi"/>
          <w:bCs/>
          <w:sz w:val="24"/>
          <w:szCs w:val="24"/>
        </w:rPr>
        <w:t xml:space="preserve"> of the owner of the </w:t>
      </w:r>
      <w:r w:rsidR="0052232D" w:rsidRPr="00023351">
        <w:rPr>
          <w:rFonts w:cstheme="minorHAnsi"/>
          <w:bCs/>
          <w:sz w:val="24"/>
          <w:szCs w:val="24"/>
        </w:rPr>
        <w:t>dominant</w:t>
      </w:r>
      <w:r w:rsidR="003E7D01" w:rsidRPr="00023351">
        <w:rPr>
          <w:rFonts w:cstheme="minorHAnsi"/>
          <w:bCs/>
          <w:sz w:val="24"/>
          <w:szCs w:val="24"/>
        </w:rPr>
        <w:t xml:space="preserve"> land </w:t>
      </w:r>
      <w:r w:rsidR="0052232D" w:rsidRPr="00023351">
        <w:rPr>
          <w:rFonts w:cstheme="minorHAnsi"/>
          <w:bCs/>
          <w:sz w:val="24"/>
          <w:szCs w:val="24"/>
        </w:rPr>
        <w:t>and</w:t>
      </w:r>
      <w:r w:rsidR="003E7D01" w:rsidRPr="00023351">
        <w:rPr>
          <w:rFonts w:cstheme="minorHAnsi"/>
          <w:bCs/>
          <w:sz w:val="24"/>
          <w:szCs w:val="24"/>
        </w:rPr>
        <w:t xml:space="preserve"> so would not be a trust. With the </w:t>
      </w:r>
      <w:r w:rsidR="0052232D" w:rsidRPr="00023351">
        <w:rPr>
          <w:rFonts w:cstheme="minorHAnsi"/>
          <w:bCs/>
          <w:sz w:val="24"/>
          <w:szCs w:val="24"/>
        </w:rPr>
        <w:t>printable</w:t>
      </w:r>
      <w:r w:rsidR="003E7D01" w:rsidRPr="00023351">
        <w:rPr>
          <w:rFonts w:cstheme="minorHAnsi"/>
          <w:bCs/>
          <w:sz w:val="24"/>
          <w:szCs w:val="24"/>
        </w:rPr>
        <w:t xml:space="preserve"> brought on with the law of Property Act1925 s62 it means </w:t>
      </w:r>
      <w:r w:rsidR="0052232D" w:rsidRPr="00023351">
        <w:rPr>
          <w:rFonts w:cstheme="minorHAnsi"/>
          <w:bCs/>
          <w:sz w:val="24"/>
          <w:szCs w:val="24"/>
        </w:rPr>
        <w:t xml:space="preserve">that they will both have a wright to the property. As well as that the fact that an easement like relationship can form without the rights of the easement would be detrimental to all parties involved therefore the court made a statute to ensure that the court will not have to micromanage claims such as would be brought up with this and have a clear and </w:t>
      </w:r>
      <w:r w:rsidR="0052232D" w:rsidRPr="00023351">
        <w:rPr>
          <w:rFonts w:cstheme="minorHAnsi"/>
          <w:bCs/>
          <w:sz w:val="24"/>
          <w:szCs w:val="24"/>
        </w:rPr>
        <w:t>concise</w:t>
      </w:r>
      <w:r w:rsidR="0052232D" w:rsidRPr="00023351">
        <w:rPr>
          <w:rFonts w:cstheme="minorHAnsi"/>
          <w:bCs/>
          <w:sz w:val="24"/>
          <w:szCs w:val="24"/>
        </w:rPr>
        <w:t xml:space="preserve"> course of action that could be taken as having a good understanding of </w:t>
      </w:r>
      <w:r w:rsidR="00635CF8" w:rsidRPr="00023351">
        <w:rPr>
          <w:rFonts w:cstheme="minorHAnsi"/>
          <w:bCs/>
          <w:sz w:val="24"/>
          <w:szCs w:val="24"/>
        </w:rPr>
        <w:t>outcomes in court is important before taking any case forwards as a result of the costs that are involved</w:t>
      </w:r>
      <w:r w:rsidR="0052232D" w:rsidRPr="00023351">
        <w:rPr>
          <w:rFonts w:cstheme="minorHAnsi"/>
          <w:bCs/>
          <w:sz w:val="24"/>
          <w:szCs w:val="24"/>
        </w:rPr>
        <w:t>.</w:t>
      </w:r>
      <w:r w:rsidR="00F83724">
        <w:rPr>
          <w:rFonts w:cstheme="minorHAnsi"/>
          <w:bCs/>
          <w:sz w:val="24"/>
          <w:szCs w:val="24"/>
        </w:rPr>
        <w:t xml:space="preserve"> </w:t>
      </w:r>
      <w:sdt>
        <w:sdtPr>
          <w:rPr>
            <w:rFonts w:cstheme="minorHAnsi"/>
            <w:bCs/>
            <w:sz w:val="24"/>
            <w:szCs w:val="24"/>
          </w:rPr>
          <w:id w:val="-1173715928"/>
          <w:citation/>
        </w:sdtPr>
        <w:sdtContent>
          <w:r w:rsidR="00F83724">
            <w:rPr>
              <w:rFonts w:cstheme="minorHAnsi"/>
              <w:bCs/>
              <w:sz w:val="24"/>
              <w:szCs w:val="24"/>
            </w:rPr>
            <w:fldChar w:fldCharType="begin"/>
          </w:r>
          <w:r w:rsidR="00F83724">
            <w:rPr>
              <w:rFonts w:cstheme="minorHAnsi"/>
              <w:bCs/>
              <w:sz w:val="24"/>
              <w:szCs w:val="24"/>
            </w:rPr>
            <w:instrText xml:space="preserve"> CITATION Dud21 \l 2057 </w:instrText>
          </w:r>
          <w:r w:rsidR="00F83724">
            <w:rPr>
              <w:rFonts w:cstheme="minorHAnsi"/>
              <w:bCs/>
              <w:sz w:val="24"/>
              <w:szCs w:val="24"/>
            </w:rPr>
            <w:fldChar w:fldCharType="separate"/>
          </w:r>
          <w:r w:rsidR="00F83724" w:rsidRPr="00F83724">
            <w:rPr>
              <w:rFonts w:cstheme="minorHAnsi"/>
              <w:noProof/>
              <w:sz w:val="24"/>
              <w:szCs w:val="24"/>
            </w:rPr>
            <w:t>(Duddington, 2021)</w:t>
          </w:r>
          <w:r w:rsidR="00F83724">
            <w:rPr>
              <w:rFonts w:cstheme="minorHAnsi"/>
              <w:bCs/>
              <w:sz w:val="24"/>
              <w:szCs w:val="24"/>
            </w:rPr>
            <w:fldChar w:fldCharType="end"/>
          </w:r>
        </w:sdtContent>
      </w:sdt>
    </w:p>
    <w:p w14:paraId="5DACAE42" w14:textId="77777777" w:rsidR="00A54C00" w:rsidRDefault="00A54C00">
      <w:pPr>
        <w:rPr>
          <w:rFonts w:cstheme="minorHAnsi"/>
          <w:bCs/>
          <w:sz w:val="24"/>
          <w:szCs w:val="24"/>
        </w:rPr>
      </w:pPr>
    </w:p>
    <w:p w14:paraId="78BDB184" w14:textId="204FFF21" w:rsidR="002E4E76" w:rsidRDefault="002E4E76">
      <w:pPr>
        <w:rPr>
          <w:rFonts w:cstheme="minorHAnsi"/>
          <w:bCs/>
          <w:sz w:val="24"/>
          <w:szCs w:val="24"/>
        </w:rPr>
      </w:pPr>
      <w:r>
        <w:rPr>
          <w:rFonts w:cstheme="minorHAnsi"/>
          <w:bCs/>
          <w:sz w:val="24"/>
          <w:szCs w:val="24"/>
        </w:rPr>
        <w:br w:type="page"/>
      </w:r>
    </w:p>
    <w:p w14:paraId="37FB574D" w14:textId="77777777" w:rsidR="002E4E76" w:rsidRPr="00F83724" w:rsidRDefault="002E4E76">
      <w:pPr>
        <w:rPr>
          <w:rStyle w:val="Heading1Char"/>
          <w:b/>
        </w:rPr>
      </w:pPr>
    </w:p>
    <w:p w14:paraId="0C195C32" w14:textId="4C1F504A" w:rsidR="00856423" w:rsidRPr="00F83724" w:rsidRDefault="00CE0DBE" w:rsidP="002B6E34">
      <w:pPr>
        <w:rPr>
          <w:rStyle w:val="Heading1Char"/>
          <w:b/>
        </w:rPr>
      </w:pPr>
      <w:r w:rsidRPr="00F83724">
        <w:rPr>
          <w:rStyle w:val="Heading1Char"/>
          <w:b/>
        </w:rPr>
        <w:t>Cases</w:t>
      </w:r>
    </w:p>
    <w:p w14:paraId="56398EFF" w14:textId="360730FB" w:rsidR="00023351" w:rsidRDefault="00023351" w:rsidP="00F83724">
      <w:pPr>
        <w:spacing w:line="480" w:lineRule="auto"/>
        <w:rPr>
          <w:rStyle w:val="Strong"/>
          <w:rFonts w:ascii="Segoe UI" w:hAnsi="Segoe UI" w:cs="Segoe UI"/>
          <w:color w:val="212529"/>
        </w:rPr>
      </w:pPr>
      <w:r w:rsidRPr="00435803">
        <w:rPr>
          <w:rStyle w:val="Strong"/>
          <w:rFonts w:ascii="Segoe UI" w:hAnsi="Segoe UI" w:cs="Segoe UI"/>
          <w:color w:val="212529"/>
        </w:rPr>
        <w:t xml:space="preserve">Wall v Collins [2007] EWCA </w:t>
      </w:r>
      <w:proofErr w:type="spellStart"/>
      <w:r w:rsidRPr="00435803">
        <w:rPr>
          <w:rStyle w:val="Strong"/>
          <w:rFonts w:ascii="Segoe UI" w:hAnsi="Segoe UI" w:cs="Segoe UI"/>
          <w:color w:val="212529"/>
        </w:rPr>
        <w:t>Civ</w:t>
      </w:r>
      <w:proofErr w:type="spellEnd"/>
      <w:r w:rsidRPr="00435803">
        <w:rPr>
          <w:rStyle w:val="Strong"/>
          <w:rFonts w:ascii="Segoe UI" w:hAnsi="Segoe UI" w:cs="Segoe UI"/>
          <w:color w:val="212529"/>
        </w:rPr>
        <w:t xml:space="preserve"> 444</w:t>
      </w:r>
    </w:p>
    <w:p w14:paraId="4CEEE36D" w14:textId="0397A910" w:rsidR="000F3AA3" w:rsidRPr="00435803" w:rsidRDefault="000F3AA3" w:rsidP="00F83724">
      <w:pPr>
        <w:spacing w:line="480" w:lineRule="auto"/>
        <w:rPr>
          <w:rStyle w:val="Strong"/>
          <w:rFonts w:ascii="Segoe UI" w:hAnsi="Segoe UI" w:cs="Segoe UI"/>
          <w:color w:val="212529"/>
        </w:rPr>
      </w:pPr>
      <w:r>
        <w:rPr>
          <w:rStyle w:val="Strong"/>
          <w:rFonts w:ascii="Segoe UI" w:hAnsi="Segoe UI" w:cs="Segoe UI"/>
          <w:color w:val="212529"/>
          <w:shd w:val="clear" w:color="auto" w:fill="FFFFFF"/>
        </w:rPr>
        <w:t>Moncrieff v Jamieson [2007] UKHL 42</w:t>
      </w:r>
    </w:p>
    <w:p w14:paraId="180327EC" w14:textId="77777777" w:rsidR="00023351" w:rsidRPr="00435803" w:rsidRDefault="00023351" w:rsidP="00F83724">
      <w:pPr>
        <w:spacing w:line="480" w:lineRule="auto"/>
        <w:rPr>
          <w:rStyle w:val="Strong"/>
          <w:rFonts w:ascii="Segoe UI" w:hAnsi="Segoe UI" w:cs="Segoe UI"/>
          <w:color w:val="212529"/>
        </w:rPr>
      </w:pPr>
      <w:r>
        <w:rPr>
          <w:rStyle w:val="Strong"/>
          <w:rFonts w:ascii="Segoe UI" w:hAnsi="Segoe UI" w:cs="Segoe UI"/>
          <w:color w:val="212529"/>
          <w:shd w:val="clear" w:color="auto" w:fill="FFFFFF"/>
        </w:rPr>
        <w:t xml:space="preserve">Peckham v </w:t>
      </w:r>
      <w:r w:rsidRPr="00435803">
        <w:rPr>
          <w:rStyle w:val="Strong"/>
          <w:rFonts w:ascii="Segoe UI" w:hAnsi="Segoe UI" w:cs="Segoe UI"/>
          <w:color w:val="212529"/>
        </w:rPr>
        <w:t>Ellison [2000] 79 P &amp; CR 276</w:t>
      </w:r>
    </w:p>
    <w:p w14:paraId="038B7479" w14:textId="5504E523" w:rsidR="00023351" w:rsidRDefault="00023351" w:rsidP="00F83724">
      <w:pPr>
        <w:spacing w:line="480" w:lineRule="auto"/>
        <w:rPr>
          <w:rStyle w:val="Strong"/>
          <w:rFonts w:ascii="Segoe UI" w:hAnsi="Segoe UI" w:cs="Segoe UI"/>
          <w:color w:val="212529"/>
        </w:rPr>
      </w:pPr>
      <w:r w:rsidRPr="00435803">
        <w:rPr>
          <w:rStyle w:val="Strong"/>
          <w:rFonts w:ascii="Segoe UI" w:hAnsi="Segoe UI" w:cs="Segoe UI"/>
          <w:bCs w:val="0"/>
          <w:color w:val="212529"/>
          <w:shd w:val="clear" w:color="auto" w:fill="FFFFFF"/>
        </w:rPr>
        <w:t>Regina v. Oxfordshire County Council and Others Ex Parte Sunningwell Parish Council</w:t>
      </w:r>
      <w:r w:rsidRPr="00435803">
        <w:rPr>
          <w:rStyle w:val="Strong"/>
          <w:rFonts w:ascii="Segoe UI" w:hAnsi="Segoe UI" w:cs="Segoe UI"/>
          <w:color w:val="212529"/>
        </w:rPr>
        <w:t xml:space="preserve"> [1999] UKHL 28</w:t>
      </w:r>
    </w:p>
    <w:p w14:paraId="5CCE147C" w14:textId="77777777" w:rsidR="000F3AA3" w:rsidRDefault="000F3AA3" w:rsidP="00F83724">
      <w:pPr>
        <w:spacing w:line="480" w:lineRule="auto"/>
        <w:rPr>
          <w:rStyle w:val="Strong"/>
          <w:rFonts w:ascii="Segoe UI" w:hAnsi="Segoe UI" w:cs="Segoe UI"/>
          <w:color w:val="212529"/>
        </w:rPr>
      </w:pPr>
      <w:r w:rsidRPr="00435803">
        <w:rPr>
          <w:rStyle w:val="Strong"/>
          <w:rFonts w:ascii="Segoe UI" w:hAnsi="Segoe UI" w:cs="Segoe UI"/>
          <w:color w:val="212529"/>
        </w:rPr>
        <w:t>Hunter v Canary Wharf</w:t>
      </w:r>
      <w:r w:rsidRPr="00635CF8">
        <w:rPr>
          <w:rStyle w:val="Strong"/>
          <w:rFonts w:ascii="Segoe UI" w:hAnsi="Segoe UI" w:cs="Segoe UI"/>
          <w:color w:val="212529"/>
        </w:rPr>
        <w:t> [1998] 1 WLR 434</w:t>
      </w:r>
    </w:p>
    <w:p w14:paraId="70EA8E58" w14:textId="07FFD000" w:rsidR="00023351" w:rsidRDefault="00023351"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Duffy v Lamb [1997] 75 P &amp; CR 364, CA</w:t>
      </w:r>
    </w:p>
    <w:p w14:paraId="12697BAE" w14:textId="2029947C" w:rsidR="00023351" w:rsidRPr="00023351" w:rsidRDefault="00023351" w:rsidP="00F83724">
      <w:pPr>
        <w:spacing w:line="480" w:lineRule="auto"/>
        <w:rPr>
          <w:rFonts w:ascii="Segoe UI" w:hAnsi="Segoe UI" w:cs="Segoe UI"/>
          <w:b/>
          <w:bCs/>
          <w:color w:val="212529"/>
          <w:shd w:val="clear" w:color="auto" w:fill="FFFFFF"/>
        </w:rPr>
      </w:pPr>
      <w:r>
        <w:rPr>
          <w:rStyle w:val="Strong"/>
          <w:rFonts w:ascii="Segoe UI" w:hAnsi="Segoe UI" w:cs="Segoe UI"/>
          <w:color w:val="212529"/>
          <w:shd w:val="clear" w:color="auto" w:fill="FFFFFF"/>
        </w:rPr>
        <w:t>London &amp; Blenheim Estates Ltd v Ladbroke Retail Parks Ltd [1993] 4 All ER 157</w:t>
      </w:r>
    </w:p>
    <w:p w14:paraId="0DBEF44B" w14:textId="7B5F39CF" w:rsidR="00023351" w:rsidRDefault="00023351"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Mills v Silver [1991] Ch 271, CA</w:t>
      </w:r>
    </w:p>
    <w:p w14:paraId="2F0245CA" w14:textId="0E00E8E3" w:rsidR="000F3AA3" w:rsidRDefault="000F3AA3" w:rsidP="00F83724">
      <w:pPr>
        <w:spacing w:line="480" w:lineRule="auto"/>
        <w:rPr>
          <w:rStyle w:val="Strong"/>
          <w:rFonts w:ascii="Segoe UI" w:hAnsi="Segoe UI" w:cs="Segoe UI"/>
          <w:color w:val="212529"/>
        </w:rPr>
      </w:pPr>
      <w:r w:rsidRPr="00435803">
        <w:rPr>
          <w:rStyle w:val="Strong"/>
          <w:rFonts w:ascii="Segoe UI" w:hAnsi="Segoe UI" w:cs="Segoe UI"/>
          <w:i/>
          <w:iCs/>
          <w:color w:val="212529"/>
        </w:rPr>
        <w:t>Miller v Jackson</w:t>
      </w:r>
      <w:r w:rsidRPr="00435803">
        <w:rPr>
          <w:rStyle w:val="Strong"/>
          <w:rFonts w:ascii="Segoe UI" w:hAnsi="Segoe UI" w:cs="Segoe UI"/>
          <w:color w:val="212529"/>
        </w:rPr>
        <w:t> [1977]3 WLR 20</w:t>
      </w:r>
    </w:p>
    <w:p w14:paraId="2B549D9B" w14:textId="77777777" w:rsidR="000F3AA3" w:rsidRDefault="000F3AA3"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Liverpool City Council v Irwin [1977] AC 239</w:t>
      </w:r>
    </w:p>
    <w:p w14:paraId="463890A0" w14:textId="65CFD070" w:rsidR="00023351" w:rsidRDefault="00023351"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B</w:t>
      </w:r>
      <w:r w:rsidRPr="00614C9C">
        <w:rPr>
          <w:rStyle w:val="Strong"/>
          <w:rFonts w:ascii="Segoe UI" w:hAnsi="Segoe UI" w:cs="Segoe UI"/>
          <w:color w:val="212529"/>
          <w:shd w:val="clear" w:color="auto" w:fill="FFFFFF"/>
        </w:rPr>
        <w:t>anstead Downs Golf Club v Customs and Excise Commissioners [1974] VATTR 219</w:t>
      </w:r>
    </w:p>
    <w:p w14:paraId="761F7BC3" w14:textId="43E9F2E2" w:rsidR="00023351" w:rsidRDefault="00023351" w:rsidP="00F83724">
      <w:pPr>
        <w:spacing w:line="480" w:lineRule="auto"/>
        <w:rPr>
          <w:rStyle w:val="Strong"/>
          <w:rFonts w:ascii="Segoe UI" w:hAnsi="Segoe UI" w:cs="Segoe UI"/>
          <w:bCs w:val="0"/>
          <w:color w:val="212529"/>
          <w:shd w:val="clear" w:color="auto" w:fill="FFFFFF"/>
        </w:rPr>
      </w:pPr>
      <w:r w:rsidRPr="00016647">
        <w:rPr>
          <w:rStyle w:val="Strong"/>
          <w:rFonts w:ascii="Segoe UI" w:hAnsi="Segoe UI" w:cs="Segoe UI"/>
          <w:bCs w:val="0"/>
          <w:color w:val="212529"/>
          <w:shd w:val="clear" w:color="auto" w:fill="FFFFFF"/>
        </w:rPr>
        <w:t>Re Ellenborough Park [1956] Ch 13</w:t>
      </w:r>
    </w:p>
    <w:p w14:paraId="0516706C" w14:textId="77777777" w:rsidR="000F3AA3" w:rsidRDefault="000F3AA3"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 xml:space="preserve">Copeland v </w:t>
      </w:r>
      <w:proofErr w:type="spellStart"/>
      <w:r>
        <w:rPr>
          <w:rStyle w:val="Strong"/>
          <w:rFonts w:ascii="Segoe UI" w:hAnsi="Segoe UI" w:cs="Segoe UI"/>
          <w:color w:val="212529"/>
          <w:shd w:val="clear" w:color="auto" w:fill="FFFFFF"/>
        </w:rPr>
        <w:t>Greenhalf</w:t>
      </w:r>
      <w:proofErr w:type="spellEnd"/>
      <w:r>
        <w:rPr>
          <w:rStyle w:val="Strong"/>
          <w:rFonts w:ascii="Segoe UI" w:hAnsi="Segoe UI" w:cs="Segoe UI"/>
          <w:color w:val="212529"/>
          <w:shd w:val="clear" w:color="auto" w:fill="FFFFFF"/>
        </w:rPr>
        <w:t xml:space="preserve"> [1952] Ch 488, </w:t>
      </w:r>
      <w:proofErr w:type="spellStart"/>
      <w:r>
        <w:rPr>
          <w:rStyle w:val="Strong"/>
          <w:rFonts w:ascii="Segoe UI" w:hAnsi="Segoe UI" w:cs="Segoe UI"/>
          <w:color w:val="212529"/>
          <w:shd w:val="clear" w:color="auto" w:fill="FFFFFF"/>
        </w:rPr>
        <w:t>ChD</w:t>
      </w:r>
      <w:proofErr w:type="spellEnd"/>
    </w:p>
    <w:p w14:paraId="24C1DA28" w14:textId="77777777" w:rsidR="00023351" w:rsidRPr="00635CF8" w:rsidRDefault="00023351" w:rsidP="00F83724">
      <w:pPr>
        <w:spacing w:line="480" w:lineRule="auto"/>
        <w:rPr>
          <w:rStyle w:val="Strong"/>
          <w:rFonts w:ascii="Segoe UI" w:hAnsi="Segoe UI" w:cs="Segoe UI"/>
          <w:color w:val="212529"/>
        </w:rPr>
      </w:pPr>
      <w:r w:rsidRPr="00635CF8">
        <w:rPr>
          <w:rStyle w:val="Strong"/>
          <w:rFonts w:ascii="Segoe UI" w:hAnsi="Segoe UI" w:cs="Segoe UI"/>
          <w:i/>
          <w:iCs/>
          <w:color w:val="212529"/>
        </w:rPr>
        <w:t>Harris v Flower</w:t>
      </w:r>
      <w:r w:rsidRPr="00635CF8">
        <w:rPr>
          <w:rStyle w:val="Strong"/>
          <w:rFonts w:ascii="Segoe UI" w:hAnsi="Segoe UI" w:cs="Segoe UI"/>
          <w:color w:val="212529"/>
        </w:rPr>
        <w:t> </w:t>
      </w:r>
      <w:r>
        <w:rPr>
          <w:rStyle w:val="Strong"/>
          <w:rFonts w:ascii="Segoe UI" w:hAnsi="Segoe UI" w:cs="Segoe UI"/>
          <w:color w:val="212529"/>
        </w:rPr>
        <w:t>[</w:t>
      </w:r>
      <w:r w:rsidRPr="00635CF8">
        <w:rPr>
          <w:rStyle w:val="Strong"/>
          <w:rFonts w:ascii="Segoe UI" w:hAnsi="Segoe UI" w:cs="Segoe UI"/>
          <w:color w:val="212529"/>
        </w:rPr>
        <w:t>1904</w:t>
      </w:r>
      <w:r>
        <w:rPr>
          <w:rStyle w:val="Strong"/>
          <w:rFonts w:ascii="Segoe UI" w:hAnsi="Segoe UI" w:cs="Segoe UI"/>
          <w:color w:val="212529"/>
        </w:rPr>
        <w:t>]</w:t>
      </w:r>
      <w:r w:rsidRPr="00635CF8">
        <w:rPr>
          <w:rStyle w:val="Strong"/>
          <w:rFonts w:ascii="Segoe UI" w:hAnsi="Segoe UI" w:cs="Segoe UI"/>
          <w:color w:val="212529"/>
        </w:rPr>
        <w:t xml:space="preserve"> 74 LJ Ch 127</w:t>
      </w:r>
    </w:p>
    <w:p w14:paraId="3A0B5AE4" w14:textId="77777777" w:rsidR="000F3AA3" w:rsidRDefault="000F3AA3" w:rsidP="00F83724">
      <w:pPr>
        <w:spacing w:line="480" w:lineRule="auto"/>
        <w:rPr>
          <w:rStyle w:val="Strong"/>
          <w:rFonts w:ascii="Segoe UI" w:hAnsi="Segoe UI" w:cs="Segoe UI"/>
          <w:color w:val="212529"/>
          <w:shd w:val="clear" w:color="auto" w:fill="FFFFFF"/>
        </w:rPr>
      </w:pPr>
      <w:r>
        <w:rPr>
          <w:rStyle w:val="Strong"/>
          <w:rFonts w:ascii="Segoe UI" w:hAnsi="Segoe UI" w:cs="Segoe UI"/>
          <w:color w:val="212529"/>
          <w:shd w:val="clear" w:color="auto" w:fill="FFFFFF"/>
        </w:rPr>
        <w:t>Sturges v Bridgman [1879] 11 Ch D 852</w:t>
      </w:r>
    </w:p>
    <w:p w14:paraId="73F29DB6" w14:textId="68F4BE0C" w:rsidR="00023351" w:rsidRPr="00635CF8" w:rsidRDefault="00023351" w:rsidP="00F83724">
      <w:pPr>
        <w:spacing w:line="480" w:lineRule="auto"/>
        <w:rPr>
          <w:rStyle w:val="Strong"/>
          <w:rFonts w:ascii="Segoe UI" w:hAnsi="Segoe UI" w:cs="Segoe UI"/>
          <w:bCs w:val="0"/>
          <w:color w:val="212529"/>
          <w:shd w:val="clear" w:color="auto" w:fill="FFFFFF"/>
        </w:rPr>
      </w:pPr>
      <w:r w:rsidRPr="00635CF8">
        <w:rPr>
          <w:rStyle w:val="Strong"/>
          <w:rFonts w:ascii="Segoe UI" w:hAnsi="Segoe UI" w:cs="Segoe UI"/>
          <w:bCs w:val="0"/>
          <w:color w:val="212529"/>
          <w:shd w:val="clear" w:color="auto" w:fill="FFFFFF"/>
        </w:rPr>
        <w:t>Hill v Tupper [1863] 159 ER 51</w:t>
      </w:r>
    </w:p>
    <w:p w14:paraId="673F6DF9" w14:textId="77777777" w:rsidR="00F83724" w:rsidRDefault="00023351" w:rsidP="00F83724">
      <w:pPr>
        <w:spacing w:line="480" w:lineRule="auto"/>
        <w:rPr>
          <w:rStyle w:val="Strong"/>
          <w:rFonts w:ascii="Segoe UI" w:hAnsi="Segoe UI" w:cs="Segoe UI"/>
          <w:color w:val="212529"/>
          <w:shd w:val="clear" w:color="auto" w:fill="FFFFFF"/>
        </w:rPr>
      </w:pPr>
      <w:r w:rsidRPr="002E4E76">
        <w:rPr>
          <w:rStyle w:val="Strong"/>
          <w:rFonts w:ascii="Segoe UI" w:hAnsi="Segoe UI" w:cs="Segoe UI"/>
          <w:color w:val="212529"/>
          <w:shd w:val="clear" w:color="auto" w:fill="FFFFFF"/>
        </w:rPr>
        <w:lastRenderedPageBreak/>
        <w:t xml:space="preserve">Bailey v Stephens </w:t>
      </w:r>
      <w:r>
        <w:rPr>
          <w:rStyle w:val="Strong"/>
          <w:rFonts w:ascii="Segoe UI" w:hAnsi="Segoe UI" w:cs="Segoe UI"/>
          <w:color w:val="212529"/>
          <w:shd w:val="clear" w:color="auto" w:fill="FFFFFF"/>
        </w:rPr>
        <w:t>[</w:t>
      </w:r>
      <w:r w:rsidRPr="002E4E76">
        <w:rPr>
          <w:rStyle w:val="Strong"/>
          <w:rFonts w:ascii="Segoe UI" w:hAnsi="Segoe UI" w:cs="Segoe UI"/>
          <w:color w:val="212529"/>
          <w:shd w:val="clear" w:color="auto" w:fill="FFFFFF"/>
        </w:rPr>
        <w:t>1862</w:t>
      </w:r>
      <w:r>
        <w:rPr>
          <w:rStyle w:val="Strong"/>
          <w:rFonts w:ascii="Segoe UI" w:hAnsi="Segoe UI" w:cs="Segoe UI"/>
          <w:color w:val="212529"/>
          <w:shd w:val="clear" w:color="auto" w:fill="FFFFFF"/>
        </w:rPr>
        <w:t>]</w:t>
      </w:r>
      <w:r w:rsidRPr="002E4E76">
        <w:rPr>
          <w:rStyle w:val="Strong"/>
          <w:rFonts w:ascii="Segoe UI" w:hAnsi="Segoe UI" w:cs="Segoe UI"/>
          <w:color w:val="212529"/>
          <w:shd w:val="clear" w:color="auto" w:fill="FFFFFF"/>
        </w:rPr>
        <w:t xml:space="preserve"> 12 CB (NS) 91</w:t>
      </w:r>
    </w:p>
    <w:p w14:paraId="251C4AEB" w14:textId="22530DA6" w:rsidR="00435803" w:rsidRPr="00F83724" w:rsidRDefault="00435803" w:rsidP="00F83724">
      <w:pPr>
        <w:rPr>
          <w:rStyle w:val="Heading1Char"/>
          <w:b/>
          <w:bCs/>
        </w:rPr>
      </w:pPr>
      <w:r w:rsidRPr="00F83724">
        <w:rPr>
          <w:rStyle w:val="Heading1Char"/>
          <w:b/>
          <w:bCs/>
        </w:rPr>
        <w:t>Acts</w:t>
      </w:r>
    </w:p>
    <w:p w14:paraId="69479E71" w14:textId="316B7607" w:rsidR="00435803" w:rsidRPr="00023351" w:rsidRDefault="00A31FAC" w:rsidP="00023351">
      <w:pPr>
        <w:spacing w:line="480" w:lineRule="auto"/>
        <w:rPr>
          <w:rFonts w:cstheme="minorHAnsi"/>
          <w:bCs/>
          <w:i/>
          <w:iCs/>
          <w:sz w:val="24"/>
          <w:szCs w:val="24"/>
        </w:rPr>
      </w:pPr>
      <w:r w:rsidRPr="00023351">
        <w:rPr>
          <w:rFonts w:cstheme="minorHAnsi"/>
          <w:bCs/>
          <w:i/>
          <w:iCs/>
          <w:sz w:val="24"/>
          <w:szCs w:val="24"/>
        </w:rPr>
        <w:t>Law of property Act 1925</w:t>
      </w:r>
      <w:r w:rsidRPr="00023351">
        <w:rPr>
          <w:rFonts w:cstheme="minorHAnsi"/>
          <w:bCs/>
          <w:i/>
          <w:iCs/>
          <w:sz w:val="24"/>
          <w:szCs w:val="24"/>
        </w:rPr>
        <w:t xml:space="preserve">, c. </w:t>
      </w:r>
      <w:r w:rsidR="00023351" w:rsidRPr="00023351">
        <w:rPr>
          <w:rFonts w:cstheme="minorHAnsi"/>
          <w:bCs/>
          <w:i/>
          <w:iCs/>
          <w:sz w:val="24"/>
          <w:szCs w:val="24"/>
        </w:rPr>
        <w:t>20</w:t>
      </w:r>
      <w:r w:rsidRPr="00023351">
        <w:rPr>
          <w:rFonts w:cstheme="minorHAnsi"/>
          <w:bCs/>
          <w:i/>
          <w:iCs/>
          <w:sz w:val="24"/>
          <w:szCs w:val="24"/>
        </w:rPr>
        <w:t xml:space="preserve"> Available at</w:t>
      </w:r>
      <w:r w:rsidR="00023351" w:rsidRPr="00023351">
        <w:rPr>
          <w:rFonts w:cstheme="minorHAnsi"/>
          <w:bCs/>
          <w:i/>
          <w:iCs/>
          <w:sz w:val="24"/>
          <w:szCs w:val="24"/>
        </w:rPr>
        <w:t xml:space="preserve"> </w:t>
      </w:r>
      <w:proofErr w:type="gramStart"/>
      <w:r w:rsidR="00023351" w:rsidRPr="00023351">
        <w:rPr>
          <w:rFonts w:cstheme="minorHAnsi"/>
          <w:bCs/>
          <w:i/>
          <w:iCs/>
          <w:sz w:val="24"/>
          <w:szCs w:val="24"/>
        </w:rPr>
        <w:t xml:space="preserve">- </w:t>
      </w:r>
      <w:r w:rsidRPr="00023351">
        <w:rPr>
          <w:rFonts w:cstheme="minorHAnsi"/>
          <w:bCs/>
          <w:i/>
          <w:iCs/>
          <w:sz w:val="24"/>
          <w:szCs w:val="24"/>
        </w:rPr>
        <w:t xml:space="preserve"> </w:t>
      </w:r>
      <w:r w:rsidR="00023351" w:rsidRPr="00023351">
        <w:rPr>
          <w:rFonts w:cstheme="minorHAnsi"/>
          <w:bCs/>
          <w:i/>
          <w:iCs/>
          <w:sz w:val="24"/>
          <w:szCs w:val="24"/>
        </w:rPr>
        <w:t>https://www.legislation.gov.uk/ukpga/Geo5/15-16/20/contents</w:t>
      </w:r>
      <w:proofErr w:type="gramEnd"/>
      <w:r w:rsidR="00023351" w:rsidRPr="00023351">
        <w:rPr>
          <w:rFonts w:cstheme="minorHAnsi"/>
          <w:bCs/>
          <w:i/>
          <w:iCs/>
          <w:sz w:val="24"/>
          <w:szCs w:val="24"/>
        </w:rPr>
        <w:t>:</w:t>
      </w:r>
      <w:r w:rsidRPr="00023351">
        <w:rPr>
          <w:rFonts w:cstheme="minorHAnsi"/>
          <w:bCs/>
          <w:i/>
          <w:iCs/>
          <w:sz w:val="24"/>
          <w:szCs w:val="24"/>
        </w:rPr>
        <w:t xml:space="preserve"> </w:t>
      </w:r>
      <w:proofErr w:type="spellStart"/>
      <w:r w:rsidRPr="00023351">
        <w:rPr>
          <w:rFonts w:cstheme="minorHAnsi"/>
          <w:bCs/>
          <w:i/>
          <w:iCs/>
          <w:sz w:val="24"/>
          <w:szCs w:val="24"/>
        </w:rPr>
        <w:t>acessed</w:t>
      </w:r>
      <w:proofErr w:type="spellEnd"/>
      <w:r w:rsidRPr="00023351">
        <w:rPr>
          <w:rFonts w:cstheme="minorHAnsi"/>
          <w:bCs/>
          <w:i/>
          <w:iCs/>
          <w:sz w:val="24"/>
          <w:szCs w:val="24"/>
        </w:rPr>
        <w:t xml:space="preserve"> [29/112021]</w:t>
      </w:r>
    </w:p>
    <w:p w14:paraId="50575B89" w14:textId="5511E72E" w:rsidR="00F83724" w:rsidRDefault="00023351" w:rsidP="00F83724">
      <w:pPr>
        <w:spacing w:line="480" w:lineRule="auto"/>
        <w:rPr>
          <w:rFonts w:cstheme="minorHAnsi"/>
          <w:bCs/>
          <w:i/>
          <w:iCs/>
          <w:sz w:val="24"/>
          <w:szCs w:val="24"/>
        </w:rPr>
      </w:pPr>
      <w:r w:rsidRPr="00023351">
        <w:rPr>
          <w:rFonts w:cstheme="minorHAnsi"/>
          <w:bCs/>
          <w:i/>
          <w:iCs/>
          <w:sz w:val="24"/>
          <w:szCs w:val="24"/>
        </w:rPr>
        <w:t>Prescription Act 1832</w:t>
      </w:r>
      <w:r w:rsidRPr="00023351">
        <w:rPr>
          <w:rFonts w:cstheme="minorHAnsi"/>
          <w:bCs/>
          <w:i/>
          <w:iCs/>
          <w:sz w:val="24"/>
          <w:szCs w:val="24"/>
        </w:rPr>
        <w:t xml:space="preserve">, c. 71 </w:t>
      </w:r>
      <w:r w:rsidRPr="00023351">
        <w:rPr>
          <w:rFonts w:cstheme="minorHAnsi"/>
          <w:bCs/>
          <w:i/>
          <w:iCs/>
          <w:sz w:val="24"/>
          <w:szCs w:val="24"/>
        </w:rPr>
        <w:t>Available at</w:t>
      </w:r>
      <w:r w:rsidRPr="00023351">
        <w:rPr>
          <w:rFonts w:cstheme="minorHAnsi"/>
          <w:bCs/>
          <w:i/>
          <w:iCs/>
          <w:sz w:val="24"/>
          <w:szCs w:val="24"/>
        </w:rPr>
        <w:t xml:space="preserve"> - </w:t>
      </w:r>
      <w:hyperlink r:id="rId6" w:history="1">
        <w:r w:rsidRPr="00023351">
          <w:rPr>
            <w:rStyle w:val="Hyperlink"/>
            <w:rFonts w:cstheme="minorHAnsi"/>
            <w:bCs/>
            <w:i/>
            <w:iCs/>
            <w:color w:val="auto"/>
            <w:sz w:val="24"/>
            <w:szCs w:val="24"/>
          </w:rPr>
          <w:t>https://www.legislation.gov.uk/ukpga/Will4/2-3/71/contents</w:t>
        </w:r>
      </w:hyperlink>
      <w:r w:rsidRPr="00023351">
        <w:rPr>
          <w:rFonts w:cstheme="minorHAnsi"/>
          <w:bCs/>
          <w:i/>
          <w:iCs/>
          <w:sz w:val="24"/>
          <w:szCs w:val="24"/>
        </w:rPr>
        <w:t xml:space="preserve"> </w:t>
      </w:r>
      <w:r w:rsidRPr="00023351">
        <w:rPr>
          <w:rFonts w:cstheme="minorHAnsi"/>
          <w:bCs/>
          <w:i/>
          <w:iCs/>
          <w:sz w:val="24"/>
          <w:szCs w:val="24"/>
        </w:rPr>
        <w:t xml:space="preserve">: </w:t>
      </w:r>
      <w:proofErr w:type="spellStart"/>
      <w:r w:rsidRPr="00023351">
        <w:rPr>
          <w:rFonts w:cstheme="minorHAnsi"/>
          <w:bCs/>
          <w:i/>
          <w:iCs/>
          <w:sz w:val="24"/>
          <w:szCs w:val="24"/>
        </w:rPr>
        <w:t>acessed</w:t>
      </w:r>
      <w:proofErr w:type="spellEnd"/>
      <w:r w:rsidRPr="00023351">
        <w:rPr>
          <w:rFonts w:cstheme="minorHAnsi"/>
          <w:bCs/>
          <w:i/>
          <w:iCs/>
          <w:sz w:val="24"/>
          <w:szCs w:val="24"/>
        </w:rPr>
        <w:t xml:space="preserve"> [29/112021]</w:t>
      </w:r>
    </w:p>
    <w:p w14:paraId="57AF2E50" w14:textId="1DD7ACDA" w:rsidR="00F83724" w:rsidRDefault="00F83724" w:rsidP="00F83724">
      <w:pPr>
        <w:rPr>
          <w:rFonts w:cstheme="minorHAnsi"/>
          <w:bCs/>
          <w:i/>
          <w:iCs/>
          <w:sz w:val="24"/>
          <w:szCs w:val="24"/>
        </w:rPr>
      </w:pPr>
      <w:r>
        <w:rPr>
          <w:rFonts w:cstheme="minorHAnsi"/>
          <w:bCs/>
          <w:i/>
          <w:iCs/>
          <w:sz w:val="24"/>
          <w:szCs w:val="24"/>
        </w:rPr>
        <w:br/>
      </w:r>
    </w:p>
    <w:p w14:paraId="760EEB4D" w14:textId="77777777" w:rsidR="00F83724" w:rsidRDefault="00F83724">
      <w:pPr>
        <w:rPr>
          <w:rFonts w:cstheme="minorHAnsi"/>
          <w:bCs/>
          <w:i/>
          <w:iCs/>
          <w:sz w:val="24"/>
          <w:szCs w:val="24"/>
        </w:rPr>
      </w:pPr>
      <w:r>
        <w:rPr>
          <w:rFonts w:cstheme="minorHAnsi"/>
          <w:bCs/>
          <w:i/>
          <w:iCs/>
          <w:sz w:val="24"/>
          <w:szCs w:val="24"/>
        </w:rPr>
        <w:br w:type="page"/>
      </w:r>
    </w:p>
    <w:p w14:paraId="56412FE8" w14:textId="77777777" w:rsidR="00F83724" w:rsidRDefault="00F83724" w:rsidP="00F83724"/>
    <w:sdt>
      <w:sdtPr>
        <w:id w:val="-1097094176"/>
        <w:docPartObj>
          <w:docPartGallery w:val="Bibliographies"/>
          <w:docPartUnique/>
        </w:docPartObj>
      </w:sdtPr>
      <w:sdtContent>
        <w:p w14:paraId="2465840A" w14:textId="5E78B471" w:rsidR="000F3AA3" w:rsidRPr="00F83724" w:rsidRDefault="000F3AA3" w:rsidP="00F83724">
          <w:pPr>
            <w:rPr>
              <w:rStyle w:val="Heading1Char"/>
            </w:rPr>
          </w:pPr>
          <w:r w:rsidRPr="00F83724">
            <w:rPr>
              <w:rStyle w:val="Heading1Char"/>
            </w:rPr>
            <w:t>Bibliography</w:t>
          </w:r>
        </w:p>
        <w:sdt>
          <w:sdtPr>
            <w:id w:val="111145805"/>
            <w:bibliography/>
          </w:sdtPr>
          <w:sdtContent>
            <w:p w14:paraId="567FC69F" w14:textId="77777777" w:rsidR="00F83724" w:rsidRDefault="000F3AA3" w:rsidP="00F83724">
              <w:pPr>
                <w:pStyle w:val="Bibliography"/>
                <w:ind w:left="720" w:hanging="720"/>
                <w:rPr>
                  <w:noProof/>
                  <w:sz w:val="24"/>
                  <w:szCs w:val="24"/>
                  <w:lang w:val="en-US"/>
                </w:rPr>
              </w:pPr>
              <w:r>
                <w:fldChar w:fldCharType="begin"/>
              </w:r>
              <w:r>
                <w:instrText xml:space="preserve"> BIBLIOGRAPHY </w:instrText>
              </w:r>
              <w:r>
                <w:fldChar w:fldCharType="separate"/>
              </w:r>
              <w:r w:rsidR="00F83724">
                <w:rPr>
                  <w:noProof/>
                  <w:lang w:val="en-US"/>
                </w:rPr>
                <w:t xml:space="preserve">Dixon, M. (2021). </w:t>
              </w:r>
              <w:r w:rsidR="00F83724">
                <w:rPr>
                  <w:i/>
                  <w:iCs/>
                  <w:noProof/>
                  <w:lang w:val="en-US"/>
                </w:rPr>
                <w:t>Modern Land Law.</w:t>
              </w:r>
              <w:r w:rsidR="00F83724">
                <w:rPr>
                  <w:noProof/>
                  <w:lang w:val="en-US"/>
                </w:rPr>
                <w:t xml:space="preserve"> Oxfordshire: Routledge.</w:t>
              </w:r>
            </w:p>
            <w:p w14:paraId="7EF3AF14" w14:textId="77777777" w:rsidR="00F83724" w:rsidRDefault="00F83724" w:rsidP="00F83724">
              <w:pPr>
                <w:pStyle w:val="Bibliography"/>
                <w:ind w:left="720" w:hanging="720"/>
                <w:rPr>
                  <w:noProof/>
                  <w:lang w:val="en-US"/>
                </w:rPr>
              </w:pPr>
              <w:r>
                <w:rPr>
                  <w:noProof/>
                  <w:lang w:val="en-US"/>
                </w:rPr>
                <w:t xml:space="preserve">Duddington, J. (2021). </w:t>
              </w:r>
              <w:r>
                <w:rPr>
                  <w:i/>
                  <w:iCs/>
                  <w:noProof/>
                  <w:lang w:val="en-US"/>
                </w:rPr>
                <w:t>Law express: Land law</w:t>
              </w:r>
              <w:r>
                <w:rPr>
                  <w:noProof/>
                  <w:lang w:val="en-US"/>
                </w:rPr>
                <w:t xml:space="preserve"> (8th ed.). New York: Pearson Education Limited.</w:t>
              </w:r>
            </w:p>
            <w:p w14:paraId="659092FE" w14:textId="77777777" w:rsidR="00F83724" w:rsidRDefault="00F83724" w:rsidP="00F83724">
              <w:pPr>
                <w:pStyle w:val="Bibliography"/>
                <w:ind w:left="720" w:hanging="720"/>
                <w:rPr>
                  <w:noProof/>
                  <w:lang w:val="en-US"/>
                </w:rPr>
              </w:pPr>
              <w:r>
                <w:rPr>
                  <w:noProof/>
                  <w:lang w:val="en-US"/>
                </w:rPr>
                <w:t xml:space="preserve">Gray, K., &amp; Gray, S. (2011). </w:t>
              </w:r>
              <w:r>
                <w:rPr>
                  <w:i/>
                  <w:iCs/>
                  <w:noProof/>
                  <w:lang w:val="en-US"/>
                </w:rPr>
                <w:t>Land Law</w:t>
              </w:r>
              <w:r>
                <w:rPr>
                  <w:noProof/>
                  <w:lang w:val="en-US"/>
                </w:rPr>
                <w:t xml:space="preserve"> (7th ed.). Oxford: Oxford University press.</w:t>
              </w:r>
            </w:p>
            <w:p w14:paraId="7663F682" w14:textId="77777777" w:rsidR="00F83724" w:rsidRDefault="00F83724" w:rsidP="00F83724">
              <w:pPr>
                <w:pStyle w:val="Bibliography"/>
                <w:ind w:left="720" w:hanging="720"/>
                <w:rPr>
                  <w:noProof/>
                  <w:lang w:val="en-US"/>
                </w:rPr>
              </w:pPr>
              <w:r>
                <w:rPr>
                  <w:noProof/>
                  <w:lang w:val="en-US"/>
                </w:rPr>
                <w:t xml:space="preserve">McFarlanr, B., Hopkins, N., &amp; Nield, S. (2018). </w:t>
              </w:r>
              <w:r>
                <w:rPr>
                  <w:i/>
                  <w:iCs/>
                  <w:noProof/>
                  <w:lang w:val="en-US"/>
                </w:rPr>
                <w:t>land law text, cases and materials</w:t>
              </w:r>
              <w:r>
                <w:rPr>
                  <w:noProof/>
                  <w:lang w:val="en-US"/>
                </w:rPr>
                <w:t xml:space="preserve"> (4th ed.). Oxford: Oxford Univercity press.</w:t>
              </w:r>
            </w:p>
            <w:p w14:paraId="65874381" w14:textId="3F111485" w:rsidR="000F3AA3" w:rsidRDefault="000F3AA3" w:rsidP="00F83724">
              <w:r>
                <w:rPr>
                  <w:b/>
                  <w:bCs/>
                  <w:noProof/>
                </w:rPr>
                <w:fldChar w:fldCharType="end"/>
              </w:r>
            </w:p>
          </w:sdtContent>
        </w:sdt>
      </w:sdtContent>
    </w:sdt>
    <w:p w14:paraId="5CE21466" w14:textId="77777777" w:rsidR="00435803" w:rsidRPr="00435803" w:rsidRDefault="00435803" w:rsidP="00635CF8">
      <w:pPr>
        <w:rPr>
          <w:rStyle w:val="Strong"/>
          <w:rFonts w:ascii="Segoe UI" w:hAnsi="Segoe UI" w:cs="Segoe UI"/>
          <w:color w:val="212529"/>
        </w:rPr>
      </w:pPr>
    </w:p>
    <w:sectPr w:rsidR="00435803" w:rsidRPr="00435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C5F27"/>
    <w:multiLevelType w:val="hybridMultilevel"/>
    <w:tmpl w:val="57D29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E8C"/>
    <w:rsid w:val="000118BD"/>
    <w:rsid w:val="00016647"/>
    <w:rsid w:val="00023351"/>
    <w:rsid w:val="00066AAB"/>
    <w:rsid w:val="00072060"/>
    <w:rsid w:val="000C3C2F"/>
    <w:rsid w:val="000F3AA3"/>
    <w:rsid w:val="001538AA"/>
    <w:rsid w:val="001919CC"/>
    <w:rsid w:val="001B16C2"/>
    <w:rsid w:val="0022457D"/>
    <w:rsid w:val="002327A0"/>
    <w:rsid w:val="0025337B"/>
    <w:rsid w:val="002B6E34"/>
    <w:rsid w:val="002E4E76"/>
    <w:rsid w:val="00341BAC"/>
    <w:rsid w:val="00343A5C"/>
    <w:rsid w:val="003526A6"/>
    <w:rsid w:val="003551BB"/>
    <w:rsid w:val="003E7D01"/>
    <w:rsid w:val="00435803"/>
    <w:rsid w:val="004433DA"/>
    <w:rsid w:val="004F4383"/>
    <w:rsid w:val="004F5079"/>
    <w:rsid w:val="0052232D"/>
    <w:rsid w:val="0054306C"/>
    <w:rsid w:val="00577E0E"/>
    <w:rsid w:val="005A1474"/>
    <w:rsid w:val="005D3891"/>
    <w:rsid w:val="00614C9C"/>
    <w:rsid w:val="00635CF8"/>
    <w:rsid w:val="0065493E"/>
    <w:rsid w:val="007125E7"/>
    <w:rsid w:val="007346B2"/>
    <w:rsid w:val="007476EA"/>
    <w:rsid w:val="00753E8C"/>
    <w:rsid w:val="007832D2"/>
    <w:rsid w:val="008161FF"/>
    <w:rsid w:val="00824711"/>
    <w:rsid w:val="00856423"/>
    <w:rsid w:val="00866BAB"/>
    <w:rsid w:val="008765AA"/>
    <w:rsid w:val="008A1AD8"/>
    <w:rsid w:val="008D6B27"/>
    <w:rsid w:val="00901B04"/>
    <w:rsid w:val="0093473A"/>
    <w:rsid w:val="00965FDA"/>
    <w:rsid w:val="009B014E"/>
    <w:rsid w:val="00A15087"/>
    <w:rsid w:val="00A1771C"/>
    <w:rsid w:val="00A31FAC"/>
    <w:rsid w:val="00A54C00"/>
    <w:rsid w:val="00B26DA8"/>
    <w:rsid w:val="00BB0B9C"/>
    <w:rsid w:val="00BF6F7D"/>
    <w:rsid w:val="00C53ABB"/>
    <w:rsid w:val="00CE0DBE"/>
    <w:rsid w:val="00D04E43"/>
    <w:rsid w:val="00D25D0B"/>
    <w:rsid w:val="00D40FC8"/>
    <w:rsid w:val="00DC74C6"/>
    <w:rsid w:val="00DD6111"/>
    <w:rsid w:val="00E14F35"/>
    <w:rsid w:val="00E309D6"/>
    <w:rsid w:val="00EC477B"/>
    <w:rsid w:val="00EC4DD9"/>
    <w:rsid w:val="00EC69E5"/>
    <w:rsid w:val="00EE470B"/>
    <w:rsid w:val="00F03159"/>
    <w:rsid w:val="00F05155"/>
    <w:rsid w:val="00F12887"/>
    <w:rsid w:val="00F83724"/>
    <w:rsid w:val="00FD16E3"/>
    <w:rsid w:val="00FE3697"/>
    <w:rsid w:val="00FE5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B4F06"/>
  <w15:chartTrackingRefBased/>
  <w15:docId w15:val="{B8181D85-2F2E-4099-9A4C-6508FD68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A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0DBE"/>
    <w:rPr>
      <w:b/>
      <w:bCs/>
    </w:rPr>
  </w:style>
  <w:style w:type="paragraph" w:styleId="ListParagraph">
    <w:name w:val="List Paragraph"/>
    <w:basedOn w:val="Normal"/>
    <w:uiPriority w:val="34"/>
    <w:qFormat/>
    <w:rsid w:val="00B26DA8"/>
    <w:pPr>
      <w:ind w:left="720"/>
      <w:contextualSpacing/>
    </w:pPr>
  </w:style>
  <w:style w:type="character" w:styleId="Emphasis">
    <w:name w:val="Emphasis"/>
    <w:basedOn w:val="DefaultParagraphFont"/>
    <w:uiPriority w:val="20"/>
    <w:qFormat/>
    <w:rsid w:val="00635CF8"/>
    <w:rPr>
      <w:i/>
      <w:iCs/>
    </w:rPr>
  </w:style>
  <w:style w:type="character" w:styleId="Hyperlink">
    <w:name w:val="Hyperlink"/>
    <w:basedOn w:val="DefaultParagraphFont"/>
    <w:uiPriority w:val="99"/>
    <w:unhideWhenUsed/>
    <w:rsid w:val="00A31FAC"/>
    <w:rPr>
      <w:color w:val="0563C1" w:themeColor="hyperlink"/>
      <w:u w:val="single"/>
    </w:rPr>
  </w:style>
  <w:style w:type="character" w:styleId="UnresolvedMention">
    <w:name w:val="Unresolved Mention"/>
    <w:basedOn w:val="DefaultParagraphFont"/>
    <w:uiPriority w:val="99"/>
    <w:semiHidden/>
    <w:unhideWhenUsed/>
    <w:rsid w:val="00A31FAC"/>
    <w:rPr>
      <w:color w:val="605E5C"/>
      <w:shd w:val="clear" w:color="auto" w:fill="E1DFDD"/>
    </w:rPr>
  </w:style>
  <w:style w:type="character" w:customStyle="1" w:styleId="Heading1Char">
    <w:name w:val="Heading 1 Char"/>
    <w:basedOn w:val="DefaultParagraphFont"/>
    <w:link w:val="Heading1"/>
    <w:uiPriority w:val="9"/>
    <w:rsid w:val="000F3A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F3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8854">
      <w:bodyDiv w:val="1"/>
      <w:marLeft w:val="0"/>
      <w:marRight w:val="0"/>
      <w:marTop w:val="0"/>
      <w:marBottom w:val="0"/>
      <w:divBdr>
        <w:top w:val="none" w:sz="0" w:space="0" w:color="auto"/>
        <w:left w:val="none" w:sz="0" w:space="0" w:color="auto"/>
        <w:bottom w:val="none" w:sz="0" w:space="0" w:color="auto"/>
        <w:right w:val="none" w:sz="0" w:space="0" w:color="auto"/>
      </w:divBdr>
    </w:div>
    <w:div w:id="35399417">
      <w:bodyDiv w:val="1"/>
      <w:marLeft w:val="0"/>
      <w:marRight w:val="0"/>
      <w:marTop w:val="0"/>
      <w:marBottom w:val="0"/>
      <w:divBdr>
        <w:top w:val="none" w:sz="0" w:space="0" w:color="auto"/>
        <w:left w:val="none" w:sz="0" w:space="0" w:color="auto"/>
        <w:bottom w:val="none" w:sz="0" w:space="0" w:color="auto"/>
        <w:right w:val="none" w:sz="0" w:space="0" w:color="auto"/>
      </w:divBdr>
    </w:div>
    <w:div w:id="69430754">
      <w:bodyDiv w:val="1"/>
      <w:marLeft w:val="0"/>
      <w:marRight w:val="0"/>
      <w:marTop w:val="0"/>
      <w:marBottom w:val="0"/>
      <w:divBdr>
        <w:top w:val="none" w:sz="0" w:space="0" w:color="auto"/>
        <w:left w:val="none" w:sz="0" w:space="0" w:color="auto"/>
        <w:bottom w:val="none" w:sz="0" w:space="0" w:color="auto"/>
        <w:right w:val="none" w:sz="0" w:space="0" w:color="auto"/>
      </w:divBdr>
    </w:div>
    <w:div w:id="136802375">
      <w:bodyDiv w:val="1"/>
      <w:marLeft w:val="0"/>
      <w:marRight w:val="0"/>
      <w:marTop w:val="0"/>
      <w:marBottom w:val="0"/>
      <w:divBdr>
        <w:top w:val="none" w:sz="0" w:space="0" w:color="auto"/>
        <w:left w:val="none" w:sz="0" w:space="0" w:color="auto"/>
        <w:bottom w:val="none" w:sz="0" w:space="0" w:color="auto"/>
        <w:right w:val="none" w:sz="0" w:space="0" w:color="auto"/>
      </w:divBdr>
    </w:div>
    <w:div w:id="139152237">
      <w:bodyDiv w:val="1"/>
      <w:marLeft w:val="0"/>
      <w:marRight w:val="0"/>
      <w:marTop w:val="0"/>
      <w:marBottom w:val="0"/>
      <w:divBdr>
        <w:top w:val="none" w:sz="0" w:space="0" w:color="auto"/>
        <w:left w:val="none" w:sz="0" w:space="0" w:color="auto"/>
        <w:bottom w:val="none" w:sz="0" w:space="0" w:color="auto"/>
        <w:right w:val="none" w:sz="0" w:space="0" w:color="auto"/>
      </w:divBdr>
    </w:div>
    <w:div w:id="149250168">
      <w:bodyDiv w:val="1"/>
      <w:marLeft w:val="0"/>
      <w:marRight w:val="0"/>
      <w:marTop w:val="0"/>
      <w:marBottom w:val="0"/>
      <w:divBdr>
        <w:top w:val="none" w:sz="0" w:space="0" w:color="auto"/>
        <w:left w:val="none" w:sz="0" w:space="0" w:color="auto"/>
        <w:bottom w:val="none" w:sz="0" w:space="0" w:color="auto"/>
        <w:right w:val="none" w:sz="0" w:space="0" w:color="auto"/>
      </w:divBdr>
    </w:div>
    <w:div w:id="180435543">
      <w:bodyDiv w:val="1"/>
      <w:marLeft w:val="0"/>
      <w:marRight w:val="0"/>
      <w:marTop w:val="0"/>
      <w:marBottom w:val="0"/>
      <w:divBdr>
        <w:top w:val="none" w:sz="0" w:space="0" w:color="auto"/>
        <w:left w:val="none" w:sz="0" w:space="0" w:color="auto"/>
        <w:bottom w:val="none" w:sz="0" w:space="0" w:color="auto"/>
        <w:right w:val="none" w:sz="0" w:space="0" w:color="auto"/>
      </w:divBdr>
    </w:div>
    <w:div w:id="211235248">
      <w:bodyDiv w:val="1"/>
      <w:marLeft w:val="0"/>
      <w:marRight w:val="0"/>
      <w:marTop w:val="0"/>
      <w:marBottom w:val="0"/>
      <w:divBdr>
        <w:top w:val="none" w:sz="0" w:space="0" w:color="auto"/>
        <w:left w:val="none" w:sz="0" w:space="0" w:color="auto"/>
        <w:bottom w:val="none" w:sz="0" w:space="0" w:color="auto"/>
        <w:right w:val="none" w:sz="0" w:space="0" w:color="auto"/>
      </w:divBdr>
    </w:div>
    <w:div w:id="234828483">
      <w:bodyDiv w:val="1"/>
      <w:marLeft w:val="0"/>
      <w:marRight w:val="0"/>
      <w:marTop w:val="0"/>
      <w:marBottom w:val="0"/>
      <w:divBdr>
        <w:top w:val="none" w:sz="0" w:space="0" w:color="auto"/>
        <w:left w:val="none" w:sz="0" w:space="0" w:color="auto"/>
        <w:bottom w:val="none" w:sz="0" w:space="0" w:color="auto"/>
        <w:right w:val="none" w:sz="0" w:space="0" w:color="auto"/>
      </w:divBdr>
    </w:div>
    <w:div w:id="288706805">
      <w:bodyDiv w:val="1"/>
      <w:marLeft w:val="0"/>
      <w:marRight w:val="0"/>
      <w:marTop w:val="0"/>
      <w:marBottom w:val="0"/>
      <w:divBdr>
        <w:top w:val="none" w:sz="0" w:space="0" w:color="auto"/>
        <w:left w:val="none" w:sz="0" w:space="0" w:color="auto"/>
        <w:bottom w:val="none" w:sz="0" w:space="0" w:color="auto"/>
        <w:right w:val="none" w:sz="0" w:space="0" w:color="auto"/>
      </w:divBdr>
    </w:div>
    <w:div w:id="308097635">
      <w:bodyDiv w:val="1"/>
      <w:marLeft w:val="0"/>
      <w:marRight w:val="0"/>
      <w:marTop w:val="0"/>
      <w:marBottom w:val="0"/>
      <w:divBdr>
        <w:top w:val="none" w:sz="0" w:space="0" w:color="auto"/>
        <w:left w:val="none" w:sz="0" w:space="0" w:color="auto"/>
        <w:bottom w:val="none" w:sz="0" w:space="0" w:color="auto"/>
        <w:right w:val="none" w:sz="0" w:space="0" w:color="auto"/>
      </w:divBdr>
    </w:div>
    <w:div w:id="327025111">
      <w:bodyDiv w:val="1"/>
      <w:marLeft w:val="0"/>
      <w:marRight w:val="0"/>
      <w:marTop w:val="0"/>
      <w:marBottom w:val="0"/>
      <w:divBdr>
        <w:top w:val="none" w:sz="0" w:space="0" w:color="auto"/>
        <w:left w:val="none" w:sz="0" w:space="0" w:color="auto"/>
        <w:bottom w:val="none" w:sz="0" w:space="0" w:color="auto"/>
        <w:right w:val="none" w:sz="0" w:space="0" w:color="auto"/>
      </w:divBdr>
    </w:div>
    <w:div w:id="360861546">
      <w:bodyDiv w:val="1"/>
      <w:marLeft w:val="0"/>
      <w:marRight w:val="0"/>
      <w:marTop w:val="0"/>
      <w:marBottom w:val="0"/>
      <w:divBdr>
        <w:top w:val="none" w:sz="0" w:space="0" w:color="auto"/>
        <w:left w:val="none" w:sz="0" w:space="0" w:color="auto"/>
        <w:bottom w:val="none" w:sz="0" w:space="0" w:color="auto"/>
        <w:right w:val="none" w:sz="0" w:space="0" w:color="auto"/>
      </w:divBdr>
    </w:div>
    <w:div w:id="438795893">
      <w:bodyDiv w:val="1"/>
      <w:marLeft w:val="0"/>
      <w:marRight w:val="0"/>
      <w:marTop w:val="0"/>
      <w:marBottom w:val="0"/>
      <w:divBdr>
        <w:top w:val="none" w:sz="0" w:space="0" w:color="auto"/>
        <w:left w:val="none" w:sz="0" w:space="0" w:color="auto"/>
        <w:bottom w:val="none" w:sz="0" w:space="0" w:color="auto"/>
        <w:right w:val="none" w:sz="0" w:space="0" w:color="auto"/>
      </w:divBdr>
    </w:div>
    <w:div w:id="484509870">
      <w:bodyDiv w:val="1"/>
      <w:marLeft w:val="0"/>
      <w:marRight w:val="0"/>
      <w:marTop w:val="0"/>
      <w:marBottom w:val="0"/>
      <w:divBdr>
        <w:top w:val="none" w:sz="0" w:space="0" w:color="auto"/>
        <w:left w:val="none" w:sz="0" w:space="0" w:color="auto"/>
        <w:bottom w:val="none" w:sz="0" w:space="0" w:color="auto"/>
        <w:right w:val="none" w:sz="0" w:space="0" w:color="auto"/>
      </w:divBdr>
    </w:div>
    <w:div w:id="518739689">
      <w:bodyDiv w:val="1"/>
      <w:marLeft w:val="0"/>
      <w:marRight w:val="0"/>
      <w:marTop w:val="0"/>
      <w:marBottom w:val="0"/>
      <w:divBdr>
        <w:top w:val="none" w:sz="0" w:space="0" w:color="auto"/>
        <w:left w:val="none" w:sz="0" w:space="0" w:color="auto"/>
        <w:bottom w:val="none" w:sz="0" w:space="0" w:color="auto"/>
        <w:right w:val="none" w:sz="0" w:space="0" w:color="auto"/>
      </w:divBdr>
    </w:div>
    <w:div w:id="521631893">
      <w:bodyDiv w:val="1"/>
      <w:marLeft w:val="0"/>
      <w:marRight w:val="0"/>
      <w:marTop w:val="0"/>
      <w:marBottom w:val="0"/>
      <w:divBdr>
        <w:top w:val="none" w:sz="0" w:space="0" w:color="auto"/>
        <w:left w:val="none" w:sz="0" w:space="0" w:color="auto"/>
        <w:bottom w:val="none" w:sz="0" w:space="0" w:color="auto"/>
        <w:right w:val="none" w:sz="0" w:space="0" w:color="auto"/>
      </w:divBdr>
    </w:div>
    <w:div w:id="569266369">
      <w:bodyDiv w:val="1"/>
      <w:marLeft w:val="0"/>
      <w:marRight w:val="0"/>
      <w:marTop w:val="0"/>
      <w:marBottom w:val="0"/>
      <w:divBdr>
        <w:top w:val="none" w:sz="0" w:space="0" w:color="auto"/>
        <w:left w:val="none" w:sz="0" w:space="0" w:color="auto"/>
        <w:bottom w:val="none" w:sz="0" w:space="0" w:color="auto"/>
        <w:right w:val="none" w:sz="0" w:space="0" w:color="auto"/>
      </w:divBdr>
    </w:div>
    <w:div w:id="640771283">
      <w:bodyDiv w:val="1"/>
      <w:marLeft w:val="0"/>
      <w:marRight w:val="0"/>
      <w:marTop w:val="0"/>
      <w:marBottom w:val="0"/>
      <w:divBdr>
        <w:top w:val="none" w:sz="0" w:space="0" w:color="auto"/>
        <w:left w:val="none" w:sz="0" w:space="0" w:color="auto"/>
        <w:bottom w:val="none" w:sz="0" w:space="0" w:color="auto"/>
        <w:right w:val="none" w:sz="0" w:space="0" w:color="auto"/>
      </w:divBdr>
    </w:div>
    <w:div w:id="647442796">
      <w:bodyDiv w:val="1"/>
      <w:marLeft w:val="0"/>
      <w:marRight w:val="0"/>
      <w:marTop w:val="0"/>
      <w:marBottom w:val="0"/>
      <w:divBdr>
        <w:top w:val="none" w:sz="0" w:space="0" w:color="auto"/>
        <w:left w:val="none" w:sz="0" w:space="0" w:color="auto"/>
        <w:bottom w:val="none" w:sz="0" w:space="0" w:color="auto"/>
        <w:right w:val="none" w:sz="0" w:space="0" w:color="auto"/>
      </w:divBdr>
    </w:div>
    <w:div w:id="666595658">
      <w:bodyDiv w:val="1"/>
      <w:marLeft w:val="0"/>
      <w:marRight w:val="0"/>
      <w:marTop w:val="0"/>
      <w:marBottom w:val="0"/>
      <w:divBdr>
        <w:top w:val="none" w:sz="0" w:space="0" w:color="auto"/>
        <w:left w:val="none" w:sz="0" w:space="0" w:color="auto"/>
        <w:bottom w:val="none" w:sz="0" w:space="0" w:color="auto"/>
        <w:right w:val="none" w:sz="0" w:space="0" w:color="auto"/>
      </w:divBdr>
    </w:div>
    <w:div w:id="689723564">
      <w:bodyDiv w:val="1"/>
      <w:marLeft w:val="0"/>
      <w:marRight w:val="0"/>
      <w:marTop w:val="0"/>
      <w:marBottom w:val="0"/>
      <w:divBdr>
        <w:top w:val="none" w:sz="0" w:space="0" w:color="auto"/>
        <w:left w:val="none" w:sz="0" w:space="0" w:color="auto"/>
        <w:bottom w:val="none" w:sz="0" w:space="0" w:color="auto"/>
        <w:right w:val="none" w:sz="0" w:space="0" w:color="auto"/>
      </w:divBdr>
    </w:div>
    <w:div w:id="737947923">
      <w:bodyDiv w:val="1"/>
      <w:marLeft w:val="0"/>
      <w:marRight w:val="0"/>
      <w:marTop w:val="0"/>
      <w:marBottom w:val="0"/>
      <w:divBdr>
        <w:top w:val="none" w:sz="0" w:space="0" w:color="auto"/>
        <w:left w:val="none" w:sz="0" w:space="0" w:color="auto"/>
        <w:bottom w:val="none" w:sz="0" w:space="0" w:color="auto"/>
        <w:right w:val="none" w:sz="0" w:space="0" w:color="auto"/>
      </w:divBdr>
    </w:div>
    <w:div w:id="784547237">
      <w:bodyDiv w:val="1"/>
      <w:marLeft w:val="0"/>
      <w:marRight w:val="0"/>
      <w:marTop w:val="0"/>
      <w:marBottom w:val="0"/>
      <w:divBdr>
        <w:top w:val="none" w:sz="0" w:space="0" w:color="auto"/>
        <w:left w:val="none" w:sz="0" w:space="0" w:color="auto"/>
        <w:bottom w:val="none" w:sz="0" w:space="0" w:color="auto"/>
        <w:right w:val="none" w:sz="0" w:space="0" w:color="auto"/>
      </w:divBdr>
    </w:div>
    <w:div w:id="798184909">
      <w:bodyDiv w:val="1"/>
      <w:marLeft w:val="0"/>
      <w:marRight w:val="0"/>
      <w:marTop w:val="0"/>
      <w:marBottom w:val="0"/>
      <w:divBdr>
        <w:top w:val="none" w:sz="0" w:space="0" w:color="auto"/>
        <w:left w:val="none" w:sz="0" w:space="0" w:color="auto"/>
        <w:bottom w:val="none" w:sz="0" w:space="0" w:color="auto"/>
        <w:right w:val="none" w:sz="0" w:space="0" w:color="auto"/>
      </w:divBdr>
    </w:div>
    <w:div w:id="802961066">
      <w:bodyDiv w:val="1"/>
      <w:marLeft w:val="0"/>
      <w:marRight w:val="0"/>
      <w:marTop w:val="0"/>
      <w:marBottom w:val="0"/>
      <w:divBdr>
        <w:top w:val="none" w:sz="0" w:space="0" w:color="auto"/>
        <w:left w:val="none" w:sz="0" w:space="0" w:color="auto"/>
        <w:bottom w:val="none" w:sz="0" w:space="0" w:color="auto"/>
        <w:right w:val="none" w:sz="0" w:space="0" w:color="auto"/>
      </w:divBdr>
    </w:div>
    <w:div w:id="836992355">
      <w:bodyDiv w:val="1"/>
      <w:marLeft w:val="0"/>
      <w:marRight w:val="0"/>
      <w:marTop w:val="0"/>
      <w:marBottom w:val="0"/>
      <w:divBdr>
        <w:top w:val="none" w:sz="0" w:space="0" w:color="auto"/>
        <w:left w:val="none" w:sz="0" w:space="0" w:color="auto"/>
        <w:bottom w:val="none" w:sz="0" w:space="0" w:color="auto"/>
        <w:right w:val="none" w:sz="0" w:space="0" w:color="auto"/>
      </w:divBdr>
    </w:div>
    <w:div w:id="894198463">
      <w:bodyDiv w:val="1"/>
      <w:marLeft w:val="0"/>
      <w:marRight w:val="0"/>
      <w:marTop w:val="0"/>
      <w:marBottom w:val="0"/>
      <w:divBdr>
        <w:top w:val="none" w:sz="0" w:space="0" w:color="auto"/>
        <w:left w:val="none" w:sz="0" w:space="0" w:color="auto"/>
        <w:bottom w:val="none" w:sz="0" w:space="0" w:color="auto"/>
        <w:right w:val="none" w:sz="0" w:space="0" w:color="auto"/>
      </w:divBdr>
    </w:div>
    <w:div w:id="976448444">
      <w:bodyDiv w:val="1"/>
      <w:marLeft w:val="0"/>
      <w:marRight w:val="0"/>
      <w:marTop w:val="0"/>
      <w:marBottom w:val="0"/>
      <w:divBdr>
        <w:top w:val="none" w:sz="0" w:space="0" w:color="auto"/>
        <w:left w:val="none" w:sz="0" w:space="0" w:color="auto"/>
        <w:bottom w:val="none" w:sz="0" w:space="0" w:color="auto"/>
        <w:right w:val="none" w:sz="0" w:space="0" w:color="auto"/>
      </w:divBdr>
    </w:div>
    <w:div w:id="985931724">
      <w:bodyDiv w:val="1"/>
      <w:marLeft w:val="0"/>
      <w:marRight w:val="0"/>
      <w:marTop w:val="0"/>
      <w:marBottom w:val="0"/>
      <w:divBdr>
        <w:top w:val="none" w:sz="0" w:space="0" w:color="auto"/>
        <w:left w:val="none" w:sz="0" w:space="0" w:color="auto"/>
        <w:bottom w:val="none" w:sz="0" w:space="0" w:color="auto"/>
        <w:right w:val="none" w:sz="0" w:space="0" w:color="auto"/>
      </w:divBdr>
    </w:div>
    <w:div w:id="1111246301">
      <w:bodyDiv w:val="1"/>
      <w:marLeft w:val="0"/>
      <w:marRight w:val="0"/>
      <w:marTop w:val="0"/>
      <w:marBottom w:val="0"/>
      <w:divBdr>
        <w:top w:val="none" w:sz="0" w:space="0" w:color="auto"/>
        <w:left w:val="none" w:sz="0" w:space="0" w:color="auto"/>
        <w:bottom w:val="none" w:sz="0" w:space="0" w:color="auto"/>
        <w:right w:val="none" w:sz="0" w:space="0" w:color="auto"/>
      </w:divBdr>
    </w:div>
    <w:div w:id="1153986351">
      <w:bodyDiv w:val="1"/>
      <w:marLeft w:val="0"/>
      <w:marRight w:val="0"/>
      <w:marTop w:val="0"/>
      <w:marBottom w:val="0"/>
      <w:divBdr>
        <w:top w:val="none" w:sz="0" w:space="0" w:color="auto"/>
        <w:left w:val="none" w:sz="0" w:space="0" w:color="auto"/>
        <w:bottom w:val="none" w:sz="0" w:space="0" w:color="auto"/>
        <w:right w:val="none" w:sz="0" w:space="0" w:color="auto"/>
      </w:divBdr>
    </w:div>
    <w:div w:id="1188638469">
      <w:bodyDiv w:val="1"/>
      <w:marLeft w:val="0"/>
      <w:marRight w:val="0"/>
      <w:marTop w:val="0"/>
      <w:marBottom w:val="0"/>
      <w:divBdr>
        <w:top w:val="none" w:sz="0" w:space="0" w:color="auto"/>
        <w:left w:val="none" w:sz="0" w:space="0" w:color="auto"/>
        <w:bottom w:val="none" w:sz="0" w:space="0" w:color="auto"/>
        <w:right w:val="none" w:sz="0" w:space="0" w:color="auto"/>
      </w:divBdr>
    </w:div>
    <w:div w:id="1206330011">
      <w:bodyDiv w:val="1"/>
      <w:marLeft w:val="0"/>
      <w:marRight w:val="0"/>
      <w:marTop w:val="0"/>
      <w:marBottom w:val="0"/>
      <w:divBdr>
        <w:top w:val="none" w:sz="0" w:space="0" w:color="auto"/>
        <w:left w:val="none" w:sz="0" w:space="0" w:color="auto"/>
        <w:bottom w:val="none" w:sz="0" w:space="0" w:color="auto"/>
        <w:right w:val="none" w:sz="0" w:space="0" w:color="auto"/>
      </w:divBdr>
    </w:div>
    <w:div w:id="1266500268">
      <w:bodyDiv w:val="1"/>
      <w:marLeft w:val="0"/>
      <w:marRight w:val="0"/>
      <w:marTop w:val="0"/>
      <w:marBottom w:val="0"/>
      <w:divBdr>
        <w:top w:val="none" w:sz="0" w:space="0" w:color="auto"/>
        <w:left w:val="none" w:sz="0" w:space="0" w:color="auto"/>
        <w:bottom w:val="none" w:sz="0" w:space="0" w:color="auto"/>
        <w:right w:val="none" w:sz="0" w:space="0" w:color="auto"/>
      </w:divBdr>
    </w:div>
    <w:div w:id="1301569410">
      <w:bodyDiv w:val="1"/>
      <w:marLeft w:val="0"/>
      <w:marRight w:val="0"/>
      <w:marTop w:val="0"/>
      <w:marBottom w:val="0"/>
      <w:divBdr>
        <w:top w:val="none" w:sz="0" w:space="0" w:color="auto"/>
        <w:left w:val="none" w:sz="0" w:space="0" w:color="auto"/>
        <w:bottom w:val="none" w:sz="0" w:space="0" w:color="auto"/>
        <w:right w:val="none" w:sz="0" w:space="0" w:color="auto"/>
      </w:divBdr>
    </w:div>
    <w:div w:id="1305961502">
      <w:bodyDiv w:val="1"/>
      <w:marLeft w:val="0"/>
      <w:marRight w:val="0"/>
      <w:marTop w:val="0"/>
      <w:marBottom w:val="0"/>
      <w:divBdr>
        <w:top w:val="none" w:sz="0" w:space="0" w:color="auto"/>
        <w:left w:val="none" w:sz="0" w:space="0" w:color="auto"/>
        <w:bottom w:val="none" w:sz="0" w:space="0" w:color="auto"/>
        <w:right w:val="none" w:sz="0" w:space="0" w:color="auto"/>
      </w:divBdr>
    </w:div>
    <w:div w:id="1381516713">
      <w:bodyDiv w:val="1"/>
      <w:marLeft w:val="0"/>
      <w:marRight w:val="0"/>
      <w:marTop w:val="0"/>
      <w:marBottom w:val="0"/>
      <w:divBdr>
        <w:top w:val="none" w:sz="0" w:space="0" w:color="auto"/>
        <w:left w:val="none" w:sz="0" w:space="0" w:color="auto"/>
        <w:bottom w:val="none" w:sz="0" w:space="0" w:color="auto"/>
        <w:right w:val="none" w:sz="0" w:space="0" w:color="auto"/>
      </w:divBdr>
    </w:div>
    <w:div w:id="1396321677">
      <w:bodyDiv w:val="1"/>
      <w:marLeft w:val="0"/>
      <w:marRight w:val="0"/>
      <w:marTop w:val="0"/>
      <w:marBottom w:val="0"/>
      <w:divBdr>
        <w:top w:val="none" w:sz="0" w:space="0" w:color="auto"/>
        <w:left w:val="none" w:sz="0" w:space="0" w:color="auto"/>
        <w:bottom w:val="none" w:sz="0" w:space="0" w:color="auto"/>
        <w:right w:val="none" w:sz="0" w:space="0" w:color="auto"/>
      </w:divBdr>
    </w:div>
    <w:div w:id="1447889139">
      <w:bodyDiv w:val="1"/>
      <w:marLeft w:val="0"/>
      <w:marRight w:val="0"/>
      <w:marTop w:val="0"/>
      <w:marBottom w:val="0"/>
      <w:divBdr>
        <w:top w:val="none" w:sz="0" w:space="0" w:color="auto"/>
        <w:left w:val="none" w:sz="0" w:space="0" w:color="auto"/>
        <w:bottom w:val="none" w:sz="0" w:space="0" w:color="auto"/>
        <w:right w:val="none" w:sz="0" w:space="0" w:color="auto"/>
      </w:divBdr>
    </w:div>
    <w:div w:id="1479224920">
      <w:bodyDiv w:val="1"/>
      <w:marLeft w:val="0"/>
      <w:marRight w:val="0"/>
      <w:marTop w:val="0"/>
      <w:marBottom w:val="0"/>
      <w:divBdr>
        <w:top w:val="none" w:sz="0" w:space="0" w:color="auto"/>
        <w:left w:val="none" w:sz="0" w:space="0" w:color="auto"/>
        <w:bottom w:val="none" w:sz="0" w:space="0" w:color="auto"/>
        <w:right w:val="none" w:sz="0" w:space="0" w:color="auto"/>
      </w:divBdr>
    </w:div>
    <w:div w:id="1495955533">
      <w:bodyDiv w:val="1"/>
      <w:marLeft w:val="0"/>
      <w:marRight w:val="0"/>
      <w:marTop w:val="0"/>
      <w:marBottom w:val="0"/>
      <w:divBdr>
        <w:top w:val="none" w:sz="0" w:space="0" w:color="auto"/>
        <w:left w:val="none" w:sz="0" w:space="0" w:color="auto"/>
        <w:bottom w:val="none" w:sz="0" w:space="0" w:color="auto"/>
        <w:right w:val="none" w:sz="0" w:space="0" w:color="auto"/>
      </w:divBdr>
    </w:div>
    <w:div w:id="1617641113">
      <w:bodyDiv w:val="1"/>
      <w:marLeft w:val="0"/>
      <w:marRight w:val="0"/>
      <w:marTop w:val="0"/>
      <w:marBottom w:val="0"/>
      <w:divBdr>
        <w:top w:val="none" w:sz="0" w:space="0" w:color="auto"/>
        <w:left w:val="none" w:sz="0" w:space="0" w:color="auto"/>
        <w:bottom w:val="none" w:sz="0" w:space="0" w:color="auto"/>
        <w:right w:val="none" w:sz="0" w:space="0" w:color="auto"/>
      </w:divBdr>
    </w:div>
    <w:div w:id="1618246862">
      <w:bodyDiv w:val="1"/>
      <w:marLeft w:val="0"/>
      <w:marRight w:val="0"/>
      <w:marTop w:val="0"/>
      <w:marBottom w:val="0"/>
      <w:divBdr>
        <w:top w:val="none" w:sz="0" w:space="0" w:color="auto"/>
        <w:left w:val="none" w:sz="0" w:space="0" w:color="auto"/>
        <w:bottom w:val="none" w:sz="0" w:space="0" w:color="auto"/>
        <w:right w:val="none" w:sz="0" w:space="0" w:color="auto"/>
      </w:divBdr>
    </w:div>
    <w:div w:id="1639068762">
      <w:bodyDiv w:val="1"/>
      <w:marLeft w:val="0"/>
      <w:marRight w:val="0"/>
      <w:marTop w:val="0"/>
      <w:marBottom w:val="0"/>
      <w:divBdr>
        <w:top w:val="none" w:sz="0" w:space="0" w:color="auto"/>
        <w:left w:val="none" w:sz="0" w:space="0" w:color="auto"/>
        <w:bottom w:val="none" w:sz="0" w:space="0" w:color="auto"/>
        <w:right w:val="none" w:sz="0" w:space="0" w:color="auto"/>
      </w:divBdr>
    </w:div>
    <w:div w:id="1669862737">
      <w:bodyDiv w:val="1"/>
      <w:marLeft w:val="0"/>
      <w:marRight w:val="0"/>
      <w:marTop w:val="0"/>
      <w:marBottom w:val="0"/>
      <w:divBdr>
        <w:top w:val="none" w:sz="0" w:space="0" w:color="auto"/>
        <w:left w:val="none" w:sz="0" w:space="0" w:color="auto"/>
        <w:bottom w:val="none" w:sz="0" w:space="0" w:color="auto"/>
        <w:right w:val="none" w:sz="0" w:space="0" w:color="auto"/>
      </w:divBdr>
    </w:div>
    <w:div w:id="1703750219">
      <w:bodyDiv w:val="1"/>
      <w:marLeft w:val="0"/>
      <w:marRight w:val="0"/>
      <w:marTop w:val="0"/>
      <w:marBottom w:val="0"/>
      <w:divBdr>
        <w:top w:val="none" w:sz="0" w:space="0" w:color="auto"/>
        <w:left w:val="none" w:sz="0" w:space="0" w:color="auto"/>
        <w:bottom w:val="none" w:sz="0" w:space="0" w:color="auto"/>
        <w:right w:val="none" w:sz="0" w:space="0" w:color="auto"/>
      </w:divBdr>
    </w:div>
    <w:div w:id="1732194833">
      <w:bodyDiv w:val="1"/>
      <w:marLeft w:val="0"/>
      <w:marRight w:val="0"/>
      <w:marTop w:val="0"/>
      <w:marBottom w:val="0"/>
      <w:divBdr>
        <w:top w:val="none" w:sz="0" w:space="0" w:color="auto"/>
        <w:left w:val="none" w:sz="0" w:space="0" w:color="auto"/>
        <w:bottom w:val="none" w:sz="0" w:space="0" w:color="auto"/>
        <w:right w:val="none" w:sz="0" w:space="0" w:color="auto"/>
      </w:divBdr>
    </w:div>
    <w:div w:id="1793208522">
      <w:bodyDiv w:val="1"/>
      <w:marLeft w:val="0"/>
      <w:marRight w:val="0"/>
      <w:marTop w:val="0"/>
      <w:marBottom w:val="0"/>
      <w:divBdr>
        <w:top w:val="none" w:sz="0" w:space="0" w:color="auto"/>
        <w:left w:val="none" w:sz="0" w:space="0" w:color="auto"/>
        <w:bottom w:val="none" w:sz="0" w:space="0" w:color="auto"/>
        <w:right w:val="none" w:sz="0" w:space="0" w:color="auto"/>
      </w:divBdr>
    </w:div>
    <w:div w:id="1839150756">
      <w:bodyDiv w:val="1"/>
      <w:marLeft w:val="0"/>
      <w:marRight w:val="0"/>
      <w:marTop w:val="0"/>
      <w:marBottom w:val="0"/>
      <w:divBdr>
        <w:top w:val="none" w:sz="0" w:space="0" w:color="auto"/>
        <w:left w:val="none" w:sz="0" w:space="0" w:color="auto"/>
        <w:bottom w:val="none" w:sz="0" w:space="0" w:color="auto"/>
        <w:right w:val="none" w:sz="0" w:space="0" w:color="auto"/>
      </w:divBdr>
    </w:div>
    <w:div w:id="1928340418">
      <w:bodyDiv w:val="1"/>
      <w:marLeft w:val="0"/>
      <w:marRight w:val="0"/>
      <w:marTop w:val="0"/>
      <w:marBottom w:val="0"/>
      <w:divBdr>
        <w:top w:val="none" w:sz="0" w:space="0" w:color="auto"/>
        <w:left w:val="none" w:sz="0" w:space="0" w:color="auto"/>
        <w:bottom w:val="none" w:sz="0" w:space="0" w:color="auto"/>
        <w:right w:val="none" w:sz="0" w:space="0" w:color="auto"/>
      </w:divBdr>
    </w:div>
    <w:div w:id="1985236255">
      <w:bodyDiv w:val="1"/>
      <w:marLeft w:val="0"/>
      <w:marRight w:val="0"/>
      <w:marTop w:val="0"/>
      <w:marBottom w:val="0"/>
      <w:divBdr>
        <w:top w:val="none" w:sz="0" w:space="0" w:color="auto"/>
        <w:left w:val="none" w:sz="0" w:space="0" w:color="auto"/>
        <w:bottom w:val="none" w:sz="0" w:space="0" w:color="auto"/>
        <w:right w:val="none" w:sz="0" w:space="0" w:color="auto"/>
      </w:divBdr>
    </w:div>
    <w:div w:id="199229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Will4/2-3/71/conten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McF18</b:Tag>
    <b:SourceType>Book</b:SourceType>
    <b:Guid>{EA26ECAA-DB15-42BD-8061-F7E0E2638551}</b:Guid>
    <b:Author>
      <b:Author>
        <b:NameList>
          <b:Person>
            <b:Last>McFarlanr</b:Last>
            <b:First>Ben</b:First>
          </b:Person>
          <b:Person>
            <b:Last>Hopkins</b:Last>
            <b:First>Nicholas</b:First>
          </b:Person>
          <b:Person>
            <b:Last>Nield</b:Last>
            <b:First>Sarah</b:First>
          </b:Person>
        </b:NameList>
      </b:Author>
    </b:Author>
    <b:Title>land law text, cases and materials</b:Title>
    <b:Year>2018</b:Year>
    <b:City>Oxford</b:City>
    <b:Publisher>Oxford Univercity press</b:Publisher>
    <b:Edition>4th</b:Edition>
    <b:RefOrder>3</b:RefOrder>
  </b:Source>
  <b:Source>
    <b:Tag>Dud21</b:Tag>
    <b:SourceType>Book</b:SourceType>
    <b:Guid>{5E29E43F-8321-4D39-B1B1-FC6120291A74}</b:Guid>
    <b:Author>
      <b:Author>
        <b:NameList>
          <b:Person>
            <b:Last>Duddington</b:Last>
            <b:First>John</b:First>
          </b:Person>
        </b:NameList>
      </b:Author>
    </b:Author>
    <b:Title>Law express: Land law</b:Title>
    <b:Year>2021</b:Year>
    <b:City>New York</b:City>
    <b:Publisher>Pearson Education Limited</b:Publisher>
    <b:Edition>8th</b:Edition>
    <b:RefOrder>4</b:RefOrder>
  </b:Source>
  <b:Source>
    <b:Tag>Dix21</b:Tag>
    <b:SourceType>Book</b:SourceType>
    <b:Guid>{94E77149-896D-4EDB-BEB0-9CABE97F8835}</b:Guid>
    <b:Author>
      <b:Author>
        <b:NameList>
          <b:Person>
            <b:Last>Dixon</b:Last>
            <b:First>Martin</b:First>
          </b:Person>
        </b:NameList>
      </b:Author>
    </b:Author>
    <b:Title>Modern Land Law</b:Title>
    <b:Year>2021</b:Year>
    <b:City>Oxfordshire</b:City>
    <b:Publisher>Routledge</b:Publisher>
    <b:RefOrder>2</b:RefOrder>
  </b:Source>
  <b:Source>
    <b:Tag>Gra11</b:Tag>
    <b:SourceType>Book</b:SourceType>
    <b:Guid>{EBBCAA3C-AB7F-4043-A271-87ABA8677622}</b:Guid>
    <b:Author>
      <b:Author>
        <b:NameList>
          <b:Person>
            <b:Last>Gray</b:Last>
            <b:First>Kevin</b:First>
          </b:Person>
          <b:Person>
            <b:Last>Gray</b:Last>
            <b:First>Susan</b:First>
          </b:Person>
        </b:NameList>
      </b:Author>
    </b:Author>
    <b:Title>Land Law</b:Title>
    <b:Year>2011</b:Year>
    <b:City>Oxford</b:City>
    <b:Publisher>Oxford University press</b:Publisher>
    <b:Edition>7th</b:Edition>
    <b:RefOrder>1</b:RefOrder>
  </b:Source>
</b:Sources>
</file>

<file path=customXml/itemProps1.xml><?xml version="1.0" encoding="utf-8"?>
<ds:datastoreItem xmlns:ds="http://schemas.openxmlformats.org/officeDocument/2006/customXml" ds:itemID="{366457AB-B0B8-4DE3-BF62-79CB687A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11</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Emyr Harries</dc:creator>
  <cp:keywords/>
  <dc:description/>
  <cp:lastModifiedBy>Emyr Harries</cp:lastModifiedBy>
  <cp:revision>2</cp:revision>
  <dcterms:created xsi:type="dcterms:W3CDTF">2021-11-05T16:39:00Z</dcterms:created>
  <dcterms:modified xsi:type="dcterms:W3CDTF">2021-11-05T23:46:00Z</dcterms:modified>
</cp:coreProperties>
</file>