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7ADE" w:rsidRPr="002C4190" w:rsidRDefault="00A17ADE" w:rsidP="00A17ADE">
      <w:pPr>
        <w:pStyle w:val="NoSpacing"/>
        <w:spacing w:before="1540" w:after="240"/>
        <w:jc w:val="center"/>
        <w:rPr>
          <w:rFonts w:ascii="Times New Roman" w:hAnsi="Times New Roman" w:cs="Times New Roman"/>
          <w:color w:val="4F81BD" w:themeColor="accent1"/>
        </w:rPr>
      </w:pPr>
      <w:r w:rsidRPr="002C4190">
        <w:rPr>
          <w:rFonts w:ascii="Times New Roman" w:hAnsi="Times New Roman" w:cs="Times New Roman"/>
          <w:noProof/>
          <w:color w:val="4F81BD" w:themeColor="accent1"/>
        </w:rPr>
        <w:drawing>
          <wp:inline distT="0" distB="0" distL="0" distR="0" wp14:anchorId="67BA30A3" wp14:editId="6CE8D8D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F81BD" w:themeColor="accent1"/>
          <w:sz w:val="32"/>
          <w:szCs w:val="32"/>
        </w:rPr>
        <w:alias w:val="Title"/>
        <w:tag w:val=""/>
        <w:id w:val="1735040861"/>
        <w:placeholder>
          <w:docPart w:val="6794A4C43FF54CB3A7F1795E8EAC0DDB"/>
        </w:placeholder>
        <w:dataBinding w:prefixMappings="xmlns:ns0='http://purl.org/dc/elements/1.1/' xmlns:ns1='http://schemas.openxmlformats.org/package/2006/metadata/core-properties' " w:xpath="/ns1:coreProperties[1]/ns0:title[1]" w:storeItemID="{6C3C8BC8-F283-45AE-878A-BAB7291924A1}"/>
        <w:text/>
      </w:sdtPr>
      <w:sdtContent>
        <w:p w:rsidR="00A17ADE" w:rsidRPr="002C4190" w:rsidRDefault="00A17ADE" w:rsidP="00A17ADE">
          <w:pPr>
            <w:pStyle w:val="NoSpacing"/>
            <w:pBdr>
              <w:top w:val="single" w:sz="6" w:space="6" w:color="4F81BD" w:themeColor="accent1"/>
              <w:bottom w:val="single" w:sz="6" w:space="0" w:color="4F81BD" w:themeColor="accent1"/>
            </w:pBdr>
            <w:spacing w:after="240"/>
            <w:jc w:val="center"/>
            <w:rPr>
              <w:rFonts w:ascii="Times New Roman" w:eastAsiaTheme="majorEastAsia" w:hAnsi="Times New Roman" w:cs="Times New Roman"/>
              <w:caps/>
              <w:color w:val="4F81BD" w:themeColor="accent1"/>
              <w:sz w:val="80"/>
              <w:szCs w:val="80"/>
            </w:rPr>
          </w:pPr>
          <w:r>
            <w:rPr>
              <w:rFonts w:ascii="Times New Roman" w:eastAsiaTheme="majorEastAsia" w:hAnsi="Times New Roman" w:cs="Times New Roman"/>
              <w:caps/>
              <w:color w:val="4F81BD" w:themeColor="accent1"/>
              <w:sz w:val="32"/>
              <w:szCs w:val="32"/>
            </w:rPr>
            <w:t>contemporary issues in performance management</w:t>
          </w:r>
        </w:p>
      </w:sdtContent>
    </w:sdt>
    <w:p w:rsidR="00A17ADE" w:rsidRDefault="00A17ADE" w:rsidP="00A17ADE">
      <w:pPr>
        <w:pStyle w:val="NoSpacing"/>
        <w:jc w:val="center"/>
        <w:rPr>
          <w:rFonts w:ascii="Times New Roman" w:hAnsi="Times New Roman" w:cs="Times New Roman"/>
          <w:color w:val="4F81BD" w:themeColor="accent1"/>
          <w:sz w:val="28"/>
          <w:szCs w:val="28"/>
        </w:rPr>
      </w:pPr>
      <w:sdt>
        <w:sdtPr>
          <w:rPr>
            <w:rFonts w:ascii="Times New Roman" w:hAnsi="Times New Roman" w:cs="Times New Roman"/>
            <w:color w:val="4F81BD"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roofErr w:type="spellStart"/>
          <w:r>
            <w:rPr>
              <w:rFonts w:ascii="Times New Roman" w:hAnsi="Times New Roman" w:cs="Times New Roman"/>
              <w:color w:val="4F81BD" w:themeColor="accent1"/>
              <w:sz w:val="28"/>
              <w:szCs w:val="28"/>
            </w:rPr>
            <w:t>Ashita</w:t>
          </w:r>
          <w:proofErr w:type="spellEnd"/>
          <w:r>
            <w:rPr>
              <w:rFonts w:ascii="Times New Roman" w:hAnsi="Times New Roman" w:cs="Times New Roman"/>
              <w:color w:val="4F81BD" w:themeColor="accent1"/>
              <w:sz w:val="28"/>
              <w:szCs w:val="28"/>
            </w:rPr>
            <w:t xml:space="preserve"> </w:t>
          </w:r>
          <w:proofErr w:type="spellStart"/>
          <w:r>
            <w:rPr>
              <w:rFonts w:ascii="Times New Roman" w:hAnsi="Times New Roman" w:cs="Times New Roman"/>
              <w:color w:val="4F81BD" w:themeColor="accent1"/>
              <w:sz w:val="28"/>
              <w:szCs w:val="28"/>
            </w:rPr>
            <w:t>Satishbhai</w:t>
          </w:r>
          <w:proofErr w:type="spellEnd"/>
          <w:r>
            <w:rPr>
              <w:rFonts w:ascii="Times New Roman" w:hAnsi="Times New Roman" w:cs="Times New Roman"/>
              <w:color w:val="4F81BD" w:themeColor="accent1"/>
              <w:sz w:val="28"/>
              <w:szCs w:val="28"/>
            </w:rPr>
            <w:t xml:space="preserve"> </w:t>
          </w:r>
          <w:proofErr w:type="spellStart"/>
          <w:r>
            <w:rPr>
              <w:rFonts w:ascii="Times New Roman" w:hAnsi="Times New Roman" w:cs="Times New Roman"/>
              <w:color w:val="4F81BD" w:themeColor="accent1"/>
              <w:sz w:val="28"/>
              <w:szCs w:val="28"/>
            </w:rPr>
            <w:t>Borada</w:t>
          </w:r>
          <w:proofErr w:type="spellEnd"/>
        </w:sdtContent>
      </w:sdt>
    </w:p>
    <w:p w:rsidR="00A17ADE" w:rsidRDefault="00A17ADE" w:rsidP="00A17ADE">
      <w:pPr>
        <w:pStyle w:val="NoSpacing"/>
        <w:jc w:val="center"/>
        <w:rPr>
          <w:rFonts w:ascii="Times New Roman" w:hAnsi="Times New Roman" w:cs="Times New Roman"/>
          <w:color w:val="4F81BD" w:themeColor="accent1"/>
          <w:sz w:val="28"/>
          <w:szCs w:val="28"/>
        </w:rPr>
      </w:pPr>
      <w:r>
        <w:rPr>
          <w:rFonts w:ascii="Times New Roman" w:hAnsi="Times New Roman" w:cs="Times New Roman"/>
          <w:color w:val="4F81BD" w:themeColor="accent1"/>
          <w:sz w:val="28"/>
          <w:szCs w:val="28"/>
        </w:rPr>
        <w:t xml:space="preserve">Tutor: Marie </w:t>
      </w:r>
      <w:proofErr w:type="spellStart"/>
      <w:r>
        <w:rPr>
          <w:rFonts w:ascii="Times New Roman" w:hAnsi="Times New Roman" w:cs="Times New Roman"/>
          <w:color w:val="4F81BD" w:themeColor="accent1"/>
          <w:sz w:val="28"/>
          <w:szCs w:val="28"/>
        </w:rPr>
        <w:t>Pitson</w:t>
      </w:r>
      <w:proofErr w:type="spellEnd"/>
    </w:p>
    <w:p w:rsidR="00A17ADE" w:rsidRDefault="00A17ADE" w:rsidP="00A17ADE">
      <w:pPr>
        <w:pStyle w:val="NoSpacing"/>
        <w:jc w:val="center"/>
        <w:rPr>
          <w:rFonts w:ascii="Times New Roman" w:hAnsi="Times New Roman" w:cs="Times New Roman"/>
          <w:color w:val="4F81BD" w:themeColor="accent1"/>
          <w:sz w:val="28"/>
          <w:szCs w:val="28"/>
        </w:rPr>
      </w:pPr>
      <w:r>
        <w:rPr>
          <w:rFonts w:ascii="Times New Roman" w:hAnsi="Times New Roman" w:cs="Times New Roman"/>
          <w:color w:val="4F81BD" w:themeColor="accent1"/>
          <w:sz w:val="28"/>
          <w:szCs w:val="28"/>
        </w:rPr>
        <w:t>Module: BMMB7017</w:t>
      </w:r>
    </w:p>
    <w:p w:rsidR="00A17ADE" w:rsidRPr="00C54971" w:rsidRDefault="00A17ADE" w:rsidP="00A17ADE">
      <w:pPr>
        <w:pStyle w:val="NoSpacing"/>
        <w:jc w:val="center"/>
        <w:rPr>
          <w:rFonts w:ascii="Times New Roman" w:hAnsi="Times New Roman" w:cs="Times New Roman"/>
          <w:color w:val="4F81BD" w:themeColor="accent1"/>
          <w:sz w:val="28"/>
          <w:szCs w:val="28"/>
        </w:rPr>
      </w:pPr>
      <w:r>
        <w:rPr>
          <w:rFonts w:ascii="Times New Roman" w:hAnsi="Times New Roman" w:cs="Times New Roman"/>
          <w:color w:val="4F81BD" w:themeColor="accent1"/>
          <w:sz w:val="28"/>
          <w:szCs w:val="28"/>
        </w:rPr>
        <w:t xml:space="preserve">Student </w:t>
      </w:r>
      <w:proofErr w:type="gramStart"/>
      <w:r>
        <w:rPr>
          <w:rFonts w:ascii="Times New Roman" w:hAnsi="Times New Roman" w:cs="Times New Roman"/>
          <w:color w:val="4F81BD" w:themeColor="accent1"/>
          <w:sz w:val="28"/>
          <w:szCs w:val="28"/>
        </w:rPr>
        <w:t>id :</w:t>
      </w:r>
      <w:proofErr w:type="gramEnd"/>
      <w:r>
        <w:rPr>
          <w:rFonts w:ascii="Times New Roman" w:hAnsi="Times New Roman" w:cs="Times New Roman"/>
          <w:color w:val="4F81BD" w:themeColor="accent1"/>
          <w:sz w:val="28"/>
          <w:szCs w:val="28"/>
        </w:rPr>
        <w:t xml:space="preserve"> 2216089 </w:t>
      </w:r>
    </w:p>
    <w:p w:rsidR="00A17ADE" w:rsidRDefault="00A17ADE" w:rsidP="00A17ADE">
      <w:pPr>
        <w:pStyle w:val="NoSpacing"/>
        <w:jc w:val="center"/>
      </w:pPr>
    </w:p>
    <w:p w:rsidR="00A17ADE" w:rsidRDefault="00A17ADE" w:rsidP="00A17ADE">
      <w:pPr>
        <w:pStyle w:val="NoSpacing"/>
        <w:jc w:val="center"/>
      </w:pPr>
      <w:r w:rsidRPr="002C4190">
        <w:rPr>
          <w:noProof/>
        </w:rPr>
        <w:drawing>
          <wp:inline distT="0" distB="0" distL="0" distR="0" wp14:anchorId="0A20A68E" wp14:editId="21A24F48">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A17ADE" w:rsidRDefault="00A17ADE" w:rsidP="00A17ADE">
      <w:pPr>
        <w:pStyle w:val="NoSpacing"/>
        <w:jc w:val="center"/>
      </w:pPr>
    </w:p>
    <w:p w:rsidR="00A17ADE" w:rsidRDefault="00A17ADE" w:rsidP="00A17ADE">
      <w:pPr>
        <w:pStyle w:val="NoSpacing"/>
        <w:jc w:val="center"/>
      </w:pPr>
    </w:p>
    <w:p w:rsidR="00A17ADE" w:rsidRDefault="00A17ADE" w:rsidP="00A17ADE">
      <w:pPr>
        <w:pStyle w:val="NoSpacing"/>
        <w:jc w:val="center"/>
      </w:pPr>
    </w:p>
    <w:p w:rsidR="00A17ADE" w:rsidRDefault="00A17ADE" w:rsidP="00A17ADE">
      <w:pPr>
        <w:pStyle w:val="NoSpacing"/>
        <w:jc w:val="center"/>
      </w:pPr>
    </w:p>
    <w:p w:rsidR="00A17ADE" w:rsidRDefault="00A17ADE" w:rsidP="00A17ADE">
      <w:pPr>
        <w:pStyle w:val="NoSpacing"/>
        <w:jc w:val="center"/>
      </w:pPr>
    </w:p>
    <w:p w:rsidR="00A17ADE" w:rsidRDefault="00A17ADE" w:rsidP="00A17ADE">
      <w:pPr>
        <w:pStyle w:val="NoSpacing"/>
        <w:jc w:val="center"/>
      </w:pPr>
    </w:p>
    <w:p w:rsidR="00A17ADE" w:rsidRDefault="00A17ADE" w:rsidP="00A17ADE">
      <w:pPr>
        <w:pStyle w:val="NoSpacing"/>
        <w:jc w:val="center"/>
      </w:pPr>
    </w:p>
    <w:p w:rsidR="00A17ADE" w:rsidRDefault="00A17ADE" w:rsidP="00A17ADE">
      <w:pPr>
        <w:pStyle w:val="NoSpacing"/>
        <w:jc w:val="center"/>
      </w:pPr>
    </w:p>
    <w:p w:rsidR="00A17ADE" w:rsidRDefault="00A17ADE" w:rsidP="00A17ADE">
      <w:pPr>
        <w:pStyle w:val="NoSpacing"/>
        <w:jc w:val="center"/>
      </w:pPr>
    </w:p>
    <w:p w:rsidR="00A17ADE" w:rsidRDefault="00A17ADE" w:rsidP="00A17ADE">
      <w:pPr>
        <w:pStyle w:val="NoSpacing"/>
        <w:jc w:val="center"/>
      </w:pPr>
    </w:p>
    <w:p w:rsidR="00A17ADE" w:rsidRDefault="00A17ADE" w:rsidP="00A17ADE">
      <w:pPr>
        <w:pStyle w:val="NoSpacing"/>
        <w:jc w:val="center"/>
      </w:pPr>
    </w:p>
    <w:p w:rsidR="00A17ADE" w:rsidRDefault="00A17ADE" w:rsidP="00A17ADE">
      <w:pPr>
        <w:pStyle w:val="NoSpacing"/>
        <w:jc w:val="center"/>
      </w:pPr>
    </w:p>
    <w:p w:rsidR="00A17ADE" w:rsidRDefault="00A17ADE" w:rsidP="00A17ADE">
      <w:pPr>
        <w:pStyle w:val="NoSpacing"/>
        <w:jc w:val="center"/>
      </w:pPr>
    </w:p>
    <w:p w:rsidR="00A17ADE" w:rsidRDefault="00A17ADE" w:rsidP="00A17ADE">
      <w:pPr>
        <w:pStyle w:val="NoSpacing"/>
        <w:jc w:val="center"/>
      </w:pPr>
    </w:p>
    <w:p w:rsidR="00A17ADE" w:rsidRDefault="00A17ADE" w:rsidP="00A17ADE">
      <w:pPr>
        <w:pStyle w:val="NoSpacing"/>
        <w:jc w:val="center"/>
      </w:pPr>
    </w:p>
    <w:p w:rsidR="00A17ADE" w:rsidRDefault="00A17ADE" w:rsidP="00A17ADE">
      <w:pPr>
        <w:pStyle w:val="NoSpacing"/>
        <w:jc w:val="center"/>
      </w:pPr>
    </w:p>
    <w:p w:rsidR="00A17ADE" w:rsidRDefault="00A17ADE" w:rsidP="00A17ADE">
      <w:pPr>
        <w:pStyle w:val="NoSpacing"/>
        <w:jc w:val="center"/>
      </w:pPr>
    </w:p>
    <w:p w:rsidR="00A17ADE" w:rsidRDefault="00A17ADE" w:rsidP="00A17ADE">
      <w:pPr>
        <w:pStyle w:val="NoSpacing"/>
        <w:jc w:val="center"/>
      </w:pPr>
    </w:p>
    <w:sdt>
      <w:sdtPr>
        <w:rPr>
          <w:rFonts w:ascii="Times New Roman" w:hAnsi="Times New Roman" w:cs="Times New Roman"/>
          <w:caps/>
          <w:color w:val="4F81BD" w:themeColor="accent1"/>
          <w:sz w:val="28"/>
          <w:szCs w:val="28"/>
        </w:rPr>
        <w:alias w:val="Date"/>
        <w:tag w:val=""/>
        <w:id w:val="-659223523"/>
        <w:dataBinding w:prefixMappings="xmlns:ns0='http://schemas.microsoft.com/office/2006/coverPageProps' " w:xpath="/ns0:CoverPageProperties[1]/ns0:PublishDate[1]" w:storeItemID="{55AF091B-3C7A-41E3-B477-F2FDAA23CFDA}"/>
        <w:date w:fullDate="2023-04-29T00:00:00Z">
          <w:dateFormat w:val="MMMM d, yyyy"/>
          <w:lid w:val="en-US"/>
          <w:storeMappedDataAs w:val="dateTime"/>
          <w:calendar w:val="gregorian"/>
        </w:date>
      </w:sdtPr>
      <w:sdtContent>
        <w:p w:rsidR="00A17ADE" w:rsidRPr="002C4190" w:rsidRDefault="00A17ADE" w:rsidP="00A17ADE">
          <w:pPr>
            <w:pStyle w:val="NoSpacing"/>
            <w:spacing w:after="40"/>
            <w:jc w:val="center"/>
            <w:rPr>
              <w:rFonts w:ascii="Times New Roman" w:hAnsi="Times New Roman" w:cs="Times New Roman"/>
              <w:caps/>
              <w:color w:val="4F81BD" w:themeColor="accent1"/>
              <w:sz w:val="28"/>
              <w:szCs w:val="28"/>
            </w:rPr>
          </w:pPr>
          <w:r>
            <w:rPr>
              <w:rFonts w:ascii="Times New Roman" w:hAnsi="Times New Roman" w:cs="Times New Roman"/>
              <w:caps/>
              <w:color w:val="4F81BD" w:themeColor="accent1"/>
              <w:sz w:val="28"/>
              <w:szCs w:val="28"/>
            </w:rPr>
            <w:t>April 29, 2023</w:t>
          </w:r>
        </w:p>
      </w:sdtContent>
    </w:sdt>
    <w:p w:rsidR="00A17ADE" w:rsidRPr="00A17ADE" w:rsidRDefault="0042473D" w:rsidP="00A17ADE">
      <w:pPr>
        <w:pStyle w:val="NoSpacing"/>
        <w:jc w:val="center"/>
        <w:rPr>
          <w:rFonts w:ascii="Times New Roman" w:hAnsi="Times New Roman" w:cs="Times New Roman"/>
          <w:color w:val="4F81BD" w:themeColor="accent1"/>
          <w:sz w:val="36"/>
          <w:szCs w:val="36"/>
        </w:rPr>
      </w:pPr>
      <w:r w:rsidRPr="002C4190">
        <w:rPr>
          <w:rFonts w:ascii="Times New Roman" w:hAnsi="Times New Roman" w:cs="Times New Roman"/>
          <w:noProof/>
          <w:color w:val="4F81BD" w:themeColor="accent1"/>
        </w:rPr>
        <mc:AlternateContent>
          <mc:Choice Requires="wps">
            <w:drawing>
              <wp:anchor distT="0" distB="0" distL="114300" distR="114300" simplePos="0" relativeHeight="251659264" behindDoc="0" locked="0" layoutInCell="1" allowOverlap="1" wp14:anchorId="55BE593D" wp14:editId="0272503B">
                <wp:simplePos x="0" y="0"/>
                <wp:positionH relativeFrom="margin">
                  <wp:posOffset>-57150</wp:posOffset>
                </wp:positionH>
                <wp:positionV relativeFrom="page">
                  <wp:posOffset>8130540</wp:posOffset>
                </wp:positionV>
                <wp:extent cx="5731510" cy="589915"/>
                <wp:effectExtent l="0" t="0" r="0" b="1524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17ADE" w:rsidRPr="002C4190" w:rsidRDefault="00A17ADE" w:rsidP="00A17ADE">
                            <w:pPr>
                              <w:pStyle w:val="NoSpacing"/>
                              <w:jc w:val="center"/>
                              <w:rPr>
                                <w:rFonts w:ascii="Times New Roman" w:hAnsi="Times New Roman" w:cs="Times New Roman"/>
                                <w:color w:val="4F81BD" w:themeColor="accent1"/>
                              </w:rPr>
                            </w:pPr>
                            <w:sdt>
                              <w:sdtPr>
                                <w:rPr>
                                  <w:rFonts w:ascii="Times New Roman" w:hAnsi="Times New Roman" w:cs="Times New Roman"/>
                                  <w:caps/>
                                  <w:color w:val="4F81BD"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Pr="0042473D">
                                  <w:rPr>
                                    <w:rFonts w:ascii="Times New Roman" w:hAnsi="Times New Roman" w:cs="Times New Roman"/>
                                    <w:caps/>
                                    <w:color w:val="4F81BD" w:themeColor="accent1"/>
                                    <w:sz w:val="28"/>
                                    <w:szCs w:val="28"/>
                                  </w:rPr>
                                  <w:t>University of Wales trinity saint david</w:t>
                                </w:r>
                              </w:sdtContent>
                            </w:sdt>
                          </w:p>
                          <w:p w:rsidR="00A17ADE" w:rsidRPr="002C4190" w:rsidRDefault="00A17ADE" w:rsidP="00A17ADE">
                            <w:pPr>
                              <w:pStyle w:val="NoSpacing"/>
                              <w:jc w:val="center"/>
                              <w:rPr>
                                <w:rFonts w:ascii="Times New Roman" w:hAnsi="Times New Roman" w:cs="Times New Roman"/>
                                <w:color w:val="4F81BD" w:themeColor="accent1"/>
                              </w:rPr>
                            </w:pPr>
                            <w:sdt>
                              <w:sdtPr>
                                <w:rPr>
                                  <w:rFonts w:ascii="Times New Roman" w:hAnsi="Times New Roman" w:cs="Times New Roman"/>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rFonts w:ascii="Times New Roman" w:hAnsi="Times New Roman" w:cs="Times New Roman"/>
                                    <w:color w:val="4F81BD"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4.5pt;margin-top:640.2pt;width:451.3pt;height:46.4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" filled="f" stroked="f" strokeweight=".5pt">
                <v:textbox style="mso-fit-shape-to-text:t" inset="0,0,0,0">
                  <w:txbxContent>
                    <w:p w:rsidR="00A17ADE" w:rsidRPr="002C4190" w:rsidRDefault="00A17ADE" w:rsidP="00A17ADE">
                      <w:pPr>
                        <w:pStyle w:val="NoSpacing"/>
                        <w:jc w:val="center"/>
                        <w:rPr>
                          <w:rFonts w:ascii="Times New Roman" w:hAnsi="Times New Roman" w:cs="Times New Roman"/>
                          <w:color w:val="4F81BD" w:themeColor="accent1"/>
                        </w:rPr>
                      </w:pPr>
                      <w:sdt>
                        <w:sdtPr>
                          <w:rPr>
                            <w:rFonts w:ascii="Times New Roman" w:hAnsi="Times New Roman" w:cs="Times New Roman"/>
                            <w:caps/>
                            <w:color w:val="4F81BD"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Pr="0042473D">
                            <w:rPr>
                              <w:rFonts w:ascii="Times New Roman" w:hAnsi="Times New Roman" w:cs="Times New Roman"/>
                              <w:caps/>
                              <w:color w:val="4F81BD" w:themeColor="accent1"/>
                              <w:sz w:val="28"/>
                              <w:szCs w:val="28"/>
                            </w:rPr>
                            <w:t>University of Wales trinity saint david</w:t>
                          </w:r>
                        </w:sdtContent>
                      </w:sdt>
                    </w:p>
                    <w:p w:rsidR="00A17ADE" w:rsidRPr="002C4190" w:rsidRDefault="00A17ADE" w:rsidP="00A17ADE">
                      <w:pPr>
                        <w:pStyle w:val="NoSpacing"/>
                        <w:jc w:val="center"/>
                        <w:rPr>
                          <w:rFonts w:ascii="Times New Roman" w:hAnsi="Times New Roman" w:cs="Times New Roman"/>
                          <w:color w:val="4F81BD" w:themeColor="accent1"/>
                        </w:rPr>
                      </w:pPr>
                      <w:sdt>
                        <w:sdtPr>
                          <w:rPr>
                            <w:rFonts w:ascii="Times New Roman" w:hAnsi="Times New Roman" w:cs="Times New Roman"/>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rFonts w:ascii="Times New Roman" w:hAnsi="Times New Roman" w:cs="Times New Roman"/>
                              <w:color w:val="4F81BD" w:themeColor="accent1"/>
                            </w:rPr>
                            <w:t xml:space="preserve">     </w:t>
                          </w:r>
                        </w:sdtContent>
                      </w:sdt>
                    </w:p>
                  </w:txbxContent>
                </v:textbox>
                <w10:wrap anchorx="margin" anchory="page"/>
              </v:shape>
            </w:pict>
          </mc:Fallback>
        </mc:AlternateContent>
      </w:r>
      <w:sdt>
        <w:sdtPr>
          <w:rPr>
            <w:rFonts w:ascii="Times New Roman" w:hAnsi="Times New Roman" w:cs="Times New Roman"/>
            <w:color w:val="4F81BD" w:themeColor="accent1"/>
            <w:sz w:val="36"/>
            <w:szCs w:val="36"/>
          </w:rPr>
          <w:alias w:val="Address"/>
          <w:tag w:val=""/>
          <w:id w:val="-220751216"/>
          <w:showingPlcHdr/>
          <w:dataBinding w:prefixMappings="xmlns:ns0='http://schemas.microsoft.com/office/2006/coverPageProps' " w:xpath="/ns0:CoverPageProperties[1]/ns0:CompanyAddress[1]" w:storeItemID="{55AF091B-3C7A-41E3-B477-F2FDAA23CFDA}"/>
          <w:text/>
        </w:sdtPr>
        <w:sdtContent>
          <w:r w:rsidR="00A17ADE">
            <w:rPr>
              <w:rFonts w:ascii="Times New Roman" w:hAnsi="Times New Roman" w:cs="Times New Roman"/>
              <w:color w:val="4F81BD" w:themeColor="accent1"/>
              <w:sz w:val="36"/>
              <w:szCs w:val="36"/>
            </w:rPr>
            <w:t xml:space="preserve">     </w:t>
          </w:r>
        </w:sdtContent>
      </w:sdt>
    </w:p>
    <w:p w:rsidR="00A17ADE" w:rsidRPr="002C4190" w:rsidRDefault="00A17ADE" w:rsidP="00A17ADE">
      <w:pPr>
        <w:pStyle w:val="NoSpacing"/>
        <w:spacing w:after="40"/>
        <w:jc w:val="center"/>
        <w:rPr>
          <w:rFonts w:ascii="Times New Roman" w:hAnsi="Times New Roman" w:cs="Times New Roman"/>
          <w:color w:val="4F81BD" w:themeColor="accent1"/>
        </w:rPr>
      </w:pPr>
      <w:r w:rsidRPr="002C4190">
        <w:t xml:space="preserve"> </w:t>
      </w:r>
    </w:p>
    <w:p w:rsidR="00A17ADE" w:rsidRPr="002C4190" w:rsidRDefault="00A17ADE" w:rsidP="00A17ADE">
      <w:pPr>
        <w:pStyle w:val="NoSpacing"/>
        <w:rPr>
          <w:rFonts w:ascii="Times New Roman" w:hAnsi="Times New Roman" w:cs="Times New Roman"/>
          <w:color w:val="4F81BD" w:themeColor="accent1"/>
        </w:rPr>
      </w:pPr>
    </w:p>
    <w:p w:rsidR="00A17ADE" w:rsidRPr="00A17ADE" w:rsidRDefault="00A17ADE" w:rsidP="00A17ADE">
      <w:pPr>
        <w:pStyle w:val="NoSpacing"/>
        <w:spacing w:after="40"/>
        <w:rPr>
          <w:rFonts w:ascii="Times New Roman" w:hAnsi="Times New Roman" w:cs="Times New Roman"/>
          <w:caps/>
          <w:color w:val="4F81BD" w:themeColor="accent1"/>
          <w:sz w:val="28"/>
          <w:szCs w:val="28"/>
        </w:rPr>
      </w:pPr>
      <w:r>
        <w:t xml:space="preserve">      </w:t>
      </w:r>
      <w:r w:rsidRPr="002C4190">
        <w:br w:type="page"/>
      </w:r>
      <w:bookmarkStart w:id="0" w:name="_GoBack"/>
      <w:bookmarkEnd w:id="0"/>
    </w:p>
    <w:sdt>
      <w:sdtPr>
        <w:rPr>
          <w:rFonts w:ascii="Times New Roman" w:eastAsiaTheme="minorHAnsi" w:hAnsi="Times New Roman" w:cs="Times New Roman"/>
          <w:color w:val="auto"/>
          <w:kern w:val="2"/>
          <w:sz w:val="24"/>
          <w:szCs w:val="24"/>
          <w:lang w:val="en-CA"/>
          <w14:ligatures w14:val="standardContextual"/>
        </w:rPr>
        <w:id w:val="-552238680"/>
        <w:docPartObj>
          <w:docPartGallery w:val="Table of Contents"/>
          <w:docPartUnique/>
        </w:docPartObj>
      </w:sdtPr>
      <w:sdtEndPr>
        <w:rPr>
          <w:b/>
          <w:bCs/>
          <w:noProof/>
        </w:rPr>
      </w:sdtEndPr>
      <w:sdtContent>
        <w:p w:rsidR="00A17ADE" w:rsidRPr="002C4190" w:rsidRDefault="00A17ADE" w:rsidP="00A17ADE">
          <w:pPr>
            <w:pStyle w:val="TOCHeading"/>
            <w:spacing w:before="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Table of Contents</w:t>
          </w:r>
        </w:p>
        <w:p w:rsidR="00A17ADE" w:rsidRPr="002C4190" w:rsidRDefault="00A17ADE" w:rsidP="00A17ADE">
          <w:pPr>
            <w:pStyle w:val="TOC1"/>
            <w:tabs>
              <w:tab w:val="right" w:leader="dot" w:pos="9350"/>
            </w:tabs>
            <w:rPr>
              <w:rFonts w:ascii="Times New Roman" w:eastAsiaTheme="minorEastAsia" w:hAnsi="Times New Roman" w:cs="Times New Roman"/>
              <w:noProof/>
              <w:kern w:val="0"/>
              <w:sz w:val="24"/>
              <w:szCs w:val="24"/>
              <w:lang w:eastAsia="en-CA"/>
              <w14:ligatures w14:val="none"/>
            </w:rPr>
          </w:pPr>
          <w:r w:rsidRPr="002C4190">
            <w:rPr>
              <w:rFonts w:ascii="Times New Roman" w:hAnsi="Times New Roman" w:cs="Times New Roman"/>
              <w:sz w:val="24"/>
              <w:szCs w:val="24"/>
            </w:rPr>
            <w:fldChar w:fldCharType="begin"/>
          </w:r>
          <w:r w:rsidRPr="002C4190">
            <w:rPr>
              <w:rFonts w:ascii="Times New Roman" w:hAnsi="Times New Roman" w:cs="Times New Roman"/>
              <w:sz w:val="24"/>
              <w:szCs w:val="24"/>
            </w:rPr>
            <w:instrText xml:space="preserve"> TOC \o "1-3" \h \z \u </w:instrText>
          </w:r>
          <w:r w:rsidRPr="002C4190">
            <w:rPr>
              <w:rFonts w:ascii="Times New Roman" w:hAnsi="Times New Roman" w:cs="Times New Roman"/>
              <w:sz w:val="24"/>
              <w:szCs w:val="24"/>
            </w:rPr>
            <w:fldChar w:fldCharType="separate"/>
          </w:r>
          <w:hyperlink w:anchor="_Toc132728727" w:history="1">
            <w:r w:rsidRPr="002C4190">
              <w:rPr>
                <w:rStyle w:val="Hyperlink"/>
                <w:rFonts w:ascii="Times New Roman" w:hAnsi="Times New Roman" w:cs="Times New Roman"/>
                <w:b/>
                <w:bCs/>
                <w:noProof/>
                <w:sz w:val="24"/>
                <w:szCs w:val="24"/>
              </w:rPr>
              <w:t>Executive Summary</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_Toc132728727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2</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1"/>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28" w:history="1">
            <w:r w:rsidRPr="002C4190">
              <w:rPr>
                <w:rStyle w:val="Hyperlink"/>
                <w:rFonts w:ascii="Times New Roman" w:hAnsi="Times New Roman" w:cs="Times New Roman"/>
                <w:b/>
                <w:bCs/>
                <w:noProof/>
                <w:sz w:val="24"/>
                <w:szCs w:val="24"/>
              </w:rPr>
              <w:t>Introduction</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_Toc132728728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2</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2"/>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29" w:history="1">
            <w:r w:rsidRPr="002C4190">
              <w:rPr>
                <w:rStyle w:val="Hyperlink"/>
                <w:rFonts w:ascii="Times New Roman" w:hAnsi="Times New Roman" w:cs="Times New Roman"/>
                <w:b/>
                <w:bCs/>
                <w:noProof/>
                <w:sz w:val="24"/>
                <w:szCs w:val="24"/>
              </w:rPr>
              <w:t>Evaluation of Divisional Performance</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_Toc132728729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3</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2"/>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30" w:history="1">
            <w:r w:rsidRPr="002C4190">
              <w:rPr>
                <w:rStyle w:val="Hyperlink"/>
                <w:rFonts w:ascii="Times New Roman" w:hAnsi="Times New Roman" w:cs="Times New Roman"/>
                <w:b/>
                <w:bCs/>
                <w:noProof/>
                <w:sz w:val="24"/>
                <w:szCs w:val="24"/>
              </w:rPr>
              <w:t>ROI Calculation</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_Toc132728730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3</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2"/>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31" w:history="1">
            <w:r w:rsidRPr="002C4190">
              <w:rPr>
                <w:rStyle w:val="Hyperlink"/>
                <w:rFonts w:ascii="Times New Roman" w:hAnsi="Times New Roman" w:cs="Times New Roman"/>
                <w:b/>
                <w:bCs/>
                <w:noProof/>
                <w:sz w:val="24"/>
                <w:szCs w:val="24"/>
              </w:rPr>
              <w:t>Residual Income (RI) Calculation</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_Toc132728731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4</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2"/>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32" w:history="1">
            <w:r w:rsidRPr="002C4190">
              <w:rPr>
                <w:rStyle w:val="Hyperlink"/>
                <w:rFonts w:ascii="Times New Roman" w:hAnsi="Times New Roman" w:cs="Times New Roman"/>
                <w:b/>
                <w:bCs/>
                <w:noProof/>
                <w:sz w:val="24"/>
                <w:szCs w:val="24"/>
              </w:rPr>
              <w:t>Economic Value Added (EVA</w:t>
            </w:r>
            <w:r w:rsidRPr="002C4190">
              <w:rPr>
                <w:rStyle w:val="Hyperlink"/>
                <w:rFonts w:ascii="Times New Roman" w:hAnsi="Times New Roman" w:cs="Times New Roman"/>
                <w:b/>
                <w:bCs/>
                <w:noProof/>
                <w:sz w:val="24"/>
                <w:szCs w:val="24"/>
                <w:vertAlign w:val="superscript"/>
              </w:rPr>
              <w:t>TM</w:t>
            </w:r>
            <w:r w:rsidRPr="002C4190">
              <w:rPr>
                <w:rStyle w:val="Hyperlink"/>
                <w:rFonts w:ascii="Times New Roman" w:hAnsi="Times New Roman" w:cs="Times New Roman"/>
                <w:b/>
                <w:bCs/>
                <w:noProof/>
                <w:sz w:val="24"/>
                <w:szCs w:val="24"/>
              </w:rPr>
              <w:t>) Calculation</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_Toc132728732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4</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2"/>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33" w:history="1">
            <w:r w:rsidRPr="002C4190">
              <w:rPr>
                <w:rStyle w:val="Hyperlink"/>
                <w:rFonts w:ascii="Times New Roman" w:hAnsi="Times New Roman" w:cs="Times New Roman"/>
                <w:b/>
                <w:bCs/>
                <w:noProof/>
                <w:sz w:val="24"/>
                <w:szCs w:val="24"/>
              </w:rPr>
              <w:t>Proposed Measures of Divisional Performance</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_Toc132728733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5</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2"/>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34" w:history="1">
            <w:r w:rsidRPr="002C4190">
              <w:rPr>
                <w:rStyle w:val="Hyperlink"/>
                <w:rFonts w:ascii="Times New Roman" w:hAnsi="Times New Roman" w:cs="Times New Roman"/>
                <w:b/>
                <w:bCs/>
                <w:noProof/>
                <w:sz w:val="24"/>
                <w:szCs w:val="24"/>
              </w:rPr>
              <w:t>Criteria for designing a transfer pricing system</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_Toc132728734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7</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2"/>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35" w:history="1">
            <w:r w:rsidRPr="002C4190">
              <w:rPr>
                <w:rStyle w:val="Hyperlink"/>
                <w:rFonts w:ascii="Times New Roman" w:hAnsi="Times New Roman" w:cs="Times New Roman"/>
                <w:b/>
                <w:bCs/>
                <w:noProof/>
                <w:sz w:val="24"/>
                <w:szCs w:val="24"/>
              </w:rPr>
              <w:t>Evaluation of the two methods for calculating the transfer price</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_Toc132728735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7</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2"/>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36" w:history="1">
            <w:r w:rsidRPr="002C4190">
              <w:rPr>
                <w:rStyle w:val="Hyperlink"/>
                <w:rFonts w:ascii="Times New Roman" w:hAnsi="Times New Roman" w:cs="Times New Roman"/>
                <w:b/>
                <w:bCs/>
                <w:noProof/>
                <w:sz w:val="24"/>
                <w:szCs w:val="24"/>
              </w:rPr>
              <w:t>Method 1: Market Price</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_Toc132728736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8</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2"/>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37" w:history="1">
            <w:r w:rsidRPr="002C4190">
              <w:rPr>
                <w:rStyle w:val="Hyperlink"/>
                <w:rFonts w:ascii="Times New Roman" w:hAnsi="Times New Roman" w:cs="Times New Roman"/>
                <w:b/>
                <w:bCs/>
                <w:noProof/>
                <w:sz w:val="24"/>
                <w:szCs w:val="24"/>
              </w:rPr>
              <w:t>Method 2: Cost Plus</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_Toc132728737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8</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2"/>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38" w:history="1">
            <w:r w:rsidRPr="002C4190">
              <w:rPr>
                <w:rStyle w:val="Hyperlink"/>
                <w:rFonts w:ascii="Times New Roman" w:hAnsi="Times New Roman" w:cs="Times New Roman"/>
                <w:b/>
                <w:bCs/>
                <w:noProof/>
                <w:sz w:val="24"/>
                <w:szCs w:val="24"/>
              </w:rPr>
              <w:t>Potential impact of the new executive Information system</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_Toc132728738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10</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1"/>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39" w:history="1">
            <w:r w:rsidRPr="002C4190">
              <w:rPr>
                <w:rStyle w:val="Hyperlink"/>
                <w:rFonts w:ascii="Times New Roman" w:hAnsi="Times New Roman" w:cs="Times New Roman"/>
                <w:b/>
                <w:bCs/>
                <w:noProof/>
                <w:sz w:val="24"/>
                <w:szCs w:val="24"/>
              </w:rPr>
              <w:t>CASE STUDY OF TROYLAND FOOTWEAR BRAND</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_Toc132728739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12</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2"/>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40" w:history="1">
            <w:r w:rsidRPr="002C4190">
              <w:rPr>
                <w:rStyle w:val="Hyperlink"/>
                <w:rFonts w:ascii="Times New Roman" w:hAnsi="Times New Roman" w:cs="Times New Roman"/>
                <w:b/>
                <w:bCs/>
                <w:noProof/>
                <w:sz w:val="24"/>
                <w:szCs w:val="24"/>
              </w:rPr>
              <w:t>Analysis of Costs</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_Toc132728740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12</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2"/>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41" w:history="1">
            <w:r w:rsidRPr="002C4190">
              <w:rPr>
                <w:rStyle w:val="Hyperlink"/>
                <w:rFonts w:ascii="Times New Roman" w:hAnsi="Times New Roman" w:cs="Times New Roman"/>
                <w:b/>
                <w:bCs/>
                <w:noProof/>
                <w:sz w:val="24"/>
                <w:szCs w:val="24"/>
              </w:rPr>
              <w:t>Analysis of Sales</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_Toc132728741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13</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2"/>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42" w:history="1">
            <w:r w:rsidRPr="002C4190">
              <w:rPr>
                <w:rStyle w:val="Hyperlink"/>
                <w:rFonts w:ascii="Times New Roman" w:hAnsi="Times New Roman" w:cs="Times New Roman"/>
                <w:b/>
                <w:bCs/>
                <w:noProof/>
                <w:sz w:val="24"/>
                <w:szCs w:val="24"/>
              </w:rPr>
              <w:t>Future Expansion Plans</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_Toc132728742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13</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2"/>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43" w:history="1">
            <w:r w:rsidRPr="002C4190">
              <w:rPr>
                <w:rStyle w:val="Hyperlink"/>
                <w:rFonts w:ascii="Times New Roman" w:hAnsi="Times New Roman" w:cs="Times New Roman"/>
                <w:b/>
                <w:bCs/>
                <w:noProof/>
                <w:sz w:val="24"/>
                <w:szCs w:val="24"/>
              </w:rPr>
              <w:t>Working Capital Management</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_Toc132728743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13</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2"/>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44" w:history="1">
            <w:r w:rsidRPr="002C4190">
              <w:rPr>
                <w:rStyle w:val="Hyperlink"/>
                <w:rFonts w:ascii="Times New Roman" w:hAnsi="Times New Roman" w:cs="Times New Roman"/>
                <w:b/>
                <w:bCs/>
                <w:noProof/>
                <w:sz w:val="24"/>
                <w:szCs w:val="24"/>
              </w:rPr>
              <w:t>Sales and Market Share</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_Toc132728744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14</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2"/>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45" w:history="1">
            <w:r w:rsidRPr="002C4190">
              <w:rPr>
                <w:rStyle w:val="Hyperlink"/>
                <w:rFonts w:ascii="Times New Roman" w:hAnsi="Times New Roman" w:cs="Times New Roman"/>
                <w:b/>
                <w:bCs/>
                <w:noProof/>
                <w:sz w:val="24"/>
                <w:szCs w:val="24"/>
              </w:rPr>
              <w:t>Financial and Non-Financial Metrics</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_Toc132728745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14</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2"/>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46" w:history="1">
            <w:r w:rsidRPr="002C4190">
              <w:rPr>
                <w:rStyle w:val="Hyperlink"/>
                <w:rFonts w:ascii="Times New Roman" w:hAnsi="Times New Roman" w:cs="Times New Roman"/>
                <w:b/>
                <w:bCs/>
                <w:noProof/>
                <w:sz w:val="24"/>
                <w:szCs w:val="24"/>
              </w:rPr>
              <w:t>Enhance Financial and Non-Financial Metrics</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_Toc132728746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16</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2"/>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47" w:history="1">
            <w:r w:rsidRPr="002C4190">
              <w:rPr>
                <w:rStyle w:val="Hyperlink"/>
                <w:rFonts w:ascii="Times New Roman" w:hAnsi="Times New Roman" w:cs="Times New Roman"/>
                <w:b/>
                <w:bCs/>
                <w:noProof/>
                <w:sz w:val="24"/>
                <w:szCs w:val="24"/>
              </w:rPr>
              <w:t>Report on Quantitative and Qualitative Performance of Troyland Limited</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_Toc132728747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17</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2"/>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48" w:history="1">
            <w:r w:rsidRPr="002C4190">
              <w:rPr>
                <w:rStyle w:val="Hyperlink"/>
                <w:rFonts w:ascii="Times New Roman" w:hAnsi="Times New Roman" w:cs="Times New Roman"/>
                <w:b/>
                <w:bCs/>
                <w:noProof/>
                <w:sz w:val="24"/>
                <w:szCs w:val="24"/>
              </w:rPr>
              <w:t>Need for Business Process Reengineering</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_Toc132728748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19</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1"/>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49" w:history="1">
            <w:r w:rsidRPr="002C4190">
              <w:rPr>
                <w:rStyle w:val="Hyperlink"/>
                <w:rFonts w:ascii="Times New Roman" w:hAnsi="Times New Roman" w:cs="Times New Roman"/>
                <w:b/>
                <w:bCs/>
                <w:noProof/>
                <w:sz w:val="24"/>
                <w:szCs w:val="24"/>
              </w:rPr>
              <w:t>Conclusion</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_Toc132728749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20</w:t>
            </w:r>
            <w:r w:rsidRPr="002C4190">
              <w:rPr>
                <w:rFonts w:ascii="Times New Roman" w:hAnsi="Times New Roman" w:cs="Times New Roman"/>
                <w:noProof/>
                <w:webHidden/>
                <w:sz w:val="24"/>
                <w:szCs w:val="24"/>
              </w:rPr>
              <w:fldChar w:fldCharType="end"/>
            </w:r>
          </w:hyperlink>
        </w:p>
        <w:p w:rsidR="00A17ADE" w:rsidRPr="002C4190" w:rsidRDefault="00A17ADE" w:rsidP="00A17ADE">
          <w:pPr>
            <w:pStyle w:val="TOC1"/>
            <w:tabs>
              <w:tab w:val="right" w:leader="dot" w:pos="9350"/>
            </w:tabs>
            <w:rPr>
              <w:rFonts w:ascii="Times New Roman" w:eastAsiaTheme="minorEastAsia" w:hAnsi="Times New Roman" w:cs="Times New Roman"/>
              <w:noProof/>
              <w:kern w:val="0"/>
              <w:sz w:val="24"/>
              <w:szCs w:val="24"/>
              <w:lang w:eastAsia="en-CA"/>
              <w14:ligatures w14:val="none"/>
            </w:rPr>
          </w:pPr>
          <w:hyperlink w:anchor="_Toc132728750" w:history="1">
            <w:r w:rsidRPr="002C4190">
              <w:rPr>
                <w:rStyle w:val="Hyperlink"/>
                <w:rFonts w:ascii="Times New Roman" w:hAnsi="Times New Roman" w:cs="Times New Roman"/>
                <w:noProof/>
                <w:sz w:val="24"/>
                <w:szCs w:val="24"/>
              </w:rPr>
              <w:t>Bibliography</w:t>
            </w:r>
            <w:r w:rsidRPr="002C4190">
              <w:rPr>
                <w:rFonts w:ascii="Times New Roman" w:hAnsi="Times New Roman" w:cs="Times New Roman"/>
                <w:noProof/>
                <w:webHidden/>
                <w:sz w:val="24"/>
                <w:szCs w:val="24"/>
              </w:rPr>
              <w:tab/>
            </w:r>
            <w:r w:rsidRPr="002C4190">
              <w:rPr>
                <w:rFonts w:ascii="Times New Roman" w:hAnsi="Times New Roman" w:cs="Times New Roman"/>
                <w:noProof/>
                <w:webHidden/>
                <w:sz w:val="24"/>
                <w:szCs w:val="24"/>
              </w:rPr>
              <w:fldChar w:fldCharType="begin"/>
            </w:r>
            <w:r w:rsidRPr="002C4190">
              <w:rPr>
                <w:rFonts w:ascii="Times New Roman" w:hAnsi="Times New Roman" w:cs="Times New Roman"/>
                <w:noProof/>
                <w:webHidden/>
                <w:sz w:val="24"/>
                <w:szCs w:val="24"/>
              </w:rPr>
              <w:instrText xml:space="preserve"> PAGEREF _Toc132728750 \h </w:instrText>
            </w:r>
            <w:r w:rsidRPr="002C4190">
              <w:rPr>
                <w:rFonts w:ascii="Times New Roman" w:hAnsi="Times New Roman" w:cs="Times New Roman"/>
                <w:noProof/>
                <w:webHidden/>
                <w:sz w:val="24"/>
                <w:szCs w:val="24"/>
              </w:rPr>
            </w:r>
            <w:r w:rsidRPr="002C4190">
              <w:rPr>
                <w:rFonts w:ascii="Times New Roman" w:hAnsi="Times New Roman" w:cs="Times New Roman"/>
                <w:noProof/>
                <w:webHidden/>
                <w:sz w:val="24"/>
                <w:szCs w:val="24"/>
              </w:rPr>
              <w:fldChar w:fldCharType="separate"/>
            </w:r>
            <w:r w:rsidRPr="002C4190">
              <w:rPr>
                <w:rFonts w:ascii="Times New Roman" w:hAnsi="Times New Roman" w:cs="Times New Roman"/>
                <w:noProof/>
                <w:webHidden/>
                <w:sz w:val="24"/>
                <w:szCs w:val="24"/>
              </w:rPr>
              <w:t>23</w:t>
            </w:r>
            <w:r w:rsidRPr="002C4190">
              <w:rPr>
                <w:rFonts w:ascii="Times New Roman" w:hAnsi="Times New Roman" w:cs="Times New Roman"/>
                <w:noProof/>
                <w:webHidden/>
                <w:sz w:val="24"/>
                <w:szCs w:val="24"/>
              </w:rPr>
              <w:fldChar w:fldCharType="end"/>
            </w:r>
          </w:hyperlink>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b/>
              <w:bCs/>
              <w:noProof/>
              <w:sz w:val="24"/>
              <w:szCs w:val="24"/>
            </w:rPr>
            <w:fldChar w:fldCharType="end"/>
          </w:r>
        </w:p>
      </w:sdtContent>
    </w:sdt>
    <w:p w:rsidR="00A17ADE" w:rsidRPr="002C4190" w:rsidRDefault="00A17ADE" w:rsidP="00A17ADE">
      <w:pPr>
        <w:spacing w:after="0" w:line="480" w:lineRule="auto"/>
        <w:contextualSpacing/>
        <w:rPr>
          <w:rFonts w:ascii="Times New Roman" w:hAnsi="Times New Roman" w:cs="Times New Roman"/>
          <w:b/>
          <w:bCs/>
          <w:sz w:val="24"/>
          <w:szCs w:val="24"/>
        </w:rPr>
      </w:pPr>
    </w:p>
    <w:p w:rsidR="00A17ADE" w:rsidRPr="002C4190" w:rsidRDefault="00A17ADE" w:rsidP="00A17ADE">
      <w:pPr>
        <w:spacing w:after="0" w:line="480" w:lineRule="auto"/>
        <w:contextualSpacing/>
        <w:rPr>
          <w:rFonts w:ascii="Times New Roman" w:hAnsi="Times New Roman" w:cs="Times New Roman"/>
          <w:b/>
          <w:bCs/>
          <w:sz w:val="24"/>
          <w:szCs w:val="24"/>
        </w:rPr>
      </w:pPr>
      <w:r w:rsidRPr="002C4190">
        <w:rPr>
          <w:rFonts w:ascii="Times New Roman" w:hAnsi="Times New Roman" w:cs="Times New Roman"/>
          <w:b/>
          <w:bCs/>
          <w:sz w:val="24"/>
          <w:szCs w:val="24"/>
        </w:rPr>
        <w:br w:type="page"/>
      </w:r>
    </w:p>
    <w:p w:rsidR="00A17ADE" w:rsidRPr="002C4190" w:rsidRDefault="00A17ADE" w:rsidP="00A17ADE">
      <w:pPr>
        <w:spacing w:after="0" w:line="480" w:lineRule="auto"/>
        <w:contextualSpacing/>
        <w:rPr>
          <w:rFonts w:ascii="Times New Roman" w:hAnsi="Times New Roman" w:cs="Times New Roman"/>
          <w:b/>
          <w:bCs/>
          <w:sz w:val="24"/>
          <w:szCs w:val="24"/>
        </w:rPr>
      </w:pPr>
      <w:r w:rsidRPr="002C4190">
        <w:rPr>
          <w:rFonts w:ascii="Times New Roman" w:hAnsi="Times New Roman" w:cs="Times New Roman"/>
          <w:b/>
          <w:bCs/>
          <w:sz w:val="24"/>
          <w:szCs w:val="24"/>
        </w:rPr>
        <w:lastRenderedPageBreak/>
        <w:t>PART 1:</w:t>
      </w:r>
    </w:p>
    <w:p w:rsidR="00A17ADE" w:rsidRPr="002C4190" w:rsidRDefault="00A17ADE" w:rsidP="00A17ADE">
      <w:pPr>
        <w:spacing w:after="0" w:line="480" w:lineRule="auto"/>
        <w:contextualSpacing/>
        <w:rPr>
          <w:rFonts w:ascii="Times New Roman" w:hAnsi="Times New Roman" w:cs="Times New Roman"/>
          <w:b/>
          <w:bCs/>
          <w:sz w:val="24"/>
          <w:szCs w:val="24"/>
        </w:rPr>
      </w:pPr>
      <w:r w:rsidRPr="002C4190">
        <w:rPr>
          <w:rFonts w:ascii="Times New Roman" w:hAnsi="Times New Roman" w:cs="Times New Roman"/>
          <w:b/>
          <w:bCs/>
          <w:sz w:val="24"/>
          <w:szCs w:val="24"/>
        </w:rPr>
        <w:t>CASE STUDY OF PORTAL FABRICATION PLC</w:t>
      </w:r>
    </w:p>
    <w:p w:rsidR="00A17ADE" w:rsidRPr="002C4190" w:rsidRDefault="00A17ADE" w:rsidP="00A17ADE">
      <w:pPr>
        <w:pStyle w:val="Heading1"/>
        <w:spacing w:before="0" w:line="480" w:lineRule="auto"/>
        <w:contextualSpacing/>
        <w:rPr>
          <w:rFonts w:ascii="Times New Roman" w:hAnsi="Times New Roman" w:cs="Times New Roman"/>
          <w:b/>
          <w:bCs/>
          <w:sz w:val="24"/>
          <w:szCs w:val="24"/>
        </w:rPr>
      </w:pPr>
      <w:bookmarkStart w:id="1" w:name="_Toc132728727"/>
      <w:r w:rsidRPr="002C4190">
        <w:rPr>
          <w:rFonts w:ascii="Times New Roman" w:hAnsi="Times New Roman" w:cs="Times New Roman"/>
          <w:b/>
          <w:bCs/>
          <w:sz w:val="24"/>
          <w:szCs w:val="24"/>
        </w:rPr>
        <w:t>Executive Summary</w:t>
      </w:r>
      <w:bookmarkEnd w:id="1"/>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The company that creates vehicle buffing equipment and provides a three-year warranty is the subject of the case study, Portal Fabrication. The company is split into two divisions: manufacturing/sales and services, and it </w:t>
      </w:r>
      <w:proofErr w:type="gramStart"/>
      <w:r w:rsidRPr="002C4190">
        <w:rPr>
          <w:rFonts w:ascii="Times New Roman" w:hAnsi="Times New Roman" w:cs="Times New Roman"/>
          <w:sz w:val="24"/>
          <w:szCs w:val="24"/>
        </w:rPr>
        <w:t>is</w:t>
      </w:r>
      <w:proofErr w:type="gramEnd"/>
      <w:r w:rsidRPr="002C4190">
        <w:rPr>
          <w:rFonts w:ascii="Times New Roman" w:hAnsi="Times New Roman" w:cs="Times New Roman"/>
          <w:sz w:val="24"/>
          <w:szCs w:val="24"/>
        </w:rPr>
        <w:t xml:space="preserve"> searching for ways to improve cooperation between them for the benefit of the whole enterprise. The board plans to evaluate the success of the divisional managers by taking things like residual income and economic value added into account. Calculating ROI, RI, and EVA is possible using the case study's data. The board also wants to determine whether the service division may contract out warranty service work and put in place a new information system built on an integrated, unified database. The case study presents an opportunity to investigate several hypotheses and weigh the potential implications for the performance of the business as a whole and shareholder wealth.</w:t>
      </w:r>
    </w:p>
    <w:p w:rsidR="00A17ADE" w:rsidRPr="002C4190" w:rsidRDefault="00A17ADE" w:rsidP="00A17ADE">
      <w:pPr>
        <w:pStyle w:val="Heading1"/>
        <w:spacing w:before="0" w:line="480" w:lineRule="auto"/>
        <w:contextualSpacing/>
        <w:rPr>
          <w:rFonts w:ascii="Times New Roman" w:hAnsi="Times New Roman" w:cs="Times New Roman"/>
          <w:b/>
          <w:bCs/>
          <w:sz w:val="24"/>
          <w:szCs w:val="24"/>
        </w:rPr>
      </w:pPr>
      <w:bookmarkStart w:id="2" w:name="_Toc132728728"/>
      <w:r w:rsidRPr="002C4190">
        <w:rPr>
          <w:rFonts w:ascii="Times New Roman" w:hAnsi="Times New Roman" w:cs="Times New Roman"/>
          <w:b/>
          <w:bCs/>
          <w:sz w:val="24"/>
          <w:szCs w:val="24"/>
        </w:rPr>
        <w:t>Introduction</w:t>
      </w:r>
      <w:bookmarkEnd w:id="2"/>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The company that produces automobile buffing equipment and offers a three-year warranty is the subject of the case study, Portal Fabrication plc. The business is divided into two divisions: manufacturing/sales and service, and it </w:t>
      </w:r>
      <w:proofErr w:type="gramStart"/>
      <w:r w:rsidRPr="002C4190">
        <w:rPr>
          <w:rFonts w:ascii="Times New Roman" w:hAnsi="Times New Roman" w:cs="Times New Roman"/>
          <w:sz w:val="24"/>
          <w:szCs w:val="24"/>
        </w:rPr>
        <w:t>is</w:t>
      </w:r>
      <w:proofErr w:type="gramEnd"/>
      <w:r w:rsidRPr="002C4190">
        <w:rPr>
          <w:rFonts w:ascii="Times New Roman" w:hAnsi="Times New Roman" w:cs="Times New Roman"/>
          <w:sz w:val="24"/>
          <w:szCs w:val="24"/>
        </w:rPr>
        <w:t xml:space="preserve"> currently looking at ways to enhance collaboration between the two for the good of the whole organisation. The board intends to evaluate the divisional managers' performance by taking other factors like residual income and economic value added into account. The data that the colleague provided can be used to calculate ROI, RI, and EVA. The board also wishes to consider the service division's position, particularly the potential for contracting out warranty service work and putting in place a new information system based on a unified, integrated database. A chance to explore and assess various </w:t>
      </w:r>
      <w:r w:rsidRPr="002C4190">
        <w:rPr>
          <w:rFonts w:ascii="Times New Roman" w:hAnsi="Times New Roman" w:cs="Times New Roman"/>
          <w:sz w:val="24"/>
          <w:szCs w:val="24"/>
        </w:rPr>
        <w:lastRenderedPageBreak/>
        <w:t>possibilities and their potential effects on the business' overall performance and shareholder wealth is provided by the case study. A window of opportunity to explore and assess various possibilities and their potential effects on the business' overall performance and shareholder wealth is provided by the case study.</w:t>
      </w:r>
    </w:p>
    <w:p w:rsidR="00A17ADE" w:rsidRPr="002C4190" w:rsidRDefault="00A17ADE" w:rsidP="00A17ADE">
      <w:pPr>
        <w:spacing w:after="0" w:line="480" w:lineRule="auto"/>
        <w:contextualSpacing/>
        <w:rPr>
          <w:rFonts w:ascii="Times New Roman" w:hAnsi="Times New Roman" w:cs="Times New Roman"/>
          <w:sz w:val="24"/>
          <w:szCs w:val="24"/>
        </w:rPr>
      </w:pPr>
    </w:p>
    <w:p w:rsidR="00A17ADE" w:rsidRPr="002C4190" w:rsidRDefault="00A17ADE" w:rsidP="00A17ADE">
      <w:pPr>
        <w:pStyle w:val="Heading2"/>
        <w:spacing w:before="0" w:line="480" w:lineRule="auto"/>
        <w:contextualSpacing/>
        <w:rPr>
          <w:rFonts w:ascii="Times New Roman" w:hAnsi="Times New Roman" w:cs="Times New Roman"/>
          <w:b/>
          <w:bCs/>
          <w:sz w:val="24"/>
          <w:szCs w:val="24"/>
        </w:rPr>
      </w:pPr>
      <w:bookmarkStart w:id="3" w:name="_Toc132728729"/>
      <w:r w:rsidRPr="002C4190">
        <w:rPr>
          <w:rFonts w:ascii="Times New Roman" w:hAnsi="Times New Roman" w:cs="Times New Roman"/>
          <w:b/>
          <w:bCs/>
          <w:sz w:val="24"/>
          <w:szCs w:val="24"/>
        </w:rPr>
        <w:t>Evaluation of Divisional Performance</w:t>
      </w:r>
      <w:bookmarkEnd w:id="3"/>
    </w:p>
    <w:p w:rsidR="00A17ADE" w:rsidRPr="002C4190" w:rsidRDefault="00A17ADE" w:rsidP="00A17ADE">
      <w:pPr>
        <w:spacing w:after="0" w:line="480" w:lineRule="auto"/>
        <w:contextualSpacing/>
        <w:rPr>
          <w:rFonts w:ascii="Times New Roman" w:hAnsi="Times New Roman" w:cs="Times New Roman"/>
          <w:sz w:val="24"/>
          <w:szCs w:val="24"/>
          <w:lang w:val="en-US"/>
        </w:rPr>
      </w:pPr>
      <w:r w:rsidRPr="002C4190">
        <w:rPr>
          <w:rFonts w:ascii="Times New Roman" w:hAnsi="Times New Roman" w:cs="Times New Roman"/>
          <w:sz w:val="24"/>
          <w:szCs w:val="24"/>
          <w:lang w:val="en-US"/>
        </w:rPr>
        <w:t xml:space="preserve">The performance management system should assist and coordinate the planning and control process, as well as function to guide behavior. Performance indicators are crucial tools that can help you determine if your company is on track or heading off course. You can offer the proper results if you use the right indications </w:t>
      </w:r>
      <w:sdt>
        <w:sdtPr>
          <w:rPr>
            <w:rFonts w:ascii="Times New Roman" w:hAnsi="Times New Roman" w:cs="Times New Roman"/>
            <w:sz w:val="24"/>
            <w:szCs w:val="24"/>
            <w:lang w:val="en-US"/>
          </w:rPr>
          <w:id w:val="-1630547644"/>
          <w:citation/>
        </w:sdtPr>
        <w:sdtContent>
          <w:r w:rsidRPr="002C4190">
            <w:rPr>
              <w:rFonts w:ascii="Times New Roman" w:hAnsi="Times New Roman" w:cs="Times New Roman"/>
              <w:sz w:val="24"/>
              <w:szCs w:val="24"/>
              <w:lang w:val="en-US"/>
            </w:rPr>
            <w:fldChar w:fldCharType="begin"/>
          </w:r>
          <w:r w:rsidRPr="002C4190">
            <w:rPr>
              <w:rFonts w:ascii="Times New Roman" w:hAnsi="Times New Roman" w:cs="Times New Roman"/>
              <w:sz w:val="24"/>
              <w:szCs w:val="24"/>
              <w:lang w:val="en-US"/>
            </w:rPr>
            <w:instrText xml:space="preserve">CITATION Mar12 \l 1033 </w:instrText>
          </w:r>
          <w:r w:rsidRPr="002C4190">
            <w:rPr>
              <w:rFonts w:ascii="Times New Roman" w:hAnsi="Times New Roman" w:cs="Times New Roman"/>
              <w:sz w:val="24"/>
              <w:szCs w:val="24"/>
              <w:lang w:val="en-US"/>
            </w:rPr>
            <w:fldChar w:fldCharType="separate"/>
          </w:r>
          <w:r w:rsidRPr="002C4190">
            <w:rPr>
              <w:rFonts w:ascii="Times New Roman" w:hAnsi="Times New Roman" w:cs="Times New Roman"/>
              <w:noProof/>
              <w:sz w:val="24"/>
              <w:szCs w:val="24"/>
              <w:lang w:val="en-US"/>
            </w:rPr>
            <w:t>(Marr, 2012)</w:t>
          </w:r>
          <w:r w:rsidRPr="002C4190">
            <w:rPr>
              <w:rFonts w:ascii="Times New Roman" w:hAnsi="Times New Roman" w:cs="Times New Roman"/>
              <w:sz w:val="24"/>
              <w:szCs w:val="24"/>
              <w:lang w:val="en-US"/>
            </w:rPr>
            <w:fldChar w:fldCharType="end"/>
          </w:r>
        </w:sdtContent>
      </w:sdt>
      <w:r w:rsidRPr="002C4190">
        <w:rPr>
          <w:rFonts w:ascii="Times New Roman" w:hAnsi="Times New Roman" w:cs="Times New Roman"/>
          <w:sz w:val="24"/>
          <w:szCs w:val="24"/>
          <w:lang w:val="en-US"/>
        </w:rPr>
        <w:t>.</w:t>
      </w:r>
    </w:p>
    <w:p w:rsidR="00A17ADE" w:rsidRPr="002C4190" w:rsidRDefault="00A17ADE" w:rsidP="00A17ADE">
      <w:pPr>
        <w:spacing w:after="0" w:line="480" w:lineRule="auto"/>
        <w:contextualSpacing/>
        <w:rPr>
          <w:rFonts w:ascii="Times New Roman" w:hAnsi="Times New Roman" w:cs="Times New Roman"/>
          <w:sz w:val="24"/>
          <w:szCs w:val="24"/>
        </w:rPr>
      </w:pPr>
    </w:p>
    <w:p w:rsidR="00A17ADE" w:rsidRPr="002C4190" w:rsidRDefault="00A17ADE" w:rsidP="00A17ADE">
      <w:pPr>
        <w:pStyle w:val="Heading2"/>
        <w:spacing w:before="0" w:line="480" w:lineRule="auto"/>
        <w:contextualSpacing/>
        <w:rPr>
          <w:rFonts w:ascii="Times New Roman" w:hAnsi="Times New Roman" w:cs="Times New Roman"/>
          <w:b/>
          <w:bCs/>
          <w:sz w:val="24"/>
          <w:szCs w:val="24"/>
        </w:rPr>
      </w:pPr>
      <w:bookmarkStart w:id="4" w:name="_Toc132728730"/>
      <w:r w:rsidRPr="002C4190">
        <w:rPr>
          <w:rFonts w:ascii="Times New Roman" w:hAnsi="Times New Roman" w:cs="Times New Roman"/>
          <w:b/>
          <w:bCs/>
          <w:sz w:val="24"/>
          <w:szCs w:val="24"/>
        </w:rPr>
        <w:t>ROI Calculation</w:t>
      </w:r>
      <w:bookmarkEnd w:id="4"/>
    </w:p>
    <w:p w:rsidR="00A17ADE" w:rsidRPr="002C4190" w:rsidRDefault="00A17ADE" w:rsidP="00A17ADE">
      <w:pPr>
        <w:tabs>
          <w:tab w:val="left" w:pos="980"/>
        </w:tabs>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ROI enables you to determine the profit or loss your investment has generated when you invest money in a business venture or an investment. The net profit (or loss) from an investment is divided by the investment's cost to calculate the return on investment. As a result of the percentage format, you may compare the efficiency or profitability of various investment options </w:t>
      </w:r>
      <w:sdt>
        <w:sdtPr>
          <w:rPr>
            <w:rFonts w:ascii="Times New Roman" w:hAnsi="Times New Roman" w:cs="Times New Roman"/>
            <w:sz w:val="24"/>
            <w:szCs w:val="24"/>
          </w:rPr>
          <w:id w:val="-1596013980"/>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Cur22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(Curry, 2022)</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r w:rsidRPr="002C4190">
        <w:rPr>
          <w:rFonts w:ascii="Times New Roman" w:hAnsi="Times New Roman" w:cs="Times New Roman"/>
          <w:sz w:val="24"/>
          <w:szCs w:val="24"/>
        </w:rPr>
        <w:tab/>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Formula: Operating Profit/ Capital Employed * 100</w:t>
      </w:r>
    </w:p>
    <w:p w:rsidR="00A17ADE" w:rsidRPr="002C4190" w:rsidRDefault="00A17ADE" w:rsidP="00A17ADE">
      <w:pPr>
        <w:spacing w:after="0" w:line="480" w:lineRule="auto"/>
        <w:contextualSpacing/>
        <w:rPr>
          <w:rFonts w:ascii="Times New Roman" w:hAnsi="Times New Roman" w:cs="Times New Roman"/>
          <w:sz w:val="24"/>
          <w:szCs w:val="24"/>
        </w:rPr>
      </w:pP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M/S ROI = (386/1294) * 100 = 29.83%</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Service ROI = (6/38) * 100 = 15.79%</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The M/S division has a higher ROI than the Service division based on the ROI calculation, suggesting better profitability and better use of capital invested. Nevertheless, ROI alone is </w:t>
      </w:r>
      <w:r w:rsidRPr="002C4190">
        <w:rPr>
          <w:rFonts w:ascii="Times New Roman" w:hAnsi="Times New Roman" w:cs="Times New Roman"/>
          <w:sz w:val="24"/>
          <w:szCs w:val="24"/>
        </w:rPr>
        <w:lastRenderedPageBreak/>
        <w:t>insufficient to assess divisional success since it does not take into consideration the cost of capital or the effects of using various capital levels in various divisions.</w:t>
      </w:r>
    </w:p>
    <w:p w:rsidR="00A17ADE" w:rsidRPr="002C4190" w:rsidRDefault="00A17ADE" w:rsidP="00A17ADE">
      <w:pPr>
        <w:spacing w:after="0" w:line="480" w:lineRule="auto"/>
        <w:contextualSpacing/>
        <w:rPr>
          <w:rFonts w:ascii="Times New Roman" w:hAnsi="Times New Roman" w:cs="Times New Roman"/>
          <w:sz w:val="24"/>
          <w:szCs w:val="24"/>
        </w:rPr>
      </w:pPr>
    </w:p>
    <w:p w:rsidR="00A17ADE" w:rsidRPr="002C4190" w:rsidRDefault="00A17ADE" w:rsidP="00A17ADE">
      <w:pPr>
        <w:pStyle w:val="Heading2"/>
        <w:spacing w:before="0" w:line="480" w:lineRule="auto"/>
        <w:contextualSpacing/>
        <w:rPr>
          <w:rFonts w:ascii="Times New Roman" w:hAnsi="Times New Roman" w:cs="Times New Roman"/>
          <w:b/>
          <w:bCs/>
          <w:sz w:val="24"/>
          <w:szCs w:val="24"/>
        </w:rPr>
      </w:pPr>
      <w:bookmarkStart w:id="5" w:name="_Toc132728731"/>
      <w:r w:rsidRPr="002C4190">
        <w:rPr>
          <w:rFonts w:ascii="Times New Roman" w:hAnsi="Times New Roman" w:cs="Times New Roman"/>
          <w:b/>
          <w:bCs/>
          <w:sz w:val="24"/>
          <w:szCs w:val="24"/>
        </w:rPr>
        <w:t>Residual Income (RI) Calculation</w:t>
      </w:r>
      <w:bookmarkEnd w:id="5"/>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When examining corporate finance, residual income is any surplus that an investment makes in comparison to the capital's opportunity cost </w:t>
      </w:r>
      <w:sdt>
        <w:sdtPr>
          <w:rPr>
            <w:rFonts w:ascii="Times New Roman" w:hAnsi="Times New Roman" w:cs="Times New Roman"/>
            <w:sz w:val="24"/>
            <w:szCs w:val="24"/>
          </w:rPr>
          <w:id w:val="-1487623888"/>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Tea22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(Team, Residual Income, 2022)</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RI measures the excess profit created by a division above the minimum required return on investment and is an alternative metric for assessing divisional success. </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Formula: Operating Profit - (Capital Employed * Notional cost of capital)</w:t>
      </w:r>
    </w:p>
    <w:p w:rsidR="00A17ADE" w:rsidRPr="002C4190" w:rsidRDefault="00A17ADE" w:rsidP="00A17ADE">
      <w:pPr>
        <w:spacing w:after="0" w:line="480" w:lineRule="auto"/>
        <w:contextualSpacing/>
        <w:rPr>
          <w:rFonts w:ascii="Times New Roman" w:hAnsi="Times New Roman" w:cs="Times New Roman"/>
          <w:sz w:val="24"/>
          <w:szCs w:val="24"/>
        </w:rPr>
      </w:pP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M/S RI (£m) = 386 - (1294 * 0.09) = 269.54</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Service RI (£m) = 6 - (38 * 0.09) = 2.58</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According to the RI calculation, M/S has a greater RI than Service, demonstrating that it is producing more extra profit than is necessary to achieve the minimum return on investment.</w:t>
      </w:r>
    </w:p>
    <w:p w:rsidR="00A17ADE" w:rsidRPr="002C4190" w:rsidRDefault="00A17ADE" w:rsidP="00A17ADE">
      <w:pPr>
        <w:spacing w:after="0" w:line="480" w:lineRule="auto"/>
        <w:contextualSpacing/>
        <w:rPr>
          <w:rFonts w:ascii="Times New Roman" w:hAnsi="Times New Roman" w:cs="Times New Roman"/>
          <w:sz w:val="24"/>
          <w:szCs w:val="24"/>
        </w:rPr>
      </w:pPr>
    </w:p>
    <w:p w:rsidR="00A17ADE" w:rsidRPr="002C4190" w:rsidRDefault="00A17ADE" w:rsidP="00A17ADE">
      <w:pPr>
        <w:pStyle w:val="Heading2"/>
        <w:spacing w:before="0" w:line="480" w:lineRule="auto"/>
        <w:contextualSpacing/>
        <w:rPr>
          <w:rFonts w:ascii="Times New Roman" w:hAnsi="Times New Roman" w:cs="Times New Roman"/>
          <w:b/>
          <w:bCs/>
          <w:sz w:val="24"/>
          <w:szCs w:val="24"/>
        </w:rPr>
      </w:pPr>
      <w:bookmarkStart w:id="6" w:name="_Toc132728732"/>
      <w:r w:rsidRPr="002C4190">
        <w:rPr>
          <w:rFonts w:ascii="Times New Roman" w:hAnsi="Times New Roman" w:cs="Times New Roman"/>
          <w:b/>
          <w:bCs/>
          <w:sz w:val="24"/>
          <w:szCs w:val="24"/>
        </w:rPr>
        <w:t>Economic Value Added (EVA</w:t>
      </w:r>
      <w:r w:rsidRPr="002C4190">
        <w:rPr>
          <w:rFonts w:ascii="Times New Roman" w:hAnsi="Times New Roman" w:cs="Times New Roman"/>
          <w:b/>
          <w:bCs/>
          <w:sz w:val="24"/>
          <w:szCs w:val="24"/>
          <w:vertAlign w:val="superscript"/>
        </w:rPr>
        <w:t>TM</w:t>
      </w:r>
      <w:r w:rsidRPr="002C4190">
        <w:rPr>
          <w:rFonts w:ascii="Times New Roman" w:hAnsi="Times New Roman" w:cs="Times New Roman"/>
          <w:b/>
          <w:bCs/>
          <w:sz w:val="24"/>
          <w:szCs w:val="24"/>
        </w:rPr>
        <w:t>) Calculation</w:t>
      </w:r>
      <w:bookmarkEnd w:id="6"/>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After subtracting the direct cost of borrowed capital and the indirect cost of equity capital, EVA examines the company's residual profitability </w:t>
      </w:r>
      <w:sdt>
        <w:sdtPr>
          <w:rPr>
            <w:rFonts w:ascii="Times New Roman" w:hAnsi="Times New Roman" w:cs="Times New Roman"/>
            <w:sz w:val="24"/>
            <w:szCs w:val="24"/>
          </w:rPr>
          <w:id w:val="-953175815"/>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Gra03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(Grant, 2003)</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 xml:space="preserve">. The value contributed is that of the shareholders. EVA is an operating profit that is generated over and above capital expenditure costs </w:t>
      </w:r>
      <w:sdt>
        <w:sdtPr>
          <w:rPr>
            <w:rFonts w:ascii="Times New Roman" w:hAnsi="Times New Roman" w:cs="Times New Roman"/>
            <w:sz w:val="24"/>
            <w:szCs w:val="24"/>
          </w:rPr>
          <w:id w:val="1997761538"/>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Sau19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(Saurabh, 2019)</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Formula – Capital Employed (Net Investment) * (Actual ROI - Cost of Capital)</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Cost of Capital = 9%</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M/S EVA</w:t>
      </w:r>
      <w:r w:rsidRPr="002C4190">
        <w:rPr>
          <w:rFonts w:ascii="Times New Roman" w:hAnsi="Times New Roman" w:cs="Times New Roman"/>
          <w:sz w:val="24"/>
          <w:szCs w:val="24"/>
          <w:vertAlign w:val="superscript"/>
        </w:rPr>
        <w:t xml:space="preserve">TM </w:t>
      </w:r>
      <w:r w:rsidRPr="002C4190">
        <w:rPr>
          <w:rFonts w:ascii="Times New Roman" w:hAnsi="Times New Roman" w:cs="Times New Roman"/>
          <w:sz w:val="24"/>
          <w:szCs w:val="24"/>
        </w:rPr>
        <w:t>(£m) = 1294 * (29.83% - 9%) = 1294 * (20.83%) = 269.54</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lastRenderedPageBreak/>
        <w:t>Service EVA</w:t>
      </w:r>
      <w:r w:rsidRPr="002C4190">
        <w:rPr>
          <w:rFonts w:ascii="Times New Roman" w:hAnsi="Times New Roman" w:cs="Times New Roman"/>
          <w:sz w:val="24"/>
          <w:szCs w:val="24"/>
          <w:vertAlign w:val="superscript"/>
        </w:rPr>
        <w:t xml:space="preserve">TM </w:t>
      </w:r>
      <w:r w:rsidRPr="002C4190">
        <w:rPr>
          <w:rFonts w:ascii="Times New Roman" w:hAnsi="Times New Roman" w:cs="Times New Roman"/>
          <w:sz w:val="24"/>
          <w:szCs w:val="24"/>
        </w:rPr>
        <w:t>(£m) = 38 * (15.79% - 9%) = 38 * (6.79%) = 2.58</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According to the </w:t>
      </w:r>
      <w:proofErr w:type="gramStart"/>
      <w:r w:rsidRPr="002C4190">
        <w:rPr>
          <w:rFonts w:ascii="Times New Roman" w:hAnsi="Times New Roman" w:cs="Times New Roman"/>
          <w:sz w:val="24"/>
          <w:szCs w:val="24"/>
        </w:rPr>
        <w:t>EVA</w:t>
      </w:r>
      <w:r w:rsidRPr="002C4190">
        <w:rPr>
          <w:rFonts w:ascii="Times New Roman" w:hAnsi="Times New Roman" w:cs="Times New Roman"/>
          <w:sz w:val="24"/>
          <w:szCs w:val="24"/>
          <w:vertAlign w:val="superscript"/>
        </w:rPr>
        <w:t xml:space="preserve">TM  </w:t>
      </w:r>
      <w:r w:rsidRPr="002C4190">
        <w:rPr>
          <w:rFonts w:ascii="Times New Roman" w:hAnsi="Times New Roman" w:cs="Times New Roman"/>
          <w:sz w:val="24"/>
          <w:szCs w:val="24"/>
        </w:rPr>
        <w:t>calculation</w:t>
      </w:r>
      <w:proofErr w:type="gramEnd"/>
      <w:r w:rsidRPr="002C4190">
        <w:rPr>
          <w:rFonts w:ascii="Times New Roman" w:hAnsi="Times New Roman" w:cs="Times New Roman"/>
          <w:sz w:val="24"/>
          <w:szCs w:val="24"/>
        </w:rPr>
        <w:t>, M/S has a more positive EVA</w:t>
      </w:r>
      <w:r w:rsidRPr="002C4190">
        <w:rPr>
          <w:rFonts w:ascii="Times New Roman" w:hAnsi="Times New Roman" w:cs="Times New Roman"/>
          <w:sz w:val="24"/>
          <w:szCs w:val="24"/>
          <w:vertAlign w:val="superscript"/>
        </w:rPr>
        <w:t xml:space="preserve">TM </w:t>
      </w:r>
      <w:r w:rsidRPr="002C4190">
        <w:rPr>
          <w:rFonts w:ascii="Times New Roman" w:hAnsi="Times New Roman" w:cs="Times New Roman"/>
          <w:sz w:val="24"/>
          <w:szCs w:val="24"/>
        </w:rPr>
        <w:t>, demonstrating that business is producing value more than its cost of capital. Service, on the other hand, has a minimal EVA</w:t>
      </w:r>
      <w:r w:rsidRPr="002C4190">
        <w:rPr>
          <w:rFonts w:ascii="Times New Roman" w:hAnsi="Times New Roman" w:cs="Times New Roman"/>
          <w:sz w:val="24"/>
          <w:szCs w:val="24"/>
          <w:vertAlign w:val="superscript"/>
        </w:rPr>
        <w:t>TM</w:t>
      </w:r>
      <w:r w:rsidRPr="002C4190">
        <w:rPr>
          <w:rFonts w:ascii="Times New Roman" w:hAnsi="Times New Roman" w:cs="Times New Roman"/>
          <w:sz w:val="24"/>
          <w:szCs w:val="24"/>
        </w:rPr>
        <w:t>, which means it is just making money to pay its cost of capital.</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The three divisional performance indicators (ROI, RI, and EVA</w:t>
      </w:r>
      <w:r w:rsidRPr="002C4190">
        <w:rPr>
          <w:rFonts w:ascii="Times New Roman" w:hAnsi="Times New Roman" w:cs="Times New Roman"/>
          <w:sz w:val="24"/>
          <w:szCs w:val="24"/>
          <w:vertAlign w:val="superscript"/>
        </w:rPr>
        <w:t>TM</w:t>
      </w:r>
      <w:r w:rsidRPr="002C4190">
        <w:rPr>
          <w:rFonts w:ascii="Times New Roman" w:hAnsi="Times New Roman" w:cs="Times New Roman"/>
          <w:sz w:val="24"/>
          <w:szCs w:val="24"/>
        </w:rPr>
        <w:t xml:space="preserve">) offer various viewpoints on the profitability and effectiveness of the M/S and Service divisions overall. While ROI and RI imply that M/S is performing better than Service, </w:t>
      </w:r>
      <w:proofErr w:type="gramStart"/>
      <w:r w:rsidRPr="002C4190">
        <w:rPr>
          <w:rFonts w:ascii="Times New Roman" w:hAnsi="Times New Roman" w:cs="Times New Roman"/>
          <w:sz w:val="24"/>
          <w:szCs w:val="24"/>
        </w:rPr>
        <w:t>EVA</w:t>
      </w:r>
      <w:r w:rsidRPr="002C4190">
        <w:rPr>
          <w:rFonts w:ascii="Times New Roman" w:hAnsi="Times New Roman" w:cs="Times New Roman"/>
          <w:sz w:val="24"/>
          <w:szCs w:val="24"/>
          <w:vertAlign w:val="superscript"/>
        </w:rPr>
        <w:t xml:space="preserve">TM  </w:t>
      </w:r>
      <w:r w:rsidRPr="002C4190">
        <w:rPr>
          <w:rFonts w:ascii="Times New Roman" w:hAnsi="Times New Roman" w:cs="Times New Roman"/>
          <w:sz w:val="24"/>
          <w:szCs w:val="24"/>
        </w:rPr>
        <w:t>shows</w:t>
      </w:r>
      <w:proofErr w:type="gramEnd"/>
      <w:r w:rsidRPr="002C4190">
        <w:rPr>
          <w:rFonts w:ascii="Times New Roman" w:hAnsi="Times New Roman" w:cs="Times New Roman"/>
          <w:sz w:val="24"/>
          <w:szCs w:val="24"/>
        </w:rPr>
        <w:t xml:space="preserve"> that M/S is outperforming Service's cost of capital.</w:t>
      </w:r>
    </w:p>
    <w:p w:rsidR="00A17ADE" w:rsidRPr="002C4190" w:rsidRDefault="00A17ADE" w:rsidP="00A17ADE">
      <w:pPr>
        <w:spacing w:after="0" w:line="480" w:lineRule="auto"/>
        <w:contextualSpacing/>
        <w:rPr>
          <w:rFonts w:ascii="Times New Roman" w:hAnsi="Times New Roman" w:cs="Times New Roman"/>
          <w:sz w:val="24"/>
          <w:szCs w:val="24"/>
        </w:rPr>
      </w:pPr>
    </w:p>
    <w:p w:rsidR="00A17ADE" w:rsidRPr="002C4190" w:rsidRDefault="00A17ADE" w:rsidP="00A17ADE">
      <w:pPr>
        <w:spacing w:after="0" w:line="480" w:lineRule="auto"/>
        <w:contextualSpacing/>
        <w:rPr>
          <w:rFonts w:ascii="Times New Roman" w:hAnsi="Times New Roman" w:cs="Times New Roman"/>
          <w:b/>
          <w:bCs/>
          <w:sz w:val="24"/>
          <w:szCs w:val="24"/>
        </w:rPr>
      </w:pPr>
    </w:p>
    <w:p w:rsidR="00A17ADE" w:rsidRPr="002C4190" w:rsidRDefault="00A17ADE" w:rsidP="00A17ADE">
      <w:pPr>
        <w:spacing w:after="0" w:line="480" w:lineRule="auto"/>
        <w:contextualSpacing/>
        <w:rPr>
          <w:rFonts w:ascii="Times New Roman" w:hAnsi="Times New Roman" w:cs="Times New Roman"/>
          <w:b/>
          <w:bCs/>
          <w:sz w:val="24"/>
          <w:szCs w:val="24"/>
        </w:rPr>
      </w:pPr>
    </w:p>
    <w:p w:rsidR="00A17ADE" w:rsidRPr="002C4190" w:rsidRDefault="00A17ADE" w:rsidP="00A17ADE">
      <w:pPr>
        <w:pStyle w:val="Heading2"/>
        <w:spacing w:before="0" w:line="480" w:lineRule="auto"/>
        <w:contextualSpacing/>
        <w:rPr>
          <w:rFonts w:ascii="Times New Roman" w:hAnsi="Times New Roman" w:cs="Times New Roman"/>
          <w:b/>
          <w:bCs/>
          <w:sz w:val="24"/>
          <w:szCs w:val="24"/>
        </w:rPr>
      </w:pPr>
      <w:bookmarkStart w:id="7" w:name="_Toc132728733"/>
      <w:r w:rsidRPr="002C4190">
        <w:rPr>
          <w:rFonts w:ascii="Times New Roman" w:hAnsi="Times New Roman" w:cs="Times New Roman"/>
          <w:b/>
          <w:bCs/>
          <w:sz w:val="24"/>
          <w:szCs w:val="24"/>
        </w:rPr>
        <w:t>Proposed Measures of Divisional Performance</w:t>
      </w:r>
      <w:bookmarkEnd w:id="7"/>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Divisional performance measurement involves both quantitative and subjective evaluations of the departments or divisions that make up an organisation. A division's ability to achieve its own predefined goals or the needs of its stakeholders is effectively monitored by divisional performance measurement, which helps to verify that an organization's plan is successfully implemented </w:t>
      </w:r>
      <w:sdt>
        <w:sdtPr>
          <w:rPr>
            <w:rFonts w:ascii="Times New Roman" w:hAnsi="Times New Roman" w:cs="Times New Roman"/>
            <w:sz w:val="24"/>
            <w:szCs w:val="24"/>
          </w:rPr>
          <w:id w:val="-165172153"/>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Ind20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(Indiafreenotes, 2020)</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The suggested metrics for measuring divisional performance, such as ROI, residual income, and economic value added (</w:t>
      </w:r>
      <w:proofErr w:type="gramStart"/>
      <w:r w:rsidRPr="002C4190">
        <w:rPr>
          <w:rFonts w:ascii="Times New Roman" w:hAnsi="Times New Roman" w:cs="Times New Roman"/>
          <w:sz w:val="24"/>
          <w:szCs w:val="24"/>
        </w:rPr>
        <w:t>EVA</w:t>
      </w:r>
      <w:r w:rsidRPr="002C4190">
        <w:rPr>
          <w:rFonts w:ascii="Times New Roman" w:hAnsi="Times New Roman" w:cs="Times New Roman"/>
          <w:sz w:val="24"/>
          <w:szCs w:val="24"/>
          <w:vertAlign w:val="superscript"/>
        </w:rPr>
        <w:t xml:space="preserve">TM </w:t>
      </w:r>
      <w:r w:rsidRPr="002C4190">
        <w:rPr>
          <w:rFonts w:ascii="Times New Roman" w:hAnsi="Times New Roman" w:cs="Times New Roman"/>
          <w:sz w:val="24"/>
          <w:szCs w:val="24"/>
        </w:rPr>
        <w:t>)</w:t>
      </w:r>
      <w:proofErr w:type="gramEnd"/>
      <w:r w:rsidRPr="002C4190">
        <w:rPr>
          <w:rFonts w:ascii="Times New Roman" w:hAnsi="Times New Roman" w:cs="Times New Roman"/>
          <w:sz w:val="24"/>
          <w:szCs w:val="24"/>
        </w:rPr>
        <w:t>, each offer a different viewpoint on how successful a division is. When assessing divisional performance, each metric has limitations and factors that must be considered.</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While these metrics account for the cost of capital and offer a more thorough assessment of profitability and value creation, the board's proposal to use residual income and EVA</w:t>
      </w:r>
      <w:r w:rsidRPr="002C4190">
        <w:rPr>
          <w:rFonts w:ascii="Times New Roman" w:hAnsi="Times New Roman" w:cs="Times New Roman"/>
          <w:sz w:val="24"/>
          <w:szCs w:val="24"/>
          <w:vertAlign w:val="superscript"/>
        </w:rPr>
        <w:t xml:space="preserve">TM  </w:t>
      </w:r>
      <w:r w:rsidRPr="002C4190">
        <w:rPr>
          <w:rFonts w:ascii="Times New Roman" w:hAnsi="Times New Roman" w:cs="Times New Roman"/>
          <w:sz w:val="24"/>
          <w:szCs w:val="24"/>
        </w:rPr>
        <w:t xml:space="preserve">as </w:t>
      </w:r>
      <w:r w:rsidRPr="002C4190">
        <w:rPr>
          <w:rFonts w:ascii="Times New Roman" w:hAnsi="Times New Roman" w:cs="Times New Roman"/>
          <w:sz w:val="24"/>
          <w:szCs w:val="24"/>
        </w:rPr>
        <w:lastRenderedPageBreak/>
        <w:t>measures of divisional performance is a step in the right direction. To make sure that the metrics appropriately reflect the required return on investment and cost of capital for each division, it is crucial to define appropriate cost of capital and WACCs.</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ROI relates a division's profits to the capital invested in the division and is a simple metric of profitability. ROI does not, however, consider the cost of capital, which varies between divisions. Furthermore, ROI may encourage managers to prioritise short-term profits over long-term expenditures that would be advantageous to the organisation. Residual income accounts for the cost of capital and takes into consideration the amount of additional profit a division is making above the minimum required return on investment. If the minimum necessary return on investment is set too low, however, residual income may also encourage managers to prioritise short-term profitability.</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According to the data, the majority of organisations allocate the cost of shared resources, and it has been suggested that this might be seen as a mechanism for raising the divisional goal profit levels in order to ensure that they are high enough to cover a portion of corporate costs </w:t>
      </w:r>
      <w:sdt>
        <w:sdtPr>
          <w:rPr>
            <w:rFonts w:ascii="Times New Roman" w:hAnsi="Times New Roman" w:cs="Times New Roman"/>
            <w:sz w:val="24"/>
            <w:szCs w:val="24"/>
          </w:rPr>
          <w:id w:val="-1219589340"/>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Hat01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(El-Shishini, 2001)</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p>
    <w:p w:rsidR="00A17ADE" w:rsidRPr="002C4190" w:rsidRDefault="00A17ADE" w:rsidP="00A17ADE">
      <w:pPr>
        <w:spacing w:after="0" w:line="480" w:lineRule="auto"/>
        <w:contextualSpacing/>
        <w:rPr>
          <w:rFonts w:ascii="Times New Roman" w:hAnsi="Times New Roman" w:cs="Times New Roman"/>
          <w:sz w:val="24"/>
          <w:szCs w:val="24"/>
        </w:rPr>
      </w:pPr>
      <w:proofErr w:type="gramStart"/>
      <w:r w:rsidRPr="002C4190">
        <w:rPr>
          <w:rFonts w:ascii="Times New Roman" w:hAnsi="Times New Roman" w:cs="Times New Roman"/>
          <w:sz w:val="24"/>
          <w:szCs w:val="24"/>
        </w:rPr>
        <w:t>EVA</w:t>
      </w:r>
      <w:r w:rsidRPr="002C4190">
        <w:rPr>
          <w:rFonts w:ascii="Times New Roman" w:hAnsi="Times New Roman" w:cs="Times New Roman"/>
          <w:sz w:val="24"/>
          <w:szCs w:val="24"/>
          <w:vertAlign w:val="superscript"/>
        </w:rPr>
        <w:t xml:space="preserve">TM  </w:t>
      </w:r>
      <w:r w:rsidRPr="002C4190">
        <w:rPr>
          <w:rFonts w:ascii="Times New Roman" w:hAnsi="Times New Roman" w:cs="Times New Roman"/>
          <w:sz w:val="24"/>
          <w:szCs w:val="24"/>
        </w:rPr>
        <w:t>provides</w:t>
      </w:r>
      <w:proofErr w:type="gramEnd"/>
      <w:r w:rsidRPr="002C4190">
        <w:rPr>
          <w:rFonts w:ascii="Times New Roman" w:hAnsi="Times New Roman" w:cs="Times New Roman"/>
          <w:sz w:val="24"/>
          <w:szCs w:val="24"/>
        </w:rPr>
        <w:t xml:space="preserve"> a more thorough assessment of a division's value creation by considering both the cost of capital and the operational profit produced by the division. </w:t>
      </w:r>
      <w:proofErr w:type="gramStart"/>
      <w:r w:rsidRPr="002C4190">
        <w:rPr>
          <w:rFonts w:ascii="Times New Roman" w:hAnsi="Times New Roman" w:cs="Times New Roman"/>
          <w:sz w:val="24"/>
          <w:szCs w:val="24"/>
        </w:rPr>
        <w:t>EVA</w:t>
      </w:r>
      <w:r w:rsidRPr="002C4190">
        <w:rPr>
          <w:rFonts w:ascii="Times New Roman" w:hAnsi="Times New Roman" w:cs="Times New Roman"/>
          <w:sz w:val="24"/>
          <w:szCs w:val="24"/>
          <w:vertAlign w:val="superscript"/>
        </w:rPr>
        <w:t xml:space="preserve">TM </w:t>
      </w:r>
      <w:r w:rsidRPr="002C4190">
        <w:rPr>
          <w:rFonts w:ascii="Times New Roman" w:hAnsi="Times New Roman" w:cs="Times New Roman"/>
          <w:sz w:val="24"/>
          <w:szCs w:val="24"/>
        </w:rPr>
        <w:t>,</w:t>
      </w:r>
      <w:proofErr w:type="gramEnd"/>
      <w:r w:rsidRPr="002C4190">
        <w:rPr>
          <w:rFonts w:ascii="Times New Roman" w:hAnsi="Times New Roman" w:cs="Times New Roman"/>
          <w:sz w:val="24"/>
          <w:szCs w:val="24"/>
        </w:rPr>
        <w:t xml:space="preserve"> on the other hand, can be harder to calculate and more susceptible to fluctuations in the cost of capital. </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Overall, it is crucial to take into consideration several indicators of divisional success and to compare them with one another while considering the traits and objectives of each division. Also, it would be beneficial to consider additional indicators of divisional performance, like customer satisfaction, quality, and innovation, as these components are essential for developing and sustaining a devoted client base.</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lastRenderedPageBreak/>
        <w:t xml:space="preserve">A divisional organisational structure enables a larger corporate corporation to divide the business into sizable, semi-autonomous groups </w:t>
      </w:r>
      <w:sdt>
        <w:sdtPr>
          <w:rPr>
            <w:rFonts w:ascii="Times New Roman" w:hAnsi="Times New Roman" w:cs="Times New Roman"/>
            <w:sz w:val="24"/>
            <w:szCs w:val="24"/>
          </w:rPr>
          <w:id w:val="1348993144"/>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Gil19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(Gillikin, 2019)</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p>
    <w:p w:rsidR="00A17ADE" w:rsidRPr="002C4190" w:rsidRDefault="00A17ADE" w:rsidP="00A17ADE">
      <w:pPr>
        <w:spacing w:after="0" w:line="480" w:lineRule="auto"/>
        <w:contextualSpacing/>
        <w:rPr>
          <w:rFonts w:ascii="Times New Roman" w:hAnsi="Times New Roman" w:cs="Times New Roman"/>
          <w:sz w:val="24"/>
          <w:szCs w:val="24"/>
        </w:rPr>
      </w:pPr>
    </w:p>
    <w:p w:rsidR="00A17ADE" w:rsidRPr="002C4190" w:rsidRDefault="00A17ADE" w:rsidP="00A17ADE">
      <w:pPr>
        <w:pStyle w:val="Heading2"/>
        <w:spacing w:before="0" w:line="480" w:lineRule="auto"/>
        <w:contextualSpacing/>
        <w:rPr>
          <w:rFonts w:ascii="Times New Roman" w:hAnsi="Times New Roman" w:cs="Times New Roman"/>
          <w:b/>
          <w:bCs/>
          <w:sz w:val="24"/>
          <w:szCs w:val="24"/>
        </w:rPr>
      </w:pPr>
      <w:bookmarkStart w:id="8" w:name="_Toc132728734"/>
      <w:r w:rsidRPr="002C4190">
        <w:rPr>
          <w:rFonts w:ascii="Times New Roman" w:hAnsi="Times New Roman" w:cs="Times New Roman"/>
          <w:b/>
          <w:bCs/>
          <w:sz w:val="24"/>
          <w:szCs w:val="24"/>
        </w:rPr>
        <w:t>Criteria for designing a transfer pricing system</w:t>
      </w:r>
      <w:bookmarkEnd w:id="8"/>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The price at which related parties interact with one another, like when supplies or labour are traded between departments, is referred to as the transfer price or transfer cost </w:t>
      </w:r>
      <w:sdt>
        <w:sdtPr>
          <w:rPr>
            <w:rFonts w:ascii="Times New Roman" w:hAnsi="Times New Roman" w:cs="Times New Roman"/>
            <w:sz w:val="24"/>
            <w:szCs w:val="24"/>
          </w:rPr>
          <w:id w:val="-748884865"/>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CITATION TUO22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(Tuovila, 2022)</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Align with corporate goals: The transfer pricing system needs to be created in a way that it is compatible with the general goals of the business. For instance, the transfer pricing system should encourage both divisions to cooperate if the corporation wishes to optimise revenues.</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Fairness: Both the buying and selling divisions should be treated fairly under the transfer pricing scheme.</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Simplicity: The transfer pricing method must be straightforward and simple to comprehend.</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Minimize transfer pricing disagreements: The system should reduce disagreements between the buying and selling divisions.</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Compliance: The transfer pricing system ought to abide by all applicable tax laws and rules.</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Since transfer pricing costs are always less than the market cost of such products or resources, it is typically a phenomenon linked to multinational firms having offices in various tax jurisdictions. These multinational firms sell their goods to different parts of their own organisations in addition to other people </w:t>
      </w:r>
      <w:sdt>
        <w:sdtPr>
          <w:rPr>
            <w:rFonts w:ascii="Times New Roman" w:hAnsi="Times New Roman" w:cs="Times New Roman"/>
            <w:sz w:val="24"/>
            <w:szCs w:val="24"/>
          </w:rPr>
          <w:id w:val="-2070406302"/>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Nig22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(Nigam, 2022)</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p>
    <w:p w:rsidR="00A17ADE" w:rsidRPr="002C4190" w:rsidRDefault="00A17ADE" w:rsidP="00A17ADE">
      <w:pPr>
        <w:pStyle w:val="Heading2"/>
        <w:spacing w:before="0" w:line="480" w:lineRule="auto"/>
        <w:contextualSpacing/>
        <w:rPr>
          <w:rFonts w:ascii="Times New Roman" w:hAnsi="Times New Roman" w:cs="Times New Roman"/>
          <w:b/>
          <w:bCs/>
          <w:sz w:val="24"/>
          <w:szCs w:val="24"/>
        </w:rPr>
      </w:pPr>
      <w:bookmarkStart w:id="9" w:name="_Toc132728735"/>
      <w:r w:rsidRPr="002C4190">
        <w:rPr>
          <w:rFonts w:ascii="Times New Roman" w:hAnsi="Times New Roman" w:cs="Times New Roman"/>
          <w:b/>
          <w:bCs/>
          <w:sz w:val="24"/>
          <w:szCs w:val="24"/>
        </w:rPr>
        <w:t>Evaluation of the two methods for calculating the transfer price</w:t>
      </w:r>
      <w:bookmarkEnd w:id="9"/>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The prices of goods and services that are traded between businesses with shared control are referred to as transfer prices. By employing cheap transfer fees to export goods into nations with high tariff rates, it helps to minimise duty expenses by lowering the duty base of such </w:t>
      </w:r>
      <w:r w:rsidRPr="002C4190">
        <w:rPr>
          <w:rFonts w:ascii="Times New Roman" w:hAnsi="Times New Roman" w:cs="Times New Roman"/>
          <w:sz w:val="24"/>
          <w:szCs w:val="24"/>
        </w:rPr>
        <w:lastRenderedPageBreak/>
        <w:t xml:space="preserve">transactions. Companies can increase their profit margins by overpricing commodities that are exported to nations with lower tax rates, which lowers income and corporate taxes in high-tax countries </w:t>
      </w:r>
      <w:sdt>
        <w:sdtPr>
          <w:rPr>
            <w:rFonts w:ascii="Times New Roman" w:hAnsi="Times New Roman" w:cs="Times New Roman"/>
            <w:sz w:val="24"/>
            <w:szCs w:val="24"/>
          </w:rPr>
          <w:id w:val="-700788299"/>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Tea23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(Team, Transfer Pricing, 2023)</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p>
    <w:p w:rsidR="00A17ADE" w:rsidRPr="002C4190" w:rsidRDefault="00A17ADE" w:rsidP="00A17ADE">
      <w:pPr>
        <w:pStyle w:val="Heading2"/>
        <w:spacing w:before="0" w:line="480" w:lineRule="auto"/>
        <w:contextualSpacing/>
        <w:rPr>
          <w:rFonts w:ascii="Times New Roman" w:hAnsi="Times New Roman" w:cs="Times New Roman"/>
          <w:b/>
          <w:bCs/>
          <w:sz w:val="24"/>
          <w:szCs w:val="24"/>
        </w:rPr>
      </w:pPr>
      <w:bookmarkStart w:id="10" w:name="_Toc132728736"/>
      <w:r w:rsidRPr="002C4190">
        <w:rPr>
          <w:rFonts w:ascii="Times New Roman" w:hAnsi="Times New Roman" w:cs="Times New Roman"/>
          <w:b/>
          <w:bCs/>
          <w:sz w:val="24"/>
          <w:szCs w:val="24"/>
        </w:rPr>
        <w:t>Method 1: Market Price</w:t>
      </w:r>
      <w:bookmarkEnd w:id="10"/>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Market-based transfer pricing is likely the simplest and most efficient way for determining the price to be paid between divisions of the same company. The price that would be paid if the commodities were bought on the open market is used, which is known as the normal market rate </w:t>
      </w:r>
      <w:sdt>
        <w:sdtPr>
          <w:rPr>
            <w:rFonts w:ascii="Times New Roman" w:hAnsi="Times New Roman" w:cs="Times New Roman"/>
            <w:sz w:val="24"/>
            <w:szCs w:val="24"/>
          </w:rPr>
          <w:id w:val="1096829669"/>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Gan22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(Gandhi, 2022)</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The transfer price is determined using the market price approach by matching it to the price of comparable items or services. The market cost of warranty service repairs in this instance is £200 per repair.</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Transfer price = Market price = £200 per repair</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For out-of-warranty repairs, the service division incurs a cost of £85 for parts and £55 (18+12+25) per hour for labour and overheads, for a total cost (four hours of labour and overheads) of £305 per repair.</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Profit per repair = Market price - Cost</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£200 - £305</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-£105 (loss)</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The market price method may not be appropriate in this case as it results in a loss for the service division for out-of-warranty repairs. It also does not consider the actual costs incurred by the service division.</w:t>
      </w:r>
    </w:p>
    <w:p w:rsidR="00A17ADE" w:rsidRPr="002C4190" w:rsidRDefault="00A17ADE" w:rsidP="00A17ADE">
      <w:pPr>
        <w:spacing w:after="0" w:line="480" w:lineRule="auto"/>
        <w:contextualSpacing/>
        <w:rPr>
          <w:rFonts w:ascii="Times New Roman" w:hAnsi="Times New Roman" w:cs="Times New Roman"/>
          <w:sz w:val="24"/>
          <w:szCs w:val="24"/>
        </w:rPr>
      </w:pPr>
    </w:p>
    <w:p w:rsidR="00A17ADE" w:rsidRPr="002C4190" w:rsidRDefault="00A17ADE" w:rsidP="00A17ADE">
      <w:pPr>
        <w:pStyle w:val="Heading2"/>
        <w:spacing w:before="0" w:line="480" w:lineRule="auto"/>
        <w:contextualSpacing/>
        <w:rPr>
          <w:rFonts w:ascii="Times New Roman" w:hAnsi="Times New Roman" w:cs="Times New Roman"/>
          <w:b/>
          <w:bCs/>
          <w:sz w:val="24"/>
          <w:szCs w:val="24"/>
        </w:rPr>
      </w:pPr>
      <w:bookmarkStart w:id="11" w:name="_Toc132728737"/>
      <w:r w:rsidRPr="002C4190">
        <w:rPr>
          <w:rFonts w:ascii="Times New Roman" w:hAnsi="Times New Roman" w:cs="Times New Roman"/>
          <w:b/>
          <w:bCs/>
          <w:sz w:val="24"/>
          <w:szCs w:val="24"/>
        </w:rPr>
        <w:lastRenderedPageBreak/>
        <w:t>Method 2: Cost Plus</w:t>
      </w:r>
      <w:bookmarkEnd w:id="11"/>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The cost-plus transfer pricing approach is based on </w:t>
      </w:r>
      <w:proofErr w:type="spellStart"/>
      <w:r w:rsidRPr="002C4190">
        <w:rPr>
          <w:rFonts w:ascii="Times New Roman" w:hAnsi="Times New Roman" w:cs="Times New Roman"/>
          <w:sz w:val="24"/>
          <w:szCs w:val="24"/>
        </w:rPr>
        <w:t>markups</w:t>
      </w:r>
      <w:proofErr w:type="spellEnd"/>
      <w:r w:rsidRPr="002C4190">
        <w:rPr>
          <w:rFonts w:ascii="Times New Roman" w:hAnsi="Times New Roman" w:cs="Times New Roman"/>
          <w:sz w:val="24"/>
          <w:szCs w:val="24"/>
        </w:rPr>
        <w:t xml:space="preserve"> seen in third-party transactions because it is a standard transaction method. The everyday production and selling of tangible items are where the cost-plus technique is most frequently used. Services offered by one company to other connected businesses can also be priced using the cost-plus transfer pricing methodology </w:t>
      </w:r>
      <w:sdt>
        <w:sdtPr>
          <w:rPr>
            <w:rFonts w:ascii="Times New Roman" w:hAnsi="Times New Roman" w:cs="Times New Roman"/>
            <w:sz w:val="24"/>
            <w:szCs w:val="24"/>
          </w:rPr>
          <w:id w:val="-525489672"/>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Gro21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(Group, 2021)</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With the cost-plus technique, a </w:t>
      </w:r>
      <w:proofErr w:type="spellStart"/>
      <w:r w:rsidRPr="002C4190">
        <w:rPr>
          <w:rFonts w:ascii="Times New Roman" w:hAnsi="Times New Roman" w:cs="Times New Roman"/>
          <w:sz w:val="24"/>
          <w:szCs w:val="24"/>
        </w:rPr>
        <w:t>markup</w:t>
      </w:r>
      <w:proofErr w:type="spellEnd"/>
      <w:r w:rsidRPr="002C4190">
        <w:rPr>
          <w:rFonts w:ascii="Times New Roman" w:hAnsi="Times New Roman" w:cs="Times New Roman"/>
          <w:sz w:val="24"/>
          <w:szCs w:val="24"/>
        </w:rPr>
        <w:t xml:space="preserve"> is added to the manufacturing cost to determine the transfer price. The profit margin is represented by the </w:t>
      </w:r>
      <w:proofErr w:type="spellStart"/>
      <w:r w:rsidRPr="002C4190">
        <w:rPr>
          <w:rFonts w:ascii="Times New Roman" w:hAnsi="Times New Roman" w:cs="Times New Roman"/>
          <w:sz w:val="24"/>
          <w:szCs w:val="24"/>
        </w:rPr>
        <w:t>markup</w:t>
      </w:r>
      <w:proofErr w:type="spellEnd"/>
      <w:r w:rsidRPr="002C4190">
        <w:rPr>
          <w:rFonts w:ascii="Times New Roman" w:hAnsi="Times New Roman" w:cs="Times New Roman"/>
          <w:sz w:val="24"/>
          <w:szCs w:val="24"/>
        </w:rPr>
        <w:t>, which is often a percentage of the cost of manufacturing.</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The cost of manufacture for out-of-warranty repairs is £305 per repair, or £85 for parts and £55 (18+12+25) per hour for labour and overhead. This price is marked up by 20%.</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Transfer price = Cost + </w:t>
      </w:r>
      <w:proofErr w:type="spellStart"/>
      <w:r w:rsidRPr="002C4190">
        <w:rPr>
          <w:rFonts w:ascii="Times New Roman" w:hAnsi="Times New Roman" w:cs="Times New Roman"/>
          <w:sz w:val="24"/>
          <w:szCs w:val="24"/>
        </w:rPr>
        <w:t>Markup</w:t>
      </w:r>
      <w:proofErr w:type="spellEnd"/>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£305 + (20% x £305)</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£366 per repair</w:t>
      </w:r>
    </w:p>
    <w:p w:rsidR="00A17ADE" w:rsidRPr="002C4190" w:rsidRDefault="00A17ADE" w:rsidP="00A17ADE">
      <w:pPr>
        <w:spacing w:after="0" w:line="480" w:lineRule="auto"/>
        <w:contextualSpacing/>
        <w:rPr>
          <w:rFonts w:ascii="Times New Roman" w:hAnsi="Times New Roman" w:cs="Times New Roman"/>
          <w:sz w:val="24"/>
          <w:szCs w:val="24"/>
        </w:rPr>
      </w:pP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The transfer price for warranty repairs is now £10 million divided by the anticipated number of warranty repairs each year, or 44,000 fixes, or 8% of 550,000 units.</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Transfer price = £10,000,000 / 44,000</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£227.27 per repair</w:t>
      </w:r>
    </w:p>
    <w:p w:rsidR="00A17ADE" w:rsidRPr="002C4190" w:rsidRDefault="00A17ADE" w:rsidP="00A17ADE">
      <w:pPr>
        <w:spacing w:after="0" w:line="480" w:lineRule="auto"/>
        <w:contextualSpacing/>
        <w:rPr>
          <w:rFonts w:ascii="Times New Roman" w:hAnsi="Times New Roman" w:cs="Times New Roman"/>
          <w:sz w:val="24"/>
          <w:szCs w:val="24"/>
        </w:rPr>
      </w:pP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The transfer price produced by the cost-plus technique includes an acceptable profit margin while covering the service division's actual costs. Also, it is easy to comprehend and reduces disagreements across the divisions. So, it is important to pay close attention to the </w:t>
      </w:r>
      <w:proofErr w:type="spellStart"/>
      <w:r w:rsidRPr="002C4190">
        <w:rPr>
          <w:rFonts w:ascii="Times New Roman" w:hAnsi="Times New Roman" w:cs="Times New Roman"/>
          <w:sz w:val="24"/>
          <w:szCs w:val="24"/>
        </w:rPr>
        <w:t>markup</w:t>
      </w:r>
      <w:proofErr w:type="spellEnd"/>
      <w:r w:rsidRPr="002C4190">
        <w:rPr>
          <w:rFonts w:ascii="Times New Roman" w:hAnsi="Times New Roman" w:cs="Times New Roman"/>
          <w:sz w:val="24"/>
          <w:szCs w:val="24"/>
        </w:rPr>
        <w:t xml:space="preserve"> </w:t>
      </w:r>
      <w:r w:rsidRPr="002C4190">
        <w:rPr>
          <w:rFonts w:ascii="Times New Roman" w:hAnsi="Times New Roman" w:cs="Times New Roman"/>
          <w:sz w:val="24"/>
          <w:szCs w:val="24"/>
        </w:rPr>
        <w:lastRenderedPageBreak/>
        <w:t xml:space="preserve">percentage chosen to make sure it fits with the company's overarching goals. Overall, it seems that in this scenario, the cost-plus method is the best option for determining the transfer price between the service and M/S divisions. Whatever the company's size or level of aggressiveness, transfer pricing could materially affect its financial statements </w:t>
      </w:r>
      <w:sdt>
        <w:sdtPr>
          <w:rPr>
            <w:rFonts w:ascii="Times New Roman" w:hAnsi="Times New Roman" w:cs="Times New Roman"/>
            <w:sz w:val="24"/>
            <w:szCs w:val="24"/>
          </w:rPr>
          <w:id w:val="-1707096693"/>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MCK13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(MCKINLEY &amp; OWSLEY, 2013)</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p>
    <w:p w:rsidR="00A17ADE" w:rsidRPr="002C4190" w:rsidRDefault="00A17ADE" w:rsidP="00A17ADE">
      <w:pPr>
        <w:spacing w:after="0" w:line="480" w:lineRule="auto"/>
        <w:contextualSpacing/>
        <w:rPr>
          <w:rFonts w:ascii="Times New Roman" w:hAnsi="Times New Roman" w:cs="Times New Roman"/>
          <w:b/>
          <w:bCs/>
          <w:sz w:val="24"/>
          <w:szCs w:val="24"/>
        </w:rPr>
      </w:pPr>
    </w:p>
    <w:p w:rsidR="00A17ADE" w:rsidRPr="002C4190" w:rsidRDefault="00A17ADE" w:rsidP="00A17ADE">
      <w:pPr>
        <w:pStyle w:val="Heading2"/>
        <w:spacing w:before="0" w:line="480" w:lineRule="auto"/>
        <w:contextualSpacing/>
        <w:rPr>
          <w:rFonts w:ascii="Times New Roman" w:hAnsi="Times New Roman" w:cs="Times New Roman"/>
          <w:b/>
          <w:bCs/>
          <w:sz w:val="24"/>
          <w:szCs w:val="24"/>
        </w:rPr>
      </w:pPr>
      <w:bookmarkStart w:id="12" w:name="_Toc132728738"/>
      <w:r w:rsidRPr="002C4190">
        <w:rPr>
          <w:rFonts w:ascii="Times New Roman" w:hAnsi="Times New Roman" w:cs="Times New Roman"/>
          <w:b/>
          <w:bCs/>
          <w:sz w:val="24"/>
          <w:szCs w:val="24"/>
        </w:rPr>
        <w:t>Potential impact of the new executive Information system</w:t>
      </w:r>
      <w:bookmarkEnd w:id="12"/>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A decision support system (DSS) called an executive information system (EIS) is used to help senior executives make decisions. It accomplishes this by offering simple access to crucial information required for an organisation to realise its strategic objectives. A user-friendly interface and graphical displays are typical features of an EIS </w:t>
      </w:r>
      <w:sdt>
        <w:sdtPr>
          <w:rPr>
            <w:rFonts w:ascii="Times New Roman" w:hAnsi="Times New Roman" w:cs="Times New Roman"/>
            <w:sz w:val="24"/>
            <w:szCs w:val="24"/>
          </w:rPr>
          <w:id w:val="-579599713"/>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Rou22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(Rouse, 2022)</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Performance management may be significantly impacted by Portal's implementation of a new executive information system.</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Firstly, the new technology can give CEOs fast access to reliable information so they can make well-informed judgements and take the necessary actions to boost performance. Key performance indicators (KPIs) including sales income, profitability, customer satisfaction, and operational efficiency can all be updated in real time by the system. Executives may be able to identify areas where performance is subpar and quickly implement corrective measures as a result.</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Furthermore, the new technology can make it easier for various corporate departments to collaborate and communicate with one another. The technology can allow several departments to share information and cooperate to accomplish common goals by offering a single database accessible to all five sites. For instance, information on repair volumes and costs can be shared </w:t>
      </w:r>
      <w:r w:rsidRPr="002C4190">
        <w:rPr>
          <w:rFonts w:ascii="Times New Roman" w:hAnsi="Times New Roman" w:cs="Times New Roman"/>
          <w:sz w:val="24"/>
          <w:szCs w:val="24"/>
        </w:rPr>
        <w:lastRenderedPageBreak/>
        <w:t>between the service division and the M/S division, allowing both divisions to streamline their processes and raise profitability.</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Recent concerns that these intricate, opaque systems can cause more societal harm than economic good have dampened their once-outstanding promise to advance efficiency, lower prices, and speed up research and development </w:t>
      </w:r>
      <w:sdt>
        <w:sdtPr>
          <w:rPr>
            <w:rFonts w:ascii="Times New Roman" w:hAnsi="Times New Roman" w:cs="Times New Roman"/>
            <w:sz w:val="24"/>
            <w:szCs w:val="24"/>
          </w:rPr>
          <w:id w:val="496315555"/>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Paz20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(Pazzanese, 2020)</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Moreover, setting performance goals and tracking results can be made easier with the new method. Executives can set reasonable and attainable goals by using the system's previous performance data and ability to spot trends and patterns. Additionally, it can monitor progress towards these goals and give staff </w:t>
      </w:r>
      <w:proofErr w:type="gramStart"/>
      <w:r w:rsidRPr="002C4190">
        <w:rPr>
          <w:rFonts w:ascii="Times New Roman" w:hAnsi="Times New Roman" w:cs="Times New Roman"/>
          <w:sz w:val="24"/>
          <w:szCs w:val="24"/>
        </w:rPr>
        <w:t>members</w:t>
      </w:r>
      <w:proofErr w:type="gramEnd"/>
      <w:r w:rsidRPr="002C4190">
        <w:rPr>
          <w:rFonts w:ascii="Times New Roman" w:hAnsi="Times New Roman" w:cs="Times New Roman"/>
          <w:sz w:val="24"/>
          <w:szCs w:val="24"/>
        </w:rPr>
        <w:t xml:space="preserve"> performance reviews.</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Additionally, the new system may encourage transparency and accountability in performance management. The technology can help executives to hold staff members accountable for their actions and decisions by giving real-time information on performance. Employees may be inspired to take responsibility for their job and strive for higher quality outcomes as a result.</w:t>
      </w:r>
    </w:p>
    <w:p w:rsidR="00A17ADE" w:rsidRPr="002C4190" w:rsidRDefault="00A17ADE" w:rsidP="00A17ADE">
      <w:pPr>
        <w:spacing w:after="0" w:line="480" w:lineRule="auto"/>
        <w:contextualSpacing/>
        <w:rPr>
          <w:rFonts w:ascii="Times New Roman" w:hAnsi="Times New Roman" w:cs="Times New Roman"/>
          <w:b/>
          <w:bCs/>
          <w:sz w:val="24"/>
          <w:szCs w:val="24"/>
        </w:rPr>
      </w:pPr>
      <w:r w:rsidRPr="002C4190">
        <w:rPr>
          <w:rFonts w:ascii="Times New Roman" w:hAnsi="Times New Roman" w:cs="Times New Roman"/>
          <w:b/>
          <w:bCs/>
          <w:sz w:val="24"/>
          <w:szCs w:val="24"/>
        </w:rPr>
        <w:br w:type="page"/>
      </w:r>
      <w:r w:rsidRPr="002C4190">
        <w:rPr>
          <w:rFonts w:ascii="Times New Roman" w:hAnsi="Times New Roman" w:cs="Times New Roman"/>
          <w:b/>
          <w:bCs/>
          <w:sz w:val="24"/>
          <w:szCs w:val="24"/>
        </w:rPr>
        <w:lastRenderedPageBreak/>
        <w:t>PART 2:</w:t>
      </w:r>
    </w:p>
    <w:p w:rsidR="00A17ADE" w:rsidRPr="002C4190" w:rsidRDefault="00A17ADE" w:rsidP="00A17ADE">
      <w:pPr>
        <w:pStyle w:val="Heading1"/>
        <w:spacing w:before="0" w:line="480" w:lineRule="auto"/>
        <w:contextualSpacing/>
        <w:rPr>
          <w:rFonts w:ascii="Times New Roman" w:hAnsi="Times New Roman" w:cs="Times New Roman"/>
          <w:b/>
          <w:bCs/>
          <w:sz w:val="24"/>
          <w:szCs w:val="24"/>
        </w:rPr>
      </w:pPr>
      <w:bookmarkStart w:id="13" w:name="_Toc132728739"/>
      <w:r w:rsidRPr="002C4190">
        <w:rPr>
          <w:rFonts w:ascii="Times New Roman" w:hAnsi="Times New Roman" w:cs="Times New Roman"/>
          <w:b/>
          <w:bCs/>
          <w:sz w:val="24"/>
          <w:szCs w:val="24"/>
        </w:rPr>
        <w:t>CASE STUDY OF TROYLAND FOOTWEAR BRAND</w:t>
      </w:r>
      <w:bookmarkEnd w:id="13"/>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b/>
          <w:bCs/>
          <w:sz w:val="24"/>
          <w:szCs w:val="24"/>
        </w:rPr>
        <w:t>Introduction:</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The Troy brand is owned by the medium-sized shoe manufacturer and retailer </w:t>
      </w:r>
      <w:proofErr w:type="spellStart"/>
      <w:r w:rsidRPr="002C4190">
        <w:rPr>
          <w:rFonts w:ascii="Times New Roman" w:hAnsi="Times New Roman" w:cs="Times New Roman"/>
          <w:sz w:val="24"/>
          <w:szCs w:val="24"/>
        </w:rPr>
        <w:t>Troyland</w:t>
      </w:r>
      <w:proofErr w:type="spellEnd"/>
      <w:r w:rsidRPr="002C4190">
        <w:rPr>
          <w:rFonts w:ascii="Times New Roman" w:hAnsi="Times New Roman" w:cs="Times New Roman"/>
          <w:sz w:val="24"/>
          <w:szCs w:val="24"/>
        </w:rPr>
        <w:t xml:space="preserve"> Footwear Limited. After the global financial crisis, Ms. Evelyn Plummer established it in the London neighbourhood of Tower Hamlets to provide middle-class and upper-class customers with shoes, sandals, boots, and accessories. The business began as a lone proprietorship and operated out of a modest store until 2011, when it saw its first profit. The company had grown to 16 employees by the time Evelyn registered it as a limited liability company in 2012. Evelyn Plummer is still the only proprietor of the company.</w:t>
      </w:r>
    </w:p>
    <w:p w:rsidR="00A17ADE" w:rsidRPr="002C4190" w:rsidRDefault="00A17ADE" w:rsidP="00A17ADE">
      <w:pPr>
        <w:spacing w:after="0" w:line="480" w:lineRule="auto"/>
        <w:contextualSpacing/>
        <w:rPr>
          <w:rFonts w:ascii="Times New Roman" w:hAnsi="Times New Roman" w:cs="Times New Roman"/>
          <w:sz w:val="24"/>
          <w:szCs w:val="24"/>
        </w:rPr>
      </w:pP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As the Performance Strategy Consultant for </w:t>
      </w:r>
      <w:proofErr w:type="spellStart"/>
      <w:r w:rsidRPr="002C4190">
        <w:rPr>
          <w:rFonts w:ascii="Times New Roman" w:hAnsi="Times New Roman" w:cs="Times New Roman"/>
          <w:sz w:val="24"/>
          <w:szCs w:val="24"/>
        </w:rPr>
        <w:t>Troyland</w:t>
      </w:r>
      <w:proofErr w:type="spellEnd"/>
      <w:r w:rsidRPr="002C4190">
        <w:rPr>
          <w:rFonts w:ascii="Times New Roman" w:hAnsi="Times New Roman" w:cs="Times New Roman"/>
          <w:sz w:val="24"/>
          <w:szCs w:val="24"/>
        </w:rPr>
        <w:t xml:space="preserve"> Footwear Limited, examination of the company's growth crisis, </w:t>
      </w:r>
      <w:proofErr w:type="gramStart"/>
      <w:r w:rsidRPr="002C4190">
        <w:rPr>
          <w:rFonts w:ascii="Times New Roman" w:hAnsi="Times New Roman" w:cs="Times New Roman"/>
          <w:sz w:val="24"/>
          <w:szCs w:val="24"/>
        </w:rPr>
        <w:t>resulted</w:t>
      </w:r>
      <w:proofErr w:type="gramEnd"/>
      <w:r w:rsidRPr="002C4190">
        <w:rPr>
          <w:rFonts w:ascii="Times New Roman" w:hAnsi="Times New Roman" w:cs="Times New Roman"/>
          <w:sz w:val="24"/>
          <w:szCs w:val="24"/>
        </w:rPr>
        <w:t xml:space="preserve"> attention to how the ban on obtaining raw materials from Uzbekistan affected dropping sales and future expansion plans.</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The fundamental tenet of effective performance management is that what gets measured gets done. In an ideal system, a company develops a cascade of measures and targets that extend from its high-level strategic goals all the way down to the day-to-day operations of its front-line staff. The measurements are continuously tracked by managers, who also communicate with their staff frequently to review how well the goals are being accomplished. Underperformance prompts action to fix the issue, whereas good performance is praised </w:t>
      </w:r>
      <w:sdt>
        <w:sdtPr>
          <w:rPr>
            <w:rFonts w:ascii="Times New Roman" w:hAnsi="Times New Roman" w:cs="Times New Roman"/>
            <w:sz w:val="24"/>
            <w:szCs w:val="24"/>
          </w:rPr>
          <w:id w:val="377371296"/>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Car17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(Carpi et al., 2017)</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p>
    <w:p w:rsidR="00A17ADE" w:rsidRPr="002C4190" w:rsidRDefault="00A17ADE" w:rsidP="00A17ADE">
      <w:pPr>
        <w:pStyle w:val="Heading2"/>
        <w:spacing w:before="0" w:line="480" w:lineRule="auto"/>
        <w:contextualSpacing/>
        <w:rPr>
          <w:rFonts w:ascii="Times New Roman" w:hAnsi="Times New Roman" w:cs="Times New Roman"/>
          <w:b/>
          <w:bCs/>
          <w:sz w:val="24"/>
          <w:szCs w:val="24"/>
        </w:rPr>
      </w:pPr>
      <w:bookmarkStart w:id="14" w:name="_Toc132728740"/>
      <w:r w:rsidRPr="002C4190">
        <w:rPr>
          <w:rFonts w:ascii="Times New Roman" w:hAnsi="Times New Roman" w:cs="Times New Roman"/>
          <w:b/>
          <w:bCs/>
          <w:sz w:val="24"/>
          <w:szCs w:val="24"/>
        </w:rPr>
        <w:t>Analysis of Costs</w:t>
      </w:r>
      <w:bookmarkEnd w:id="14"/>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The company's gross profit has been significantly impacted by the ban on buying raw materials from Uzbekistan. The cost of production has gone up due to the importation of raw materials, </w:t>
      </w:r>
      <w:r w:rsidRPr="002C4190">
        <w:rPr>
          <w:rFonts w:ascii="Times New Roman" w:hAnsi="Times New Roman" w:cs="Times New Roman"/>
          <w:sz w:val="24"/>
          <w:szCs w:val="24"/>
        </w:rPr>
        <w:lastRenderedPageBreak/>
        <w:t>which has decreased the gross profit ratio. Hence, it is wise to consider other choices, such as obtaining raw materials from countries like Thailand, Vietnam, Brazil, and Benin, where costs are considerably cheaper.</w:t>
      </w:r>
    </w:p>
    <w:p w:rsidR="00A17ADE" w:rsidRPr="002C4190" w:rsidRDefault="00A17ADE" w:rsidP="00A17ADE">
      <w:pPr>
        <w:pStyle w:val="Heading2"/>
        <w:spacing w:before="0" w:line="480" w:lineRule="auto"/>
        <w:contextualSpacing/>
        <w:rPr>
          <w:rFonts w:ascii="Times New Roman" w:hAnsi="Times New Roman" w:cs="Times New Roman"/>
          <w:b/>
          <w:bCs/>
          <w:sz w:val="24"/>
          <w:szCs w:val="24"/>
        </w:rPr>
      </w:pPr>
      <w:bookmarkStart w:id="15" w:name="_Toc132728741"/>
      <w:r w:rsidRPr="002C4190">
        <w:rPr>
          <w:rFonts w:ascii="Times New Roman" w:hAnsi="Times New Roman" w:cs="Times New Roman"/>
          <w:b/>
          <w:bCs/>
          <w:sz w:val="24"/>
          <w:szCs w:val="24"/>
        </w:rPr>
        <w:t>Analysis of Sales</w:t>
      </w:r>
      <w:bookmarkEnd w:id="15"/>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The effects of </w:t>
      </w:r>
      <w:proofErr w:type="spellStart"/>
      <w:r w:rsidRPr="002C4190">
        <w:rPr>
          <w:rFonts w:ascii="Times New Roman" w:hAnsi="Times New Roman" w:cs="Times New Roman"/>
          <w:sz w:val="24"/>
          <w:szCs w:val="24"/>
        </w:rPr>
        <w:t>Brexit</w:t>
      </w:r>
      <w:proofErr w:type="spellEnd"/>
      <w:r w:rsidRPr="002C4190">
        <w:rPr>
          <w:rFonts w:ascii="Times New Roman" w:hAnsi="Times New Roman" w:cs="Times New Roman"/>
          <w:sz w:val="24"/>
          <w:szCs w:val="24"/>
        </w:rPr>
        <w:t xml:space="preserve"> and the Covid-19 epidemic are blamed for the drop in sales. The reported annual sales have suffered because of the weakening of the pound sterling against the euro. The economic crisis and the disruption of the supply chain can also be blamed for the fall in orders. Hence, to reach a larger audience and lessen the effects of economic downturns, it is necessary to investigate alternate sales channels like e-commerce and social media marketing.</w:t>
      </w:r>
    </w:p>
    <w:p w:rsidR="00A17ADE" w:rsidRPr="002C4190" w:rsidRDefault="00A17ADE" w:rsidP="00A17ADE">
      <w:pPr>
        <w:pStyle w:val="Heading2"/>
        <w:spacing w:before="0" w:line="480" w:lineRule="auto"/>
        <w:contextualSpacing/>
        <w:rPr>
          <w:rFonts w:ascii="Times New Roman" w:hAnsi="Times New Roman" w:cs="Times New Roman"/>
          <w:b/>
          <w:bCs/>
          <w:sz w:val="24"/>
          <w:szCs w:val="24"/>
        </w:rPr>
      </w:pPr>
      <w:bookmarkStart w:id="16" w:name="_Toc132728742"/>
      <w:r w:rsidRPr="002C4190">
        <w:rPr>
          <w:rFonts w:ascii="Times New Roman" w:hAnsi="Times New Roman" w:cs="Times New Roman"/>
          <w:b/>
          <w:bCs/>
          <w:sz w:val="24"/>
          <w:szCs w:val="24"/>
        </w:rPr>
        <w:t>Future Expansion Plans</w:t>
      </w:r>
      <w:bookmarkEnd w:id="16"/>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It is advisable to think about diversifying into other industries when making future expansion plans, such as retail fashion, handbags and wallets, and perfume and cosmetics. By doing so, the company's customer base will grow, and more money will be made. The joint venture with </w:t>
      </w:r>
      <w:proofErr w:type="spellStart"/>
      <w:r w:rsidRPr="002C4190">
        <w:rPr>
          <w:rFonts w:ascii="Times New Roman" w:hAnsi="Times New Roman" w:cs="Times New Roman"/>
          <w:sz w:val="24"/>
          <w:szCs w:val="24"/>
        </w:rPr>
        <w:t>Bridgerton</w:t>
      </w:r>
      <w:proofErr w:type="spellEnd"/>
      <w:r w:rsidRPr="002C4190">
        <w:rPr>
          <w:rFonts w:ascii="Times New Roman" w:hAnsi="Times New Roman" w:cs="Times New Roman"/>
          <w:sz w:val="24"/>
          <w:szCs w:val="24"/>
        </w:rPr>
        <w:t xml:space="preserve"> Farms Ltd to create high-end footwear from unusual materials like crocodile skin can also be investigated to market to customers in China, the United States, and the Middle East. To streamline processes, cut costs, and increase efficiency, business process reengineering is necessary before implementing any expansion plans.</w:t>
      </w:r>
    </w:p>
    <w:p w:rsidR="00A17ADE" w:rsidRPr="002C4190" w:rsidRDefault="00A17ADE" w:rsidP="00A17ADE">
      <w:pPr>
        <w:pStyle w:val="Heading2"/>
        <w:spacing w:before="0" w:line="480" w:lineRule="auto"/>
        <w:contextualSpacing/>
        <w:rPr>
          <w:rFonts w:ascii="Times New Roman" w:hAnsi="Times New Roman" w:cs="Times New Roman"/>
          <w:b/>
          <w:bCs/>
          <w:sz w:val="24"/>
          <w:szCs w:val="24"/>
        </w:rPr>
      </w:pPr>
      <w:bookmarkStart w:id="17" w:name="_Toc132728743"/>
      <w:r w:rsidRPr="002C4190">
        <w:rPr>
          <w:rFonts w:ascii="Times New Roman" w:hAnsi="Times New Roman" w:cs="Times New Roman"/>
          <w:b/>
          <w:bCs/>
          <w:sz w:val="24"/>
          <w:szCs w:val="24"/>
        </w:rPr>
        <w:t>Working Capital Management</w:t>
      </w:r>
      <w:bookmarkEnd w:id="17"/>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Protecting the company's existence and making sure it can continue to operate as a going concern entails making sure the company has the necessary resources for its daily operations. Lack of cash flow, unregulated commercial credit policies, or restricted access to short-term financing may necessitate corporate reorganisation, asset sales, or even firm collapse </w:t>
      </w:r>
      <w:sdt>
        <w:sdtPr>
          <w:rPr>
            <w:rFonts w:ascii="Times New Roman" w:hAnsi="Times New Roman" w:cs="Times New Roman"/>
            <w:sz w:val="24"/>
            <w:szCs w:val="24"/>
          </w:rPr>
          <w:id w:val="1238055284"/>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Tea221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(Team, Working Capital Management, 2022)</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lastRenderedPageBreak/>
        <w:t>The working capital decreased from 145 in 2018 to 45 in 2021, according to the company's working capital management analysis for the 2018 to 2021 timeframe. The corporation now has less cash available to fund operations and expansion because of this downturn. Also, the business's current assets are on the decline, falling from £328,000 in 2018 to £282,000 in 2021. From 2018 and 2021, current liabilities went up from £183,000 to £237,000. This shows that the business is not effectively managing its working capital.</w:t>
      </w:r>
    </w:p>
    <w:p w:rsidR="00A17ADE" w:rsidRPr="002C4190" w:rsidRDefault="00A17ADE" w:rsidP="00A17ADE">
      <w:pPr>
        <w:spacing w:after="0" w:line="480" w:lineRule="auto"/>
        <w:contextualSpacing/>
        <w:rPr>
          <w:rFonts w:ascii="Times New Roman" w:hAnsi="Times New Roman" w:cs="Times New Roman"/>
          <w:sz w:val="24"/>
          <w:szCs w:val="24"/>
        </w:rPr>
      </w:pPr>
    </w:p>
    <w:p w:rsidR="00A17ADE" w:rsidRPr="002C4190" w:rsidRDefault="00A17ADE" w:rsidP="00A17ADE">
      <w:pPr>
        <w:pStyle w:val="Heading2"/>
        <w:spacing w:before="0" w:line="480" w:lineRule="auto"/>
        <w:contextualSpacing/>
        <w:rPr>
          <w:rFonts w:ascii="Times New Roman" w:hAnsi="Times New Roman" w:cs="Times New Roman"/>
          <w:b/>
          <w:bCs/>
          <w:sz w:val="24"/>
          <w:szCs w:val="24"/>
        </w:rPr>
      </w:pPr>
      <w:bookmarkStart w:id="18" w:name="_Toc132728744"/>
      <w:r w:rsidRPr="002C4190">
        <w:rPr>
          <w:rFonts w:ascii="Times New Roman" w:hAnsi="Times New Roman" w:cs="Times New Roman"/>
          <w:b/>
          <w:bCs/>
          <w:sz w:val="24"/>
          <w:szCs w:val="24"/>
        </w:rPr>
        <w:t>Sales and Market Share</w:t>
      </w:r>
      <w:bookmarkEnd w:id="18"/>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According to sales composition in Appendix 1, the company generates most of its revenue from the Rest of Europe, which represented 70% of total sales in 2018 but will drop to 35% in 2021. The company's market share in Europe, its main market, has significantly decreased because of this reduction. The company's market share has decreased across all product categories, according to the market share study for London in Appendix 2. Market share for shoes sold by the company in London has decreased from 2% in 2018 to 0.25% in 2021. The company's brand appeal and competitiveness have decreased, as evidenced by this decline.</w:t>
      </w:r>
    </w:p>
    <w:p w:rsidR="00A17ADE" w:rsidRPr="002C4190" w:rsidRDefault="00A17ADE" w:rsidP="00A17ADE">
      <w:pPr>
        <w:pStyle w:val="Heading2"/>
        <w:spacing w:before="0" w:line="480" w:lineRule="auto"/>
        <w:contextualSpacing/>
        <w:rPr>
          <w:rFonts w:ascii="Times New Roman" w:hAnsi="Times New Roman" w:cs="Times New Roman"/>
          <w:b/>
          <w:bCs/>
          <w:sz w:val="24"/>
          <w:szCs w:val="24"/>
        </w:rPr>
      </w:pPr>
      <w:bookmarkStart w:id="19" w:name="_Toc132728745"/>
      <w:r w:rsidRPr="002C4190">
        <w:rPr>
          <w:rFonts w:ascii="Times New Roman" w:hAnsi="Times New Roman" w:cs="Times New Roman"/>
          <w:b/>
          <w:bCs/>
          <w:sz w:val="24"/>
          <w:szCs w:val="24"/>
        </w:rPr>
        <w:t>Financial and Non-Financial Metrics</w:t>
      </w:r>
      <w:bookmarkEnd w:id="19"/>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Financial metrics are figures that can be changed by altering operational procedures.</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 The topic of where is this business headed? </w:t>
      </w:r>
      <w:proofErr w:type="gramStart"/>
      <w:r w:rsidRPr="002C4190">
        <w:rPr>
          <w:rFonts w:ascii="Times New Roman" w:hAnsi="Times New Roman" w:cs="Times New Roman"/>
          <w:sz w:val="24"/>
          <w:szCs w:val="24"/>
        </w:rPr>
        <w:t>must</w:t>
      </w:r>
      <w:proofErr w:type="gramEnd"/>
      <w:r w:rsidRPr="002C4190">
        <w:rPr>
          <w:rFonts w:ascii="Times New Roman" w:hAnsi="Times New Roman" w:cs="Times New Roman"/>
          <w:sz w:val="24"/>
          <w:szCs w:val="24"/>
        </w:rPr>
        <w:t xml:space="preserve"> be addressed whether you're expanding your enterprise or looking to buy one. Your revenue data's tendencies can provide some insight into the answer to that query </w:t>
      </w:r>
      <w:sdt>
        <w:sdtPr>
          <w:rPr>
            <w:rFonts w:ascii="Times New Roman" w:hAnsi="Times New Roman" w:cs="Times New Roman"/>
            <w:sz w:val="24"/>
            <w:szCs w:val="24"/>
          </w:rPr>
          <w:id w:val="1476177727"/>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Qui22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(Quiet Light, 2022)</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According to financial performance analysis in Appendix 3, the company's turnover decreased from £1,400,000 in 2018 to £600,000 in 2021. Moreover, the company's cost of sales decreased from £700,000 in 2018 to £280,000 in 2021, indicating inefficient resource use. Profit after tax </w:t>
      </w:r>
      <w:r w:rsidRPr="002C4190">
        <w:rPr>
          <w:rFonts w:ascii="Times New Roman" w:hAnsi="Times New Roman" w:cs="Times New Roman"/>
          <w:sz w:val="24"/>
          <w:szCs w:val="24"/>
        </w:rPr>
        <w:lastRenderedPageBreak/>
        <w:t>for the company decreased from £243,000 in 2018 to -£160,000 in 2021, demonstrating that no profits are being made by the business.</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More and more businesses are tracking metrics like employee happiness, customer loyalty, and other non-financial performance metrics that they believe eventually impact profitability. This has a number of advantages. Before a financial decision is made and the soundness of the manager's investment allocations is irrelevant, they can see how the firm is doing </w:t>
      </w:r>
      <w:sdt>
        <w:sdtPr>
          <w:rPr>
            <w:rFonts w:ascii="Times New Roman" w:hAnsi="Times New Roman" w:cs="Times New Roman"/>
            <w:sz w:val="24"/>
            <w:szCs w:val="24"/>
          </w:rPr>
          <w:id w:val="494533078"/>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Itt14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(Ittner &amp; Larcker, Coming Up Short on Nonfinancial Performance Measurement, 2014)</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The company's customer satisfaction survey has increased from 69% in 2018 to 82% in 2020, according to the non-financial analysis in Appendix 4. By 2020, there will be 18 more new clients than there were in 2018. As the organisation becomes more efficient, the average task completion time has decreased from 15 days in 2018 to 8 days in 2020. Also, the organisation is doing enough to keep personnel as seen by the staff retention rate, which has stayed steady at between 82% and 89%.</w:t>
      </w:r>
    </w:p>
    <w:p w:rsidR="00A17ADE" w:rsidRPr="002C4190" w:rsidRDefault="00A17ADE" w:rsidP="00A17ADE">
      <w:pPr>
        <w:spacing w:after="0" w:line="480" w:lineRule="auto"/>
        <w:contextualSpacing/>
        <w:rPr>
          <w:rFonts w:ascii="Times New Roman" w:hAnsi="Times New Roman" w:cs="Times New Roman"/>
          <w:b/>
          <w:bCs/>
          <w:sz w:val="24"/>
          <w:szCs w:val="24"/>
        </w:rPr>
      </w:pPr>
      <w:r w:rsidRPr="002C4190">
        <w:rPr>
          <w:rFonts w:ascii="Times New Roman" w:hAnsi="Times New Roman" w:cs="Times New Roman"/>
          <w:b/>
          <w:bCs/>
          <w:sz w:val="24"/>
          <w:szCs w:val="24"/>
        </w:rPr>
        <w:t>Recommendations</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The following suggestions are provided to deal with the growth challenge that </w:t>
      </w:r>
      <w:proofErr w:type="spellStart"/>
      <w:r w:rsidRPr="002C4190">
        <w:rPr>
          <w:rFonts w:ascii="Times New Roman" w:hAnsi="Times New Roman" w:cs="Times New Roman"/>
          <w:sz w:val="24"/>
          <w:szCs w:val="24"/>
        </w:rPr>
        <w:t>Troyland</w:t>
      </w:r>
      <w:proofErr w:type="spellEnd"/>
      <w:r w:rsidRPr="002C4190">
        <w:rPr>
          <w:rFonts w:ascii="Times New Roman" w:hAnsi="Times New Roman" w:cs="Times New Roman"/>
          <w:sz w:val="24"/>
          <w:szCs w:val="24"/>
        </w:rPr>
        <w:t xml:space="preserve"> Ltd is currently experiencing:</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Efficient Working Capital Management: By acquiring raw materials from less expensive sources and cutting lead times, the business should concentrate on enhancing its working capital management. The business should think about negotiating credit conditions with Japanese suppliers.</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Effective working capital management entails keeping track of your inventory, accounts receivable, and accounts payable to ensure the efficient operation of your company. To make sure </w:t>
      </w:r>
      <w:r w:rsidRPr="002C4190">
        <w:rPr>
          <w:rFonts w:ascii="Times New Roman" w:hAnsi="Times New Roman" w:cs="Times New Roman"/>
          <w:sz w:val="24"/>
          <w:szCs w:val="24"/>
        </w:rPr>
        <w:lastRenderedPageBreak/>
        <w:t xml:space="preserve">you have the liquid assets required to conduct your day-to-day operations, it also demands preserving both your short-term assets and liabilities </w:t>
      </w:r>
      <w:sdt>
        <w:sdtPr>
          <w:rPr>
            <w:rFonts w:ascii="Times New Roman" w:hAnsi="Times New Roman" w:cs="Times New Roman"/>
            <w:sz w:val="24"/>
            <w:szCs w:val="24"/>
          </w:rPr>
          <w:id w:val="-1644033580"/>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CITATION FUN23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(FundThrough, 2023)</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 xml:space="preserve"> .</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Improve Sales and Market Share: To boost sales and market share, the company should concentrate on enhancing its brand appeal and competitiveness. The business can achieve this by spending money on marketing initiatives and improving its product line to satisfy the shifting market expectations.</w:t>
      </w:r>
    </w:p>
    <w:p w:rsidR="00A17ADE" w:rsidRPr="002C4190" w:rsidRDefault="00A17ADE" w:rsidP="00A17ADE">
      <w:pPr>
        <w:pStyle w:val="Heading2"/>
        <w:spacing w:before="0" w:line="480" w:lineRule="auto"/>
        <w:contextualSpacing/>
        <w:rPr>
          <w:rFonts w:ascii="Times New Roman" w:hAnsi="Times New Roman" w:cs="Times New Roman"/>
          <w:b/>
          <w:bCs/>
          <w:sz w:val="24"/>
          <w:szCs w:val="24"/>
        </w:rPr>
      </w:pPr>
      <w:bookmarkStart w:id="20" w:name="_Toc132728746"/>
      <w:r w:rsidRPr="002C4190">
        <w:rPr>
          <w:rFonts w:ascii="Times New Roman" w:hAnsi="Times New Roman" w:cs="Times New Roman"/>
          <w:b/>
          <w:bCs/>
          <w:sz w:val="24"/>
          <w:szCs w:val="24"/>
        </w:rPr>
        <w:t>Enhance Financial and Non-Financial Metrics</w:t>
      </w:r>
      <w:bookmarkEnd w:id="20"/>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Businesses may choose to monitor specific KPIs that are focused on their internal operations or functions in addition to the basic financial metrics and KPIs mentioned above, such as those linked to analysing inventory, sales, receivables, payables, and human resources </w:t>
      </w:r>
      <w:sdt>
        <w:sdtPr>
          <w:rPr>
            <w:rFonts w:ascii="Times New Roman" w:hAnsi="Times New Roman" w:cs="Times New Roman"/>
            <w:sz w:val="24"/>
            <w:szCs w:val="24"/>
          </w:rPr>
          <w:id w:val="-823115998"/>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Bea23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(Beaver, 2023)</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The company should focus on improving its financial metrics by increasing its turnover and profit margin. The company can do this by adopting a cost-effective approach to production and reducing operational costs. It must create a strong financial management system that keeps track of and keeps tabs on all financial activities, such as cash flow, inventories, and expenses. To better comprehend its financial situation and pinpoint areas for development, the organisation will benefit from doing this. To track its financial performance and pinpoint areas for development, it should regularly analyse its finances. Financial ratios including return on investment (ROI), gross profit margin, and net profit margin should be included in this research. To assess how it is doing in comparison to its rivals, the company should assess its financial performance against industry benchmarks.</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The core premise that future-period retention and revenues are better for customers who are more satisfied is supported by the customer-level testing, making customer satisfaction measurements leading indications of accounting performance. The business-unit tests further the research by </w:t>
      </w:r>
      <w:r w:rsidRPr="002C4190">
        <w:rPr>
          <w:rFonts w:ascii="Times New Roman" w:hAnsi="Times New Roman" w:cs="Times New Roman"/>
          <w:sz w:val="24"/>
          <w:szCs w:val="24"/>
        </w:rPr>
        <w:lastRenderedPageBreak/>
        <w:t xml:space="preserve">looking at how customer satisfaction affects costs and profits as well as any knock-on effects, including an increase in customers as a result of good word-of-mouth marketing and improved company reputation </w:t>
      </w:r>
      <w:sdt>
        <w:sdtPr>
          <w:rPr>
            <w:rFonts w:ascii="Times New Roman" w:hAnsi="Times New Roman" w:cs="Times New Roman"/>
            <w:sz w:val="24"/>
            <w:szCs w:val="24"/>
          </w:rPr>
          <w:id w:val="-946532261"/>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Itt98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(Ittner &amp; Larcker, Are Nonfinancial Measures Leading Indicators of Financial Performance? An Analysis of Customer Satisfaction, 1998)</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To enhance its operations and boost productivity, </w:t>
      </w:r>
      <w:proofErr w:type="spellStart"/>
      <w:r w:rsidRPr="002C4190">
        <w:rPr>
          <w:rFonts w:ascii="Times New Roman" w:hAnsi="Times New Roman" w:cs="Times New Roman"/>
          <w:sz w:val="24"/>
          <w:szCs w:val="24"/>
        </w:rPr>
        <w:t>Troyland</w:t>
      </w:r>
      <w:proofErr w:type="spellEnd"/>
      <w:r w:rsidRPr="002C4190">
        <w:rPr>
          <w:rFonts w:ascii="Times New Roman" w:hAnsi="Times New Roman" w:cs="Times New Roman"/>
          <w:sz w:val="24"/>
          <w:szCs w:val="24"/>
        </w:rPr>
        <w:t xml:space="preserve"> Ltd should adopt technology. This entails putting in place an e-commerce platform to reach a larger audience, use data analytics to monitor customer behaviour and preferences, and utilising social media to interact with clients and advertise its products.</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The business should concentrate on growing its clientele outside of the London market and the rest of Europe. You can do this by funding marketing and advertising initiatives in places like North America, Asia, and Africa. To keep current customers and draw in new ones, the company needs to raise customer satisfaction levels. Regular customer satisfaction surveys should be conducted by the business, and any issues should be addressed as needed. </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Overall, it must adopt a thorough growth strategy that considers the opportunities and problems the business faces. The company can get out of the growth issue and have long-term success by putting its attention on innovation, cost control, and diversification.</w:t>
      </w:r>
    </w:p>
    <w:p w:rsidR="00A17ADE" w:rsidRPr="002C4190" w:rsidRDefault="00A17ADE" w:rsidP="00A17ADE">
      <w:pPr>
        <w:spacing w:after="0" w:line="480" w:lineRule="auto"/>
        <w:contextualSpacing/>
        <w:rPr>
          <w:rFonts w:ascii="Times New Roman" w:hAnsi="Times New Roman" w:cs="Times New Roman"/>
          <w:sz w:val="24"/>
          <w:szCs w:val="24"/>
        </w:rPr>
      </w:pPr>
    </w:p>
    <w:p w:rsidR="00A17ADE" w:rsidRPr="002C4190" w:rsidRDefault="00A17ADE" w:rsidP="00A17ADE">
      <w:pPr>
        <w:pStyle w:val="Heading2"/>
        <w:spacing w:before="0" w:line="480" w:lineRule="auto"/>
        <w:contextualSpacing/>
        <w:rPr>
          <w:rFonts w:ascii="Times New Roman" w:hAnsi="Times New Roman" w:cs="Times New Roman"/>
          <w:b/>
          <w:bCs/>
          <w:sz w:val="24"/>
          <w:szCs w:val="24"/>
        </w:rPr>
      </w:pPr>
      <w:bookmarkStart w:id="21" w:name="_Toc132728747"/>
      <w:r w:rsidRPr="002C4190">
        <w:rPr>
          <w:rFonts w:ascii="Times New Roman" w:hAnsi="Times New Roman" w:cs="Times New Roman"/>
          <w:b/>
          <w:bCs/>
          <w:sz w:val="24"/>
          <w:szCs w:val="24"/>
        </w:rPr>
        <w:t xml:space="preserve">Report on Quantitative and Qualitative Performance of </w:t>
      </w:r>
      <w:proofErr w:type="spellStart"/>
      <w:r w:rsidRPr="002C4190">
        <w:rPr>
          <w:rFonts w:ascii="Times New Roman" w:hAnsi="Times New Roman" w:cs="Times New Roman"/>
          <w:b/>
          <w:bCs/>
          <w:sz w:val="24"/>
          <w:szCs w:val="24"/>
        </w:rPr>
        <w:t>Troyland</w:t>
      </w:r>
      <w:proofErr w:type="spellEnd"/>
      <w:r w:rsidRPr="002C4190">
        <w:rPr>
          <w:rFonts w:ascii="Times New Roman" w:hAnsi="Times New Roman" w:cs="Times New Roman"/>
          <w:b/>
          <w:bCs/>
          <w:sz w:val="24"/>
          <w:szCs w:val="24"/>
        </w:rPr>
        <w:t xml:space="preserve"> Limited</w:t>
      </w:r>
      <w:bookmarkEnd w:id="21"/>
    </w:p>
    <w:p w:rsidR="00A17ADE" w:rsidRPr="002C4190" w:rsidRDefault="00A17ADE" w:rsidP="00A17ADE">
      <w:pPr>
        <w:spacing w:after="0" w:line="480" w:lineRule="auto"/>
        <w:contextualSpacing/>
        <w:rPr>
          <w:rFonts w:ascii="Times New Roman" w:hAnsi="Times New Roman" w:cs="Times New Roman"/>
          <w:b/>
          <w:bCs/>
          <w:sz w:val="24"/>
          <w:szCs w:val="24"/>
        </w:rPr>
      </w:pPr>
      <w:r w:rsidRPr="002C4190">
        <w:rPr>
          <w:rFonts w:ascii="Times New Roman" w:hAnsi="Times New Roman" w:cs="Times New Roman"/>
          <w:b/>
          <w:bCs/>
          <w:sz w:val="24"/>
          <w:szCs w:val="24"/>
        </w:rPr>
        <w:t>Financial Perspective:</w:t>
      </w:r>
    </w:p>
    <w:p w:rsidR="00A17ADE" w:rsidRPr="002C4190" w:rsidRDefault="00A17ADE" w:rsidP="00A17ADE">
      <w:pPr>
        <w:spacing w:after="0" w:line="480" w:lineRule="auto"/>
        <w:contextualSpacing/>
        <w:rPr>
          <w:rFonts w:ascii="Times New Roman" w:hAnsi="Times New Roman" w:cs="Times New Roman"/>
          <w:b/>
          <w:bCs/>
          <w:sz w:val="24"/>
          <w:szCs w:val="24"/>
        </w:rPr>
      </w:pP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According to Appendix 3, the company's revenue dropped significantly from £1,750,000 in 2019 to £600,000 in 2021. Moreover, from £820,000 in 2019 to £320,000 in 2021, the gross profit has fallen. The fact that operating expenses have remained constant over time shows that the </w:t>
      </w:r>
      <w:r w:rsidRPr="002C4190">
        <w:rPr>
          <w:rFonts w:ascii="Times New Roman" w:hAnsi="Times New Roman" w:cs="Times New Roman"/>
          <w:sz w:val="24"/>
          <w:szCs w:val="24"/>
        </w:rPr>
        <w:lastRenderedPageBreak/>
        <w:t>company has not been able to properly control its costs. From a profit before tax of £372,000 in 2019 to a loss of £175,000 in 2021, the profit has dropped. This suggests that the business is facing a difficult financial condition. According to Appendix 1, 34% of the company's 2021 sales will come from the London market, which dominates the company's sales mix. Market share for shoe sales in London held by the company fell from 2.75% in 2019 to 0.25% in 2021. The company has a negligible market share in other product categories such retail fashion and handbags, wallets, and purses.</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The conversion of an organization's varied resources into desired outcomes is shown on a strategy map. Businesses can use this template to create their own balanced scorecard-based strategy maps </w:t>
      </w:r>
      <w:sdt>
        <w:sdtPr>
          <w:rPr>
            <w:rFonts w:ascii="Times New Roman" w:hAnsi="Times New Roman" w:cs="Times New Roman"/>
            <w:sz w:val="24"/>
            <w:szCs w:val="24"/>
          </w:rPr>
          <w:id w:val="1541555740"/>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Kap00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(Kaplan &amp; Norton, 2000)</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p>
    <w:p w:rsidR="00A17ADE" w:rsidRPr="002C4190" w:rsidRDefault="00A17ADE" w:rsidP="00A17ADE">
      <w:pPr>
        <w:spacing w:after="0" w:line="480" w:lineRule="auto"/>
        <w:contextualSpacing/>
        <w:rPr>
          <w:rFonts w:ascii="Times New Roman" w:hAnsi="Times New Roman" w:cs="Times New Roman"/>
          <w:b/>
          <w:bCs/>
          <w:sz w:val="24"/>
          <w:szCs w:val="24"/>
        </w:rPr>
      </w:pPr>
      <w:r w:rsidRPr="002C4190">
        <w:rPr>
          <w:rFonts w:ascii="Times New Roman" w:hAnsi="Times New Roman" w:cs="Times New Roman"/>
          <w:b/>
          <w:bCs/>
          <w:sz w:val="24"/>
          <w:szCs w:val="24"/>
        </w:rPr>
        <w:t>Non-Financial Perspective (Customer, Internal Process and Learning &amp; Growth):</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 In 2020, there will be 7,000 website hits, up from 5,000 in 2018. Also, from 10% in 2018 to 18% in 2020, the ratio of website hits to sales has improved. According to the company's non-financial data in Appendix 4, the mistake rate for completed jobs has decreased from 17% in 2018 to 6% in 2020. This shows that the business has been successful in improving its internal procedures. Also, the duration on task has decreased, going from 15 days in 2018 to 8 days in 2020. This suggests that the business has been successful in increasing its effectiveness. The company's staff retention rate increased from 82% in 2018 to 89% in 2020, while the number of employees has stayed stable over time. Also, from 5 in 2018 to 13 in 2020, employees are attending more CPDs every year. This demonstrates that the business has been able to fund staff growth.</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Since </w:t>
      </w:r>
      <w:proofErr w:type="spellStart"/>
      <w:r w:rsidRPr="002C4190">
        <w:rPr>
          <w:rFonts w:ascii="Times New Roman" w:hAnsi="Times New Roman" w:cs="Times New Roman"/>
          <w:sz w:val="24"/>
          <w:szCs w:val="24"/>
        </w:rPr>
        <w:t>Troyland</w:t>
      </w:r>
      <w:proofErr w:type="spellEnd"/>
      <w:r w:rsidRPr="002C4190">
        <w:rPr>
          <w:rFonts w:ascii="Times New Roman" w:hAnsi="Times New Roman" w:cs="Times New Roman"/>
          <w:sz w:val="24"/>
          <w:szCs w:val="24"/>
        </w:rPr>
        <w:t xml:space="preserve"> Limited's turnover and gross profit both fell in 2021, the company is currently facing a substantial financial crisis. The company's market share for shoe sales in London has </w:t>
      </w:r>
      <w:r w:rsidRPr="002C4190">
        <w:rPr>
          <w:rFonts w:ascii="Times New Roman" w:hAnsi="Times New Roman" w:cs="Times New Roman"/>
          <w:sz w:val="24"/>
          <w:szCs w:val="24"/>
        </w:rPr>
        <w:lastRenderedPageBreak/>
        <w:t>also dramatically declined. But over time, the business has been able to increase the effectiveness of its internal procedures. The business has also made investments in the training of its personnel. For the business to get out of the current crisis, it must concentrate on its financial results and market share.</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The Balanced Scorecard offers a structured method of performance management and aids in the coordination of an organization's operations with its overall strategy. The Balanced Scorecard offers a more comprehensive perspective of an organization's performance and assists organisations in making strategic decisions about their operations by taking into account both financial and non-financial performance indicators </w:t>
      </w:r>
      <w:sdt>
        <w:sdtPr>
          <w:rPr>
            <w:rFonts w:ascii="Times New Roman" w:hAnsi="Times New Roman" w:cs="Times New Roman"/>
            <w:sz w:val="24"/>
            <w:szCs w:val="24"/>
          </w:rPr>
          <w:id w:val="1870331572"/>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Bob23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(Bob Stanke, 2023)</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p>
    <w:p w:rsidR="00A17ADE" w:rsidRPr="002C4190" w:rsidRDefault="00A17ADE" w:rsidP="00A17ADE">
      <w:pPr>
        <w:spacing w:after="0" w:line="480" w:lineRule="auto"/>
        <w:contextualSpacing/>
        <w:rPr>
          <w:rFonts w:ascii="Times New Roman" w:hAnsi="Times New Roman" w:cs="Times New Roman"/>
          <w:sz w:val="24"/>
          <w:szCs w:val="24"/>
        </w:rPr>
      </w:pPr>
    </w:p>
    <w:p w:rsidR="00A17ADE" w:rsidRPr="002C4190" w:rsidRDefault="00A17ADE" w:rsidP="00A17ADE">
      <w:pPr>
        <w:pStyle w:val="Heading2"/>
        <w:spacing w:before="0" w:line="480" w:lineRule="auto"/>
        <w:contextualSpacing/>
        <w:rPr>
          <w:rFonts w:ascii="Times New Roman" w:hAnsi="Times New Roman" w:cs="Times New Roman"/>
          <w:b/>
          <w:bCs/>
          <w:sz w:val="24"/>
          <w:szCs w:val="24"/>
        </w:rPr>
      </w:pPr>
      <w:bookmarkStart w:id="22" w:name="_Toc132728748"/>
      <w:r w:rsidRPr="002C4190">
        <w:rPr>
          <w:rFonts w:ascii="Times New Roman" w:hAnsi="Times New Roman" w:cs="Times New Roman"/>
          <w:b/>
          <w:bCs/>
          <w:sz w:val="24"/>
          <w:szCs w:val="24"/>
        </w:rPr>
        <w:t>Need for Business Process Reengineering</w:t>
      </w:r>
      <w:bookmarkEnd w:id="22"/>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Redesigning organisational structures and business processes is known as business process reengineering (BPR), and it can be used as a turnaround strategy or to increase organisational performance </w:t>
      </w:r>
      <w:sdt>
        <w:sdtPr>
          <w:rPr>
            <w:rFonts w:ascii="Times New Roman" w:hAnsi="Times New Roman" w:cs="Times New Roman"/>
            <w:sz w:val="24"/>
            <w:szCs w:val="24"/>
          </w:rPr>
          <w:id w:val="1353220881"/>
          <w:citation/>
        </w:sdtPr>
        <w:sdtContent>
          <w:r w:rsidRPr="002C4190">
            <w:rPr>
              <w:rFonts w:ascii="Times New Roman" w:hAnsi="Times New Roman" w:cs="Times New Roman"/>
              <w:sz w:val="24"/>
              <w:szCs w:val="24"/>
            </w:rPr>
            <w:fldChar w:fldCharType="begin"/>
          </w:r>
          <w:r w:rsidRPr="002C4190">
            <w:rPr>
              <w:rFonts w:ascii="Times New Roman" w:hAnsi="Times New Roman" w:cs="Times New Roman"/>
              <w:sz w:val="24"/>
              <w:szCs w:val="24"/>
              <w:lang w:val="en-IN"/>
            </w:rPr>
            <w:instrText xml:space="preserve"> CITATION Die21 \l 16393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IN"/>
            </w:rPr>
            <w:t>(Dieto, 2021)</w:t>
          </w:r>
          <w:r w:rsidRPr="002C4190">
            <w:rPr>
              <w:rFonts w:ascii="Times New Roman" w:hAnsi="Times New Roman" w:cs="Times New Roman"/>
              <w:sz w:val="24"/>
              <w:szCs w:val="24"/>
            </w:rPr>
            <w:fldChar w:fldCharType="end"/>
          </w:r>
        </w:sdtContent>
      </w:sdt>
      <w:r w:rsidRPr="002C4190">
        <w:rPr>
          <w:rFonts w:ascii="Times New Roman" w:hAnsi="Times New Roman" w:cs="Times New Roman"/>
          <w:sz w:val="24"/>
          <w:szCs w:val="24"/>
        </w:rPr>
        <w:t>.</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It is evident that business process reengineering is necessary after thoroughly analysing </w:t>
      </w:r>
      <w:proofErr w:type="spellStart"/>
      <w:r w:rsidRPr="002C4190">
        <w:rPr>
          <w:rFonts w:ascii="Times New Roman" w:hAnsi="Times New Roman" w:cs="Times New Roman"/>
          <w:sz w:val="24"/>
          <w:szCs w:val="24"/>
        </w:rPr>
        <w:t>Troyland</w:t>
      </w:r>
      <w:proofErr w:type="spellEnd"/>
      <w:r w:rsidRPr="002C4190">
        <w:rPr>
          <w:rFonts w:ascii="Times New Roman" w:hAnsi="Times New Roman" w:cs="Times New Roman"/>
          <w:sz w:val="24"/>
          <w:szCs w:val="24"/>
        </w:rPr>
        <w:t xml:space="preserve"> Limited's performance considering recent financial and non-financial data analysis. From a financial standpoint, the business is experiencing a serious financial crisis. Both the gross profit and the revenue have decreased, and the profit has changed to a loss. This shows that the business is having trouble retaining its market share and profitability. Also, the company's primary </w:t>
      </w:r>
      <w:proofErr w:type="gramStart"/>
      <w:r w:rsidRPr="002C4190">
        <w:rPr>
          <w:rFonts w:ascii="Times New Roman" w:hAnsi="Times New Roman" w:cs="Times New Roman"/>
          <w:sz w:val="24"/>
          <w:szCs w:val="24"/>
        </w:rPr>
        <w:t>source of revenue, shoe sales in London, have</w:t>
      </w:r>
      <w:proofErr w:type="gramEnd"/>
      <w:r w:rsidRPr="002C4190">
        <w:rPr>
          <w:rFonts w:ascii="Times New Roman" w:hAnsi="Times New Roman" w:cs="Times New Roman"/>
          <w:sz w:val="24"/>
          <w:szCs w:val="24"/>
        </w:rPr>
        <w:t xml:space="preserve"> seen a sharp fall. This shows that the business is falling behind its rivals in the marketplace.</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The organisation has made certain advancements in its internal processes from a non-financial standpoint. Both the error rate for tasks completed and the time spent on each activity have </w:t>
      </w:r>
      <w:r w:rsidRPr="002C4190">
        <w:rPr>
          <w:rFonts w:ascii="Times New Roman" w:hAnsi="Times New Roman" w:cs="Times New Roman"/>
          <w:sz w:val="24"/>
          <w:szCs w:val="24"/>
        </w:rPr>
        <w:lastRenderedPageBreak/>
        <w:t>decreased. This shows that the business has made progress towards increasing operational effectiveness. These enhancements might not, however, be adequate on their own to resolve the company's current problems.</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To streamline its processes and improve its competitiveness in the market, we advise the company to implement business process reengineering. To achieve considerable increases in performance and efficiency, business processes must be completely redesigned. The business processes of the organisation, including the supply chain, customer service, and sales and marketing procedures, may need to be completely rethought to achieve this.</w:t>
      </w:r>
    </w:p>
    <w:p w:rsidR="00A17ADE" w:rsidRPr="002C4190" w:rsidRDefault="00A17ADE" w:rsidP="00A17ADE">
      <w:pPr>
        <w:spacing w:after="0" w:line="480" w:lineRule="auto"/>
        <w:contextualSpacing/>
        <w:rPr>
          <w:rFonts w:ascii="Times New Roman" w:hAnsi="Times New Roman" w:cs="Times New Roman"/>
          <w:sz w:val="24"/>
          <w:szCs w:val="24"/>
        </w:rPr>
      </w:pPr>
    </w:p>
    <w:p w:rsidR="00A17ADE" w:rsidRPr="002C4190" w:rsidRDefault="00A17ADE" w:rsidP="00A17ADE">
      <w:pPr>
        <w:pStyle w:val="Heading1"/>
        <w:spacing w:before="0" w:line="480" w:lineRule="auto"/>
        <w:contextualSpacing/>
        <w:rPr>
          <w:rFonts w:ascii="Times New Roman" w:hAnsi="Times New Roman" w:cs="Times New Roman"/>
          <w:b/>
          <w:bCs/>
          <w:sz w:val="24"/>
          <w:szCs w:val="24"/>
        </w:rPr>
      </w:pPr>
      <w:bookmarkStart w:id="23" w:name="_Toc132728749"/>
      <w:r w:rsidRPr="002C4190">
        <w:rPr>
          <w:rFonts w:ascii="Times New Roman" w:hAnsi="Times New Roman" w:cs="Times New Roman"/>
          <w:b/>
          <w:bCs/>
          <w:sz w:val="24"/>
          <w:szCs w:val="24"/>
        </w:rPr>
        <w:t>Conclusion</w:t>
      </w:r>
      <w:bookmarkEnd w:id="23"/>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b/>
          <w:bCs/>
          <w:sz w:val="24"/>
          <w:szCs w:val="24"/>
        </w:rPr>
        <w:t>PART-1</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In conclusion, the proposed measurements of divisional performance, in conclusion, offer important information about the profitability and efficiency of the M/S and Service divisions. While ROI and RI demonstrate that M/S is outperforming Service, EVATM offers a more in-depth analysis of divisional performance that accounts for the cost of capital. To create and keep a solid client base, it is also essential to consider various divisional performance indicators like customer satisfaction, quality, and innovation.</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The cost-plus method appears to be the best choice for establishing the transfer price between the service and M/S divisions, according to the evaluation of the two methods for calculating the transfer price. This approach is simple to understand, covers the service division's true costs, and provides an adequate profit margin while minimising divisional conflict.</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By improving data visibility and decision-making capabilities, the adoption of a new executive information system could have a substantial impact on the company's overall performance. With </w:t>
      </w:r>
      <w:r w:rsidRPr="002C4190">
        <w:rPr>
          <w:rFonts w:ascii="Times New Roman" w:hAnsi="Times New Roman" w:cs="Times New Roman"/>
          <w:sz w:val="24"/>
          <w:szCs w:val="24"/>
        </w:rPr>
        <w:lastRenderedPageBreak/>
        <w:t>the help of the proposed system, the business may decide how to allocate resources, set prices, and develop new products after receiving crucial insights regarding customer behaviour, sales trends, and divisional performance.</w:t>
      </w:r>
    </w:p>
    <w:p w:rsidR="00A17ADE" w:rsidRPr="002C4190" w:rsidRDefault="00A17ADE" w:rsidP="00A17ADE">
      <w:pPr>
        <w:spacing w:after="0" w:line="480" w:lineRule="auto"/>
        <w:contextualSpacing/>
        <w:rPr>
          <w:rFonts w:ascii="Times New Roman" w:hAnsi="Times New Roman" w:cs="Times New Roman"/>
          <w:b/>
          <w:bCs/>
          <w:sz w:val="24"/>
          <w:szCs w:val="24"/>
        </w:rPr>
      </w:pPr>
      <w:r w:rsidRPr="002C4190">
        <w:rPr>
          <w:rFonts w:ascii="Times New Roman" w:hAnsi="Times New Roman" w:cs="Times New Roman"/>
          <w:b/>
          <w:bCs/>
          <w:sz w:val="24"/>
          <w:szCs w:val="24"/>
        </w:rPr>
        <w:t>PART-2</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 xml:space="preserve">The large decline in revenue, gross profit, and profit before tax in 2021 is proof of the growth issue </w:t>
      </w:r>
      <w:proofErr w:type="spellStart"/>
      <w:r w:rsidRPr="002C4190">
        <w:rPr>
          <w:rFonts w:ascii="Times New Roman" w:hAnsi="Times New Roman" w:cs="Times New Roman"/>
          <w:sz w:val="24"/>
          <w:szCs w:val="24"/>
        </w:rPr>
        <w:t>Troyland</w:t>
      </w:r>
      <w:proofErr w:type="spellEnd"/>
      <w:r w:rsidRPr="002C4190">
        <w:rPr>
          <w:rFonts w:ascii="Times New Roman" w:hAnsi="Times New Roman" w:cs="Times New Roman"/>
          <w:sz w:val="24"/>
          <w:szCs w:val="24"/>
        </w:rPr>
        <w:t xml:space="preserve"> Limited is experiencing, according to the report's findings. The company's market share in London for shoe sales has also drastically decreased. The company must therefore reengineer its procedures to address the current financial crisis and increase its market share.</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The report also indicates that the company has improved its internal processes, as seen by a decline in the error rate for completed jobs and a shortening of work length. Also, the business has made investments in staff training, as evidenced by the rise in annual CPD attendance and the steady retention rate. Positive non-financial indicators like these show that the business has a chance to prosper in the future if the proper tactics are implemented.</w:t>
      </w:r>
    </w:p>
    <w:p w:rsidR="00A17ADE" w:rsidRPr="002C4190" w:rsidRDefault="00A17ADE" w:rsidP="00A17ADE">
      <w:pPr>
        <w:spacing w:after="0" w:line="480" w:lineRule="auto"/>
        <w:contextualSpacing/>
        <w:rPr>
          <w:rFonts w:ascii="Times New Roman" w:hAnsi="Times New Roman" w:cs="Times New Roman"/>
          <w:sz w:val="24"/>
          <w:szCs w:val="24"/>
        </w:rPr>
      </w:pPr>
      <w:proofErr w:type="spellStart"/>
      <w:r w:rsidRPr="002C4190">
        <w:rPr>
          <w:rFonts w:ascii="Times New Roman" w:hAnsi="Times New Roman" w:cs="Times New Roman"/>
          <w:sz w:val="24"/>
          <w:szCs w:val="24"/>
        </w:rPr>
        <w:t>Troyland</w:t>
      </w:r>
      <w:proofErr w:type="spellEnd"/>
      <w:r w:rsidRPr="002C4190">
        <w:rPr>
          <w:rFonts w:ascii="Times New Roman" w:hAnsi="Times New Roman" w:cs="Times New Roman"/>
          <w:sz w:val="24"/>
          <w:szCs w:val="24"/>
        </w:rPr>
        <w:t xml:space="preserve"> Limited is currently in a precarious financial situation because of diminishing revenue, gross profit, and market share for shoe sales in London. Nonetheless, non-financial data for the organisation demonstrates that it has been successful in improving internal operations and staff expansion. The company should consider business process reengineering to overcome the financial crisis and increase competitiveness. This would necessitate a complete redesign of the business operations, including supply chain, customer service, sales, and marketing procedures, to achieve significant increases in performance and efficiency. As a result of our research, we conclude that </w:t>
      </w:r>
      <w:proofErr w:type="spellStart"/>
      <w:r w:rsidRPr="002C4190">
        <w:rPr>
          <w:rFonts w:ascii="Times New Roman" w:hAnsi="Times New Roman" w:cs="Times New Roman"/>
          <w:sz w:val="24"/>
          <w:szCs w:val="24"/>
        </w:rPr>
        <w:t>Troyland</w:t>
      </w:r>
      <w:proofErr w:type="spellEnd"/>
      <w:r w:rsidRPr="002C4190">
        <w:rPr>
          <w:rFonts w:ascii="Times New Roman" w:hAnsi="Times New Roman" w:cs="Times New Roman"/>
          <w:sz w:val="24"/>
          <w:szCs w:val="24"/>
        </w:rPr>
        <w:t xml:space="preserve"> Limited should implement business process reengineering to address its current problems. We think that doing this will significantly increase the company's performance, efficiency, and market competitiveness.</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lastRenderedPageBreak/>
        <w:t xml:space="preserve">To handle the current growth challenge and increase its market share, </w:t>
      </w:r>
      <w:proofErr w:type="spellStart"/>
      <w:r w:rsidRPr="002C4190">
        <w:rPr>
          <w:rFonts w:ascii="Times New Roman" w:hAnsi="Times New Roman" w:cs="Times New Roman"/>
          <w:sz w:val="24"/>
          <w:szCs w:val="24"/>
        </w:rPr>
        <w:t>Troyland</w:t>
      </w:r>
      <w:proofErr w:type="spellEnd"/>
      <w:r w:rsidRPr="002C4190">
        <w:rPr>
          <w:rFonts w:ascii="Times New Roman" w:hAnsi="Times New Roman" w:cs="Times New Roman"/>
          <w:sz w:val="24"/>
          <w:szCs w:val="24"/>
        </w:rPr>
        <w:t xml:space="preserve"> Ltd must move quickly to reengineer its operations. Regarding its internal processes, personnel training, and retention rate, the organisation has a promising future. The business can accomplish its goals and set itself up for long-term success in the cutthroat retail market by employing the appropriate tactics and the Balanced Scorecard methodology.</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br w:type="page"/>
      </w:r>
    </w:p>
    <w:bookmarkStart w:id="24" w:name="_Toc132728750" w:displacedByCustomXml="next"/>
    <w:sdt>
      <w:sdtPr>
        <w:rPr>
          <w:rFonts w:ascii="Times New Roman" w:eastAsiaTheme="minorHAnsi" w:hAnsi="Times New Roman" w:cs="Times New Roman"/>
          <w:color w:val="auto"/>
          <w:kern w:val="2"/>
          <w:sz w:val="24"/>
          <w:szCs w:val="24"/>
          <w:lang w:val="en-CA"/>
          <w14:ligatures w14:val="standardContextual"/>
        </w:rPr>
        <w:id w:val="-2022617395"/>
        <w:docPartObj>
          <w:docPartGallery w:val="Bibliographies"/>
          <w:docPartUnique/>
        </w:docPartObj>
      </w:sdtPr>
      <w:sdtContent>
        <w:p w:rsidR="00A17ADE" w:rsidRPr="002C4190" w:rsidRDefault="00A17ADE" w:rsidP="00A17ADE">
          <w:pPr>
            <w:pStyle w:val="Heading1"/>
            <w:spacing w:before="0" w:line="480" w:lineRule="auto"/>
            <w:contextualSpacing/>
            <w:rPr>
              <w:rFonts w:ascii="Times New Roman" w:hAnsi="Times New Roman" w:cs="Times New Roman"/>
              <w:sz w:val="24"/>
              <w:szCs w:val="24"/>
            </w:rPr>
          </w:pPr>
          <w:r w:rsidRPr="002C4190">
            <w:rPr>
              <w:rFonts w:ascii="Times New Roman" w:hAnsi="Times New Roman" w:cs="Times New Roman"/>
              <w:sz w:val="24"/>
              <w:szCs w:val="24"/>
            </w:rPr>
            <w:t>Bibliography</w:t>
          </w:r>
          <w:bookmarkEnd w:id="24"/>
        </w:p>
        <w:sdt>
          <w:sdtPr>
            <w:rPr>
              <w:rFonts w:ascii="Times New Roman" w:hAnsi="Times New Roman" w:cs="Times New Roman"/>
              <w:sz w:val="24"/>
              <w:szCs w:val="24"/>
            </w:rPr>
            <w:id w:val="111145805"/>
            <w:bibliography/>
          </w:sdtPr>
          <w:sdtContent>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sz w:val="24"/>
                  <w:szCs w:val="24"/>
                </w:rPr>
                <w:fldChar w:fldCharType="begin"/>
              </w:r>
              <w:r w:rsidRPr="002C4190">
                <w:rPr>
                  <w:rFonts w:ascii="Times New Roman" w:hAnsi="Times New Roman" w:cs="Times New Roman"/>
                  <w:sz w:val="24"/>
                  <w:szCs w:val="24"/>
                </w:rPr>
                <w:instrText xml:space="preserve"> BIBLIOGRAPHY </w:instrText>
              </w:r>
              <w:r w:rsidRPr="002C4190">
                <w:rPr>
                  <w:rFonts w:ascii="Times New Roman" w:hAnsi="Times New Roman" w:cs="Times New Roman"/>
                  <w:sz w:val="24"/>
                  <w:szCs w:val="24"/>
                </w:rPr>
                <w:fldChar w:fldCharType="separate"/>
              </w:r>
              <w:r w:rsidRPr="002C4190">
                <w:rPr>
                  <w:rFonts w:ascii="Times New Roman" w:hAnsi="Times New Roman" w:cs="Times New Roman"/>
                  <w:noProof/>
                  <w:sz w:val="24"/>
                  <w:szCs w:val="24"/>
                  <w:lang w:val="en-US"/>
                </w:rPr>
                <w:t xml:space="preserve">Beaver, S. (2023, March 21). </w:t>
              </w:r>
              <w:r w:rsidRPr="002C4190">
                <w:rPr>
                  <w:rFonts w:ascii="Times New Roman" w:hAnsi="Times New Roman" w:cs="Times New Roman"/>
                  <w:i/>
                  <w:iCs/>
                  <w:noProof/>
                  <w:sz w:val="24"/>
                  <w:szCs w:val="24"/>
                  <w:lang w:val="en-US"/>
                </w:rPr>
                <w:t>30 Financial Metrics and KPIs to Measure Success in 2023</w:t>
              </w:r>
              <w:r w:rsidRPr="002C4190">
                <w:rPr>
                  <w:rFonts w:ascii="Times New Roman" w:hAnsi="Times New Roman" w:cs="Times New Roman"/>
                  <w:noProof/>
                  <w:sz w:val="24"/>
                  <w:szCs w:val="24"/>
                  <w:lang w:val="en-US"/>
                </w:rPr>
                <w:t>. Retrieved April 16, 2023, from Netsuite: https://www.netsuite.com/portal/resource/articles/accounting/financial-kpis-metrics.shtml#target5</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Bob Stanke. (2023, February 14). </w:t>
              </w:r>
              <w:r w:rsidRPr="002C4190">
                <w:rPr>
                  <w:rFonts w:ascii="Times New Roman" w:hAnsi="Times New Roman" w:cs="Times New Roman"/>
                  <w:i/>
                  <w:iCs/>
                  <w:noProof/>
                  <w:sz w:val="24"/>
                  <w:szCs w:val="24"/>
                  <w:lang w:val="en-US"/>
                </w:rPr>
                <w:t>The Balanced Scorecard: Balancing Financial and Non-Financial Performance</w:t>
              </w:r>
              <w:r w:rsidRPr="002C4190">
                <w:rPr>
                  <w:rFonts w:ascii="Times New Roman" w:hAnsi="Times New Roman" w:cs="Times New Roman"/>
                  <w:noProof/>
                  <w:sz w:val="24"/>
                  <w:szCs w:val="24"/>
                  <w:lang w:val="en-US"/>
                </w:rPr>
                <w:t>. Retrieved April 16, 2023, from Bob Stanke: https://www.bobstanke.com/blog/the-balanced-scorecard</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Carpi, R., Douglas, J., &amp; Gascon, F. (2017, October 4). </w:t>
              </w:r>
              <w:r w:rsidRPr="002C4190">
                <w:rPr>
                  <w:rFonts w:ascii="Times New Roman" w:hAnsi="Times New Roman" w:cs="Times New Roman"/>
                  <w:i/>
                  <w:iCs/>
                  <w:noProof/>
                  <w:sz w:val="24"/>
                  <w:szCs w:val="24"/>
                  <w:lang w:val="en-US"/>
                </w:rPr>
                <w:t>Performance management: Why keeping score is so important, and so hard</w:t>
              </w:r>
              <w:r w:rsidRPr="002C4190">
                <w:rPr>
                  <w:rFonts w:ascii="Times New Roman" w:hAnsi="Times New Roman" w:cs="Times New Roman"/>
                  <w:noProof/>
                  <w:sz w:val="24"/>
                  <w:szCs w:val="24"/>
                  <w:lang w:val="en-US"/>
                </w:rPr>
                <w:t>. Retrieved April 15, 2023, from McKinsey&amp;Company: https://www.mckinsey.com/capabilities/operations/our-insights/performance-management-why-keeping-score-is-so-important-and-so-hard</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Curry, B. (2022, September 28). </w:t>
              </w:r>
              <w:r w:rsidRPr="002C4190">
                <w:rPr>
                  <w:rFonts w:ascii="Times New Roman" w:hAnsi="Times New Roman" w:cs="Times New Roman"/>
                  <w:i/>
                  <w:iCs/>
                  <w:noProof/>
                  <w:sz w:val="24"/>
                  <w:szCs w:val="24"/>
                  <w:lang w:val="en-US"/>
                </w:rPr>
                <w:t>Return On Investment (ROI)</w:t>
              </w:r>
              <w:r w:rsidRPr="002C4190">
                <w:rPr>
                  <w:rFonts w:ascii="Times New Roman" w:hAnsi="Times New Roman" w:cs="Times New Roman"/>
                  <w:noProof/>
                  <w:sz w:val="24"/>
                  <w:szCs w:val="24"/>
                  <w:lang w:val="en-US"/>
                </w:rPr>
                <w:t>. Retrieved April 12, 2023, from Forbes: https://www.forbes.com/advisor/investing/roi-return-on-investment/</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Dieto, A. (2021, May 19). </w:t>
              </w:r>
              <w:r w:rsidRPr="002C4190">
                <w:rPr>
                  <w:rFonts w:ascii="Times New Roman" w:hAnsi="Times New Roman" w:cs="Times New Roman"/>
                  <w:i/>
                  <w:iCs/>
                  <w:noProof/>
                  <w:sz w:val="24"/>
                  <w:szCs w:val="24"/>
                  <w:lang w:val="en-US"/>
                </w:rPr>
                <w:t>Here are five reasons why business process re-engineering is important</w:t>
              </w:r>
              <w:r w:rsidRPr="002C4190">
                <w:rPr>
                  <w:rFonts w:ascii="Times New Roman" w:hAnsi="Times New Roman" w:cs="Times New Roman"/>
                  <w:noProof/>
                  <w:sz w:val="24"/>
                  <w:szCs w:val="24"/>
                  <w:lang w:val="en-US"/>
                </w:rPr>
                <w:t>. Retrieved April 16, 2023, from Auspa Conuslting: https://auspakenya.com/here-are-five-reasons-why-business-process-re-engineering-is-important/</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El-Shishini, H. (2001). </w:t>
              </w:r>
              <w:r w:rsidRPr="002C4190">
                <w:rPr>
                  <w:rFonts w:ascii="Times New Roman" w:hAnsi="Times New Roman" w:cs="Times New Roman"/>
                  <w:i/>
                  <w:iCs/>
                  <w:noProof/>
                  <w:sz w:val="24"/>
                  <w:szCs w:val="24"/>
                  <w:lang w:val="en-US"/>
                </w:rPr>
                <w:t>Divisional Performance Measurement: An Examination Of The Potential Explanatory Factors.</w:t>
              </w:r>
              <w:r w:rsidRPr="002C4190">
                <w:rPr>
                  <w:rFonts w:ascii="Times New Roman" w:hAnsi="Times New Roman" w:cs="Times New Roman"/>
                  <w:noProof/>
                  <w:sz w:val="24"/>
                  <w:szCs w:val="24"/>
                  <w:lang w:val="en-US"/>
                </w:rPr>
                <w:t xml:space="preserve"> SSRN Electronic Journal. https://doi.org/10.2139/ssrn.268408</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FundThrough. (2023, March 27). </w:t>
              </w:r>
              <w:r w:rsidRPr="002C4190">
                <w:rPr>
                  <w:rFonts w:ascii="Times New Roman" w:hAnsi="Times New Roman" w:cs="Times New Roman"/>
                  <w:i/>
                  <w:iCs/>
                  <w:noProof/>
                  <w:sz w:val="24"/>
                  <w:szCs w:val="24"/>
                  <w:lang w:val="en-US"/>
                </w:rPr>
                <w:t>Guide: The Importance of Working Capital Management</w:t>
              </w:r>
              <w:r w:rsidRPr="002C4190">
                <w:rPr>
                  <w:rFonts w:ascii="Times New Roman" w:hAnsi="Times New Roman" w:cs="Times New Roman"/>
                  <w:noProof/>
                  <w:sz w:val="24"/>
                  <w:szCs w:val="24"/>
                  <w:lang w:val="en-US"/>
                </w:rPr>
                <w:t>. Retrieved April 16, 2023, from Fundthorugh: https://www.fundthrough.com/blog/working-capital/working-capital-management-what-it-is-and-why-its-important/#:~:text=Efficient%20working%20capital%20management%20helps,day%2Dto%2Dday%20operations.</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Gandhi, R. (2022, March 22). </w:t>
              </w:r>
              <w:r w:rsidRPr="002C4190">
                <w:rPr>
                  <w:rFonts w:ascii="Times New Roman" w:hAnsi="Times New Roman" w:cs="Times New Roman"/>
                  <w:i/>
                  <w:iCs/>
                  <w:noProof/>
                  <w:sz w:val="24"/>
                  <w:szCs w:val="24"/>
                  <w:lang w:val="en-US"/>
                </w:rPr>
                <w:t>All you need to know about Market-Based Transfer Pricing</w:t>
              </w:r>
              <w:r w:rsidRPr="002C4190">
                <w:rPr>
                  <w:rFonts w:ascii="Times New Roman" w:hAnsi="Times New Roman" w:cs="Times New Roman"/>
                  <w:noProof/>
                  <w:sz w:val="24"/>
                  <w:szCs w:val="24"/>
                  <w:lang w:val="en-US"/>
                </w:rPr>
                <w:t>. Retrieved April 13, 2023, from Enterslice: https://enterslice.com/learning/market-based-transfer-pricing/</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Gillikin, J. (2019, January 25). </w:t>
              </w:r>
              <w:r w:rsidRPr="002C4190">
                <w:rPr>
                  <w:rFonts w:ascii="Times New Roman" w:hAnsi="Times New Roman" w:cs="Times New Roman"/>
                  <w:i/>
                  <w:iCs/>
                  <w:noProof/>
                  <w:sz w:val="24"/>
                  <w:szCs w:val="24"/>
                  <w:lang w:val="en-US"/>
                </w:rPr>
                <w:t>Advantages &amp; Disadvantages of Divisional Organizational Structure</w:t>
              </w:r>
              <w:r w:rsidRPr="002C4190">
                <w:rPr>
                  <w:rFonts w:ascii="Times New Roman" w:hAnsi="Times New Roman" w:cs="Times New Roman"/>
                  <w:noProof/>
                  <w:sz w:val="24"/>
                  <w:szCs w:val="24"/>
                  <w:lang w:val="en-US"/>
                </w:rPr>
                <w:t>. Retrieved April 18, 2023, from Chron: https://smallbusiness.chron.com/advantages-disadvantages-divisional-organizational-structure-611.html</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Grant, J. L. (2003). </w:t>
              </w:r>
              <w:r w:rsidRPr="002C4190">
                <w:rPr>
                  <w:rFonts w:ascii="Times New Roman" w:hAnsi="Times New Roman" w:cs="Times New Roman"/>
                  <w:i/>
                  <w:iCs/>
                  <w:noProof/>
                  <w:sz w:val="24"/>
                  <w:szCs w:val="24"/>
                  <w:lang w:val="en-US"/>
                </w:rPr>
                <w:t>Foundations of Economic Value Added (2nd Edition).</w:t>
              </w:r>
              <w:r w:rsidRPr="002C4190">
                <w:rPr>
                  <w:rFonts w:ascii="Times New Roman" w:hAnsi="Times New Roman" w:cs="Times New Roman"/>
                  <w:noProof/>
                  <w:sz w:val="24"/>
                  <w:szCs w:val="24"/>
                  <w:lang w:val="en-US"/>
                </w:rPr>
                <w:t xml:space="preserve"> </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Group, V. (2021, February 11). </w:t>
              </w:r>
              <w:r w:rsidRPr="002C4190">
                <w:rPr>
                  <w:rFonts w:ascii="Times New Roman" w:hAnsi="Times New Roman" w:cs="Times New Roman"/>
                  <w:i/>
                  <w:iCs/>
                  <w:noProof/>
                  <w:sz w:val="24"/>
                  <w:szCs w:val="24"/>
                  <w:lang w:val="en-US"/>
                </w:rPr>
                <w:t>The Cost Plus Transfer Pricing Method (With Examples)</w:t>
              </w:r>
              <w:r w:rsidRPr="002C4190">
                <w:rPr>
                  <w:rFonts w:ascii="Times New Roman" w:hAnsi="Times New Roman" w:cs="Times New Roman"/>
                  <w:noProof/>
                  <w:sz w:val="24"/>
                  <w:szCs w:val="24"/>
                  <w:lang w:val="en-US"/>
                </w:rPr>
                <w:t>. Retrieved April 10, 2023, from Valentium: https://www.valentiam.com/newsandinsights/cost-plus-method</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lastRenderedPageBreak/>
                <w:t xml:space="preserve">Indiafreenotes. (2020, July 30). </w:t>
              </w:r>
              <w:r w:rsidRPr="002C4190">
                <w:rPr>
                  <w:rFonts w:ascii="Times New Roman" w:hAnsi="Times New Roman" w:cs="Times New Roman"/>
                  <w:i/>
                  <w:iCs/>
                  <w:noProof/>
                  <w:sz w:val="24"/>
                  <w:szCs w:val="24"/>
                  <w:lang w:val="en-US"/>
                </w:rPr>
                <w:t>Divisional Performance</w:t>
              </w:r>
              <w:r w:rsidRPr="002C4190">
                <w:rPr>
                  <w:rFonts w:ascii="Times New Roman" w:hAnsi="Times New Roman" w:cs="Times New Roman"/>
                  <w:noProof/>
                  <w:sz w:val="24"/>
                  <w:szCs w:val="24"/>
                  <w:lang w:val="en-US"/>
                </w:rPr>
                <w:t>. Retrieved April 13, 2023, from Indiafreenotes: https://indiafreenotes.com/divisional-performance/</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Ittner, C. D., &amp; Larcker, D. F. (1998). Are Nonfinancial Measures Leading Indicators of Financial Performance? An Analysis of Customer Satisfaction. </w:t>
              </w:r>
              <w:r w:rsidRPr="002C4190">
                <w:rPr>
                  <w:rFonts w:ascii="Times New Roman" w:hAnsi="Times New Roman" w:cs="Times New Roman"/>
                  <w:i/>
                  <w:iCs/>
                  <w:noProof/>
                  <w:sz w:val="24"/>
                  <w:szCs w:val="24"/>
                  <w:lang w:val="en-US"/>
                </w:rPr>
                <w:t>Journal of Accounting Research, 36</w:t>
              </w:r>
              <w:r w:rsidRPr="002C4190">
                <w:rPr>
                  <w:rFonts w:ascii="Times New Roman" w:hAnsi="Times New Roman" w:cs="Times New Roman"/>
                  <w:noProof/>
                  <w:sz w:val="24"/>
                  <w:szCs w:val="24"/>
                  <w:lang w:val="en-US"/>
                </w:rPr>
                <w:t>, 1-35.</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Ittner, C. D., &amp; Larcker, D. F. (2014, August 1). </w:t>
              </w:r>
              <w:r w:rsidRPr="002C4190">
                <w:rPr>
                  <w:rFonts w:ascii="Times New Roman" w:hAnsi="Times New Roman" w:cs="Times New Roman"/>
                  <w:i/>
                  <w:iCs/>
                  <w:noProof/>
                  <w:sz w:val="24"/>
                  <w:szCs w:val="24"/>
                  <w:lang w:val="en-US"/>
                </w:rPr>
                <w:t>Coming Up Short on Nonfinancial Performance Measurement</w:t>
              </w:r>
              <w:r w:rsidRPr="002C4190">
                <w:rPr>
                  <w:rFonts w:ascii="Times New Roman" w:hAnsi="Times New Roman" w:cs="Times New Roman"/>
                  <w:noProof/>
                  <w:sz w:val="24"/>
                  <w:szCs w:val="24"/>
                  <w:lang w:val="en-US"/>
                </w:rPr>
                <w:t>. Retrieved April 15, 2023, from Harvard Business Review: https://hbr.org/2003/11/coming-up-short-on-nonfinancial-performance-measurement</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Kaplan, R. S., &amp; Norton, D. P. (2000, September 01). </w:t>
              </w:r>
              <w:r w:rsidRPr="002C4190">
                <w:rPr>
                  <w:rFonts w:ascii="Times New Roman" w:hAnsi="Times New Roman" w:cs="Times New Roman"/>
                  <w:i/>
                  <w:iCs/>
                  <w:noProof/>
                  <w:sz w:val="24"/>
                  <w:szCs w:val="24"/>
                  <w:lang w:val="en-US"/>
                </w:rPr>
                <w:t>Having Trouble with Your Strategy? Then Map It</w:t>
              </w:r>
              <w:r w:rsidRPr="002C4190">
                <w:rPr>
                  <w:rFonts w:ascii="Times New Roman" w:hAnsi="Times New Roman" w:cs="Times New Roman"/>
                  <w:noProof/>
                  <w:sz w:val="24"/>
                  <w:szCs w:val="24"/>
                  <w:lang w:val="en-US"/>
                </w:rPr>
                <w:t>. Retrieved April 13, 2023, from Harvard Business Review: https://hbr.org/2000/09/having-trouble-with-your-strategy-then-map-it</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Marr, B. (2012). </w:t>
              </w:r>
              <w:r w:rsidRPr="002C4190">
                <w:rPr>
                  <w:rFonts w:ascii="Times New Roman" w:hAnsi="Times New Roman" w:cs="Times New Roman"/>
                  <w:i/>
                  <w:iCs/>
                  <w:noProof/>
                  <w:sz w:val="24"/>
                  <w:szCs w:val="24"/>
                  <w:lang w:val="en-US"/>
                </w:rPr>
                <w:t>Key Performance Indicators (KPI) The 75 Measures Every Manager Needs to Know.</w:t>
              </w:r>
              <w:r w:rsidRPr="002C4190">
                <w:rPr>
                  <w:rFonts w:ascii="Times New Roman" w:hAnsi="Times New Roman" w:cs="Times New Roman"/>
                  <w:noProof/>
                  <w:sz w:val="24"/>
                  <w:szCs w:val="24"/>
                  <w:lang w:val="en-US"/>
                </w:rPr>
                <w:t xml:space="preserve"> United Kingdom: Pearson Education Limited.</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MCKINLEY, J., &amp; OWSLEY, J. (2013, October 01). </w:t>
              </w:r>
              <w:r w:rsidRPr="002C4190">
                <w:rPr>
                  <w:rFonts w:ascii="Times New Roman" w:hAnsi="Times New Roman" w:cs="Times New Roman"/>
                  <w:i/>
                  <w:iCs/>
                  <w:noProof/>
                  <w:sz w:val="24"/>
                  <w:szCs w:val="24"/>
                  <w:lang w:val="en-US"/>
                </w:rPr>
                <w:t>Transfer pricing and its effect on financial reporting</w:t>
              </w:r>
              <w:r w:rsidRPr="002C4190">
                <w:rPr>
                  <w:rFonts w:ascii="Times New Roman" w:hAnsi="Times New Roman" w:cs="Times New Roman"/>
                  <w:noProof/>
                  <w:sz w:val="24"/>
                  <w:szCs w:val="24"/>
                  <w:lang w:val="en-US"/>
                </w:rPr>
                <w:t>. Retrieved April 13, 2023, from Journal of Accountancy: https://www.journalofaccountancy.com/issues/2013/oct/20137721.html</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Nigam, P. (2022, April 16). </w:t>
              </w:r>
              <w:r w:rsidRPr="002C4190">
                <w:rPr>
                  <w:rFonts w:ascii="Times New Roman" w:hAnsi="Times New Roman" w:cs="Times New Roman"/>
                  <w:i/>
                  <w:iCs/>
                  <w:noProof/>
                  <w:sz w:val="24"/>
                  <w:szCs w:val="24"/>
                  <w:lang w:val="en-US"/>
                </w:rPr>
                <w:t>An overview of the advantages of Transfer pricing</w:t>
              </w:r>
              <w:r w:rsidRPr="002C4190">
                <w:rPr>
                  <w:rFonts w:ascii="Times New Roman" w:hAnsi="Times New Roman" w:cs="Times New Roman"/>
                  <w:noProof/>
                  <w:sz w:val="24"/>
                  <w:szCs w:val="24"/>
                  <w:lang w:val="en-US"/>
                </w:rPr>
                <w:t>. Retrieved April 16, 2023, from Enterslice: https://enterslice.com/learning/advantages-of-transfer-pricing/</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Pazzanese, C. (2020, Occtober 26). </w:t>
              </w:r>
              <w:r w:rsidRPr="002C4190">
                <w:rPr>
                  <w:rFonts w:ascii="Times New Roman" w:hAnsi="Times New Roman" w:cs="Times New Roman"/>
                  <w:i/>
                  <w:iCs/>
                  <w:noProof/>
                  <w:sz w:val="24"/>
                  <w:szCs w:val="24"/>
                  <w:lang w:val="en-US"/>
                </w:rPr>
                <w:t>Great promise but potential for peril</w:t>
              </w:r>
              <w:r w:rsidRPr="002C4190">
                <w:rPr>
                  <w:rFonts w:ascii="Times New Roman" w:hAnsi="Times New Roman" w:cs="Times New Roman"/>
                  <w:noProof/>
                  <w:sz w:val="24"/>
                  <w:szCs w:val="24"/>
                  <w:lang w:val="en-US"/>
                </w:rPr>
                <w:t>. Retrieved April 18, 2023, from The Harvard Gazette: https://news.harvard.edu/gazette/story/2020/10/ethical-concerns-mount-as-ai-takes-bigger-decision-making-role/</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Quiet Light. (2022, February 14). </w:t>
              </w:r>
              <w:r w:rsidRPr="002C4190">
                <w:rPr>
                  <w:rFonts w:ascii="Times New Roman" w:hAnsi="Times New Roman" w:cs="Times New Roman"/>
                  <w:i/>
                  <w:iCs/>
                  <w:noProof/>
                  <w:sz w:val="24"/>
                  <w:szCs w:val="24"/>
                  <w:lang w:val="en-US"/>
                </w:rPr>
                <w:t>These financial metrics are critical when valuing a business</w:t>
              </w:r>
              <w:r w:rsidRPr="002C4190">
                <w:rPr>
                  <w:rFonts w:ascii="Times New Roman" w:hAnsi="Times New Roman" w:cs="Times New Roman"/>
                  <w:noProof/>
                  <w:sz w:val="24"/>
                  <w:szCs w:val="24"/>
                  <w:lang w:val="en-US"/>
                </w:rPr>
                <w:t>. Retrieved April 14, 2023, from Quiet Light: https://www.citationmachine.net/apa/cite-a-website/new</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Rouse, M. (2022, September 12). </w:t>
              </w:r>
              <w:r w:rsidRPr="002C4190">
                <w:rPr>
                  <w:rFonts w:ascii="Times New Roman" w:hAnsi="Times New Roman" w:cs="Times New Roman"/>
                  <w:i/>
                  <w:iCs/>
                  <w:noProof/>
                  <w:sz w:val="24"/>
                  <w:szCs w:val="24"/>
                  <w:lang w:val="en-US"/>
                </w:rPr>
                <w:t>What Does Executive Information System Mean?</w:t>
              </w:r>
              <w:r w:rsidRPr="002C4190">
                <w:rPr>
                  <w:rFonts w:ascii="Times New Roman" w:hAnsi="Times New Roman" w:cs="Times New Roman"/>
                  <w:noProof/>
                  <w:sz w:val="24"/>
                  <w:szCs w:val="24"/>
                  <w:lang w:val="en-US"/>
                </w:rPr>
                <w:t xml:space="preserve"> Retrieved April 14, 2023, from Techopedia: https://www.techopedia.com/definition/1016/executive-information-system-eis</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Saurabh. (2019). </w:t>
              </w:r>
              <w:r w:rsidRPr="002C4190">
                <w:rPr>
                  <w:rFonts w:ascii="Times New Roman" w:hAnsi="Times New Roman" w:cs="Times New Roman"/>
                  <w:i/>
                  <w:iCs/>
                  <w:noProof/>
                  <w:sz w:val="24"/>
                  <w:szCs w:val="24"/>
                  <w:lang w:val="en-US"/>
                </w:rPr>
                <w:t>Economic Value Added for Competitive Advantage: A Case of Indian Enterprises.</w:t>
              </w:r>
              <w:r w:rsidRPr="002C4190">
                <w:rPr>
                  <w:rFonts w:ascii="Times New Roman" w:hAnsi="Times New Roman" w:cs="Times New Roman"/>
                  <w:noProof/>
                  <w:sz w:val="24"/>
                  <w:szCs w:val="24"/>
                  <w:lang w:val="en-US"/>
                </w:rPr>
                <w:t xml:space="preserve"> Cambridge Scholars Publishing.</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Team, C. (2022, December 14). </w:t>
              </w:r>
              <w:r w:rsidRPr="002C4190">
                <w:rPr>
                  <w:rFonts w:ascii="Times New Roman" w:hAnsi="Times New Roman" w:cs="Times New Roman"/>
                  <w:i/>
                  <w:iCs/>
                  <w:noProof/>
                  <w:sz w:val="24"/>
                  <w:szCs w:val="24"/>
                  <w:lang w:val="en-US"/>
                </w:rPr>
                <w:t>Residual Income</w:t>
              </w:r>
              <w:r w:rsidRPr="002C4190">
                <w:rPr>
                  <w:rFonts w:ascii="Times New Roman" w:hAnsi="Times New Roman" w:cs="Times New Roman"/>
                  <w:noProof/>
                  <w:sz w:val="24"/>
                  <w:szCs w:val="24"/>
                  <w:lang w:val="en-US"/>
                </w:rPr>
                <w:t>. Retrieved April 12, 2023, from Corporate Finance Institute: https://corporatefinanceinstitute.com/resources/valuation/residual-income/</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Team, C. (2022, December 6). </w:t>
              </w:r>
              <w:r w:rsidRPr="002C4190">
                <w:rPr>
                  <w:rFonts w:ascii="Times New Roman" w:hAnsi="Times New Roman" w:cs="Times New Roman"/>
                  <w:i/>
                  <w:iCs/>
                  <w:noProof/>
                  <w:sz w:val="24"/>
                  <w:szCs w:val="24"/>
                  <w:lang w:val="en-US"/>
                </w:rPr>
                <w:t>Working Capital Management</w:t>
              </w:r>
              <w:r w:rsidRPr="002C4190">
                <w:rPr>
                  <w:rFonts w:ascii="Times New Roman" w:hAnsi="Times New Roman" w:cs="Times New Roman"/>
                  <w:noProof/>
                  <w:sz w:val="24"/>
                  <w:szCs w:val="24"/>
                  <w:lang w:val="en-US"/>
                </w:rPr>
                <w:t>. Retrieved April 14, 2023, from Corporate Finance Institute: https://corporatefinanceinstitute.com/resources/accounting/working-capital-management/</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lastRenderedPageBreak/>
                <w:t xml:space="preserve">Team, C. (2023, April 03). </w:t>
              </w:r>
              <w:r w:rsidRPr="002C4190">
                <w:rPr>
                  <w:rFonts w:ascii="Times New Roman" w:hAnsi="Times New Roman" w:cs="Times New Roman"/>
                  <w:i/>
                  <w:iCs/>
                  <w:noProof/>
                  <w:sz w:val="24"/>
                  <w:szCs w:val="24"/>
                  <w:lang w:val="en-US"/>
                </w:rPr>
                <w:t>Transfer Pricing</w:t>
              </w:r>
              <w:r w:rsidRPr="002C4190">
                <w:rPr>
                  <w:rFonts w:ascii="Times New Roman" w:hAnsi="Times New Roman" w:cs="Times New Roman"/>
                  <w:noProof/>
                  <w:sz w:val="24"/>
                  <w:szCs w:val="24"/>
                  <w:lang w:val="en-US"/>
                </w:rPr>
                <w:t>. Retrieved April 13, 2023, from Corporate Finance Institute: https://corporatefinanceinstitute.com/resources/economics/transfer-pricing/</w:t>
              </w:r>
            </w:p>
            <w:p w:rsidR="00A17ADE" w:rsidRPr="002C4190" w:rsidRDefault="00A17ADE" w:rsidP="00A17ADE">
              <w:pPr>
                <w:pStyle w:val="Bibliography"/>
                <w:ind w:left="720" w:hanging="720"/>
                <w:rPr>
                  <w:rFonts w:ascii="Times New Roman" w:hAnsi="Times New Roman" w:cs="Times New Roman"/>
                  <w:noProof/>
                  <w:sz w:val="24"/>
                  <w:szCs w:val="24"/>
                  <w:lang w:val="en-US"/>
                </w:rPr>
              </w:pPr>
              <w:r w:rsidRPr="002C4190">
                <w:rPr>
                  <w:rFonts w:ascii="Times New Roman" w:hAnsi="Times New Roman" w:cs="Times New Roman"/>
                  <w:noProof/>
                  <w:sz w:val="24"/>
                  <w:szCs w:val="24"/>
                  <w:lang w:val="en-US"/>
                </w:rPr>
                <w:t xml:space="preserve">Tuovila, A. (2022, April 28). </w:t>
              </w:r>
              <w:r w:rsidRPr="002C4190">
                <w:rPr>
                  <w:rFonts w:ascii="Times New Roman" w:hAnsi="Times New Roman" w:cs="Times New Roman"/>
                  <w:i/>
                  <w:iCs/>
                  <w:noProof/>
                  <w:sz w:val="24"/>
                  <w:szCs w:val="24"/>
                  <w:lang w:val="en-US"/>
                </w:rPr>
                <w:t>Transfer Price: What It Is, How It's Used, and Examples</w:t>
              </w:r>
              <w:r w:rsidRPr="002C4190">
                <w:rPr>
                  <w:rFonts w:ascii="Times New Roman" w:hAnsi="Times New Roman" w:cs="Times New Roman"/>
                  <w:noProof/>
                  <w:sz w:val="24"/>
                  <w:szCs w:val="24"/>
                  <w:lang w:val="en-US"/>
                </w:rPr>
                <w:t>. Retrieved April 15, 2023, from Investopedia: https://www.investopedia.com/terms/t/transferprice.asp</w:t>
              </w:r>
            </w:p>
            <w:p w:rsidR="00A17ADE" w:rsidRPr="002C4190" w:rsidRDefault="00A17ADE" w:rsidP="00A17ADE">
              <w:pPr>
                <w:spacing w:after="0" w:line="480" w:lineRule="auto"/>
                <w:contextualSpacing/>
                <w:rPr>
                  <w:rFonts w:ascii="Times New Roman" w:hAnsi="Times New Roman" w:cs="Times New Roman"/>
                  <w:sz w:val="24"/>
                  <w:szCs w:val="24"/>
                </w:rPr>
              </w:pPr>
              <w:r w:rsidRPr="002C4190">
                <w:rPr>
                  <w:rFonts w:ascii="Times New Roman" w:hAnsi="Times New Roman" w:cs="Times New Roman"/>
                  <w:b/>
                  <w:bCs/>
                  <w:noProof/>
                  <w:sz w:val="24"/>
                  <w:szCs w:val="24"/>
                </w:rPr>
                <w:fldChar w:fldCharType="end"/>
              </w:r>
            </w:p>
          </w:sdtContent>
        </w:sdt>
      </w:sdtContent>
    </w:sdt>
    <w:p w:rsidR="00A17ADE" w:rsidRPr="002C4190" w:rsidRDefault="00A17ADE" w:rsidP="00A17ADE">
      <w:pPr>
        <w:spacing w:after="0" w:line="480" w:lineRule="auto"/>
        <w:contextualSpacing/>
        <w:rPr>
          <w:rFonts w:ascii="Times New Roman" w:hAnsi="Times New Roman" w:cs="Times New Roman"/>
          <w:sz w:val="24"/>
          <w:szCs w:val="24"/>
        </w:rPr>
      </w:pPr>
    </w:p>
    <w:p w:rsidR="00AD5ABD" w:rsidRDefault="0042473D"/>
    <w:sectPr w:rsidR="00AD5A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ADE"/>
    <w:rsid w:val="00034E23"/>
    <w:rsid w:val="00420BD2"/>
    <w:rsid w:val="0042473D"/>
    <w:rsid w:val="006B45A4"/>
    <w:rsid w:val="00A17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ADE"/>
    <w:pPr>
      <w:spacing w:after="160" w:line="259" w:lineRule="auto"/>
    </w:pPr>
    <w:rPr>
      <w:kern w:val="2"/>
      <w:lang w:val="en-CA"/>
      <w14:ligatures w14:val="standardContextual"/>
    </w:rPr>
  </w:style>
  <w:style w:type="paragraph" w:styleId="Heading1">
    <w:name w:val="heading 1"/>
    <w:basedOn w:val="Normal"/>
    <w:next w:val="Normal"/>
    <w:link w:val="Heading1Char"/>
    <w:uiPriority w:val="9"/>
    <w:qFormat/>
    <w:rsid w:val="00A17ADE"/>
    <w:pPr>
      <w:keepNext/>
      <w:keepLines/>
      <w:spacing w:before="240" w:after="0"/>
      <w:outlineLvl w:val="0"/>
    </w:pPr>
    <w:rPr>
      <w:rFonts w:asciiTheme="majorHAnsi" w:eastAsiaTheme="majorEastAsia" w:hAnsiTheme="majorHAnsi" w:cstheme="majorBidi"/>
      <w:color w:val="365F91" w:themeColor="accent1" w:themeShade="BF"/>
      <w:kern w:val="0"/>
      <w:sz w:val="32"/>
      <w:szCs w:val="32"/>
      <w:lang w:val="en-US"/>
      <w14:ligatures w14:val="none"/>
    </w:rPr>
  </w:style>
  <w:style w:type="paragraph" w:styleId="Heading2">
    <w:name w:val="heading 2"/>
    <w:basedOn w:val="Normal"/>
    <w:next w:val="Normal"/>
    <w:link w:val="Heading2Char"/>
    <w:uiPriority w:val="9"/>
    <w:semiHidden/>
    <w:unhideWhenUsed/>
    <w:qFormat/>
    <w:rsid w:val="00A17AD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A17A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7AD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A17ADE"/>
    <w:rPr>
      <w:rFonts w:asciiTheme="majorHAnsi" w:eastAsiaTheme="majorEastAsia" w:hAnsiTheme="majorHAnsi" w:cstheme="majorBidi"/>
      <w:color w:val="365F91" w:themeColor="accent1" w:themeShade="BF"/>
      <w:kern w:val="2"/>
      <w:sz w:val="26"/>
      <w:szCs w:val="26"/>
      <w:lang w:val="en-CA"/>
      <w14:ligatures w14:val="standardContextual"/>
    </w:rPr>
  </w:style>
  <w:style w:type="paragraph" w:styleId="Bibliography">
    <w:name w:val="Bibliography"/>
    <w:basedOn w:val="Normal"/>
    <w:next w:val="Normal"/>
    <w:uiPriority w:val="37"/>
    <w:unhideWhenUsed/>
    <w:rsid w:val="00A17ADE"/>
  </w:style>
  <w:style w:type="paragraph" w:styleId="TOCHeading">
    <w:name w:val="TOC Heading"/>
    <w:basedOn w:val="Heading1"/>
    <w:next w:val="Normal"/>
    <w:uiPriority w:val="39"/>
    <w:unhideWhenUsed/>
    <w:qFormat/>
    <w:rsid w:val="00A17ADE"/>
    <w:pPr>
      <w:outlineLvl w:val="9"/>
    </w:pPr>
  </w:style>
  <w:style w:type="paragraph" w:styleId="TOC1">
    <w:name w:val="toc 1"/>
    <w:basedOn w:val="Normal"/>
    <w:next w:val="Normal"/>
    <w:autoRedefine/>
    <w:uiPriority w:val="39"/>
    <w:unhideWhenUsed/>
    <w:rsid w:val="00A17ADE"/>
    <w:pPr>
      <w:spacing w:after="100"/>
    </w:pPr>
  </w:style>
  <w:style w:type="character" w:styleId="Hyperlink">
    <w:name w:val="Hyperlink"/>
    <w:basedOn w:val="DefaultParagraphFont"/>
    <w:uiPriority w:val="99"/>
    <w:unhideWhenUsed/>
    <w:rsid w:val="00A17ADE"/>
    <w:rPr>
      <w:color w:val="0000FF" w:themeColor="hyperlink"/>
      <w:u w:val="single"/>
    </w:rPr>
  </w:style>
  <w:style w:type="paragraph" w:styleId="TOC2">
    <w:name w:val="toc 2"/>
    <w:basedOn w:val="Normal"/>
    <w:next w:val="Normal"/>
    <w:autoRedefine/>
    <w:uiPriority w:val="39"/>
    <w:unhideWhenUsed/>
    <w:rsid w:val="00A17ADE"/>
    <w:pPr>
      <w:spacing w:after="100"/>
      <w:ind w:left="220"/>
    </w:pPr>
  </w:style>
  <w:style w:type="paragraph" w:styleId="NoSpacing">
    <w:name w:val="No Spacing"/>
    <w:link w:val="NoSpacingChar"/>
    <w:uiPriority w:val="1"/>
    <w:qFormat/>
    <w:rsid w:val="00A17ADE"/>
    <w:pPr>
      <w:spacing w:after="0" w:line="240" w:lineRule="auto"/>
    </w:pPr>
    <w:rPr>
      <w:rFonts w:eastAsiaTheme="minorEastAsia"/>
    </w:rPr>
  </w:style>
  <w:style w:type="character" w:customStyle="1" w:styleId="NoSpacingChar">
    <w:name w:val="No Spacing Char"/>
    <w:basedOn w:val="DefaultParagraphFont"/>
    <w:link w:val="NoSpacing"/>
    <w:uiPriority w:val="1"/>
    <w:rsid w:val="00A17ADE"/>
    <w:rPr>
      <w:rFonts w:eastAsiaTheme="minorEastAsia"/>
    </w:rPr>
  </w:style>
  <w:style w:type="paragraph" w:styleId="BalloonText">
    <w:name w:val="Balloon Text"/>
    <w:basedOn w:val="Normal"/>
    <w:link w:val="BalloonTextChar"/>
    <w:uiPriority w:val="99"/>
    <w:semiHidden/>
    <w:unhideWhenUsed/>
    <w:rsid w:val="00A17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ADE"/>
    <w:rPr>
      <w:rFonts w:ascii="Tahoma" w:hAnsi="Tahoma" w:cs="Tahoma"/>
      <w:kern w:val="2"/>
      <w:sz w:val="16"/>
      <w:szCs w:val="16"/>
      <w:lang w:val="en-CA"/>
      <w14:ligatures w14:val="standardContextual"/>
    </w:rPr>
  </w:style>
  <w:style w:type="character" w:customStyle="1" w:styleId="Heading3Char">
    <w:name w:val="Heading 3 Char"/>
    <w:basedOn w:val="DefaultParagraphFont"/>
    <w:link w:val="Heading3"/>
    <w:uiPriority w:val="9"/>
    <w:semiHidden/>
    <w:rsid w:val="00A17ADE"/>
    <w:rPr>
      <w:rFonts w:asciiTheme="majorHAnsi" w:eastAsiaTheme="majorEastAsia" w:hAnsiTheme="majorHAnsi" w:cstheme="majorBidi"/>
      <w:b/>
      <w:bCs/>
      <w:color w:val="4F81BD" w:themeColor="accent1"/>
      <w:kern w:val="2"/>
      <w:lang w:val="en-CA"/>
      <w14:ligatures w14:val="standardContextu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ADE"/>
    <w:pPr>
      <w:spacing w:after="160" w:line="259" w:lineRule="auto"/>
    </w:pPr>
    <w:rPr>
      <w:kern w:val="2"/>
      <w:lang w:val="en-CA"/>
      <w14:ligatures w14:val="standardContextual"/>
    </w:rPr>
  </w:style>
  <w:style w:type="paragraph" w:styleId="Heading1">
    <w:name w:val="heading 1"/>
    <w:basedOn w:val="Normal"/>
    <w:next w:val="Normal"/>
    <w:link w:val="Heading1Char"/>
    <w:uiPriority w:val="9"/>
    <w:qFormat/>
    <w:rsid w:val="00A17ADE"/>
    <w:pPr>
      <w:keepNext/>
      <w:keepLines/>
      <w:spacing w:before="240" w:after="0"/>
      <w:outlineLvl w:val="0"/>
    </w:pPr>
    <w:rPr>
      <w:rFonts w:asciiTheme="majorHAnsi" w:eastAsiaTheme="majorEastAsia" w:hAnsiTheme="majorHAnsi" w:cstheme="majorBidi"/>
      <w:color w:val="365F91" w:themeColor="accent1" w:themeShade="BF"/>
      <w:kern w:val="0"/>
      <w:sz w:val="32"/>
      <w:szCs w:val="32"/>
      <w:lang w:val="en-US"/>
      <w14:ligatures w14:val="none"/>
    </w:rPr>
  </w:style>
  <w:style w:type="paragraph" w:styleId="Heading2">
    <w:name w:val="heading 2"/>
    <w:basedOn w:val="Normal"/>
    <w:next w:val="Normal"/>
    <w:link w:val="Heading2Char"/>
    <w:uiPriority w:val="9"/>
    <w:semiHidden/>
    <w:unhideWhenUsed/>
    <w:qFormat/>
    <w:rsid w:val="00A17AD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A17A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7AD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A17ADE"/>
    <w:rPr>
      <w:rFonts w:asciiTheme="majorHAnsi" w:eastAsiaTheme="majorEastAsia" w:hAnsiTheme="majorHAnsi" w:cstheme="majorBidi"/>
      <w:color w:val="365F91" w:themeColor="accent1" w:themeShade="BF"/>
      <w:kern w:val="2"/>
      <w:sz w:val="26"/>
      <w:szCs w:val="26"/>
      <w:lang w:val="en-CA"/>
      <w14:ligatures w14:val="standardContextual"/>
    </w:rPr>
  </w:style>
  <w:style w:type="paragraph" w:styleId="Bibliography">
    <w:name w:val="Bibliography"/>
    <w:basedOn w:val="Normal"/>
    <w:next w:val="Normal"/>
    <w:uiPriority w:val="37"/>
    <w:unhideWhenUsed/>
    <w:rsid w:val="00A17ADE"/>
  </w:style>
  <w:style w:type="paragraph" w:styleId="TOCHeading">
    <w:name w:val="TOC Heading"/>
    <w:basedOn w:val="Heading1"/>
    <w:next w:val="Normal"/>
    <w:uiPriority w:val="39"/>
    <w:unhideWhenUsed/>
    <w:qFormat/>
    <w:rsid w:val="00A17ADE"/>
    <w:pPr>
      <w:outlineLvl w:val="9"/>
    </w:pPr>
  </w:style>
  <w:style w:type="paragraph" w:styleId="TOC1">
    <w:name w:val="toc 1"/>
    <w:basedOn w:val="Normal"/>
    <w:next w:val="Normal"/>
    <w:autoRedefine/>
    <w:uiPriority w:val="39"/>
    <w:unhideWhenUsed/>
    <w:rsid w:val="00A17ADE"/>
    <w:pPr>
      <w:spacing w:after="100"/>
    </w:pPr>
  </w:style>
  <w:style w:type="character" w:styleId="Hyperlink">
    <w:name w:val="Hyperlink"/>
    <w:basedOn w:val="DefaultParagraphFont"/>
    <w:uiPriority w:val="99"/>
    <w:unhideWhenUsed/>
    <w:rsid w:val="00A17ADE"/>
    <w:rPr>
      <w:color w:val="0000FF" w:themeColor="hyperlink"/>
      <w:u w:val="single"/>
    </w:rPr>
  </w:style>
  <w:style w:type="paragraph" w:styleId="TOC2">
    <w:name w:val="toc 2"/>
    <w:basedOn w:val="Normal"/>
    <w:next w:val="Normal"/>
    <w:autoRedefine/>
    <w:uiPriority w:val="39"/>
    <w:unhideWhenUsed/>
    <w:rsid w:val="00A17ADE"/>
    <w:pPr>
      <w:spacing w:after="100"/>
      <w:ind w:left="220"/>
    </w:pPr>
  </w:style>
  <w:style w:type="paragraph" w:styleId="NoSpacing">
    <w:name w:val="No Spacing"/>
    <w:link w:val="NoSpacingChar"/>
    <w:uiPriority w:val="1"/>
    <w:qFormat/>
    <w:rsid w:val="00A17ADE"/>
    <w:pPr>
      <w:spacing w:after="0" w:line="240" w:lineRule="auto"/>
    </w:pPr>
    <w:rPr>
      <w:rFonts w:eastAsiaTheme="minorEastAsia"/>
    </w:rPr>
  </w:style>
  <w:style w:type="character" w:customStyle="1" w:styleId="NoSpacingChar">
    <w:name w:val="No Spacing Char"/>
    <w:basedOn w:val="DefaultParagraphFont"/>
    <w:link w:val="NoSpacing"/>
    <w:uiPriority w:val="1"/>
    <w:rsid w:val="00A17ADE"/>
    <w:rPr>
      <w:rFonts w:eastAsiaTheme="minorEastAsia"/>
    </w:rPr>
  </w:style>
  <w:style w:type="paragraph" w:styleId="BalloonText">
    <w:name w:val="Balloon Text"/>
    <w:basedOn w:val="Normal"/>
    <w:link w:val="BalloonTextChar"/>
    <w:uiPriority w:val="99"/>
    <w:semiHidden/>
    <w:unhideWhenUsed/>
    <w:rsid w:val="00A17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ADE"/>
    <w:rPr>
      <w:rFonts w:ascii="Tahoma" w:hAnsi="Tahoma" w:cs="Tahoma"/>
      <w:kern w:val="2"/>
      <w:sz w:val="16"/>
      <w:szCs w:val="16"/>
      <w:lang w:val="en-CA"/>
      <w14:ligatures w14:val="standardContextual"/>
    </w:rPr>
  </w:style>
  <w:style w:type="character" w:customStyle="1" w:styleId="Heading3Char">
    <w:name w:val="Heading 3 Char"/>
    <w:basedOn w:val="DefaultParagraphFont"/>
    <w:link w:val="Heading3"/>
    <w:uiPriority w:val="9"/>
    <w:semiHidden/>
    <w:rsid w:val="00A17ADE"/>
    <w:rPr>
      <w:rFonts w:asciiTheme="majorHAnsi" w:eastAsiaTheme="majorEastAsia" w:hAnsiTheme="majorHAnsi" w:cstheme="majorBidi"/>
      <w:b/>
      <w:bCs/>
      <w:color w:val="4F81BD" w:themeColor="accent1"/>
      <w:kern w:val="2"/>
      <w:lang w:val="en-C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794A4C43FF54CB3A7F1795E8EAC0DDB"/>
        <w:category>
          <w:name w:val="General"/>
          <w:gallery w:val="placeholder"/>
        </w:category>
        <w:types>
          <w:type w:val="bbPlcHdr"/>
        </w:types>
        <w:behaviors>
          <w:behavior w:val="content"/>
        </w:behaviors>
        <w:guid w:val="{AABACE3E-D6FB-48F2-B5AD-0A4414559DB6}"/>
      </w:docPartPr>
      <w:docPartBody>
        <w:p w:rsidR="00000000" w:rsidRDefault="00AA7E38" w:rsidP="00AA7E38">
          <w:pPr>
            <w:pStyle w:val="6794A4C43FF54CB3A7F1795E8EAC0DDB"/>
          </w:pPr>
          <w:r>
            <w:rPr>
              <w:rFonts w:asciiTheme="majorHAnsi" w:eastAsiaTheme="majorEastAsia" w:hAnsiTheme="majorHAnsi" w:cstheme="majorBidi"/>
              <w:caps/>
              <w:color w:val="4F81BD"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7E38"/>
    <w:rsid w:val="00AA7E38"/>
    <w:rsid w:val="00F90F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794A4C43FF54CB3A7F1795E8EAC0DDB">
    <w:name w:val="6794A4C43FF54CB3A7F1795E8EAC0DDB"/>
    <w:rsid w:val="00AA7E3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794A4C43FF54CB3A7F1795E8EAC0DDB">
    <w:name w:val="6794A4C43FF54CB3A7F1795E8EAC0DDB"/>
    <w:rsid w:val="00AA7E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2023-04-29T00:00:00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eventhEdition.xsl" StyleName="APA7">
  <b:Source>
    <b:Tag>Mar12</b:Tag>
    <b:SourceType>Book</b:SourceType>
    <b:Guid>{8C1C348B-C2E8-47D6-92D0-4E810AA8C9E0}</b:Guid>
    <b:Title>Key Performance Indicators (KPI) The 75 Measures Every Manager Needs to Know</b:Title>
    <b:Year>2012</b:Year>
    <b:Publisher>United Kingdom: Pearson Education Limited</b:Publisher>
    <b:Author>
      <b:Author>
        <b:NameList>
          <b:Person>
            <b:Last>Marr</b:Last>
            <b:First>Bernard</b:First>
          </b:Person>
        </b:NameList>
      </b:Author>
    </b:Author>
    <b:RefOrder>1</b:RefOrder>
  </b:Source>
  <b:Source>
    <b:Tag>Cur22</b:Tag>
    <b:SourceType>InternetSite</b:SourceType>
    <b:Guid>{458F292F-37D8-4623-8492-E31D53BD8FD0}</b:Guid>
    <b:Author>
      <b:Author>
        <b:NameList>
          <b:Person>
            <b:Last>Curry</b:Last>
            <b:First>Benjamin</b:First>
          </b:Person>
        </b:NameList>
      </b:Author>
    </b:Author>
    <b:Title>Return On Investment (ROI)</b:Title>
    <b:InternetSiteTitle>Forbes</b:InternetSiteTitle>
    <b:Year>2022</b:Year>
    <b:Month>September</b:Month>
    <b:Day>28</b:Day>
    <b:URL>https://www.forbes.com/advisor/investing/roi-return-on-investment/</b:URL>
    <b:YearAccessed>2023</b:YearAccessed>
    <b:MonthAccessed>April</b:MonthAccessed>
    <b:DayAccessed>12</b:DayAccessed>
    <b:RefOrder>2</b:RefOrder>
  </b:Source>
  <b:Source>
    <b:Tag>Tea22</b:Tag>
    <b:SourceType>InternetSite</b:SourceType>
    <b:Guid>{B0A96751-31A8-47D5-AD0E-8CB431365287}</b:Guid>
    <b:Author>
      <b:Author>
        <b:NameList>
          <b:Person>
            <b:Last>Team</b:Last>
            <b:First>CFI</b:First>
          </b:Person>
        </b:NameList>
      </b:Author>
    </b:Author>
    <b:Title>Residual Income</b:Title>
    <b:InternetSiteTitle>Corporate Finance Institute</b:InternetSiteTitle>
    <b:Year>2022</b:Year>
    <b:Month>December</b:Month>
    <b:Day>14</b:Day>
    <b:URL>https://corporatefinanceinstitute.com/resources/valuation/residual-income/</b:URL>
    <b:YearAccessed>2023</b:YearAccessed>
    <b:MonthAccessed>April</b:MonthAccessed>
    <b:DayAccessed>12</b:DayAccessed>
    <b:RefOrder>3</b:RefOrder>
  </b:Source>
  <b:Source>
    <b:Tag>Gra03</b:Tag>
    <b:SourceType>Book</b:SourceType>
    <b:Guid>{EA5F204E-7202-4DAD-806D-CE78E3119A8E}</b:Guid>
    <b:Title>Foundations of Economic Value Added (2nd Edition)</b:Title>
    <b:Year>2003</b:Year>
    <b:Author>
      <b:Author>
        <b:NameList>
          <b:Person>
            <b:Last>Grant</b:Last>
            <b:Middle>L</b:Middle>
            <b:First>James</b:First>
          </b:Person>
        </b:NameList>
      </b:Author>
    </b:Author>
    <b:RefOrder>4</b:RefOrder>
  </b:Source>
  <b:Source>
    <b:Tag>Sau19</b:Tag>
    <b:SourceType>Book</b:SourceType>
    <b:Guid>{4DF94880-DBCC-4CAF-BA0C-3F31BB80961F}</b:Guid>
    <b:Author>
      <b:Author>
        <b:NameList>
          <b:Person>
            <b:Last>Saurabh</b:Last>
          </b:Person>
        </b:NameList>
      </b:Author>
    </b:Author>
    <b:Title>Economic Value Added for Competitive Advantage: A Case of Indian Enterprises</b:Title>
    <b:Year>2019</b:Year>
    <b:Publisher>Cambridge Scholars Publishing</b:Publisher>
    <b:RefOrder>5</b:RefOrder>
  </b:Source>
  <b:Source>
    <b:Tag>Ind20</b:Tag>
    <b:SourceType>InternetSite</b:SourceType>
    <b:Guid>{E4ABECE4-0153-4669-83DF-00BD161990DB}</b:Guid>
    <b:Author>
      <b:Author>
        <b:NameList>
          <b:Person>
            <b:Last>Indiafreenotes</b:Last>
          </b:Person>
        </b:NameList>
      </b:Author>
    </b:Author>
    <b:Title>Divisional Performance</b:Title>
    <b:InternetSiteTitle>Indiafreenotes</b:InternetSiteTitle>
    <b:Year>2020</b:Year>
    <b:Month>July</b:Month>
    <b:Day>30</b:Day>
    <b:URL>https://indiafreenotes.com/divisional-performance/</b:URL>
    <b:YearAccessed>2023</b:YearAccessed>
    <b:MonthAccessed>April</b:MonthAccessed>
    <b:DayAccessed>13</b:DayAccessed>
    <b:RefOrder>6</b:RefOrder>
  </b:Source>
  <b:Source>
    <b:Tag>Hat01</b:Tag>
    <b:SourceType>Book</b:SourceType>
    <b:Guid>{7FBB94FB-5D4C-4DF6-A0E7-8DB5FE81A9F5}</b:Guid>
    <b:Title>Divisional Performance Measurement: An Examination Of The Potential Explanatory Factors</b:Title>
    <b:Year>2001</b:Year>
    <b:Author>
      <b:Author>
        <b:NameList>
          <b:Person>
            <b:Last>El-Shishini</b:Last>
            <b:First>Hatem</b:First>
          </b:Person>
        </b:NameList>
      </b:Author>
    </b:Author>
    <b:Publisher>SSRN Electronic Journal</b:Publisher>
    <b:DOI>10.2139/ssrn.268408</b:DOI>
    <b:RefOrder>7</b:RefOrder>
  </b:Source>
  <b:Source>
    <b:Tag>Gil19</b:Tag>
    <b:SourceType>InternetSite</b:SourceType>
    <b:Guid>{1EB5B57D-D00A-433F-B3F8-25E926AFD46B}</b:Guid>
    <b:Author>
      <b:Author>
        <b:NameList>
          <b:Person>
            <b:Last>Gillikin</b:Last>
            <b:First>Jason</b:First>
          </b:Person>
        </b:NameList>
      </b:Author>
    </b:Author>
    <b:Title>Advantages &amp; Disadvantages of Divisional Organizational Structure</b:Title>
    <b:InternetSiteTitle>Chron</b:InternetSiteTitle>
    <b:Year>2019</b:Year>
    <b:Month>January</b:Month>
    <b:Day>25</b:Day>
    <b:URL>https://smallbusiness.chron.com/advantages-disadvantages-divisional-organizational-structure-611.html</b:URL>
    <b:YearAccessed>2023</b:YearAccessed>
    <b:MonthAccessed>April</b:MonthAccessed>
    <b:DayAccessed>18</b:DayAccessed>
    <b:RefOrder>8</b:RefOrder>
  </b:Source>
  <b:Source>
    <b:Tag>TUO22</b:Tag>
    <b:SourceType>InternetSite</b:SourceType>
    <b:Guid>{2D6C4417-6FF9-44C6-9B8A-A164088064B3}</b:Guid>
    <b:Title>Transfer Price: What It Is, How It's Used, and Examples</b:Title>
    <b:Year>2022</b:Year>
    <b:Author>
      <b:Author>
        <b:NameList>
          <b:Person>
            <b:Last>Tuovila</b:Last>
            <b:First>Alicia</b:First>
          </b:Person>
        </b:NameList>
      </b:Author>
    </b:Author>
    <b:InternetSiteTitle>Investopedia</b:InternetSiteTitle>
    <b:Month>April</b:Month>
    <b:Day>28</b:Day>
    <b:URL>https://www.investopedia.com/terms/t/transferprice.asp</b:URL>
    <b:YearAccessed>2023</b:YearAccessed>
    <b:MonthAccessed>April</b:MonthAccessed>
    <b:DayAccessed>15</b:DayAccessed>
    <b:RefOrder>9</b:RefOrder>
  </b:Source>
  <b:Source>
    <b:Tag>Nig22</b:Tag>
    <b:SourceType>InternetSite</b:SourceType>
    <b:Guid>{44EBF3F1-02CD-48EE-B43B-8BA97DC24DA9}</b:Guid>
    <b:Author>
      <b:Author>
        <b:NameList>
          <b:Person>
            <b:Last>Nigam</b:Last>
            <b:First>Prabhat</b:First>
          </b:Person>
        </b:NameList>
      </b:Author>
    </b:Author>
    <b:Title>An overview of the advantages of Transfer pricing</b:Title>
    <b:InternetSiteTitle>Enterslice</b:InternetSiteTitle>
    <b:Year>2022</b:Year>
    <b:Month>April</b:Month>
    <b:Day>16</b:Day>
    <b:URL>https://enterslice.com/learning/advantages-of-transfer-pricing/</b:URL>
    <b:YearAccessed>2023</b:YearAccessed>
    <b:MonthAccessed>April</b:MonthAccessed>
    <b:DayAccessed>16</b:DayAccessed>
    <b:RefOrder>10</b:RefOrder>
  </b:Source>
  <b:Source>
    <b:Tag>Tea23</b:Tag>
    <b:SourceType>InternetSite</b:SourceType>
    <b:Guid>{66EBF9C6-907C-4957-9EB3-EDE24A88CBB6}</b:Guid>
    <b:Author>
      <b:Author>
        <b:NameList>
          <b:Person>
            <b:Last>Team</b:Last>
            <b:First>CFI</b:First>
          </b:Person>
        </b:NameList>
      </b:Author>
    </b:Author>
    <b:Title>Transfer Pricing</b:Title>
    <b:InternetSiteTitle>Corporate Finance Institute</b:InternetSiteTitle>
    <b:Year>2023</b:Year>
    <b:Month>April</b:Month>
    <b:Day>03</b:Day>
    <b:URL>https://corporatefinanceinstitute.com/resources/economics/transfer-pricing/</b:URL>
    <b:YearAccessed>2023</b:YearAccessed>
    <b:MonthAccessed>April</b:MonthAccessed>
    <b:DayAccessed>13</b:DayAccessed>
    <b:RefOrder>11</b:RefOrder>
  </b:Source>
  <b:Source>
    <b:Tag>Gan22</b:Tag>
    <b:SourceType>InternetSite</b:SourceType>
    <b:Guid>{2CB72FF7-ADB1-444F-8D37-9896FBAD6311}</b:Guid>
    <b:Author>
      <b:Author>
        <b:NameList>
          <b:Person>
            <b:Last>Gandhi</b:Last>
            <b:First>Ruchi</b:First>
          </b:Person>
        </b:NameList>
      </b:Author>
    </b:Author>
    <b:Title>All you need to know about Market-Based Transfer Pricing</b:Title>
    <b:Year>2022</b:Year>
    <b:InternetSiteTitle>Enterslice</b:InternetSiteTitle>
    <b:Month>March</b:Month>
    <b:Day>22</b:Day>
    <b:URL>https://enterslice.com/learning/market-based-transfer-pricing/</b:URL>
    <b:YearAccessed>2023</b:YearAccessed>
    <b:MonthAccessed>April</b:MonthAccessed>
    <b:DayAccessed>13</b:DayAccessed>
    <b:RefOrder>12</b:RefOrder>
  </b:Source>
  <b:Source>
    <b:Tag>Gro21</b:Tag>
    <b:SourceType>InternetSite</b:SourceType>
    <b:Guid>{E09976D2-F41A-4433-95AA-2D66EF2F340D}</b:Guid>
    <b:Author>
      <b:Author>
        <b:NameList>
          <b:Person>
            <b:Last>Group</b:Last>
            <b:First>Valentiam</b:First>
          </b:Person>
        </b:NameList>
      </b:Author>
    </b:Author>
    <b:Title>The Cost Plus Transfer Pricing Method (With Examples)</b:Title>
    <b:InternetSiteTitle>Valentium</b:InternetSiteTitle>
    <b:Year>2021</b:Year>
    <b:Month>February</b:Month>
    <b:Day>11</b:Day>
    <b:URL>https://www.valentiam.com/newsandinsights/cost-plus-method</b:URL>
    <b:YearAccessed>2023</b:YearAccessed>
    <b:MonthAccessed>April</b:MonthAccessed>
    <b:DayAccessed>10</b:DayAccessed>
    <b:RefOrder>13</b:RefOrder>
  </b:Source>
  <b:Source>
    <b:Tag>MCK13</b:Tag>
    <b:SourceType>InternetSite</b:SourceType>
    <b:Guid>{09C95E73-2E29-4BDE-8C69-625CD9365E4B}</b:Guid>
    <b:Title>Transfer pricing and its effect on financial reporting</b:Title>
    <b:InternetSiteTitle>Journal of Accountancy</b:InternetSiteTitle>
    <b:Year>2013</b:Year>
    <b:Month>October</b:Month>
    <b:Day>01</b:Day>
    <b:URL>https://www.journalofaccountancy.com/issues/2013/oct/20137721.html</b:URL>
    <b:Author>
      <b:Author>
        <b:NameList>
          <b:Person>
            <b:Last>MCKINLEY</b:Last>
            <b:First>JOHN</b:First>
          </b:Person>
          <b:Person>
            <b:Last>OWSLEY</b:Last>
            <b:First>JOHN</b:First>
          </b:Person>
        </b:NameList>
      </b:Author>
    </b:Author>
    <b:YearAccessed>2023</b:YearAccessed>
    <b:MonthAccessed>April</b:MonthAccessed>
    <b:DayAccessed>13</b:DayAccessed>
    <b:RefOrder>14</b:RefOrder>
  </b:Source>
  <b:Source>
    <b:Tag>Rou22</b:Tag>
    <b:SourceType>InternetSite</b:SourceType>
    <b:Guid>{F436260F-069E-4FDB-B836-B77525FBFFA1}</b:Guid>
    <b:Author>
      <b:Author>
        <b:NameList>
          <b:Person>
            <b:Last>Rouse</b:Last>
            <b:First>Margaret</b:First>
          </b:Person>
        </b:NameList>
      </b:Author>
    </b:Author>
    <b:Title>What Does Executive Information System Mean?</b:Title>
    <b:InternetSiteTitle>Techopedia</b:InternetSiteTitle>
    <b:Year>2022</b:Year>
    <b:Month>September</b:Month>
    <b:Day>12</b:Day>
    <b:URL>https://www.techopedia.com/definition/1016/executive-information-system-eis</b:URL>
    <b:YearAccessed>2023</b:YearAccessed>
    <b:MonthAccessed>April</b:MonthAccessed>
    <b:DayAccessed>14</b:DayAccessed>
    <b:RefOrder>15</b:RefOrder>
  </b:Source>
  <b:Source>
    <b:Tag>Paz20</b:Tag>
    <b:SourceType>InternetSite</b:SourceType>
    <b:Guid>{2DBBFCEC-4971-4D23-B4A1-83A0E73ED277}</b:Guid>
    <b:Author>
      <b:Author>
        <b:NameList>
          <b:Person>
            <b:Last>Pazzanese</b:Last>
            <b:First>Christina</b:First>
          </b:Person>
        </b:NameList>
      </b:Author>
    </b:Author>
    <b:Title>Great promise but potential for peril</b:Title>
    <b:InternetSiteTitle>The Harvard Gazette</b:InternetSiteTitle>
    <b:Year>2020</b:Year>
    <b:Month>Occtober</b:Month>
    <b:Day>26</b:Day>
    <b:URL>https://news.harvard.edu/gazette/story/2020/10/ethical-concerns-mount-as-ai-takes-bigger-decision-making-role/</b:URL>
    <b:YearAccessed>2023</b:YearAccessed>
    <b:MonthAccessed>April</b:MonthAccessed>
    <b:DayAccessed>18</b:DayAccessed>
    <b:RefOrder>16</b:RefOrder>
  </b:Source>
  <b:Source>
    <b:Tag>Car17</b:Tag>
    <b:SourceType>InternetSite</b:SourceType>
    <b:Guid>{64FCBB59-8818-4182-98DD-EB3461D04DF5}</b:Guid>
    <b:Title>Performance management: Why keeping score is so important, and so hard</b:Title>
    <b:InternetSiteTitle>McKinsey&amp;Company</b:InternetSiteTitle>
    <b:Year>2017</b:Year>
    <b:Month>October</b:Month>
    <b:Day>4</b:Day>
    <b:URL>https://www.mckinsey.com/capabilities/operations/our-insights/performance-management-why-keeping-score-is-so-important-and-so-hard</b:URL>
    <b:Author>
      <b:Author>
        <b:NameList>
          <b:Person>
            <b:Last>Carpi</b:Last>
            <b:First>Raffaele</b:First>
          </b:Person>
          <b:Person>
            <b:Last>Douglas</b:Last>
            <b:First>John</b:First>
          </b:Person>
          <b:Person>
            <b:Last>Gascon</b:Last>
            <b:First>Frédéric</b:First>
          </b:Person>
        </b:NameList>
      </b:Author>
    </b:Author>
    <b:YearAccessed>2023</b:YearAccessed>
    <b:MonthAccessed>April</b:MonthAccessed>
    <b:DayAccessed>15</b:DayAccessed>
    <b:RefOrder>17</b:RefOrder>
  </b:Source>
  <b:Source>
    <b:Tag>Tea221</b:Tag>
    <b:SourceType>InternetSite</b:SourceType>
    <b:Guid>{22B5DA91-E110-4FC3-B3A0-3378A957ADCD}</b:Guid>
    <b:Author>
      <b:Author>
        <b:NameList>
          <b:Person>
            <b:Last>Team</b:Last>
            <b:First>CFI</b:First>
          </b:Person>
        </b:NameList>
      </b:Author>
    </b:Author>
    <b:Title>Working Capital Management</b:Title>
    <b:InternetSiteTitle>Corporate Finance Institute</b:InternetSiteTitle>
    <b:Year>2022</b:Year>
    <b:Month>December</b:Month>
    <b:Day>6</b:Day>
    <b:URL>https://corporatefinanceinstitute.com/resources/accounting/working-capital-management/</b:URL>
    <b:YearAccessed>2023</b:YearAccessed>
    <b:MonthAccessed>April</b:MonthAccessed>
    <b:DayAccessed>14</b:DayAccessed>
    <b:RefOrder>18</b:RefOrder>
  </b:Source>
  <b:Source>
    <b:Tag>Qui22</b:Tag>
    <b:SourceType>InternetSite</b:SourceType>
    <b:Guid>{ED673625-8A0E-4F90-9051-887894AE117C}</b:Guid>
    <b:Title>These financial metrics are critical when valuing a business</b:Title>
    <b:InternetSiteTitle>Quiet Light</b:InternetSiteTitle>
    <b:Year>2022</b:Year>
    <b:Month>February</b:Month>
    <b:Day>14</b:Day>
    <b:URL>https://www.citationmachine.net/apa/cite-a-website/new</b:URL>
    <b:Author>
      <b:Author>
        <b:NameList>
          <b:Person>
            <b:Last>Quiet Light</b:Last>
          </b:Person>
        </b:NameList>
      </b:Author>
    </b:Author>
    <b:YearAccessed>2023</b:YearAccessed>
    <b:MonthAccessed>April</b:MonthAccessed>
    <b:DayAccessed>14</b:DayAccessed>
    <b:RefOrder>19</b:RefOrder>
  </b:Source>
  <b:Source>
    <b:Tag>Itt14</b:Tag>
    <b:SourceType>InternetSite</b:SourceType>
    <b:Guid>{B03EBFB8-3DEA-413C-8DA9-3BCA361939EA}</b:Guid>
    <b:Title>Coming Up Short on Nonfinancial Performance Measurement</b:Title>
    <b:InternetSiteTitle>Harvard Business Review</b:InternetSiteTitle>
    <b:Year>2014</b:Year>
    <b:Month>August</b:Month>
    <b:Day>1</b:Day>
    <b:URL>https://hbr.org/2003/11/coming-up-short-on-nonfinancial-performance-measurement</b:URL>
    <b:Author>
      <b:Author>
        <b:NameList>
          <b:Person>
            <b:Last>Ittner</b:Last>
            <b:Middle>D.</b:Middle>
            <b:First>Christopher</b:First>
          </b:Person>
          <b:Person>
            <b:Last>Larcker</b:Last>
            <b:Middle>F.</b:Middle>
            <b:First>David</b:First>
          </b:Person>
        </b:NameList>
      </b:Author>
    </b:Author>
    <b:YearAccessed>2023</b:YearAccessed>
    <b:MonthAccessed>April</b:MonthAccessed>
    <b:DayAccessed>15</b:DayAccessed>
    <b:RefOrder>20</b:RefOrder>
  </b:Source>
  <b:Source>
    <b:Tag>FUN23</b:Tag>
    <b:SourceType>InternetSite</b:SourceType>
    <b:Guid>{E3337FD4-D1A5-4549-8F12-CC0B0F762E01}</b:Guid>
    <b:Title>Guide: The Importance of Working Capital Management</b:Title>
    <b:InternetSiteTitle>Fundthorugh</b:InternetSiteTitle>
    <b:Year>2023</b:Year>
    <b:Month>March</b:Month>
    <b:Day>27</b:Day>
    <b:URL>https://www.fundthrough.com/blog/working-capital/working-capital-management-what-it-is-and-why-its-important/#:~:text=Efficient%20working%20capital%20management%20helps,day%2Dto%2Dday%20operations.</b:URL>
    <b:Author>
      <b:Author>
        <b:NameList>
          <b:Person>
            <b:Last>FundThrough</b:Last>
          </b:Person>
        </b:NameList>
      </b:Author>
    </b:Author>
    <b:YearAccessed>2023</b:YearAccessed>
    <b:MonthAccessed>April</b:MonthAccessed>
    <b:DayAccessed>16</b:DayAccessed>
    <b:RefOrder>21</b:RefOrder>
  </b:Source>
  <b:Source>
    <b:Tag>Bea23</b:Tag>
    <b:SourceType>InternetSite</b:SourceType>
    <b:Guid>{05AA668A-B084-4AF8-9B73-69BB0FC33F7D}</b:Guid>
    <b:Title>30 Financial Metrics and KPIs to Measure Success in 2023</b:Title>
    <b:InternetSiteTitle>Netsuite</b:InternetSiteTitle>
    <b:Year>2023</b:Year>
    <b:Month>March</b:Month>
    <b:Day>21</b:Day>
    <b:URL>https://www.netsuite.com/portal/resource/articles/accounting/financial-kpis-metrics.shtml#target5</b:URL>
    <b:Author>
      <b:Author>
        <b:NameList>
          <b:Person>
            <b:Last>Beaver</b:Last>
            <b:First>Scott</b:First>
          </b:Person>
        </b:NameList>
      </b:Author>
    </b:Author>
    <b:YearAccessed>2023</b:YearAccessed>
    <b:MonthAccessed>April</b:MonthAccessed>
    <b:DayAccessed>16</b:DayAccessed>
    <b:RefOrder>22</b:RefOrder>
  </b:Source>
  <b:Source>
    <b:Tag>Itt98</b:Tag>
    <b:SourceType>JournalArticle</b:SourceType>
    <b:Guid>{24AEDCE8-D4F6-4DFC-9F08-0E1180926F03}</b:Guid>
    <b:Title>Are Nonfinancial Measures Leading Indicators of Financial Performance? An Analysis of Customer Satisfaction</b:Title>
    <b:Year>1998</b:Year>
    <b:Publisher>Wiley on behalf of Accounting Research Center, Booth School of Business, University of Chicago</b:Publisher>
    <b:Pages>1-35</b:Pages>
    <b:Author>
      <b:Author>
        <b:NameList>
          <b:Person>
            <b:Last>Ittner</b:Last>
            <b:Middle>D.</b:Middle>
            <b:First>Christopher</b:First>
          </b:Person>
          <b:Person>
            <b:Last>Larcker</b:Last>
            <b:Middle>F.</b:Middle>
            <b:First>David</b:First>
          </b:Person>
        </b:NameList>
      </b:Author>
    </b:Author>
    <b:JournalName>Journal of Accounting Research</b:JournalName>
    <b:Volume>36</b:Volume>
    <b:RefOrder>23</b:RefOrder>
  </b:Source>
  <b:Source>
    <b:Tag>Kap00</b:Tag>
    <b:SourceType>InternetSite</b:SourceType>
    <b:Guid>{E03E220D-37D8-4D9F-9094-176A8126C4FD}</b:Guid>
    <b:Title>Having Trouble with Your Strategy? Then Map It</b:Title>
    <b:Year>2000</b:Year>
    <b:Author>
      <b:Author>
        <b:NameList>
          <b:Person>
            <b:Last>Kaplan</b:Last>
            <b:Middle>S.</b:Middle>
            <b:First>Robert</b:First>
          </b:Person>
          <b:Person>
            <b:Last>Norton</b:Last>
            <b:Middle>P.</b:Middle>
            <b:First>David</b:First>
          </b:Person>
        </b:NameList>
      </b:Author>
    </b:Author>
    <b:URL>https://hbr.org/2000/09/having-trouble-with-your-strategy-then-map-it</b:URL>
    <b:InternetSiteTitle>Harvard Business Review</b:InternetSiteTitle>
    <b:Month>September</b:Month>
    <b:Day>01</b:Day>
    <b:YearAccessed>2023</b:YearAccessed>
    <b:MonthAccessed>April</b:MonthAccessed>
    <b:DayAccessed>13</b:DayAccessed>
    <b:RefOrder>24</b:RefOrder>
  </b:Source>
  <b:Source>
    <b:Tag>Bob23</b:Tag>
    <b:SourceType>InternetSite</b:SourceType>
    <b:Guid>{12153588-4BEB-44A4-BA67-3E81A38D241D}</b:Guid>
    <b:Title>The Balanced Scorecard: Balancing Financial and Non-Financial Performance</b:Title>
    <b:Year>2023</b:Year>
    <b:InternetSiteTitle>Bob Stanke</b:InternetSiteTitle>
    <b:Month>February</b:Month>
    <b:Day>14</b:Day>
    <b:URL>https://www.bobstanke.com/blog/the-balanced-scorecard</b:URL>
    <b:Author>
      <b:Author>
        <b:NameList>
          <b:Person>
            <b:Last>Bob Stanke</b:Last>
          </b:Person>
        </b:NameList>
      </b:Author>
    </b:Author>
    <b:YearAccessed>2023</b:YearAccessed>
    <b:MonthAccessed>April</b:MonthAccessed>
    <b:DayAccessed>16</b:DayAccessed>
    <b:RefOrder>25</b:RefOrder>
  </b:Source>
  <b:Source>
    <b:Tag>Die21</b:Tag>
    <b:SourceType>InternetSite</b:SourceType>
    <b:Guid>{5FD5BA60-DEEA-4933-888F-1E678C61021C}</b:Guid>
    <b:Author>
      <b:Author>
        <b:NameList>
          <b:Person>
            <b:Last>Dieto</b:Last>
            <b:First>Austine</b:First>
          </b:Person>
        </b:NameList>
      </b:Author>
    </b:Author>
    <b:Title>Here are five reasons why business process re-engineering is important</b:Title>
    <b:InternetSiteTitle>Auspa Conuslting</b:InternetSiteTitle>
    <b:Year>2021</b:Year>
    <b:Month>May</b:Month>
    <b:Day>19</b:Day>
    <b:URL>https://auspakenya.com/here-are-five-reasons-why-business-process-re-engineering-is-important/</b:URL>
    <b:YearAccessed>2023</b:YearAccessed>
    <b:MonthAccessed>April</b:MonthAccessed>
    <b:DayAccessed>16</b:DayAccessed>
    <b:RefOrder>26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5B55FE-B8AD-4337-BFC3-DEDF932F7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6349</Words>
  <Characters>36193</Characters>
  <Application>Microsoft Office Word</Application>
  <DocSecurity>0</DocSecurity>
  <Lines>301</Lines>
  <Paragraphs>84</Paragraphs>
  <ScaleCrop>false</ScaleCrop>
  <Company>University of Wales trinity saint david</Company>
  <LinksUpToDate>false</LinksUpToDate>
  <CharactersWithSpaces>42458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issues in performance management</dc:title>
  <dc:subject>Ashita Satishbhai Borada</dc:subject>
  <dc:creator>Admin</dc:creator>
  <cp:lastModifiedBy>Admin</cp:lastModifiedBy>
  <cp:revision>4</cp:revision>
  <dcterms:created xsi:type="dcterms:W3CDTF">2023-04-29T21:02:00Z</dcterms:created>
  <dcterms:modified xsi:type="dcterms:W3CDTF">2023-04-29T21:10:00Z</dcterms:modified>
</cp:coreProperties>
</file>