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8EFEDF" w14:textId="152692D2" w:rsidR="005B211B" w:rsidRDefault="005B211B">
      <w:pPr>
        <w:widowControl/>
        <w:rPr>
          <w:rFonts w:ascii="Arial" w:hAnsi="Arial" w:cs="Arial"/>
          <w:b/>
          <w:bCs/>
          <w:szCs w:val="24"/>
        </w:rPr>
      </w:pPr>
      <w:r>
        <w:rPr>
          <w:noProof/>
        </w:rPr>
        <w:drawing>
          <wp:inline distT="0" distB="0" distL="0" distR="0" wp14:anchorId="5C27664C" wp14:editId="0D0B7003">
            <wp:extent cx="5486400" cy="6071016"/>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2838" t="24109" r="34722" b="12074"/>
                    <a:stretch/>
                  </pic:blipFill>
                  <pic:spPr bwMode="auto">
                    <a:xfrm>
                      <a:off x="0" y="0"/>
                      <a:ext cx="5499171" cy="6085148"/>
                    </a:xfrm>
                    <a:prstGeom prst="rect">
                      <a:avLst/>
                    </a:prstGeom>
                    <a:ln>
                      <a:noFill/>
                    </a:ln>
                    <a:extLst>
                      <a:ext uri="{53640926-AAD7-44D8-BBD7-CCE9431645EC}">
                        <a14:shadowObscured xmlns:a14="http://schemas.microsoft.com/office/drawing/2010/main"/>
                      </a:ext>
                    </a:extLst>
                  </pic:spPr>
                </pic:pic>
              </a:graphicData>
            </a:graphic>
          </wp:inline>
        </w:drawing>
      </w:r>
    </w:p>
    <w:p w14:paraId="224C6972" w14:textId="77777777" w:rsidR="005B211B" w:rsidRDefault="005B211B" w:rsidP="002C0C4D">
      <w:pPr>
        <w:widowControl/>
        <w:jc w:val="center"/>
        <w:rPr>
          <w:rFonts w:ascii="Arial" w:hAnsi="Arial" w:cs="Arial"/>
          <w:b/>
          <w:bCs/>
          <w:szCs w:val="24"/>
        </w:rPr>
      </w:pPr>
    </w:p>
    <w:p w14:paraId="108FE5DB" w14:textId="77777777" w:rsidR="005B211B" w:rsidRDefault="005B211B" w:rsidP="002C0C4D">
      <w:pPr>
        <w:widowControl/>
        <w:jc w:val="center"/>
        <w:rPr>
          <w:rFonts w:ascii="Arial" w:hAnsi="Arial" w:cs="Arial"/>
          <w:b/>
          <w:bCs/>
          <w:szCs w:val="24"/>
        </w:rPr>
      </w:pPr>
    </w:p>
    <w:p w14:paraId="5452E996" w14:textId="77777777" w:rsidR="005B211B" w:rsidRDefault="005B211B" w:rsidP="002C0C4D">
      <w:pPr>
        <w:widowControl/>
        <w:jc w:val="center"/>
        <w:rPr>
          <w:rFonts w:ascii="Arial" w:hAnsi="Arial" w:cs="Arial"/>
          <w:b/>
          <w:bCs/>
          <w:szCs w:val="24"/>
        </w:rPr>
      </w:pPr>
    </w:p>
    <w:p w14:paraId="7A8D20A1" w14:textId="77777777" w:rsidR="005B211B" w:rsidRDefault="005B211B" w:rsidP="002C0C4D">
      <w:pPr>
        <w:widowControl/>
        <w:jc w:val="center"/>
        <w:rPr>
          <w:rFonts w:ascii="Arial" w:hAnsi="Arial" w:cs="Arial"/>
          <w:b/>
          <w:bCs/>
          <w:szCs w:val="24"/>
        </w:rPr>
      </w:pPr>
    </w:p>
    <w:p w14:paraId="43BB1915" w14:textId="77777777" w:rsidR="005B211B" w:rsidRDefault="005B211B" w:rsidP="002C0C4D">
      <w:pPr>
        <w:widowControl/>
        <w:jc w:val="center"/>
        <w:rPr>
          <w:rFonts w:ascii="Arial" w:hAnsi="Arial" w:cs="Arial"/>
          <w:b/>
          <w:bCs/>
          <w:szCs w:val="24"/>
        </w:rPr>
      </w:pPr>
    </w:p>
    <w:p w14:paraId="464F2F53" w14:textId="77777777" w:rsidR="005B211B" w:rsidRDefault="005B211B" w:rsidP="002C0C4D">
      <w:pPr>
        <w:widowControl/>
        <w:jc w:val="center"/>
        <w:rPr>
          <w:rFonts w:ascii="Arial" w:hAnsi="Arial" w:cs="Arial"/>
          <w:b/>
          <w:bCs/>
          <w:szCs w:val="24"/>
        </w:rPr>
      </w:pPr>
    </w:p>
    <w:p w14:paraId="7144F4DA" w14:textId="77777777" w:rsidR="005B211B" w:rsidRDefault="005B211B" w:rsidP="002C0C4D">
      <w:pPr>
        <w:widowControl/>
        <w:jc w:val="center"/>
        <w:rPr>
          <w:rFonts w:ascii="Arial" w:hAnsi="Arial" w:cs="Arial"/>
          <w:b/>
          <w:bCs/>
          <w:szCs w:val="24"/>
        </w:rPr>
      </w:pPr>
    </w:p>
    <w:p w14:paraId="263743F9" w14:textId="77777777" w:rsidR="005B211B" w:rsidRDefault="005B211B" w:rsidP="002C0C4D">
      <w:pPr>
        <w:widowControl/>
        <w:jc w:val="center"/>
        <w:rPr>
          <w:rFonts w:ascii="Arial" w:hAnsi="Arial" w:cs="Arial"/>
          <w:b/>
          <w:bCs/>
          <w:szCs w:val="24"/>
        </w:rPr>
      </w:pPr>
    </w:p>
    <w:p w14:paraId="397391C4" w14:textId="77777777" w:rsidR="005B211B" w:rsidRDefault="005B211B" w:rsidP="002C0C4D">
      <w:pPr>
        <w:widowControl/>
        <w:jc w:val="center"/>
        <w:rPr>
          <w:rFonts w:ascii="Arial" w:hAnsi="Arial" w:cs="Arial"/>
          <w:b/>
          <w:bCs/>
          <w:szCs w:val="24"/>
        </w:rPr>
      </w:pPr>
    </w:p>
    <w:p w14:paraId="581B62E5" w14:textId="77777777" w:rsidR="005B211B" w:rsidRDefault="005B211B" w:rsidP="002C0C4D">
      <w:pPr>
        <w:widowControl/>
        <w:jc w:val="center"/>
        <w:rPr>
          <w:rFonts w:ascii="Arial" w:hAnsi="Arial" w:cs="Arial"/>
          <w:b/>
          <w:bCs/>
          <w:szCs w:val="24"/>
        </w:rPr>
      </w:pPr>
    </w:p>
    <w:p w14:paraId="7FF383FC" w14:textId="77777777" w:rsidR="005B211B" w:rsidRDefault="005B211B" w:rsidP="002C0C4D">
      <w:pPr>
        <w:widowControl/>
        <w:jc w:val="center"/>
        <w:rPr>
          <w:rFonts w:ascii="Arial" w:hAnsi="Arial" w:cs="Arial"/>
          <w:b/>
          <w:bCs/>
          <w:szCs w:val="24"/>
        </w:rPr>
      </w:pPr>
    </w:p>
    <w:p w14:paraId="31FBDB1F" w14:textId="2DADCF39" w:rsidR="002C0C4D" w:rsidRDefault="002C0C4D" w:rsidP="002C0C4D">
      <w:pPr>
        <w:widowControl/>
        <w:jc w:val="center"/>
        <w:rPr>
          <w:rFonts w:ascii="Arial" w:hAnsi="Arial" w:cs="Arial"/>
          <w:b/>
          <w:bCs/>
          <w:szCs w:val="24"/>
        </w:rPr>
      </w:pPr>
      <w:r>
        <w:rPr>
          <w:rFonts w:ascii="Arial" w:hAnsi="Arial" w:cs="Arial"/>
          <w:b/>
          <w:bCs/>
          <w:szCs w:val="24"/>
        </w:rPr>
        <w:lastRenderedPageBreak/>
        <w:t>Table of Content</w:t>
      </w:r>
    </w:p>
    <w:p w14:paraId="1E57A5BF" w14:textId="77777777" w:rsidR="002C0C4D" w:rsidRDefault="002C0C4D" w:rsidP="002C0C4D">
      <w:pPr>
        <w:widowControl/>
        <w:jc w:val="center"/>
        <w:rPr>
          <w:rFonts w:ascii="Arial" w:hAnsi="Arial" w:cs="Arial"/>
          <w:b/>
          <w:bCs/>
          <w:szCs w:val="24"/>
        </w:rPr>
      </w:pPr>
    </w:p>
    <w:tbl>
      <w:tblPr>
        <w:tblStyle w:val="TableGrid"/>
        <w:tblW w:w="0" w:type="auto"/>
        <w:tblLook w:val="04A0" w:firstRow="1" w:lastRow="0" w:firstColumn="1" w:lastColumn="0" w:noHBand="0" w:noVBand="1"/>
      </w:tblPr>
      <w:tblGrid>
        <w:gridCol w:w="7508"/>
        <w:gridCol w:w="1508"/>
      </w:tblGrid>
      <w:tr w:rsidR="002C0C4D" w14:paraId="7E51662A" w14:textId="77777777" w:rsidTr="002C0C4D">
        <w:tc>
          <w:tcPr>
            <w:tcW w:w="7508" w:type="dxa"/>
          </w:tcPr>
          <w:p w14:paraId="2DF13436" w14:textId="2138DA4F" w:rsidR="002C0C4D" w:rsidRPr="002C0C4D" w:rsidRDefault="002C0C4D" w:rsidP="002C0C4D">
            <w:pPr>
              <w:pStyle w:val="ListParagraph"/>
              <w:widowControl/>
              <w:numPr>
                <w:ilvl w:val="0"/>
                <w:numId w:val="11"/>
              </w:numPr>
              <w:spacing w:line="360" w:lineRule="auto"/>
              <w:rPr>
                <w:rFonts w:ascii="Arial" w:hAnsi="Arial" w:cs="Arial"/>
                <w:szCs w:val="24"/>
              </w:rPr>
            </w:pPr>
            <w:r w:rsidRPr="002C0C4D">
              <w:rPr>
                <w:rFonts w:ascii="Arial" w:hAnsi="Arial" w:cs="Arial"/>
                <w:szCs w:val="24"/>
              </w:rPr>
              <w:t>Company Background</w:t>
            </w:r>
          </w:p>
        </w:tc>
        <w:tc>
          <w:tcPr>
            <w:tcW w:w="1508" w:type="dxa"/>
          </w:tcPr>
          <w:p w14:paraId="196CCF17" w14:textId="77777777" w:rsidR="002C0C4D" w:rsidRPr="002C0C4D" w:rsidRDefault="002C0C4D" w:rsidP="002C0C4D">
            <w:pPr>
              <w:widowControl/>
              <w:spacing w:line="360" w:lineRule="auto"/>
              <w:rPr>
                <w:rFonts w:ascii="Arial" w:hAnsi="Arial" w:cs="Arial"/>
                <w:szCs w:val="24"/>
              </w:rPr>
            </w:pPr>
          </w:p>
        </w:tc>
      </w:tr>
      <w:tr w:rsidR="002C0C4D" w14:paraId="59C923DA" w14:textId="77777777" w:rsidTr="002C0C4D">
        <w:tc>
          <w:tcPr>
            <w:tcW w:w="7508" w:type="dxa"/>
          </w:tcPr>
          <w:p w14:paraId="13C95E09" w14:textId="5447CD99" w:rsidR="002C0C4D" w:rsidRPr="002C0C4D" w:rsidRDefault="002C0C4D" w:rsidP="002C0C4D">
            <w:pPr>
              <w:pStyle w:val="ListParagraph"/>
              <w:widowControl/>
              <w:numPr>
                <w:ilvl w:val="0"/>
                <w:numId w:val="11"/>
              </w:numPr>
              <w:spacing w:line="360" w:lineRule="auto"/>
              <w:rPr>
                <w:rFonts w:ascii="Arial" w:hAnsi="Arial" w:cs="Arial"/>
                <w:szCs w:val="24"/>
              </w:rPr>
            </w:pPr>
            <w:r>
              <w:rPr>
                <w:rFonts w:ascii="Arial" w:hAnsi="Arial" w:cs="Arial"/>
                <w:szCs w:val="24"/>
              </w:rPr>
              <w:t>Business Overview and Challenges</w:t>
            </w:r>
          </w:p>
        </w:tc>
        <w:tc>
          <w:tcPr>
            <w:tcW w:w="1508" w:type="dxa"/>
          </w:tcPr>
          <w:p w14:paraId="2F292DA7" w14:textId="77777777" w:rsidR="002C0C4D" w:rsidRPr="002C0C4D" w:rsidRDefault="002C0C4D" w:rsidP="002C0C4D">
            <w:pPr>
              <w:widowControl/>
              <w:spacing w:line="360" w:lineRule="auto"/>
              <w:rPr>
                <w:rFonts w:ascii="Arial" w:hAnsi="Arial" w:cs="Arial"/>
                <w:szCs w:val="24"/>
              </w:rPr>
            </w:pPr>
          </w:p>
        </w:tc>
      </w:tr>
      <w:tr w:rsidR="002C0C4D" w14:paraId="1108608B" w14:textId="77777777" w:rsidTr="002C0C4D">
        <w:tc>
          <w:tcPr>
            <w:tcW w:w="7508" w:type="dxa"/>
          </w:tcPr>
          <w:p w14:paraId="4739C76D" w14:textId="77777777" w:rsidR="002C0C4D" w:rsidRDefault="002C0C4D" w:rsidP="002C0C4D">
            <w:pPr>
              <w:pStyle w:val="ListParagraph"/>
              <w:widowControl/>
              <w:numPr>
                <w:ilvl w:val="0"/>
                <w:numId w:val="11"/>
              </w:numPr>
              <w:spacing w:line="360" w:lineRule="auto"/>
              <w:rPr>
                <w:rFonts w:ascii="Arial" w:hAnsi="Arial" w:cs="Arial"/>
                <w:szCs w:val="24"/>
              </w:rPr>
            </w:pPr>
            <w:r>
              <w:rPr>
                <w:rFonts w:ascii="Arial" w:hAnsi="Arial" w:cs="Arial"/>
                <w:szCs w:val="24"/>
              </w:rPr>
              <w:t>Corporate Governance, Internal Control and Risk Management</w:t>
            </w:r>
          </w:p>
          <w:p w14:paraId="34970B16" w14:textId="77777777" w:rsidR="002C0C4D" w:rsidRDefault="002C0C4D" w:rsidP="002C0C4D">
            <w:pPr>
              <w:pStyle w:val="ListParagraph"/>
              <w:widowControl/>
              <w:spacing w:line="360" w:lineRule="auto"/>
              <w:rPr>
                <w:rFonts w:ascii="Arial" w:hAnsi="Arial" w:cs="Arial"/>
                <w:szCs w:val="24"/>
              </w:rPr>
            </w:pPr>
            <w:r>
              <w:rPr>
                <w:rFonts w:ascii="Arial" w:hAnsi="Arial" w:cs="Arial"/>
                <w:szCs w:val="24"/>
              </w:rPr>
              <w:t>3.1 Corporate Structure</w:t>
            </w:r>
          </w:p>
          <w:p w14:paraId="14714747" w14:textId="296F0EC2" w:rsidR="002C0C4D" w:rsidRPr="002C0C4D" w:rsidRDefault="002C0C4D" w:rsidP="002C0C4D">
            <w:pPr>
              <w:pStyle w:val="ListParagraph"/>
              <w:widowControl/>
              <w:spacing w:line="360" w:lineRule="auto"/>
              <w:rPr>
                <w:rFonts w:ascii="Arial" w:hAnsi="Arial" w:cs="Arial"/>
                <w:szCs w:val="24"/>
              </w:rPr>
            </w:pPr>
            <w:r>
              <w:rPr>
                <w:rFonts w:ascii="Arial" w:hAnsi="Arial" w:cs="Arial"/>
                <w:szCs w:val="24"/>
              </w:rPr>
              <w:t xml:space="preserve">3.2 Committees Structure </w:t>
            </w:r>
          </w:p>
        </w:tc>
        <w:tc>
          <w:tcPr>
            <w:tcW w:w="1508" w:type="dxa"/>
          </w:tcPr>
          <w:p w14:paraId="58C8238B" w14:textId="77777777" w:rsidR="002C0C4D" w:rsidRPr="002C0C4D" w:rsidRDefault="002C0C4D" w:rsidP="002C0C4D">
            <w:pPr>
              <w:widowControl/>
              <w:spacing w:line="360" w:lineRule="auto"/>
              <w:rPr>
                <w:rFonts w:ascii="Arial" w:hAnsi="Arial" w:cs="Arial"/>
                <w:szCs w:val="24"/>
              </w:rPr>
            </w:pPr>
          </w:p>
        </w:tc>
      </w:tr>
      <w:tr w:rsidR="002C0C4D" w14:paraId="7550594D" w14:textId="77777777" w:rsidTr="002C0C4D">
        <w:tc>
          <w:tcPr>
            <w:tcW w:w="7508" w:type="dxa"/>
          </w:tcPr>
          <w:p w14:paraId="0B14CC52" w14:textId="77777777" w:rsidR="002C0C4D" w:rsidRDefault="002C0C4D" w:rsidP="002C0C4D">
            <w:pPr>
              <w:pStyle w:val="ListParagraph"/>
              <w:widowControl/>
              <w:numPr>
                <w:ilvl w:val="0"/>
                <w:numId w:val="11"/>
              </w:numPr>
              <w:spacing w:line="360" w:lineRule="auto"/>
              <w:rPr>
                <w:rFonts w:ascii="Arial" w:hAnsi="Arial" w:cs="Arial"/>
                <w:szCs w:val="24"/>
              </w:rPr>
            </w:pPr>
            <w:r>
              <w:rPr>
                <w:rFonts w:ascii="Arial" w:hAnsi="Arial" w:cs="Arial"/>
                <w:szCs w:val="24"/>
              </w:rPr>
              <w:t>Financial Analysis</w:t>
            </w:r>
          </w:p>
          <w:p w14:paraId="32B7F613" w14:textId="77777777" w:rsidR="002C0C4D" w:rsidRDefault="002C0C4D" w:rsidP="002C0C4D">
            <w:pPr>
              <w:widowControl/>
              <w:spacing w:line="360" w:lineRule="auto"/>
              <w:ind w:left="720"/>
              <w:rPr>
                <w:rFonts w:ascii="Arial" w:hAnsi="Arial" w:cs="Arial"/>
                <w:szCs w:val="24"/>
              </w:rPr>
            </w:pPr>
            <w:r>
              <w:rPr>
                <w:rFonts w:ascii="Arial" w:hAnsi="Arial" w:cs="Arial"/>
                <w:szCs w:val="24"/>
              </w:rPr>
              <w:t>4.1 Income Statement Analysis</w:t>
            </w:r>
          </w:p>
          <w:p w14:paraId="72737CA3" w14:textId="77777777" w:rsidR="002C0C4D" w:rsidRDefault="002C0C4D" w:rsidP="002C0C4D">
            <w:pPr>
              <w:widowControl/>
              <w:spacing w:line="360" w:lineRule="auto"/>
              <w:ind w:left="720"/>
              <w:rPr>
                <w:rFonts w:ascii="Arial" w:hAnsi="Arial" w:cs="Arial"/>
                <w:szCs w:val="24"/>
              </w:rPr>
            </w:pPr>
            <w:r>
              <w:rPr>
                <w:rFonts w:ascii="Arial" w:hAnsi="Arial" w:cs="Arial"/>
                <w:szCs w:val="24"/>
              </w:rPr>
              <w:t>4.2 Bankruptcy Index (Altman Z-Score)</w:t>
            </w:r>
          </w:p>
          <w:p w14:paraId="26F8B86E" w14:textId="77777777" w:rsidR="002C0C4D" w:rsidRDefault="002C0C4D" w:rsidP="002C0C4D">
            <w:pPr>
              <w:widowControl/>
              <w:spacing w:line="360" w:lineRule="auto"/>
              <w:ind w:left="720"/>
              <w:rPr>
                <w:rFonts w:ascii="Arial" w:hAnsi="Arial" w:cs="Arial"/>
                <w:szCs w:val="24"/>
              </w:rPr>
            </w:pPr>
            <w:r>
              <w:rPr>
                <w:rFonts w:ascii="Arial" w:hAnsi="Arial" w:cs="Arial"/>
                <w:szCs w:val="24"/>
              </w:rPr>
              <w:t>4.3 Paying Debt Ability</w:t>
            </w:r>
          </w:p>
          <w:p w14:paraId="68CEAC14" w14:textId="77777777" w:rsidR="002C0C4D" w:rsidRDefault="002C0C4D" w:rsidP="002C0C4D">
            <w:pPr>
              <w:widowControl/>
              <w:spacing w:line="360" w:lineRule="auto"/>
              <w:ind w:left="720"/>
              <w:rPr>
                <w:rFonts w:ascii="Arial" w:hAnsi="Arial" w:cs="Arial"/>
                <w:szCs w:val="24"/>
              </w:rPr>
            </w:pPr>
            <w:r>
              <w:rPr>
                <w:rFonts w:ascii="Arial" w:hAnsi="Arial" w:cs="Arial"/>
                <w:szCs w:val="24"/>
              </w:rPr>
              <w:t>4.4 Profitability Assessment</w:t>
            </w:r>
          </w:p>
          <w:p w14:paraId="019520EE" w14:textId="77777777" w:rsidR="002C0C4D" w:rsidRDefault="002C0C4D" w:rsidP="002C0C4D">
            <w:pPr>
              <w:widowControl/>
              <w:spacing w:line="360" w:lineRule="auto"/>
              <w:ind w:left="720"/>
              <w:rPr>
                <w:rFonts w:ascii="Arial" w:hAnsi="Arial" w:cs="Arial"/>
                <w:szCs w:val="24"/>
              </w:rPr>
            </w:pPr>
            <w:r>
              <w:rPr>
                <w:rFonts w:ascii="Arial" w:hAnsi="Arial" w:cs="Arial"/>
                <w:szCs w:val="24"/>
              </w:rPr>
              <w:t>4.5 Operational Assessment</w:t>
            </w:r>
          </w:p>
          <w:p w14:paraId="096C6E32" w14:textId="30BF19A7" w:rsidR="002C0C4D" w:rsidRPr="002C0C4D" w:rsidRDefault="002C0C4D" w:rsidP="002C0C4D">
            <w:pPr>
              <w:widowControl/>
              <w:spacing w:line="360" w:lineRule="auto"/>
              <w:ind w:left="720"/>
              <w:rPr>
                <w:rFonts w:ascii="Arial" w:hAnsi="Arial" w:cs="Arial"/>
                <w:szCs w:val="24"/>
              </w:rPr>
            </w:pPr>
            <w:r>
              <w:rPr>
                <w:rFonts w:ascii="Arial" w:hAnsi="Arial" w:cs="Arial"/>
                <w:szCs w:val="24"/>
              </w:rPr>
              <w:t>4.6 Stock Market Assessment</w:t>
            </w:r>
          </w:p>
        </w:tc>
        <w:tc>
          <w:tcPr>
            <w:tcW w:w="1508" w:type="dxa"/>
          </w:tcPr>
          <w:p w14:paraId="1FCC2266" w14:textId="77777777" w:rsidR="002C0C4D" w:rsidRPr="002C0C4D" w:rsidRDefault="002C0C4D" w:rsidP="002C0C4D">
            <w:pPr>
              <w:widowControl/>
              <w:spacing w:line="360" w:lineRule="auto"/>
              <w:rPr>
                <w:rFonts w:ascii="Arial" w:hAnsi="Arial" w:cs="Arial"/>
                <w:szCs w:val="24"/>
              </w:rPr>
            </w:pPr>
          </w:p>
        </w:tc>
      </w:tr>
      <w:tr w:rsidR="002C0C4D" w14:paraId="107BA3A2" w14:textId="77777777" w:rsidTr="002C0C4D">
        <w:tc>
          <w:tcPr>
            <w:tcW w:w="7508" w:type="dxa"/>
          </w:tcPr>
          <w:p w14:paraId="63F152D1" w14:textId="77777777" w:rsidR="002C0C4D" w:rsidRDefault="002C0C4D" w:rsidP="002C0C4D">
            <w:pPr>
              <w:pStyle w:val="ListParagraph"/>
              <w:widowControl/>
              <w:numPr>
                <w:ilvl w:val="0"/>
                <w:numId w:val="11"/>
              </w:numPr>
              <w:spacing w:line="360" w:lineRule="auto"/>
              <w:rPr>
                <w:rFonts w:ascii="Arial" w:hAnsi="Arial" w:cs="Arial"/>
                <w:szCs w:val="24"/>
              </w:rPr>
            </w:pPr>
            <w:r>
              <w:rPr>
                <w:rFonts w:ascii="Arial" w:hAnsi="Arial" w:cs="Arial"/>
                <w:szCs w:val="24"/>
              </w:rPr>
              <w:t>Investment Project Appraisals</w:t>
            </w:r>
          </w:p>
          <w:p w14:paraId="6D20B106" w14:textId="77777777" w:rsidR="002C0C4D" w:rsidRDefault="002C0C4D" w:rsidP="002C0C4D">
            <w:pPr>
              <w:pStyle w:val="ListParagraph"/>
              <w:widowControl/>
              <w:spacing w:line="360" w:lineRule="auto"/>
              <w:rPr>
                <w:rFonts w:ascii="Arial" w:hAnsi="Arial" w:cs="Arial"/>
                <w:szCs w:val="24"/>
              </w:rPr>
            </w:pPr>
            <w:r>
              <w:rPr>
                <w:rFonts w:ascii="Arial" w:hAnsi="Arial" w:cs="Arial"/>
                <w:szCs w:val="24"/>
              </w:rPr>
              <w:t>5.1 Cost and Profit Estimation</w:t>
            </w:r>
          </w:p>
          <w:p w14:paraId="267ECC4C" w14:textId="6FFE3222" w:rsidR="002C0C4D" w:rsidRPr="002C0C4D" w:rsidRDefault="002C0C4D" w:rsidP="002C0C4D">
            <w:pPr>
              <w:pStyle w:val="ListParagraph"/>
              <w:widowControl/>
              <w:spacing w:line="360" w:lineRule="auto"/>
              <w:rPr>
                <w:rFonts w:ascii="Arial" w:hAnsi="Arial" w:cs="Arial"/>
                <w:szCs w:val="24"/>
              </w:rPr>
            </w:pPr>
            <w:r>
              <w:rPr>
                <w:rFonts w:ascii="Arial" w:hAnsi="Arial" w:cs="Arial"/>
                <w:szCs w:val="24"/>
              </w:rPr>
              <w:t>5.2 NPV, IRR and ARR</w:t>
            </w:r>
          </w:p>
        </w:tc>
        <w:tc>
          <w:tcPr>
            <w:tcW w:w="1508" w:type="dxa"/>
          </w:tcPr>
          <w:p w14:paraId="697033AF" w14:textId="77777777" w:rsidR="002C0C4D" w:rsidRPr="002C0C4D" w:rsidRDefault="002C0C4D" w:rsidP="002C0C4D">
            <w:pPr>
              <w:widowControl/>
              <w:spacing w:line="360" w:lineRule="auto"/>
              <w:rPr>
                <w:rFonts w:ascii="Arial" w:hAnsi="Arial" w:cs="Arial"/>
                <w:szCs w:val="24"/>
              </w:rPr>
            </w:pPr>
          </w:p>
        </w:tc>
      </w:tr>
      <w:tr w:rsidR="002C0C4D" w14:paraId="0C42989D" w14:textId="77777777" w:rsidTr="002C0C4D">
        <w:tc>
          <w:tcPr>
            <w:tcW w:w="7508" w:type="dxa"/>
          </w:tcPr>
          <w:p w14:paraId="72413645" w14:textId="68700445" w:rsidR="002C0C4D" w:rsidRPr="002C0C4D" w:rsidRDefault="002C0C4D" w:rsidP="002C0C4D">
            <w:pPr>
              <w:pStyle w:val="ListParagraph"/>
              <w:widowControl/>
              <w:numPr>
                <w:ilvl w:val="0"/>
                <w:numId w:val="11"/>
              </w:numPr>
              <w:spacing w:line="360" w:lineRule="auto"/>
              <w:rPr>
                <w:rFonts w:ascii="Arial" w:hAnsi="Arial" w:cs="Arial"/>
                <w:szCs w:val="24"/>
              </w:rPr>
            </w:pPr>
            <w:r>
              <w:rPr>
                <w:rFonts w:ascii="Arial" w:hAnsi="Arial" w:cs="Arial"/>
                <w:szCs w:val="24"/>
              </w:rPr>
              <w:t>Fund-raising Management</w:t>
            </w:r>
          </w:p>
        </w:tc>
        <w:tc>
          <w:tcPr>
            <w:tcW w:w="1508" w:type="dxa"/>
          </w:tcPr>
          <w:p w14:paraId="4ACBECA7" w14:textId="77777777" w:rsidR="002C0C4D" w:rsidRPr="002C0C4D" w:rsidRDefault="002C0C4D" w:rsidP="002C0C4D">
            <w:pPr>
              <w:widowControl/>
              <w:spacing w:line="360" w:lineRule="auto"/>
              <w:rPr>
                <w:rFonts w:ascii="Arial" w:hAnsi="Arial" w:cs="Arial"/>
                <w:szCs w:val="24"/>
              </w:rPr>
            </w:pPr>
          </w:p>
        </w:tc>
      </w:tr>
      <w:tr w:rsidR="002C0C4D" w14:paraId="09658FAD" w14:textId="77777777" w:rsidTr="002C0C4D">
        <w:tc>
          <w:tcPr>
            <w:tcW w:w="7508" w:type="dxa"/>
          </w:tcPr>
          <w:p w14:paraId="71E57F9F" w14:textId="08AC27F0" w:rsidR="002C0C4D" w:rsidRPr="002C0C4D" w:rsidRDefault="002C0C4D" w:rsidP="002C0C4D">
            <w:pPr>
              <w:pStyle w:val="ListParagraph"/>
              <w:widowControl/>
              <w:numPr>
                <w:ilvl w:val="0"/>
                <w:numId w:val="11"/>
              </w:numPr>
              <w:spacing w:line="360" w:lineRule="auto"/>
              <w:rPr>
                <w:rFonts w:ascii="Arial" w:hAnsi="Arial" w:cs="Arial"/>
                <w:szCs w:val="24"/>
              </w:rPr>
            </w:pPr>
            <w:r>
              <w:rPr>
                <w:rFonts w:ascii="Arial" w:hAnsi="Arial" w:cs="Arial"/>
                <w:szCs w:val="24"/>
              </w:rPr>
              <w:t>Audit Planning</w:t>
            </w:r>
          </w:p>
        </w:tc>
        <w:tc>
          <w:tcPr>
            <w:tcW w:w="1508" w:type="dxa"/>
          </w:tcPr>
          <w:p w14:paraId="0C5DE6A2" w14:textId="77777777" w:rsidR="002C0C4D" w:rsidRPr="002C0C4D" w:rsidRDefault="002C0C4D" w:rsidP="002C0C4D">
            <w:pPr>
              <w:widowControl/>
              <w:spacing w:line="360" w:lineRule="auto"/>
              <w:rPr>
                <w:rFonts w:ascii="Arial" w:hAnsi="Arial" w:cs="Arial"/>
                <w:szCs w:val="24"/>
              </w:rPr>
            </w:pPr>
          </w:p>
        </w:tc>
      </w:tr>
      <w:tr w:rsidR="002C0C4D" w14:paraId="681D391C" w14:textId="77777777" w:rsidTr="002C0C4D">
        <w:tc>
          <w:tcPr>
            <w:tcW w:w="7508" w:type="dxa"/>
          </w:tcPr>
          <w:p w14:paraId="18458384" w14:textId="6E0A0555" w:rsidR="002C0C4D" w:rsidRPr="002C0C4D" w:rsidRDefault="002C0C4D" w:rsidP="002C0C4D">
            <w:pPr>
              <w:pStyle w:val="ListParagraph"/>
              <w:widowControl/>
              <w:numPr>
                <w:ilvl w:val="0"/>
                <w:numId w:val="11"/>
              </w:numPr>
              <w:spacing w:line="360" w:lineRule="auto"/>
              <w:rPr>
                <w:rFonts w:ascii="Arial" w:hAnsi="Arial" w:cs="Arial"/>
                <w:szCs w:val="24"/>
              </w:rPr>
            </w:pPr>
            <w:r>
              <w:rPr>
                <w:rFonts w:ascii="Arial" w:hAnsi="Arial" w:cs="Arial"/>
                <w:szCs w:val="24"/>
              </w:rPr>
              <w:t>Conclusion</w:t>
            </w:r>
          </w:p>
        </w:tc>
        <w:tc>
          <w:tcPr>
            <w:tcW w:w="1508" w:type="dxa"/>
          </w:tcPr>
          <w:p w14:paraId="3DD3241D" w14:textId="77777777" w:rsidR="002C0C4D" w:rsidRPr="002C0C4D" w:rsidRDefault="002C0C4D" w:rsidP="002C0C4D">
            <w:pPr>
              <w:widowControl/>
              <w:spacing w:line="360" w:lineRule="auto"/>
              <w:rPr>
                <w:rFonts w:ascii="Arial" w:hAnsi="Arial" w:cs="Arial"/>
                <w:szCs w:val="24"/>
              </w:rPr>
            </w:pPr>
          </w:p>
        </w:tc>
      </w:tr>
      <w:tr w:rsidR="002C0C4D" w14:paraId="66B05996" w14:textId="77777777" w:rsidTr="002C0C4D">
        <w:tc>
          <w:tcPr>
            <w:tcW w:w="7508" w:type="dxa"/>
          </w:tcPr>
          <w:p w14:paraId="77172795" w14:textId="7EAFD170" w:rsidR="002C0C4D" w:rsidRPr="002C0C4D" w:rsidRDefault="002C0C4D" w:rsidP="007C4B80">
            <w:pPr>
              <w:pStyle w:val="ListParagraph"/>
              <w:widowControl/>
              <w:spacing w:line="360" w:lineRule="auto"/>
              <w:rPr>
                <w:rFonts w:ascii="Arial" w:hAnsi="Arial" w:cs="Arial"/>
                <w:szCs w:val="24"/>
              </w:rPr>
            </w:pPr>
            <w:r>
              <w:rPr>
                <w:rFonts w:ascii="Arial" w:hAnsi="Arial" w:cs="Arial"/>
                <w:szCs w:val="24"/>
              </w:rPr>
              <w:t>Appendix 1</w:t>
            </w:r>
          </w:p>
        </w:tc>
        <w:tc>
          <w:tcPr>
            <w:tcW w:w="1508" w:type="dxa"/>
          </w:tcPr>
          <w:p w14:paraId="4E567AC3" w14:textId="77777777" w:rsidR="002C0C4D" w:rsidRPr="002C0C4D" w:rsidRDefault="002C0C4D" w:rsidP="002C0C4D">
            <w:pPr>
              <w:widowControl/>
              <w:spacing w:line="360" w:lineRule="auto"/>
              <w:rPr>
                <w:rFonts w:ascii="Arial" w:hAnsi="Arial" w:cs="Arial"/>
                <w:szCs w:val="24"/>
              </w:rPr>
            </w:pPr>
          </w:p>
        </w:tc>
      </w:tr>
      <w:tr w:rsidR="007C4B80" w14:paraId="2E2A5C65" w14:textId="77777777" w:rsidTr="002C0C4D">
        <w:tc>
          <w:tcPr>
            <w:tcW w:w="7508" w:type="dxa"/>
          </w:tcPr>
          <w:p w14:paraId="7D6F05CF" w14:textId="17E6093B" w:rsidR="007C4B80" w:rsidRPr="007C4B80" w:rsidRDefault="007C4B80" w:rsidP="007C4B80">
            <w:pPr>
              <w:widowControl/>
              <w:spacing w:line="360" w:lineRule="auto"/>
              <w:ind w:left="720"/>
              <w:rPr>
                <w:rFonts w:ascii="Arial" w:hAnsi="Arial" w:cs="Arial"/>
                <w:szCs w:val="24"/>
              </w:rPr>
            </w:pPr>
            <w:r>
              <w:rPr>
                <w:rFonts w:ascii="Arial" w:hAnsi="Arial" w:cs="Arial"/>
                <w:szCs w:val="24"/>
              </w:rPr>
              <w:t>Appendix 2</w:t>
            </w:r>
          </w:p>
        </w:tc>
        <w:tc>
          <w:tcPr>
            <w:tcW w:w="1508" w:type="dxa"/>
          </w:tcPr>
          <w:p w14:paraId="273EC578" w14:textId="77777777" w:rsidR="007C4B80" w:rsidRPr="002C0C4D" w:rsidRDefault="007C4B80" w:rsidP="002C0C4D">
            <w:pPr>
              <w:widowControl/>
              <w:spacing w:line="360" w:lineRule="auto"/>
              <w:rPr>
                <w:rFonts w:ascii="Arial" w:hAnsi="Arial" w:cs="Arial"/>
                <w:szCs w:val="24"/>
              </w:rPr>
            </w:pPr>
          </w:p>
        </w:tc>
      </w:tr>
      <w:tr w:rsidR="002C0C4D" w14:paraId="6192C4FD" w14:textId="77777777" w:rsidTr="002C0C4D">
        <w:tc>
          <w:tcPr>
            <w:tcW w:w="7508" w:type="dxa"/>
          </w:tcPr>
          <w:p w14:paraId="1669CC07" w14:textId="7482B2D6" w:rsidR="002C0C4D" w:rsidRPr="002C0C4D" w:rsidRDefault="002C0C4D" w:rsidP="007C4B80">
            <w:pPr>
              <w:pStyle w:val="ListParagraph"/>
              <w:widowControl/>
              <w:spacing w:line="360" w:lineRule="auto"/>
              <w:rPr>
                <w:rFonts w:ascii="Arial" w:hAnsi="Arial" w:cs="Arial"/>
                <w:szCs w:val="24"/>
              </w:rPr>
            </w:pPr>
            <w:r>
              <w:rPr>
                <w:rFonts w:ascii="Arial" w:hAnsi="Arial" w:cs="Arial"/>
                <w:szCs w:val="24"/>
              </w:rPr>
              <w:t>References</w:t>
            </w:r>
          </w:p>
        </w:tc>
        <w:tc>
          <w:tcPr>
            <w:tcW w:w="1508" w:type="dxa"/>
          </w:tcPr>
          <w:p w14:paraId="73C4D7AC" w14:textId="77777777" w:rsidR="002C0C4D" w:rsidRPr="002C0C4D" w:rsidRDefault="002C0C4D" w:rsidP="002C0C4D">
            <w:pPr>
              <w:widowControl/>
              <w:spacing w:line="360" w:lineRule="auto"/>
              <w:rPr>
                <w:rFonts w:ascii="Arial" w:hAnsi="Arial" w:cs="Arial"/>
                <w:szCs w:val="24"/>
              </w:rPr>
            </w:pPr>
          </w:p>
        </w:tc>
      </w:tr>
    </w:tbl>
    <w:p w14:paraId="7919F488" w14:textId="26121260" w:rsidR="002C0C4D" w:rsidRDefault="002C0C4D" w:rsidP="002C0C4D">
      <w:pPr>
        <w:widowControl/>
        <w:jc w:val="center"/>
        <w:rPr>
          <w:rFonts w:ascii="Arial" w:hAnsi="Arial" w:cs="Arial"/>
          <w:b/>
          <w:bCs/>
          <w:szCs w:val="24"/>
        </w:rPr>
      </w:pPr>
      <w:r>
        <w:rPr>
          <w:rFonts w:ascii="Arial" w:hAnsi="Arial" w:cs="Arial"/>
          <w:b/>
          <w:bCs/>
          <w:szCs w:val="24"/>
        </w:rPr>
        <w:br w:type="page"/>
      </w:r>
    </w:p>
    <w:p w14:paraId="4EFD8FBF" w14:textId="77777777" w:rsidR="006E69D5" w:rsidRDefault="006E69D5" w:rsidP="006E69D5">
      <w:pPr>
        <w:widowControl/>
        <w:rPr>
          <w:rFonts w:ascii="Arial" w:hAnsi="Arial" w:cs="Arial"/>
          <w:b/>
          <w:bCs/>
          <w:szCs w:val="24"/>
        </w:rPr>
        <w:sectPr w:rsidR="006E69D5" w:rsidSect="006E69D5">
          <w:footerReference w:type="default" r:id="rId9"/>
          <w:pgSz w:w="11906" w:h="16838"/>
          <w:pgMar w:top="1440" w:right="1440" w:bottom="1440" w:left="1440" w:header="851" w:footer="992" w:gutter="0"/>
          <w:pgNumType w:start="1"/>
          <w:cols w:space="425"/>
          <w:docGrid w:type="lines" w:linePitch="360"/>
        </w:sectPr>
      </w:pPr>
    </w:p>
    <w:p w14:paraId="0DCA994C" w14:textId="5B93C51B" w:rsidR="00101CFF" w:rsidRPr="002C0C4D" w:rsidRDefault="00D01FCD" w:rsidP="006E69D5">
      <w:pPr>
        <w:widowControl/>
        <w:spacing w:line="360" w:lineRule="auto"/>
        <w:rPr>
          <w:rFonts w:ascii="Arial" w:hAnsi="Arial" w:cs="Arial"/>
          <w:b/>
          <w:bCs/>
          <w:szCs w:val="24"/>
        </w:rPr>
      </w:pPr>
      <w:r w:rsidRPr="002C0C4D">
        <w:rPr>
          <w:rFonts w:ascii="Arial" w:hAnsi="Arial" w:cs="Arial"/>
          <w:b/>
          <w:bCs/>
          <w:szCs w:val="24"/>
        </w:rPr>
        <w:lastRenderedPageBreak/>
        <w:t xml:space="preserve">1. </w:t>
      </w:r>
      <w:r w:rsidR="0035577F" w:rsidRPr="002C0C4D">
        <w:rPr>
          <w:rFonts w:ascii="Arial" w:hAnsi="Arial" w:cs="Arial"/>
          <w:b/>
          <w:bCs/>
          <w:szCs w:val="24"/>
        </w:rPr>
        <w:t>Company Background</w:t>
      </w:r>
      <w:r w:rsidR="002C0C4D">
        <w:rPr>
          <w:rFonts w:ascii="Arial" w:hAnsi="Arial" w:cs="Arial"/>
          <w:b/>
          <w:bCs/>
          <w:szCs w:val="24"/>
        </w:rPr>
        <w:br/>
      </w:r>
      <w:proofErr w:type="spellStart"/>
      <w:r w:rsidR="00BA175E" w:rsidRPr="00CE7EB9">
        <w:rPr>
          <w:rFonts w:ascii="Arial" w:eastAsia="DengXian" w:hAnsi="Arial" w:cs="Arial"/>
          <w:lang w:eastAsia="zh-CN"/>
        </w:rPr>
        <w:t>Luk</w:t>
      </w:r>
      <w:proofErr w:type="spellEnd"/>
      <w:r w:rsidR="00BA175E" w:rsidRPr="00CE7EB9">
        <w:rPr>
          <w:rFonts w:ascii="Arial" w:eastAsia="DengXian" w:hAnsi="Arial" w:cs="Arial"/>
          <w:lang w:eastAsia="zh-CN"/>
        </w:rPr>
        <w:t xml:space="preserve"> Fook Holdings (International) Limited (‘</w:t>
      </w:r>
      <w:proofErr w:type="spellStart"/>
      <w:r w:rsidR="00BA175E" w:rsidRPr="00CE7EB9">
        <w:rPr>
          <w:rFonts w:ascii="Arial" w:eastAsia="DengXian" w:hAnsi="Arial" w:cs="Arial"/>
          <w:lang w:eastAsia="zh-CN"/>
        </w:rPr>
        <w:t>Luk</w:t>
      </w:r>
      <w:proofErr w:type="spellEnd"/>
      <w:r w:rsidR="009902D9">
        <w:rPr>
          <w:rFonts w:ascii="Arial" w:eastAsia="DengXian" w:hAnsi="Arial" w:cs="Arial"/>
          <w:lang w:eastAsia="zh-CN"/>
        </w:rPr>
        <w:t xml:space="preserve"> </w:t>
      </w:r>
      <w:proofErr w:type="spellStart"/>
      <w:r w:rsidR="00BA175E" w:rsidRPr="00CE7EB9">
        <w:rPr>
          <w:rFonts w:ascii="Arial" w:eastAsia="DengXian" w:hAnsi="Arial" w:cs="Arial"/>
          <w:lang w:eastAsia="zh-CN"/>
        </w:rPr>
        <w:t>fook</w:t>
      </w:r>
      <w:proofErr w:type="spellEnd"/>
      <w:r w:rsidR="00BA175E" w:rsidRPr="00CE7EB9">
        <w:rPr>
          <w:rFonts w:ascii="Arial" w:eastAsia="DengXian" w:hAnsi="Arial" w:cs="Arial"/>
          <w:lang w:eastAsia="zh-CN"/>
        </w:rPr>
        <w:t xml:space="preserve">’) was established in 1991 by a group of jewellery specialists who had </w:t>
      </w:r>
      <w:r w:rsidR="00213AC5" w:rsidRPr="00CE7EB9">
        <w:rPr>
          <w:rFonts w:ascii="Arial" w:eastAsia="DengXian" w:hAnsi="Arial" w:cs="Arial"/>
          <w:lang w:eastAsia="zh-CN"/>
        </w:rPr>
        <w:t>a</w:t>
      </w:r>
      <w:r w:rsidR="00BA175E" w:rsidRPr="00CE7EB9">
        <w:rPr>
          <w:rFonts w:ascii="Arial" w:eastAsia="DengXian" w:hAnsi="Arial" w:cs="Arial"/>
          <w:lang w:eastAsia="zh-CN"/>
        </w:rPr>
        <w:t xml:space="preserve"> unique market sense and passion to engage in the industry. The group has outstanding performances in sourcing, designing, wholesaling, trademark licensing and retailing of a variety of gold and platinum jewellery and gem-set products. Over the years the Group has developed a corporate vision of ‘Brand of Hong Kong, Sparkling the World’, </w:t>
      </w:r>
      <w:r w:rsidR="009902D9">
        <w:rPr>
          <w:rFonts w:ascii="Arial" w:eastAsia="DengXian" w:hAnsi="Arial" w:cs="Arial"/>
          <w:lang w:eastAsia="zh-CN"/>
        </w:rPr>
        <w:t>it</w:t>
      </w:r>
      <w:r w:rsidR="00101CFF" w:rsidRPr="00CE7EB9">
        <w:rPr>
          <w:rFonts w:ascii="Arial" w:eastAsia="DengXian" w:hAnsi="Arial" w:cs="Arial"/>
          <w:lang w:eastAsia="zh-CN"/>
        </w:rPr>
        <w:t xml:space="preserve"> also has a structured and comprehensive corporate environment, social and governance policy and is actively engaged in promoting environmental protection, contributing to the society, and providing a caring corporate culture. Its branding theme of ‘Love is Beauty’ builds a warm and sincere brand image and strengthening customer’s emotional attachment to the brand through quality products and excellent customer service </w:t>
      </w:r>
      <w:proofErr w:type="spellStart"/>
      <w:r w:rsidR="00101CFF" w:rsidRPr="00CE7EB9">
        <w:rPr>
          <w:rFonts w:ascii="Arial" w:eastAsia="DengXian" w:hAnsi="Arial" w:cs="Arial"/>
          <w:lang w:eastAsia="zh-CN"/>
        </w:rPr>
        <w:t>programmes</w:t>
      </w:r>
      <w:proofErr w:type="spellEnd"/>
      <w:r w:rsidR="00101CFF" w:rsidRPr="00CE7EB9">
        <w:rPr>
          <w:rFonts w:ascii="Arial" w:eastAsia="DengXian" w:hAnsi="Arial" w:cs="Arial"/>
          <w:lang w:eastAsia="zh-CN"/>
        </w:rPr>
        <w:t xml:space="preserve">.  </w:t>
      </w:r>
    </w:p>
    <w:p w14:paraId="1BD6D652" w14:textId="692F0F2B" w:rsidR="00213AC5" w:rsidRPr="00CE7EB9" w:rsidRDefault="00101CFF" w:rsidP="0049372B">
      <w:pPr>
        <w:pStyle w:val="NormalWeb"/>
        <w:shd w:val="clear" w:color="auto" w:fill="FFFFFF"/>
        <w:spacing w:before="240" w:beforeAutospacing="0" w:after="240" w:afterAutospacing="0" w:line="360" w:lineRule="auto"/>
        <w:rPr>
          <w:rFonts w:ascii="Arial" w:eastAsia="DengXian" w:hAnsi="Arial" w:cs="Arial"/>
          <w:lang w:eastAsia="zh-CN"/>
        </w:rPr>
      </w:pPr>
      <w:proofErr w:type="spellStart"/>
      <w:r w:rsidRPr="00CE7EB9">
        <w:rPr>
          <w:rFonts w:ascii="Arial" w:eastAsia="DengXian" w:hAnsi="Arial" w:cs="Arial"/>
          <w:lang w:eastAsia="zh-CN"/>
        </w:rPr>
        <w:t>Luk</w:t>
      </w:r>
      <w:proofErr w:type="spellEnd"/>
      <w:r w:rsidR="00092066" w:rsidRPr="00CE7EB9">
        <w:rPr>
          <w:rFonts w:ascii="Arial" w:eastAsia="DengXian" w:hAnsi="Arial" w:cs="Arial"/>
          <w:lang w:eastAsia="zh-CN"/>
        </w:rPr>
        <w:t xml:space="preserve"> </w:t>
      </w:r>
      <w:r w:rsidRPr="00CE7EB9">
        <w:rPr>
          <w:rFonts w:ascii="Arial" w:eastAsia="DengXian" w:hAnsi="Arial" w:cs="Arial"/>
          <w:lang w:eastAsia="zh-CN"/>
        </w:rPr>
        <w:t xml:space="preserve">Fook has a global distribution network </w:t>
      </w:r>
      <w:r w:rsidR="009902D9">
        <w:rPr>
          <w:rFonts w:ascii="Arial" w:eastAsia="DengXian" w:hAnsi="Arial" w:cs="Arial"/>
          <w:lang w:eastAsia="zh-CN"/>
        </w:rPr>
        <w:t>with</w:t>
      </w:r>
      <w:r w:rsidRPr="00CE7EB9">
        <w:rPr>
          <w:rFonts w:ascii="Arial" w:eastAsia="DengXian" w:hAnsi="Arial" w:cs="Arial"/>
          <w:lang w:eastAsia="zh-CN"/>
        </w:rPr>
        <w:t xml:space="preserve"> </w:t>
      </w:r>
      <w:r w:rsidR="009902D9">
        <w:rPr>
          <w:rFonts w:ascii="Arial" w:eastAsia="DengXian" w:hAnsi="Arial" w:cs="Arial"/>
          <w:lang w:eastAsia="zh-CN"/>
        </w:rPr>
        <w:t>2,284</w:t>
      </w:r>
      <w:r w:rsidRPr="00CE7EB9">
        <w:rPr>
          <w:rFonts w:ascii="Arial" w:eastAsia="DengXian" w:hAnsi="Arial" w:cs="Arial"/>
          <w:lang w:eastAsia="zh-CN"/>
        </w:rPr>
        <w:t xml:space="preserve"> shops worldwide, including 1</w:t>
      </w:r>
      <w:r w:rsidR="009902D9">
        <w:rPr>
          <w:rFonts w:ascii="Arial" w:eastAsia="DengXian" w:hAnsi="Arial" w:cs="Arial"/>
          <w:lang w:eastAsia="zh-CN"/>
        </w:rPr>
        <w:t>46</w:t>
      </w:r>
      <w:r w:rsidRPr="00CE7EB9">
        <w:rPr>
          <w:rFonts w:ascii="Arial" w:eastAsia="DengXian" w:hAnsi="Arial" w:cs="Arial"/>
          <w:lang w:eastAsia="zh-CN"/>
        </w:rPr>
        <w:t xml:space="preserve"> self-operated shops across </w:t>
      </w:r>
      <w:r w:rsidR="00BA175E" w:rsidRPr="00CE7EB9">
        <w:rPr>
          <w:rFonts w:ascii="Arial" w:eastAsia="DengXian" w:hAnsi="Arial" w:cs="Arial"/>
          <w:lang w:eastAsia="zh-CN"/>
        </w:rPr>
        <w:t xml:space="preserve">Hong Kong, Macau, Mainland, Singapore, Malaysia, Cambodia, Philippines, United States, </w:t>
      </w:r>
      <w:proofErr w:type="gramStart"/>
      <w:r w:rsidR="00BA175E" w:rsidRPr="00CE7EB9">
        <w:rPr>
          <w:rFonts w:ascii="Arial" w:eastAsia="DengXian" w:hAnsi="Arial" w:cs="Arial"/>
          <w:lang w:eastAsia="zh-CN"/>
        </w:rPr>
        <w:t>Canada</w:t>
      </w:r>
      <w:proofErr w:type="gramEnd"/>
      <w:r w:rsidR="00BA175E" w:rsidRPr="00CE7EB9">
        <w:rPr>
          <w:rFonts w:ascii="Arial" w:eastAsia="DengXian" w:hAnsi="Arial" w:cs="Arial"/>
          <w:lang w:eastAsia="zh-CN"/>
        </w:rPr>
        <w:t xml:space="preserve"> and Australia</w:t>
      </w:r>
      <w:r w:rsidRPr="00CE7EB9">
        <w:rPr>
          <w:rFonts w:ascii="Arial" w:eastAsia="DengXian" w:hAnsi="Arial" w:cs="Arial"/>
          <w:lang w:eastAsia="zh-CN"/>
        </w:rPr>
        <w:t xml:space="preserve">, and </w:t>
      </w:r>
      <w:r w:rsidR="009902D9">
        <w:rPr>
          <w:rFonts w:ascii="Arial" w:eastAsia="DengXian" w:hAnsi="Arial" w:cs="Arial"/>
          <w:lang w:eastAsia="zh-CN"/>
        </w:rPr>
        <w:t>2,138</w:t>
      </w:r>
      <w:r w:rsidRPr="00CE7EB9">
        <w:rPr>
          <w:rFonts w:ascii="Arial" w:eastAsia="DengXian" w:hAnsi="Arial" w:cs="Arial"/>
          <w:lang w:eastAsia="zh-CN"/>
        </w:rPr>
        <w:t xml:space="preserve"> </w:t>
      </w:r>
      <w:r w:rsidR="009902D9">
        <w:rPr>
          <w:rFonts w:ascii="Arial" w:eastAsia="DengXian" w:hAnsi="Arial" w:cs="Arial"/>
          <w:lang w:eastAsia="zh-CN"/>
        </w:rPr>
        <w:t>l</w:t>
      </w:r>
      <w:r w:rsidRPr="00CE7EB9">
        <w:rPr>
          <w:rFonts w:ascii="Arial" w:eastAsia="DengXian" w:hAnsi="Arial" w:cs="Arial"/>
          <w:lang w:eastAsia="zh-CN"/>
        </w:rPr>
        <w:t>icensed shops in Mainland, Philippines and Cambodia. There are three sub-brands operated from the Group, which are ‘</w:t>
      </w:r>
      <w:proofErr w:type="spellStart"/>
      <w:r w:rsidRPr="00CE7EB9">
        <w:rPr>
          <w:rFonts w:ascii="Arial" w:eastAsia="DengXian" w:hAnsi="Arial" w:cs="Arial"/>
          <w:lang w:eastAsia="zh-CN"/>
        </w:rPr>
        <w:t>Goldstyles</w:t>
      </w:r>
      <w:proofErr w:type="spellEnd"/>
      <w:r w:rsidRPr="00CE7EB9">
        <w:rPr>
          <w:rFonts w:ascii="Arial" w:eastAsia="DengXian" w:hAnsi="Arial" w:cs="Arial"/>
          <w:lang w:eastAsia="zh-CN"/>
        </w:rPr>
        <w:t xml:space="preserve">’, ‘Dear Q’, and ‘3D GOLD’, accounting </w:t>
      </w:r>
      <w:r w:rsidR="009902D9">
        <w:rPr>
          <w:rFonts w:ascii="Arial" w:eastAsia="DengXian" w:hAnsi="Arial" w:cs="Arial"/>
          <w:lang w:eastAsia="zh-CN"/>
        </w:rPr>
        <w:t>82</w:t>
      </w:r>
      <w:r w:rsidRPr="00CE7EB9">
        <w:rPr>
          <w:rFonts w:ascii="Arial" w:eastAsia="DengXian" w:hAnsi="Arial" w:cs="Arial"/>
          <w:lang w:eastAsia="zh-CN"/>
        </w:rPr>
        <w:t xml:space="preserve"> shops in Mainland</w:t>
      </w:r>
      <w:r w:rsidR="009902D9">
        <w:rPr>
          <w:rFonts w:ascii="Arial" w:eastAsia="DengXian" w:hAnsi="Arial" w:cs="Arial"/>
          <w:lang w:eastAsia="zh-CN"/>
        </w:rPr>
        <w:t xml:space="preserve"> (</w:t>
      </w:r>
      <w:proofErr w:type="spellStart"/>
      <w:r w:rsidR="009902D9">
        <w:rPr>
          <w:rFonts w:ascii="Arial" w:eastAsia="DengXian" w:hAnsi="Arial" w:cs="Arial"/>
          <w:lang w:eastAsia="zh-CN"/>
        </w:rPr>
        <w:t>Luk</w:t>
      </w:r>
      <w:proofErr w:type="spellEnd"/>
      <w:r w:rsidR="009902D9">
        <w:rPr>
          <w:rFonts w:ascii="Arial" w:eastAsia="DengXian" w:hAnsi="Arial" w:cs="Arial"/>
          <w:lang w:eastAsia="zh-CN"/>
        </w:rPr>
        <w:t xml:space="preserve"> Fook Holdings </w:t>
      </w:r>
      <w:r w:rsidR="00241F47">
        <w:rPr>
          <w:rFonts w:ascii="Arial" w:eastAsia="DengXian" w:hAnsi="Arial" w:cs="Arial"/>
          <w:lang w:eastAsia="zh-CN"/>
        </w:rPr>
        <w:t>(</w:t>
      </w:r>
      <w:r w:rsidR="009902D9">
        <w:rPr>
          <w:rFonts w:ascii="Arial" w:eastAsia="DengXian" w:hAnsi="Arial" w:cs="Arial"/>
          <w:lang w:eastAsia="zh-CN"/>
        </w:rPr>
        <w:t>International</w:t>
      </w:r>
      <w:r w:rsidR="00241F47">
        <w:rPr>
          <w:rFonts w:ascii="Arial" w:eastAsia="DengXian" w:hAnsi="Arial" w:cs="Arial"/>
          <w:lang w:eastAsia="zh-CN"/>
        </w:rPr>
        <w:t>)</w:t>
      </w:r>
      <w:r w:rsidR="009902D9">
        <w:rPr>
          <w:rFonts w:ascii="Arial" w:eastAsia="DengXian" w:hAnsi="Arial" w:cs="Arial"/>
          <w:lang w:eastAsia="zh-CN"/>
        </w:rPr>
        <w:t xml:space="preserve"> Limited, 2021)</w:t>
      </w:r>
      <w:r w:rsidRPr="00CE7EB9">
        <w:rPr>
          <w:rFonts w:ascii="Arial" w:eastAsia="DengXian" w:hAnsi="Arial" w:cs="Arial"/>
          <w:lang w:eastAsia="zh-CN"/>
        </w:rPr>
        <w:t xml:space="preserve">. </w:t>
      </w:r>
    </w:p>
    <w:p w14:paraId="5AF61BAE" w14:textId="032E6C7A" w:rsidR="00BA175E" w:rsidRPr="00CE7EB9" w:rsidRDefault="00101CFF" w:rsidP="0049372B">
      <w:pPr>
        <w:pStyle w:val="NormalWeb"/>
        <w:shd w:val="clear" w:color="auto" w:fill="FFFFFF"/>
        <w:spacing w:before="240" w:beforeAutospacing="0" w:after="240" w:afterAutospacing="0" w:line="360" w:lineRule="auto"/>
        <w:rPr>
          <w:rFonts w:ascii="Arial" w:eastAsia="DengXian" w:hAnsi="Arial" w:cs="Arial"/>
          <w:lang w:eastAsia="zh-CN"/>
        </w:rPr>
      </w:pPr>
      <w:r w:rsidRPr="00CE7EB9">
        <w:rPr>
          <w:rFonts w:ascii="Arial" w:eastAsia="DengXian" w:hAnsi="Arial" w:cs="Arial"/>
          <w:lang w:eastAsia="zh-CN"/>
        </w:rPr>
        <w:t>In additional to retail business, i</w:t>
      </w:r>
      <w:r w:rsidR="00BA175E" w:rsidRPr="00CE7EB9">
        <w:rPr>
          <w:rFonts w:ascii="Arial" w:eastAsia="DengXian" w:hAnsi="Arial" w:cs="Arial"/>
          <w:lang w:eastAsia="zh-CN"/>
        </w:rPr>
        <w:t xml:space="preserve">n 2003, the Group set up a large-scale jewellery processing plant in Nansha, Guangzhou, enabling </w:t>
      </w:r>
      <w:r w:rsidRPr="00CE7EB9">
        <w:rPr>
          <w:rFonts w:ascii="Arial" w:eastAsia="DengXian" w:hAnsi="Arial" w:cs="Arial"/>
          <w:lang w:eastAsia="zh-CN"/>
        </w:rPr>
        <w:t>a</w:t>
      </w:r>
      <w:r w:rsidR="00BA175E" w:rsidRPr="00CE7EB9">
        <w:rPr>
          <w:rFonts w:ascii="Arial" w:eastAsia="DengXian" w:hAnsi="Arial" w:cs="Arial"/>
          <w:lang w:eastAsia="zh-CN"/>
        </w:rPr>
        <w:t xml:space="preserve"> stable supply chain and quality assurance. It enables the Group to be competitive within the distribution network. Its </w:t>
      </w:r>
      <w:r w:rsidR="00213AC5" w:rsidRPr="00CE7EB9">
        <w:rPr>
          <w:rFonts w:ascii="Arial" w:eastAsia="DengXian" w:hAnsi="Arial" w:cs="Arial"/>
          <w:lang w:eastAsia="zh-CN"/>
        </w:rPr>
        <w:t>high-quality</w:t>
      </w:r>
      <w:r w:rsidR="00BA175E" w:rsidRPr="00CE7EB9">
        <w:rPr>
          <w:rFonts w:ascii="Arial" w:eastAsia="DengXian" w:hAnsi="Arial" w:cs="Arial"/>
          <w:lang w:eastAsia="zh-CN"/>
        </w:rPr>
        <w:t xml:space="preserve"> standard</w:t>
      </w:r>
      <w:r w:rsidR="00213AC5" w:rsidRPr="00CE7EB9">
        <w:rPr>
          <w:rFonts w:ascii="Arial" w:eastAsia="DengXian" w:hAnsi="Arial" w:cs="Arial"/>
          <w:lang w:eastAsia="zh-CN"/>
        </w:rPr>
        <w:t xml:space="preserve"> is supported by the ISO 9001 Quality Management Systems and ISO 14001 Environmental Management System certifications in 2008 and 2009 </w:t>
      </w:r>
      <w:r w:rsidR="00213AC5" w:rsidRPr="00CE7EB9">
        <w:rPr>
          <w:rFonts w:ascii="Arial" w:eastAsia="DengXian" w:hAnsi="Arial" w:cs="Arial"/>
          <w:lang w:eastAsia="zh-CN"/>
        </w:rPr>
        <w:lastRenderedPageBreak/>
        <w:t>respectively. In 2013, the Group set up the Victoria Gemological Institute Limited, which is accredited in jewellery authentication and professional training.</w:t>
      </w:r>
    </w:p>
    <w:p w14:paraId="164D52DF" w14:textId="27043C85" w:rsidR="00DA6D2F" w:rsidRPr="00CE7EB9" w:rsidRDefault="00E27AAA" w:rsidP="0049372B">
      <w:pPr>
        <w:pStyle w:val="NormalWeb"/>
        <w:shd w:val="clear" w:color="auto" w:fill="FFFFFF"/>
        <w:spacing w:before="240" w:beforeAutospacing="0" w:after="240" w:afterAutospacing="0" w:line="360" w:lineRule="auto"/>
        <w:rPr>
          <w:rFonts w:ascii="Arial" w:hAnsi="Arial" w:cs="Arial"/>
        </w:rPr>
      </w:pPr>
      <w:r w:rsidRPr="00CE7EB9">
        <w:rPr>
          <w:rFonts w:ascii="Arial" w:eastAsia="DengXian" w:hAnsi="Arial" w:cs="Arial"/>
          <w:lang w:eastAsia="zh-CN"/>
        </w:rPr>
        <w:t>The</w:t>
      </w:r>
      <w:r w:rsidR="00497B1B" w:rsidRPr="00CE7EB9">
        <w:rPr>
          <w:rFonts w:ascii="Arial" w:eastAsia="DengXian" w:hAnsi="Arial" w:cs="Arial"/>
          <w:lang w:eastAsia="zh-CN"/>
        </w:rPr>
        <w:t xml:space="preserve"> Group was listed on the Main Board of the Stock Exchange of Hong Kong Limited in May 1997 (Stock Code: 0590)</w:t>
      </w:r>
      <w:r w:rsidR="00DA6D2F" w:rsidRPr="00CE7EB9">
        <w:rPr>
          <w:rFonts w:ascii="Arial" w:eastAsia="DengXian" w:hAnsi="Arial" w:cs="Arial"/>
          <w:lang w:eastAsia="zh-CN"/>
        </w:rPr>
        <w:t xml:space="preserve">. </w:t>
      </w:r>
      <w:r w:rsidR="00DA6D2F" w:rsidRPr="00CE7EB9">
        <w:rPr>
          <w:rFonts w:ascii="Arial" w:hAnsi="Arial" w:cs="Arial"/>
        </w:rPr>
        <w:t xml:space="preserve">It has around 6,500 employees in total of which over 70% is based in Mainland; 23% in Hong Kong; and around 6% in Macau. The organizational structure shows that over 90% of the workflow are senior officer or below and the highest percentage of workforce by age is from 30-39 years old. </w:t>
      </w:r>
    </w:p>
    <w:p w14:paraId="55DE1E29" w14:textId="77777777" w:rsidR="009902D9" w:rsidRDefault="009902D9" w:rsidP="0049372B">
      <w:pPr>
        <w:spacing w:line="360" w:lineRule="auto"/>
        <w:rPr>
          <w:rFonts w:ascii="Arial" w:hAnsi="Arial" w:cs="Arial"/>
          <w:szCs w:val="24"/>
        </w:rPr>
      </w:pPr>
    </w:p>
    <w:p w14:paraId="1086CBE6" w14:textId="13941239" w:rsidR="001377B3" w:rsidRPr="002C0C4D" w:rsidRDefault="00FE7D1B" w:rsidP="0049372B">
      <w:pPr>
        <w:spacing w:line="360" w:lineRule="auto"/>
        <w:rPr>
          <w:rFonts w:ascii="Arial" w:hAnsi="Arial" w:cs="Arial"/>
          <w:b/>
          <w:bCs/>
          <w:szCs w:val="24"/>
        </w:rPr>
      </w:pPr>
      <w:r w:rsidRPr="002C0C4D">
        <w:rPr>
          <w:rFonts w:ascii="Arial" w:hAnsi="Arial" w:cs="Arial"/>
          <w:b/>
          <w:bCs/>
          <w:szCs w:val="24"/>
        </w:rPr>
        <w:t>2</w:t>
      </w:r>
      <w:r w:rsidR="009902D9" w:rsidRPr="002C0C4D">
        <w:rPr>
          <w:rFonts w:ascii="Arial" w:hAnsi="Arial" w:cs="Arial"/>
          <w:b/>
          <w:bCs/>
          <w:szCs w:val="24"/>
        </w:rPr>
        <w:t>.</w:t>
      </w:r>
      <w:r w:rsidRPr="002C0C4D">
        <w:rPr>
          <w:rFonts w:ascii="Arial" w:hAnsi="Arial" w:cs="Arial"/>
          <w:b/>
          <w:bCs/>
          <w:szCs w:val="24"/>
        </w:rPr>
        <w:t xml:space="preserve"> Business Overview and challenges </w:t>
      </w:r>
    </w:p>
    <w:p w14:paraId="2802BEBE" w14:textId="1D0F2AEF" w:rsidR="00D0406F" w:rsidRPr="00CE7EB9" w:rsidRDefault="00D0406F" w:rsidP="0049372B">
      <w:pPr>
        <w:widowControl/>
        <w:shd w:val="clear" w:color="auto" w:fill="FFFFFF"/>
        <w:spacing w:after="225" w:line="360" w:lineRule="auto"/>
        <w:rPr>
          <w:rFonts w:ascii="Arial" w:eastAsia="Times New Roman" w:hAnsi="Arial" w:cs="Arial"/>
          <w:kern w:val="0"/>
          <w:szCs w:val="24"/>
        </w:rPr>
      </w:pPr>
      <w:r w:rsidRPr="00CE7EB9">
        <w:rPr>
          <w:rFonts w:ascii="Arial" w:eastAsia="Times New Roman" w:hAnsi="Arial" w:cs="Arial"/>
          <w:kern w:val="0"/>
          <w:szCs w:val="24"/>
        </w:rPr>
        <w:t xml:space="preserve">Hong Kong's jewellery industry </w:t>
      </w:r>
      <w:r w:rsidR="003853E2" w:rsidRPr="00CE7EB9">
        <w:rPr>
          <w:rFonts w:ascii="Arial" w:eastAsia="Times New Roman" w:hAnsi="Arial" w:cs="Arial"/>
          <w:kern w:val="0"/>
          <w:szCs w:val="24"/>
        </w:rPr>
        <w:t>is</w:t>
      </w:r>
      <w:r w:rsidRPr="00CE7EB9">
        <w:rPr>
          <w:rFonts w:ascii="Arial" w:eastAsia="Times New Roman" w:hAnsi="Arial" w:cs="Arial"/>
          <w:kern w:val="0"/>
          <w:szCs w:val="24"/>
        </w:rPr>
        <w:t xml:space="preserve"> classified into two </w:t>
      </w:r>
      <w:r w:rsidR="003853E2" w:rsidRPr="00CE7EB9">
        <w:rPr>
          <w:rFonts w:ascii="Arial" w:eastAsia="Times New Roman" w:hAnsi="Arial" w:cs="Arial"/>
          <w:kern w:val="0"/>
          <w:szCs w:val="24"/>
        </w:rPr>
        <w:t>sectors in general</w:t>
      </w:r>
      <w:r w:rsidR="008B2764" w:rsidRPr="00CE7EB9">
        <w:rPr>
          <w:rFonts w:ascii="Arial" w:eastAsia="Times New Roman" w:hAnsi="Arial" w:cs="Arial"/>
          <w:kern w:val="0"/>
          <w:szCs w:val="24"/>
        </w:rPr>
        <w:t xml:space="preserve">. They are </w:t>
      </w:r>
      <w:r w:rsidRPr="00CE7EB9">
        <w:rPr>
          <w:rFonts w:ascii="Arial" w:eastAsia="Times New Roman" w:hAnsi="Arial" w:cs="Arial"/>
          <w:kern w:val="0"/>
          <w:szCs w:val="24"/>
        </w:rPr>
        <w:t>fine jewellery or jewellery made of precious metals, and imitation jewellery</w:t>
      </w:r>
      <w:r w:rsidR="00D0248F" w:rsidRPr="00CE7EB9">
        <w:rPr>
          <w:rFonts w:ascii="Arial" w:eastAsia="Times New Roman" w:hAnsi="Arial" w:cs="Arial"/>
          <w:kern w:val="0"/>
          <w:szCs w:val="24"/>
        </w:rPr>
        <w:t xml:space="preserve"> (Man, 2020)</w:t>
      </w:r>
      <w:r w:rsidRPr="00CE7EB9">
        <w:rPr>
          <w:rFonts w:ascii="Arial" w:eastAsia="Times New Roman" w:hAnsi="Arial" w:cs="Arial"/>
          <w:kern w:val="0"/>
          <w:szCs w:val="24"/>
        </w:rPr>
        <w:t xml:space="preserve">. </w:t>
      </w:r>
      <w:proofErr w:type="spellStart"/>
      <w:r w:rsidR="00D0248F" w:rsidRPr="00CE7EB9">
        <w:rPr>
          <w:rFonts w:ascii="Arial" w:eastAsia="Times New Roman" w:hAnsi="Arial" w:cs="Arial"/>
          <w:kern w:val="0"/>
          <w:szCs w:val="24"/>
        </w:rPr>
        <w:t>Luk</w:t>
      </w:r>
      <w:proofErr w:type="spellEnd"/>
      <w:r w:rsidR="00D0248F" w:rsidRPr="00CE7EB9">
        <w:rPr>
          <w:rFonts w:ascii="Arial" w:eastAsia="Times New Roman" w:hAnsi="Arial" w:cs="Arial"/>
          <w:kern w:val="0"/>
          <w:szCs w:val="24"/>
        </w:rPr>
        <w:t xml:space="preserve"> </w:t>
      </w:r>
      <w:proofErr w:type="spellStart"/>
      <w:r w:rsidR="00D0248F" w:rsidRPr="00CE7EB9">
        <w:rPr>
          <w:rFonts w:ascii="Arial" w:eastAsia="Times New Roman" w:hAnsi="Arial" w:cs="Arial"/>
          <w:kern w:val="0"/>
          <w:szCs w:val="24"/>
        </w:rPr>
        <w:t>fook</w:t>
      </w:r>
      <w:proofErr w:type="spellEnd"/>
      <w:r w:rsidR="00D0248F" w:rsidRPr="00CE7EB9">
        <w:rPr>
          <w:rFonts w:ascii="Arial" w:eastAsia="Times New Roman" w:hAnsi="Arial" w:cs="Arial"/>
          <w:kern w:val="0"/>
          <w:szCs w:val="24"/>
        </w:rPr>
        <w:t xml:space="preserve"> is classified as the former sector. </w:t>
      </w:r>
    </w:p>
    <w:p w14:paraId="07FB021F" w14:textId="3FF3642F" w:rsidR="00ED74ED" w:rsidRPr="00CE7EB9" w:rsidRDefault="00550AEC" w:rsidP="0049372B">
      <w:pPr>
        <w:pStyle w:val="NormalWeb"/>
        <w:shd w:val="clear" w:color="auto" w:fill="FFFFFF"/>
        <w:spacing w:before="0" w:beforeAutospacing="0" w:after="225" w:afterAutospacing="0" w:line="360" w:lineRule="auto"/>
        <w:rPr>
          <w:rFonts w:ascii="Arial" w:hAnsi="Arial" w:cs="Arial"/>
        </w:rPr>
      </w:pPr>
      <w:r w:rsidRPr="00CE7EB9">
        <w:rPr>
          <w:rFonts w:ascii="Arial" w:hAnsi="Arial" w:cs="Arial"/>
        </w:rPr>
        <w:t xml:space="preserve">In 2020, </w:t>
      </w:r>
      <w:r w:rsidR="009B6075" w:rsidRPr="00CE7EB9">
        <w:rPr>
          <w:rFonts w:ascii="Arial" w:hAnsi="Arial" w:cs="Arial"/>
        </w:rPr>
        <w:t>the</w:t>
      </w:r>
      <w:r w:rsidR="00394AD9" w:rsidRPr="00CE7EB9">
        <w:rPr>
          <w:rFonts w:ascii="Arial" w:hAnsi="Arial" w:cs="Arial"/>
        </w:rPr>
        <w:t xml:space="preserve"> Covid</w:t>
      </w:r>
      <w:r w:rsidR="00394AD9" w:rsidRPr="00CE7EB9">
        <w:rPr>
          <w:rFonts w:ascii="Arial" w:hAnsi="Arial" w:cs="Arial"/>
        </w:rPr>
        <w:noBreakHyphen/>
        <w:t xml:space="preserve">19 pandemic has had a powerful effect on the global jewellery market. It </w:t>
      </w:r>
      <w:r w:rsidRPr="00CE7EB9">
        <w:rPr>
          <w:rFonts w:ascii="Arial" w:hAnsi="Arial" w:cs="Arial"/>
        </w:rPr>
        <w:t xml:space="preserve">was </w:t>
      </w:r>
      <w:r w:rsidR="00394AD9" w:rsidRPr="00CE7EB9">
        <w:rPr>
          <w:rFonts w:ascii="Arial" w:hAnsi="Arial" w:cs="Arial"/>
        </w:rPr>
        <w:t xml:space="preserve">estimated that the personal luxury goods market </w:t>
      </w:r>
      <w:r w:rsidRPr="00CE7EB9">
        <w:rPr>
          <w:rFonts w:ascii="Arial" w:hAnsi="Arial" w:cs="Arial"/>
        </w:rPr>
        <w:t>would shrink</w:t>
      </w:r>
      <w:r w:rsidR="00394AD9" w:rsidRPr="00CE7EB9">
        <w:rPr>
          <w:rFonts w:ascii="Arial" w:hAnsi="Arial" w:cs="Arial"/>
        </w:rPr>
        <w:t xml:space="preserve"> by 20</w:t>
      </w:r>
      <w:r w:rsidR="00394AD9" w:rsidRPr="00CE7EB9">
        <w:rPr>
          <w:rFonts w:ascii="Arial" w:hAnsi="Arial" w:cs="Arial"/>
        </w:rPr>
        <w:noBreakHyphen/>
        <w:t>35% worldwide in 2020 and that it w</w:t>
      </w:r>
      <w:r w:rsidRPr="00CE7EB9">
        <w:rPr>
          <w:rFonts w:ascii="Arial" w:hAnsi="Arial" w:cs="Arial"/>
        </w:rPr>
        <w:t xml:space="preserve">ould </w:t>
      </w:r>
      <w:r w:rsidR="00394AD9" w:rsidRPr="00CE7EB9">
        <w:rPr>
          <w:rFonts w:ascii="Arial" w:hAnsi="Arial" w:cs="Arial"/>
        </w:rPr>
        <w:t>take two to three years for the industry to recover to pre</w:t>
      </w:r>
      <w:r w:rsidR="00394AD9" w:rsidRPr="00CE7EB9">
        <w:rPr>
          <w:rFonts w:ascii="Arial" w:hAnsi="Arial" w:cs="Arial"/>
        </w:rPr>
        <w:noBreakHyphen/>
        <w:t>crisis levels</w:t>
      </w:r>
      <w:r w:rsidR="009A036C" w:rsidRPr="00CE7EB9">
        <w:rPr>
          <w:rFonts w:ascii="Arial" w:hAnsi="Arial" w:cs="Arial"/>
        </w:rPr>
        <w:t xml:space="preserve"> (Man, 2020). In Hong Kong, the number of tourists was severely affected by the travel restrictions set by the Hong Kong Government and the social distancing measures has reduced the number of </w:t>
      </w:r>
      <w:r w:rsidR="001348AF" w:rsidRPr="00CE7EB9">
        <w:rPr>
          <w:rFonts w:ascii="Arial" w:hAnsi="Arial" w:cs="Arial"/>
        </w:rPr>
        <w:t xml:space="preserve">shoppers and events requiring the purchase of </w:t>
      </w:r>
      <w:r w:rsidRPr="00CE7EB9">
        <w:rPr>
          <w:rFonts w:ascii="Arial" w:hAnsi="Arial" w:cs="Arial"/>
        </w:rPr>
        <w:t>jewelry</w:t>
      </w:r>
      <w:r w:rsidR="001348AF" w:rsidRPr="00CE7EB9">
        <w:rPr>
          <w:rFonts w:ascii="Arial" w:hAnsi="Arial" w:cs="Arial"/>
        </w:rPr>
        <w:t xml:space="preserve">. </w:t>
      </w:r>
      <w:r w:rsidRPr="00CE7EB9">
        <w:rPr>
          <w:rFonts w:ascii="Arial" w:hAnsi="Arial" w:cs="Arial"/>
        </w:rPr>
        <w:t>According to Hong Kong Tourism Board (202</w:t>
      </w:r>
      <w:r w:rsidR="009902D9">
        <w:rPr>
          <w:rFonts w:ascii="Arial" w:hAnsi="Arial" w:cs="Arial"/>
        </w:rPr>
        <w:t>1</w:t>
      </w:r>
      <w:r w:rsidRPr="00CE7EB9">
        <w:rPr>
          <w:rFonts w:ascii="Arial" w:hAnsi="Arial" w:cs="Arial"/>
        </w:rPr>
        <w:t xml:space="preserve">), the number of tourists decreased by 99% in </w:t>
      </w:r>
      <w:r w:rsidR="00995B6F">
        <w:rPr>
          <w:rFonts w:ascii="Arial" w:hAnsi="Arial" w:cs="Arial"/>
        </w:rPr>
        <w:t xml:space="preserve">the first half of 2021. </w:t>
      </w:r>
      <w:r w:rsidRPr="00CE7EB9">
        <w:rPr>
          <w:rFonts w:ascii="Arial" w:hAnsi="Arial" w:cs="Arial"/>
        </w:rPr>
        <w:t xml:space="preserve">This has resulted a </w:t>
      </w:r>
      <w:r w:rsidR="00995B6F">
        <w:rPr>
          <w:rFonts w:ascii="Arial" w:hAnsi="Arial" w:cs="Arial"/>
        </w:rPr>
        <w:t>36.8</w:t>
      </w:r>
      <w:r w:rsidRPr="00CE7EB9">
        <w:rPr>
          <w:rFonts w:ascii="Arial" w:hAnsi="Arial" w:cs="Arial"/>
        </w:rPr>
        <w:t xml:space="preserve">% drop in </w:t>
      </w:r>
      <w:r w:rsidR="00995B6F">
        <w:rPr>
          <w:rFonts w:ascii="Arial" w:hAnsi="Arial" w:cs="Arial"/>
        </w:rPr>
        <w:t xml:space="preserve">total </w:t>
      </w:r>
      <w:r w:rsidRPr="00CE7EB9">
        <w:rPr>
          <w:rFonts w:ascii="Arial" w:hAnsi="Arial" w:cs="Arial"/>
        </w:rPr>
        <w:t xml:space="preserve">retail business for </w:t>
      </w:r>
      <w:proofErr w:type="spellStart"/>
      <w:r w:rsidR="001348AF" w:rsidRPr="00CE7EB9">
        <w:rPr>
          <w:rFonts w:ascii="Arial" w:hAnsi="Arial" w:cs="Arial"/>
        </w:rPr>
        <w:t>Luk</w:t>
      </w:r>
      <w:proofErr w:type="spellEnd"/>
      <w:r w:rsidR="00A51060" w:rsidRPr="00CE7EB9">
        <w:rPr>
          <w:rFonts w:ascii="Arial" w:hAnsi="Arial" w:cs="Arial"/>
        </w:rPr>
        <w:t xml:space="preserve"> </w:t>
      </w:r>
      <w:proofErr w:type="spellStart"/>
      <w:r w:rsidR="001348AF" w:rsidRPr="00CE7EB9">
        <w:rPr>
          <w:rFonts w:ascii="Arial" w:hAnsi="Arial" w:cs="Arial"/>
        </w:rPr>
        <w:t>fook</w:t>
      </w:r>
      <w:proofErr w:type="spellEnd"/>
      <w:r w:rsidR="001348AF" w:rsidRPr="00CE7EB9">
        <w:rPr>
          <w:rFonts w:ascii="Arial" w:hAnsi="Arial" w:cs="Arial"/>
        </w:rPr>
        <w:t xml:space="preserve"> </w:t>
      </w:r>
      <w:r w:rsidRPr="00CE7EB9">
        <w:rPr>
          <w:rFonts w:ascii="Arial" w:hAnsi="Arial" w:cs="Arial"/>
        </w:rPr>
        <w:t>in the previous financial year (</w:t>
      </w:r>
      <w:proofErr w:type="spellStart"/>
      <w:r w:rsidRPr="00CE7EB9">
        <w:rPr>
          <w:rFonts w:ascii="Arial" w:hAnsi="Arial" w:cs="Arial"/>
        </w:rPr>
        <w:t>Luk</w:t>
      </w:r>
      <w:proofErr w:type="spellEnd"/>
      <w:r w:rsidRPr="00CE7EB9">
        <w:rPr>
          <w:rFonts w:ascii="Arial" w:hAnsi="Arial" w:cs="Arial"/>
        </w:rPr>
        <w:t xml:space="preserve"> Fook Holdings </w:t>
      </w:r>
      <w:r w:rsidR="00241F47">
        <w:rPr>
          <w:rFonts w:ascii="Arial" w:hAnsi="Arial" w:cs="Arial"/>
        </w:rPr>
        <w:t>(</w:t>
      </w:r>
      <w:r w:rsidRPr="00CE7EB9">
        <w:rPr>
          <w:rFonts w:ascii="Arial" w:hAnsi="Arial" w:cs="Arial"/>
        </w:rPr>
        <w:t>International</w:t>
      </w:r>
      <w:r w:rsidR="00241F47">
        <w:rPr>
          <w:rFonts w:ascii="Arial" w:hAnsi="Arial" w:cs="Arial"/>
        </w:rPr>
        <w:t>)</w:t>
      </w:r>
      <w:r w:rsidRPr="00CE7EB9">
        <w:rPr>
          <w:rFonts w:ascii="Arial" w:hAnsi="Arial" w:cs="Arial"/>
        </w:rPr>
        <w:t xml:space="preserve"> Limited, 202</w:t>
      </w:r>
      <w:r w:rsidR="00995B6F">
        <w:rPr>
          <w:rFonts w:ascii="Arial" w:hAnsi="Arial" w:cs="Arial"/>
        </w:rPr>
        <w:t>1</w:t>
      </w:r>
      <w:r w:rsidRPr="00CE7EB9">
        <w:rPr>
          <w:rFonts w:ascii="Arial" w:hAnsi="Arial" w:cs="Arial"/>
        </w:rPr>
        <w:t xml:space="preserve">). </w:t>
      </w:r>
    </w:p>
    <w:p w14:paraId="0BB09C7D" w14:textId="4543242F" w:rsidR="00FE7D1B" w:rsidRPr="00CE7EB9" w:rsidRDefault="00ED74ED" w:rsidP="0049372B">
      <w:pPr>
        <w:pStyle w:val="NormalWeb"/>
        <w:shd w:val="clear" w:color="auto" w:fill="FFFFFF"/>
        <w:spacing w:before="0" w:beforeAutospacing="0" w:after="225" w:afterAutospacing="0" w:line="360" w:lineRule="auto"/>
        <w:rPr>
          <w:rFonts w:ascii="Arial" w:hAnsi="Arial" w:cs="Arial"/>
        </w:rPr>
      </w:pPr>
      <w:r w:rsidRPr="00CE7EB9">
        <w:rPr>
          <w:rFonts w:ascii="Arial" w:hAnsi="Arial" w:cs="Arial"/>
        </w:rPr>
        <w:t>Besides the pandemic, several factors have also contributed to the business challenges in the jewell</w:t>
      </w:r>
      <w:r w:rsidR="00B878EF" w:rsidRPr="00CE7EB9">
        <w:rPr>
          <w:rFonts w:ascii="Arial" w:hAnsi="Arial" w:cs="Arial"/>
        </w:rPr>
        <w:t>er</w:t>
      </w:r>
      <w:r w:rsidRPr="00CE7EB9">
        <w:rPr>
          <w:rFonts w:ascii="Arial" w:hAnsi="Arial" w:cs="Arial"/>
        </w:rPr>
        <w:t>y industr</w:t>
      </w:r>
      <w:r w:rsidR="00B878EF" w:rsidRPr="00CE7EB9">
        <w:rPr>
          <w:rFonts w:ascii="Arial" w:hAnsi="Arial" w:cs="Arial"/>
        </w:rPr>
        <w:t xml:space="preserve">y. </w:t>
      </w:r>
      <w:r w:rsidR="00A51060" w:rsidRPr="00CE7EB9">
        <w:rPr>
          <w:rFonts w:ascii="Arial" w:hAnsi="Arial" w:cs="Arial"/>
        </w:rPr>
        <w:t>A survey</w:t>
      </w:r>
      <w:r w:rsidR="00B878EF" w:rsidRPr="00CE7EB9">
        <w:rPr>
          <w:rFonts w:ascii="Arial" w:hAnsi="Arial" w:cs="Arial"/>
        </w:rPr>
        <w:t xml:space="preserve"> conducted by the </w:t>
      </w:r>
      <w:r w:rsidR="00550AEC" w:rsidRPr="00CE7EB9">
        <w:rPr>
          <w:rFonts w:ascii="Arial" w:hAnsi="Arial" w:cs="Arial"/>
        </w:rPr>
        <w:t xml:space="preserve">Hong Kong Trade </w:t>
      </w:r>
      <w:r w:rsidR="00550AEC" w:rsidRPr="00CE7EB9">
        <w:rPr>
          <w:rFonts w:ascii="Arial" w:hAnsi="Arial" w:cs="Arial"/>
        </w:rPr>
        <w:lastRenderedPageBreak/>
        <w:t>and Development Council (</w:t>
      </w:r>
      <w:r w:rsidR="00B878EF" w:rsidRPr="00CE7EB9">
        <w:rPr>
          <w:rFonts w:ascii="Arial" w:hAnsi="Arial" w:cs="Arial"/>
        </w:rPr>
        <w:t>2020</w:t>
      </w:r>
      <w:r w:rsidR="00550AEC" w:rsidRPr="00CE7EB9">
        <w:rPr>
          <w:rFonts w:ascii="Arial" w:hAnsi="Arial" w:cs="Arial"/>
        </w:rPr>
        <w:t>)</w:t>
      </w:r>
      <w:r w:rsidR="00A51060" w:rsidRPr="00CE7EB9">
        <w:rPr>
          <w:rFonts w:ascii="Arial" w:hAnsi="Arial" w:cs="Arial"/>
        </w:rPr>
        <w:t xml:space="preserve"> showed that </w:t>
      </w:r>
      <w:r w:rsidR="00B878EF" w:rsidRPr="00CE7EB9">
        <w:rPr>
          <w:rFonts w:ascii="Arial" w:hAnsi="Arial" w:cs="Arial"/>
        </w:rPr>
        <w:t>f</w:t>
      </w:r>
      <w:r w:rsidR="00DF1108" w:rsidRPr="00CE7EB9">
        <w:rPr>
          <w:rFonts w:ascii="Arial" w:hAnsi="Arial" w:cs="Arial"/>
        </w:rPr>
        <w:t>luctuations of global economy</w:t>
      </w:r>
      <w:r w:rsidR="00B878EF" w:rsidRPr="00CE7EB9">
        <w:rPr>
          <w:rFonts w:ascii="Arial" w:hAnsi="Arial" w:cs="Arial"/>
        </w:rPr>
        <w:t xml:space="preserve">; </w:t>
      </w:r>
      <w:r w:rsidR="00DF1108" w:rsidRPr="00CE7EB9">
        <w:rPr>
          <w:rFonts w:ascii="Arial" w:hAnsi="Arial" w:cs="Arial"/>
        </w:rPr>
        <w:t>price fluctuation of raw materials</w:t>
      </w:r>
      <w:r w:rsidR="00B878EF" w:rsidRPr="00CE7EB9">
        <w:rPr>
          <w:rFonts w:ascii="Arial" w:hAnsi="Arial" w:cs="Arial"/>
        </w:rPr>
        <w:t>;</w:t>
      </w:r>
      <w:r w:rsidR="00DF1108" w:rsidRPr="00CE7EB9">
        <w:rPr>
          <w:rFonts w:ascii="Arial" w:hAnsi="Arial" w:cs="Arial"/>
        </w:rPr>
        <w:t xml:space="preserve"> increase in operating costs and fluctuating exchange rates have been rated as the four biggest challenges facing the industry</w:t>
      </w:r>
      <w:r w:rsidR="00B878EF" w:rsidRPr="00CE7EB9">
        <w:rPr>
          <w:rFonts w:ascii="Arial" w:hAnsi="Arial" w:cs="Arial"/>
        </w:rPr>
        <w:t xml:space="preserve"> (</w:t>
      </w:r>
      <w:r w:rsidR="005B48BD" w:rsidRPr="00CE7EB9">
        <w:rPr>
          <w:rFonts w:ascii="Arial" w:hAnsi="Arial" w:cs="Arial"/>
        </w:rPr>
        <w:t>Man, 2019)</w:t>
      </w:r>
      <w:r w:rsidR="00550AEC" w:rsidRPr="00CE7EB9">
        <w:rPr>
          <w:rFonts w:ascii="Arial" w:hAnsi="Arial" w:cs="Arial"/>
        </w:rPr>
        <w:t xml:space="preserve">. There is also a shift of the selling pattern to e-commerce for the jewellery </w:t>
      </w:r>
      <w:r w:rsidR="00A51060" w:rsidRPr="00CE7EB9">
        <w:rPr>
          <w:rFonts w:ascii="Arial" w:hAnsi="Arial" w:cs="Arial"/>
        </w:rPr>
        <w:t>industry.</w:t>
      </w:r>
      <w:r w:rsidR="0049372B" w:rsidRPr="00CE7EB9">
        <w:rPr>
          <w:rFonts w:ascii="Arial" w:hAnsi="Arial" w:cs="Arial"/>
        </w:rPr>
        <w:t xml:space="preserve"> </w:t>
      </w:r>
    </w:p>
    <w:p w14:paraId="0B5EA43B" w14:textId="77777777" w:rsidR="00995B6F" w:rsidRDefault="00012EDE" w:rsidP="0049372B">
      <w:pPr>
        <w:pStyle w:val="NormalWeb"/>
        <w:shd w:val="clear" w:color="auto" w:fill="FFFFFF"/>
        <w:spacing w:before="0" w:beforeAutospacing="0" w:after="225" w:afterAutospacing="0" w:line="360" w:lineRule="auto"/>
        <w:rPr>
          <w:rFonts w:ascii="Arial" w:hAnsi="Arial" w:cs="Arial"/>
        </w:rPr>
      </w:pPr>
      <w:r w:rsidRPr="00CE7EB9">
        <w:rPr>
          <w:rFonts w:ascii="Arial" w:hAnsi="Arial" w:cs="Arial"/>
        </w:rPr>
        <w:t xml:space="preserve">In summary, the jewellery industry </w:t>
      </w:r>
      <w:r w:rsidR="00157EBB" w:rsidRPr="00CE7EB9">
        <w:rPr>
          <w:rFonts w:ascii="Arial" w:hAnsi="Arial" w:cs="Arial"/>
        </w:rPr>
        <w:t>is facing macro</w:t>
      </w:r>
      <w:r w:rsidR="00B000C1" w:rsidRPr="00CE7EB9">
        <w:rPr>
          <w:rFonts w:ascii="Arial" w:hAnsi="Arial" w:cs="Arial"/>
        </w:rPr>
        <w:t xml:space="preserve"> and micro environmental challenges and corporations are required to </w:t>
      </w:r>
      <w:r w:rsidR="00806CA5" w:rsidRPr="00CE7EB9">
        <w:rPr>
          <w:rFonts w:ascii="Arial" w:hAnsi="Arial" w:cs="Arial"/>
        </w:rPr>
        <w:t>be innovative to sustain businesses.</w:t>
      </w:r>
    </w:p>
    <w:p w14:paraId="3BCFE668" w14:textId="53194450" w:rsidR="00012EDE" w:rsidRPr="00CE7EB9" w:rsidRDefault="00806CA5" w:rsidP="0049372B">
      <w:pPr>
        <w:pStyle w:val="NormalWeb"/>
        <w:shd w:val="clear" w:color="auto" w:fill="FFFFFF"/>
        <w:spacing w:before="0" w:beforeAutospacing="0" w:after="225" w:afterAutospacing="0" w:line="360" w:lineRule="auto"/>
        <w:rPr>
          <w:rFonts w:ascii="Arial" w:hAnsi="Arial" w:cs="Arial"/>
        </w:rPr>
      </w:pPr>
      <w:r w:rsidRPr="00CE7EB9">
        <w:rPr>
          <w:rFonts w:ascii="Arial" w:hAnsi="Arial" w:cs="Arial"/>
        </w:rPr>
        <w:t xml:space="preserve"> </w:t>
      </w:r>
    </w:p>
    <w:p w14:paraId="708E8C53" w14:textId="11610C15" w:rsidR="001377B3" w:rsidRPr="002C0C4D" w:rsidRDefault="00995B6F" w:rsidP="0049372B">
      <w:pPr>
        <w:spacing w:line="360" w:lineRule="auto"/>
        <w:rPr>
          <w:rFonts w:ascii="Arial" w:hAnsi="Arial" w:cs="Arial"/>
          <w:b/>
          <w:bCs/>
          <w:szCs w:val="24"/>
        </w:rPr>
      </w:pPr>
      <w:r w:rsidRPr="002C0C4D">
        <w:rPr>
          <w:rFonts w:ascii="Arial" w:hAnsi="Arial" w:cs="Arial"/>
          <w:b/>
          <w:bCs/>
          <w:szCs w:val="24"/>
        </w:rPr>
        <w:t>3</w:t>
      </w:r>
      <w:r w:rsidR="00FE7D1B" w:rsidRPr="002C0C4D">
        <w:rPr>
          <w:rFonts w:ascii="Arial" w:hAnsi="Arial" w:cs="Arial"/>
          <w:b/>
          <w:bCs/>
          <w:szCs w:val="24"/>
        </w:rPr>
        <w:t xml:space="preserve">. </w:t>
      </w:r>
      <w:r w:rsidR="00FB700E" w:rsidRPr="002C0C4D">
        <w:rPr>
          <w:rFonts w:ascii="Arial" w:hAnsi="Arial" w:cs="Arial"/>
          <w:b/>
          <w:bCs/>
          <w:szCs w:val="24"/>
        </w:rPr>
        <w:t>Corporate Governance, Internal Control and Risk Management</w:t>
      </w:r>
    </w:p>
    <w:p w14:paraId="2020D854" w14:textId="3868B20D" w:rsidR="00213F7D" w:rsidRPr="00CE7EB9" w:rsidRDefault="00806CA5" w:rsidP="0049372B">
      <w:pPr>
        <w:spacing w:line="360" w:lineRule="auto"/>
        <w:rPr>
          <w:rFonts w:ascii="Arial" w:hAnsi="Arial" w:cs="Arial"/>
          <w:szCs w:val="24"/>
        </w:rPr>
      </w:pPr>
      <w:r w:rsidRPr="00CE7EB9">
        <w:rPr>
          <w:rFonts w:ascii="Arial" w:hAnsi="Arial" w:cs="Arial"/>
          <w:szCs w:val="24"/>
        </w:rPr>
        <w:t>Corporate</w:t>
      </w:r>
      <w:r w:rsidR="00506E27" w:rsidRPr="00CE7EB9">
        <w:rPr>
          <w:rFonts w:ascii="Arial" w:hAnsi="Arial" w:cs="Arial"/>
          <w:szCs w:val="24"/>
        </w:rPr>
        <w:t xml:space="preserve"> governance </w:t>
      </w:r>
      <w:r w:rsidR="00133D6A" w:rsidRPr="00CE7EB9">
        <w:rPr>
          <w:rFonts w:ascii="Arial" w:hAnsi="Arial" w:cs="Arial"/>
          <w:szCs w:val="24"/>
        </w:rPr>
        <w:t>creates a solid organization structure that clarifies roles, reporting lines and delegation of responsibilities</w:t>
      </w:r>
      <w:r w:rsidRPr="00CE7EB9">
        <w:rPr>
          <w:rFonts w:ascii="Arial" w:hAnsi="Arial" w:cs="Arial"/>
          <w:szCs w:val="24"/>
        </w:rPr>
        <w:t xml:space="preserve"> (</w:t>
      </w:r>
      <w:proofErr w:type="spellStart"/>
      <w:r w:rsidRPr="00CE7EB9">
        <w:rPr>
          <w:rFonts w:ascii="Arial" w:hAnsi="Arial" w:cs="Arial"/>
          <w:szCs w:val="24"/>
        </w:rPr>
        <w:t>Sarbah</w:t>
      </w:r>
      <w:proofErr w:type="spellEnd"/>
      <w:r w:rsidRPr="00CE7EB9">
        <w:rPr>
          <w:rFonts w:ascii="Arial" w:hAnsi="Arial" w:cs="Arial"/>
          <w:szCs w:val="24"/>
        </w:rPr>
        <w:t xml:space="preserve"> and Xiao, 2015)</w:t>
      </w:r>
      <w:r w:rsidR="00133D6A" w:rsidRPr="00CE7EB9">
        <w:rPr>
          <w:rFonts w:ascii="Arial" w:hAnsi="Arial" w:cs="Arial"/>
          <w:szCs w:val="24"/>
        </w:rPr>
        <w:t>. G</w:t>
      </w:r>
      <w:r w:rsidR="0077069B" w:rsidRPr="00CE7EB9">
        <w:rPr>
          <w:rFonts w:ascii="Arial" w:hAnsi="Arial" w:cs="Arial"/>
          <w:szCs w:val="24"/>
        </w:rPr>
        <w:t>ood corporate governance generates goodwill and confidence from investor</w:t>
      </w:r>
      <w:r w:rsidR="00806B4E" w:rsidRPr="00CE7EB9">
        <w:rPr>
          <w:rFonts w:ascii="Arial" w:hAnsi="Arial" w:cs="Arial"/>
          <w:szCs w:val="24"/>
        </w:rPr>
        <w:t xml:space="preserve">s. </w:t>
      </w:r>
      <w:r w:rsidR="0004437D" w:rsidRPr="00CE7EB9">
        <w:rPr>
          <w:rFonts w:ascii="Arial" w:hAnsi="Arial" w:cs="Arial"/>
          <w:szCs w:val="24"/>
        </w:rPr>
        <w:t xml:space="preserve">The Corporate Governance by </w:t>
      </w:r>
      <w:proofErr w:type="spellStart"/>
      <w:r w:rsidR="0004437D" w:rsidRPr="00CE7EB9">
        <w:rPr>
          <w:rFonts w:ascii="Arial" w:hAnsi="Arial" w:cs="Arial"/>
          <w:szCs w:val="24"/>
        </w:rPr>
        <w:t>Luk</w:t>
      </w:r>
      <w:proofErr w:type="spellEnd"/>
      <w:r w:rsidR="0004437D" w:rsidRPr="00CE7EB9">
        <w:rPr>
          <w:rFonts w:ascii="Arial" w:hAnsi="Arial" w:cs="Arial"/>
          <w:szCs w:val="24"/>
        </w:rPr>
        <w:t xml:space="preserve"> </w:t>
      </w:r>
      <w:proofErr w:type="spellStart"/>
      <w:r w:rsidR="00995B6F">
        <w:rPr>
          <w:rFonts w:ascii="Arial" w:hAnsi="Arial" w:cs="Arial"/>
          <w:szCs w:val="24"/>
        </w:rPr>
        <w:t>f</w:t>
      </w:r>
      <w:r w:rsidR="0004437D" w:rsidRPr="00CE7EB9">
        <w:rPr>
          <w:rFonts w:ascii="Arial" w:hAnsi="Arial" w:cs="Arial"/>
          <w:szCs w:val="24"/>
        </w:rPr>
        <w:t>ook</w:t>
      </w:r>
      <w:proofErr w:type="spellEnd"/>
      <w:r w:rsidR="0004437D" w:rsidRPr="00CE7EB9">
        <w:rPr>
          <w:rFonts w:ascii="Arial" w:hAnsi="Arial" w:cs="Arial"/>
          <w:szCs w:val="24"/>
        </w:rPr>
        <w:t xml:space="preserve"> </w:t>
      </w:r>
      <w:r w:rsidR="00995B6F" w:rsidRPr="00CE7EB9">
        <w:rPr>
          <w:rFonts w:ascii="Arial" w:hAnsi="Arial" w:cs="Arial"/>
          <w:szCs w:val="24"/>
        </w:rPr>
        <w:t>emphasiz</w:t>
      </w:r>
      <w:r w:rsidR="00995B6F">
        <w:rPr>
          <w:rFonts w:ascii="Arial" w:hAnsi="Arial" w:cs="Arial"/>
          <w:szCs w:val="24"/>
        </w:rPr>
        <w:t>es</w:t>
      </w:r>
      <w:r w:rsidR="0004437D" w:rsidRPr="00CE7EB9">
        <w:rPr>
          <w:rFonts w:ascii="Arial" w:hAnsi="Arial" w:cs="Arial"/>
          <w:szCs w:val="24"/>
        </w:rPr>
        <w:t xml:space="preserve"> on integrity, transparency, </w:t>
      </w:r>
      <w:r w:rsidR="00213F7D" w:rsidRPr="00CE7EB9">
        <w:rPr>
          <w:rFonts w:ascii="Arial" w:hAnsi="Arial" w:cs="Arial"/>
          <w:szCs w:val="24"/>
        </w:rPr>
        <w:t>accountability,</w:t>
      </w:r>
      <w:r w:rsidR="0004437D" w:rsidRPr="00CE7EB9">
        <w:rPr>
          <w:rFonts w:ascii="Arial" w:hAnsi="Arial" w:cs="Arial"/>
          <w:szCs w:val="24"/>
        </w:rPr>
        <w:t xml:space="preserve"> and ind</w:t>
      </w:r>
      <w:r w:rsidR="00FE1077" w:rsidRPr="00CE7EB9">
        <w:rPr>
          <w:rFonts w:ascii="Arial" w:hAnsi="Arial" w:cs="Arial"/>
          <w:szCs w:val="24"/>
        </w:rPr>
        <w:t xml:space="preserve">ependence, as well as safeguarding the shareholder’s value and interest. </w:t>
      </w:r>
    </w:p>
    <w:p w14:paraId="32572566" w14:textId="77777777" w:rsidR="00806B4E" w:rsidRPr="00CE7EB9" w:rsidRDefault="00806B4E" w:rsidP="0049372B">
      <w:pPr>
        <w:spacing w:line="360" w:lineRule="auto"/>
        <w:rPr>
          <w:rFonts w:ascii="Arial" w:hAnsi="Arial" w:cs="Arial"/>
          <w:szCs w:val="24"/>
        </w:rPr>
      </w:pPr>
    </w:p>
    <w:p w14:paraId="5880BB27" w14:textId="03CD883C" w:rsidR="00B73B06" w:rsidRPr="00CE7EB9" w:rsidRDefault="00806B4E" w:rsidP="0049372B">
      <w:pPr>
        <w:spacing w:line="360" w:lineRule="auto"/>
        <w:rPr>
          <w:rFonts w:ascii="Arial" w:hAnsi="Arial" w:cs="Arial"/>
          <w:szCs w:val="24"/>
        </w:rPr>
      </w:pPr>
      <w:r w:rsidRPr="00CE7EB9">
        <w:rPr>
          <w:rFonts w:ascii="Arial" w:hAnsi="Arial" w:cs="Arial"/>
          <w:szCs w:val="24"/>
        </w:rPr>
        <w:t xml:space="preserve">Table </w:t>
      </w:r>
      <w:r w:rsidR="00806CA5" w:rsidRPr="00CE7EB9">
        <w:rPr>
          <w:rFonts w:ascii="Arial" w:hAnsi="Arial" w:cs="Arial"/>
          <w:szCs w:val="24"/>
        </w:rPr>
        <w:t>1</w:t>
      </w:r>
      <w:r w:rsidRPr="00CE7EB9">
        <w:rPr>
          <w:rFonts w:ascii="Arial" w:hAnsi="Arial" w:cs="Arial"/>
          <w:szCs w:val="24"/>
        </w:rPr>
        <w:t xml:space="preserve"> shows the Return on Assets and Return on Equity for </w:t>
      </w:r>
      <w:proofErr w:type="spellStart"/>
      <w:r w:rsidRPr="00CE7EB9">
        <w:rPr>
          <w:rFonts w:ascii="Arial" w:hAnsi="Arial" w:cs="Arial"/>
          <w:szCs w:val="24"/>
        </w:rPr>
        <w:t>Luk</w:t>
      </w:r>
      <w:proofErr w:type="spellEnd"/>
      <w:r w:rsidRPr="00CE7EB9">
        <w:rPr>
          <w:rFonts w:ascii="Arial" w:hAnsi="Arial" w:cs="Arial"/>
          <w:szCs w:val="24"/>
        </w:rPr>
        <w:t xml:space="preserve"> </w:t>
      </w:r>
      <w:proofErr w:type="spellStart"/>
      <w:r w:rsidR="00995B6F">
        <w:rPr>
          <w:rFonts w:ascii="Arial" w:hAnsi="Arial" w:cs="Arial"/>
          <w:szCs w:val="24"/>
        </w:rPr>
        <w:t>f</w:t>
      </w:r>
      <w:r w:rsidRPr="00CE7EB9">
        <w:rPr>
          <w:rFonts w:ascii="Arial" w:hAnsi="Arial" w:cs="Arial"/>
          <w:szCs w:val="24"/>
        </w:rPr>
        <w:t>ook</w:t>
      </w:r>
      <w:proofErr w:type="spellEnd"/>
      <w:r w:rsidRPr="00CE7EB9">
        <w:rPr>
          <w:rFonts w:ascii="Arial" w:hAnsi="Arial" w:cs="Arial"/>
          <w:szCs w:val="24"/>
        </w:rPr>
        <w:t xml:space="preserve">. </w:t>
      </w:r>
      <w:r w:rsidR="00892A68" w:rsidRPr="00CE7EB9">
        <w:rPr>
          <w:rFonts w:ascii="Arial" w:hAnsi="Arial" w:cs="Arial"/>
          <w:szCs w:val="24"/>
        </w:rPr>
        <w:t xml:space="preserve">Birken (2021) stated that an ROA of over 5% indicates </w:t>
      </w:r>
      <w:r w:rsidR="00302136" w:rsidRPr="00CE7EB9">
        <w:rPr>
          <w:rFonts w:ascii="Arial" w:hAnsi="Arial" w:cs="Arial"/>
          <w:szCs w:val="24"/>
        </w:rPr>
        <w:t>a good ratio</w:t>
      </w:r>
      <w:r w:rsidR="00640C23" w:rsidRPr="00CE7EB9">
        <w:rPr>
          <w:rFonts w:ascii="Arial" w:hAnsi="Arial" w:cs="Arial"/>
          <w:szCs w:val="24"/>
        </w:rPr>
        <w:t xml:space="preserve">. </w:t>
      </w:r>
      <w:r w:rsidR="00911C6F" w:rsidRPr="00CE7EB9">
        <w:rPr>
          <w:rFonts w:ascii="Arial" w:hAnsi="Arial" w:cs="Arial"/>
          <w:szCs w:val="24"/>
        </w:rPr>
        <w:t xml:space="preserve">Although the ROA of </w:t>
      </w:r>
      <w:proofErr w:type="spellStart"/>
      <w:r w:rsidR="00911C6F" w:rsidRPr="00CE7EB9">
        <w:rPr>
          <w:rFonts w:ascii="Arial" w:hAnsi="Arial" w:cs="Arial"/>
          <w:szCs w:val="24"/>
        </w:rPr>
        <w:t>Luk</w:t>
      </w:r>
      <w:proofErr w:type="spellEnd"/>
      <w:r w:rsidR="00911C6F" w:rsidRPr="00CE7EB9">
        <w:rPr>
          <w:rFonts w:ascii="Arial" w:hAnsi="Arial" w:cs="Arial"/>
          <w:szCs w:val="24"/>
        </w:rPr>
        <w:t xml:space="preserve"> Fook dropped to </w:t>
      </w:r>
      <w:r w:rsidR="0022433D" w:rsidRPr="00CE7EB9">
        <w:rPr>
          <w:rFonts w:ascii="Arial" w:hAnsi="Arial" w:cs="Arial"/>
          <w:szCs w:val="24"/>
        </w:rPr>
        <w:t>6-7</w:t>
      </w:r>
      <w:r w:rsidR="00911C6F" w:rsidRPr="00CE7EB9">
        <w:rPr>
          <w:rFonts w:ascii="Arial" w:hAnsi="Arial" w:cs="Arial"/>
          <w:szCs w:val="24"/>
        </w:rPr>
        <w:t xml:space="preserve">% in </w:t>
      </w:r>
      <w:r w:rsidR="0022433D" w:rsidRPr="00CE7EB9">
        <w:rPr>
          <w:rFonts w:ascii="Arial" w:hAnsi="Arial" w:cs="Arial"/>
          <w:szCs w:val="24"/>
        </w:rPr>
        <w:t>2019 and 2020</w:t>
      </w:r>
      <w:r w:rsidR="00911C6F" w:rsidRPr="00CE7EB9">
        <w:rPr>
          <w:rFonts w:ascii="Arial" w:hAnsi="Arial" w:cs="Arial"/>
          <w:szCs w:val="24"/>
        </w:rPr>
        <w:t xml:space="preserve">, it </w:t>
      </w:r>
      <w:r w:rsidR="00237DBA" w:rsidRPr="00CE7EB9">
        <w:rPr>
          <w:rFonts w:ascii="Arial" w:hAnsi="Arial" w:cs="Arial"/>
          <w:szCs w:val="24"/>
        </w:rPr>
        <w:t>remained</w:t>
      </w:r>
      <w:r w:rsidR="00911C6F" w:rsidRPr="00CE7EB9">
        <w:rPr>
          <w:rFonts w:ascii="Arial" w:hAnsi="Arial" w:cs="Arial"/>
          <w:szCs w:val="24"/>
        </w:rPr>
        <w:t xml:space="preserve"> as a good ROA level indicating the </w:t>
      </w:r>
      <w:r w:rsidR="004B2EBE" w:rsidRPr="00CE7EB9">
        <w:rPr>
          <w:rFonts w:ascii="Arial" w:hAnsi="Arial" w:cs="Arial"/>
          <w:szCs w:val="24"/>
        </w:rPr>
        <w:t xml:space="preserve">Group makes good use of its assets to generate income. </w:t>
      </w:r>
      <w:r w:rsidR="003A353A" w:rsidRPr="00CE7EB9">
        <w:rPr>
          <w:rFonts w:ascii="Arial" w:hAnsi="Arial" w:cs="Arial"/>
          <w:szCs w:val="24"/>
        </w:rPr>
        <w:t xml:space="preserve">The ROE level is best to compare with other companies in the same industry and detailed analysis will be shown in </w:t>
      </w:r>
      <w:r w:rsidR="003A353A" w:rsidRPr="0026201B">
        <w:rPr>
          <w:rFonts w:ascii="Arial" w:hAnsi="Arial" w:cs="Arial"/>
          <w:szCs w:val="24"/>
        </w:rPr>
        <w:t xml:space="preserve">Section </w:t>
      </w:r>
      <w:r w:rsidR="0026201B" w:rsidRPr="0026201B">
        <w:rPr>
          <w:rFonts w:ascii="Arial" w:hAnsi="Arial" w:cs="Arial"/>
          <w:szCs w:val="24"/>
        </w:rPr>
        <w:t>4.4</w:t>
      </w:r>
      <w:r w:rsidR="003A353A" w:rsidRPr="0026201B">
        <w:rPr>
          <w:rFonts w:ascii="Arial" w:hAnsi="Arial" w:cs="Arial"/>
          <w:szCs w:val="24"/>
        </w:rPr>
        <w:t>.</w:t>
      </w:r>
      <w:r w:rsidR="003A353A" w:rsidRPr="00CE7EB9">
        <w:rPr>
          <w:rFonts w:ascii="Arial" w:hAnsi="Arial" w:cs="Arial"/>
          <w:szCs w:val="24"/>
        </w:rPr>
        <w:t xml:space="preserve"> </w:t>
      </w:r>
    </w:p>
    <w:p w14:paraId="77AD8A93" w14:textId="0A1E0FE0" w:rsidR="00EF51D8" w:rsidRDefault="00EF51D8" w:rsidP="0049372B">
      <w:pPr>
        <w:spacing w:line="360" w:lineRule="auto"/>
        <w:rPr>
          <w:rFonts w:ascii="Arial" w:hAnsi="Arial" w:cs="Arial"/>
          <w:szCs w:val="24"/>
        </w:rPr>
      </w:pPr>
    </w:p>
    <w:p w14:paraId="3E53C51D" w14:textId="77777777" w:rsidR="00995B6F" w:rsidRPr="00CE7EB9" w:rsidRDefault="00995B6F" w:rsidP="0049372B">
      <w:pPr>
        <w:spacing w:line="360" w:lineRule="auto"/>
        <w:rPr>
          <w:rFonts w:ascii="Arial" w:hAnsi="Arial" w:cs="Arial"/>
          <w:szCs w:val="24"/>
        </w:rPr>
      </w:pPr>
    </w:p>
    <w:p w14:paraId="750E37BB" w14:textId="2F3F8DF9" w:rsidR="002C0395" w:rsidRPr="002C0C4D" w:rsidRDefault="00EB30B6" w:rsidP="0049372B">
      <w:pPr>
        <w:spacing w:line="360" w:lineRule="auto"/>
        <w:rPr>
          <w:rFonts w:ascii="Arial" w:hAnsi="Arial" w:cs="Arial"/>
          <w:sz w:val="22"/>
        </w:rPr>
      </w:pPr>
      <w:r w:rsidRPr="002C0C4D">
        <w:rPr>
          <w:rFonts w:ascii="Arial" w:hAnsi="Arial" w:cs="Arial"/>
          <w:sz w:val="22"/>
        </w:rPr>
        <w:lastRenderedPageBreak/>
        <w:t xml:space="preserve">Table 1. ROA and ROE of </w:t>
      </w:r>
      <w:proofErr w:type="spellStart"/>
      <w:r w:rsidRPr="002C0C4D">
        <w:rPr>
          <w:rFonts w:ascii="Arial" w:hAnsi="Arial" w:cs="Arial"/>
          <w:sz w:val="22"/>
        </w:rPr>
        <w:t>Luk</w:t>
      </w:r>
      <w:proofErr w:type="spellEnd"/>
      <w:r w:rsidRPr="002C0C4D">
        <w:rPr>
          <w:rFonts w:ascii="Arial" w:hAnsi="Arial" w:cs="Arial"/>
          <w:sz w:val="22"/>
        </w:rPr>
        <w:t xml:space="preserve"> </w:t>
      </w:r>
      <w:proofErr w:type="spellStart"/>
      <w:r w:rsidR="00995B6F" w:rsidRPr="002C0C4D">
        <w:rPr>
          <w:rFonts w:ascii="Arial" w:hAnsi="Arial" w:cs="Arial"/>
          <w:sz w:val="22"/>
        </w:rPr>
        <w:t>f</w:t>
      </w:r>
      <w:r w:rsidRPr="002C0C4D">
        <w:rPr>
          <w:rFonts w:ascii="Arial" w:hAnsi="Arial" w:cs="Arial"/>
          <w:sz w:val="22"/>
        </w:rPr>
        <w:t>ook</w:t>
      </w:r>
      <w:proofErr w:type="spellEnd"/>
      <w:r w:rsidRPr="002C0C4D">
        <w:rPr>
          <w:rFonts w:ascii="Arial" w:hAnsi="Arial" w:cs="Arial"/>
          <w:sz w:val="22"/>
        </w:rPr>
        <w:t xml:space="preserve"> from 2018 to 2020 </w:t>
      </w:r>
    </w:p>
    <w:tbl>
      <w:tblPr>
        <w:tblStyle w:val="GridTable4-Accent4"/>
        <w:tblW w:w="7755" w:type="dxa"/>
        <w:tblLook w:val="04A0" w:firstRow="1" w:lastRow="0" w:firstColumn="1" w:lastColumn="0" w:noHBand="0" w:noVBand="1"/>
      </w:tblPr>
      <w:tblGrid>
        <w:gridCol w:w="3186"/>
        <w:gridCol w:w="1374"/>
        <w:gridCol w:w="1821"/>
        <w:gridCol w:w="1374"/>
      </w:tblGrid>
      <w:tr w:rsidR="001426A9" w:rsidRPr="00CE7EB9" w14:paraId="508F2FE9" w14:textId="77777777" w:rsidTr="002C0395">
        <w:trPr>
          <w:cnfStyle w:val="100000000000" w:firstRow="1" w:lastRow="0" w:firstColumn="0" w:lastColumn="0" w:oddVBand="0" w:evenVBand="0" w:oddHBand="0" w:evenHBand="0" w:firstRowFirstColumn="0" w:firstRowLastColumn="0" w:lastRowFirstColumn="0" w:lastRowLastColumn="0"/>
          <w:trHeight w:val="208"/>
        </w:trPr>
        <w:tc>
          <w:tcPr>
            <w:cnfStyle w:val="001000000000" w:firstRow="0" w:lastRow="0" w:firstColumn="1" w:lastColumn="0" w:oddVBand="0" w:evenVBand="0" w:oddHBand="0" w:evenHBand="0" w:firstRowFirstColumn="0" w:firstRowLastColumn="0" w:lastRowFirstColumn="0" w:lastRowLastColumn="0"/>
            <w:tcW w:w="3186" w:type="dxa"/>
            <w:noWrap/>
          </w:tcPr>
          <w:p w14:paraId="66A7F399" w14:textId="77777777" w:rsidR="001426A9" w:rsidRPr="00CE7EB9" w:rsidRDefault="001426A9" w:rsidP="001426A9">
            <w:pPr>
              <w:widowControl/>
              <w:rPr>
                <w:rFonts w:ascii="Calibri" w:eastAsia="Times New Roman" w:hAnsi="Calibri" w:cs="Times New Roman"/>
                <w:b w:val="0"/>
                <w:bCs w:val="0"/>
                <w:color w:val="000000"/>
                <w:kern w:val="0"/>
                <w:sz w:val="22"/>
              </w:rPr>
            </w:pPr>
          </w:p>
        </w:tc>
        <w:tc>
          <w:tcPr>
            <w:tcW w:w="1374" w:type="dxa"/>
            <w:noWrap/>
          </w:tcPr>
          <w:p w14:paraId="54391EC1" w14:textId="7099D173" w:rsidR="001426A9" w:rsidRPr="00CE7EB9" w:rsidRDefault="001426A9" w:rsidP="001426A9">
            <w:pPr>
              <w:widowControl/>
              <w:jc w:val="right"/>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b w:val="0"/>
                <w:bCs w:val="0"/>
                <w:color w:val="000000"/>
                <w:kern w:val="0"/>
                <w:sz w:val="22"/>
              </w:rPr>
            </w:pPr>
            <w:r w:rsidRPr="00CE7EB9">
              <w:rPr>
                <w:rFonts w:ascii="Calibri" w:eastAsia="Times New Roman" w:hAnsi="Calibri" w:cs="Times New Roman"/>
                <w:b w:val="0"/>
                <w:bCs w:val="0"/>
                <w:color w:val="000000"/>
                <w:kern w:val="0"/>
                <w:sz w:val="22"/>
              </w:rPr>
              <w:t>2020</w:t>
            </w:r>
            <w:r w:rsidR="002C0395" w:rsidRPr="00CE7EB9">
              <w:rPr>
                <w:rFonts w:ascii="Calibri" w:eastAsia="Times New Roman" w:hAnsi="Calibri" w:cs="Times New Roman"/>
                <w:b w:val="0"/>
                <w:bCs w:val="0"/>
                <w:color w:val="000000"/>
                <w:kern w:val="0"/>
                <w:sz w:val="22"/>
              </w:rPr>
              <w:t>/21</w:t>
            </w:r>
          </w:p>
        </w:tc>
        <w:tc>
          <w:tcPr>
            <w:tcW w:w="1821" w:type="dxa"/>
            <w:noWrap/>
          </w:tcPr>
          <w:p w14:paraId="2E5DBAB7" w14:textId="6AA7A49C" w:rsidR="001426A9" w:rsidRPr="00CE7EB9" w:rsidRDefault="001426A9" w:rsidP="001426A9">
            <w:pPr>
              <w:widowControl/>
              <w:jc w:val="right"/>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b w:val="0"/>
                <w:bCs w:val="0"/>
                <w:color w:val="000000"/>
                <w:kern w:val="0"/>
                <w:sz w:val="22"/>
              </w:rPr>
            </w:pPr>
            <w:r w:rsidRPr="00CE7EB9">
              <w:rPr>
                <w:rFonts w:ascii="Calibri" w:eastAsia="Times New Roman" w:hAnsi="Calibri" w:cs="Times New Roman"/>
                <w:b w:val="0"/>
                <w:bCs w:val="0"/>
                <w:color w:val="000000"/>
                <w:kern w:val="0"/>
                <w:sz w:val="22"/>
              </w:rPr>
              <w:t>2019</w:t>
            </w:r>
            <w:r w:rsidR="002C0395" w:rsidRPr="00CE7EB9">
              <w:rPr>
                <w:rFonts w:ascii="Calibri" w:eastAsia="Times New Roman" w:hAnsi="Calibri" w:cs="Times New Roman"/>
                <w:b w:val="0"/>
                <w:bCs w:val="0"/>
                <w:color w:val="000000"/>
                <w:kern w:val="0"/>
                <w:sz w:val="22"/>
              </w:rPr>
              <w:t>/20</w:t>
            </w:r>
          </w:p>
        </w:tc>
        <w:tc>
          <w:tcPr>
            <w:tcW w:w="1374" w:type="dxa"/>
            <w:noWrap/>
          </w:tcPr>
          <w:p w14:paraId="5CD0C7D5" w14:textId="26ADDF57" w:rsidR="001426A9" w:rsidRPr="00CE7EB9" w:rsidRDefault="001426A9" w:rsidP="001426A9">
            <w:pPr>
              <w:widowControl/>
              <w:jc w:val="right"/>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b w:val="0"/>
                <w:bCs w:val="0"/>
                <w:color w:val="000000"/>
                <w:kern w:val="0"/>
                <w:sz w:val="22"/>
              </w:rPr>
            </w:pPr>
            <w:r w:rsidRPr="00CE7EB9">
              <w:rPr>
                <w:rFonts w:ascii="Calibri" w:eastAsia="Times New Roman" w:hAnsi="Calibri" w:cs="Times New Roman"/>
                <w:b w:val="0"/>
                <w:bCs w:val="0"/>
                <w:color w:val="000000"/>
                <w:kern w:val="0"/>
                <w:sz w:val="22"/>
              </w:rPr>
              <w:t>2018</w:t>
            </w:r>
            <w:r w:rsidR="002C0395" w:rsidRPr="00CE7EB9">
              <w:rPr>
                <w:rFonts w:ascii="Calibri" w:eastAsia="Times New Roman" w:hAnsi="Calibri" w:cs="Times New Roman"/>
                <w:b w:val="0"/>
                <w:bCs w:val="0"/>
                <w:color w:val="000000"/>
                <w:kern w:val="0"/>
                <w:sz w:val="22"/>
              </w:rPr>
              <w:t>/19</w:t>
            </w:r>
          </w:p>
        </w:tc>
      </w:tr>
      <w:tr w:rsidR="00EF51D8" w:rsidRPr="00CE7EB9" w14:paraId="2984911D" w14:textId="77777777" w:rsidTr="002C0395">
        <w:trPr>
          <w:cnfStyle w:val="000000100000" w:firstRow="0" w:lastRow="0" w:firstColumn="0" w:lastColumn="0" w:oddVBand="0" w:evenVBand="0" w:oddHBand="1" w:evenHBand="0" w:firstRowFirstColumn="0" w:firstRowLastColumn="0" w:lastRowFirstColumn="0" w:lastRowLastColumn="0"/>
          <w:trHeight w:val="208"/>
        </w:trPr>
        <w:tc>
          <w:tcPr>
            <w:cnfStyle w:val="001000000000" w:firstRow="0" w:lastRow="0" w:firstColumn="1" w:lastColumn="0" w:oddVBand="0" w:evenVBand="0" w:oddHBand="0" w:evenHBand="0" w:firstRowFirstColumn="0" w:firstRowLastColumn="0" w:lastRowFirstColumn="0" w:lastRowLastColumn="0"/>
            <w:tcW w:w="3186" w:type="dxa"/>
            <w:noWrap/>
            <w:hideMark/>
          </w:tcPr>
          <w:p w14:paraId="4A5FDCC6" w14:textId="3E6EAD6D" w:rsidR="00EF51D8" w:rsidRPr="00CE7EB9" w:rsidRDefault="00EF51D8" w:rsidP="00EF51D8">
            <w:pPr>
              <w:widowControl/>
              <w:rPr>
                <w:rFonts w:ascii="Calibri" w:eastAsia="Times New Roman" w:hAnsi="Calibri" w:cs="Times New Roman"/>
                <w:b w:val="0"/>
                <w:bCs w:val="0"/>
                <w:color w:val="000000"/>
                <w:kern w:val="0"/>
                <w:sz w:val="22"/>
              </w:rPr>
            </w:pPr>
            <w:r w:rsidRPr="00CE7EB9">
              <w:rPr>
                <w:rFonts w:ascii="Calibri" w:hAnsi="Calibri" w:cs="Calibri"/>
                <w:b w:val="0"/>
                <w:bCs w:val="0"/>
                <w:color w:val="000000"/>
                <w:sz w:val="22"/>
              </w:rPr>
              <w:t>Return on Assets (ROA after tax)</w:t>
            </w:r>
          </w:p>
        </w:tc>
        <w:tc>
          <w:tcPr>
            <w:tcW w:w="1374" w:type="dxa"/>
            <w:noWrap/>
            <w:hideMark/>
          </w:tcPr>
          <w:p w14:paraId="5AA5737E" w14:textId="1481E2B2" w:rsidR="00EF51D8" w:rsidRPr="00CE7EB9" w:rsidRDefault="00EF51D8" w:rsidP="00EF51D8">
            <w:pPr>
              <w:widowControl/>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kern w:val="0"/>
                <w:sz w:val="22"/>
              </w:rPr>
            </w:pPr>
            <w:r w:rsidRPr="00CE7EB9">
              <w:rPr>
                <w:rFonts w:ascii="Calibri" w:hAnsi="Calibri" w:cs="Calibri"/>
                <w:color w:val="000000"/>
                <w:sz w:val="22"/>
              </w:rPr>
              <w:t>7%</w:t>
            </w:r>
          </w:p>
        </w:tc>
        <w:tc>
          <w:tcPr>
            <w:tcW w:w="1821" w:type="dxa"/>
            <w:noWrap/>
            <w:hideMark/>
          </w:tcPr>
          <w:p w14:paraId="184C8144" w14:textId="6B8E9318" w:rsidR="00EF51D8" w:rsidRPr="00CE7EB9" w:rsidRDefault="00EF51D8" w:rsidP="00EF51D8">
            <w:pPr>
              <w:widowControl/>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kern w:val="0"/>
                <w:sz w:val="22"/>
              </w:rPr>
            </w:pPr>
            <w:r w:rsidRPr="00CE7EB9">
              <w:rPr>
                <w:rFonts w:ascii="Calibri" w:hAnsi="Calibri" w:cs="Calibri"/>
                <w:color w:val="000000"/>
                <w:sz w:val="22"/>
              </w:rPr>
              <w:t>6%</w:t>
            </w:r>
          </w:p>
        </w:tc>
        <w:tc>
          <w:tcPr>
            <w:tcW w:w="1374" w:type="dxa"/>
            <w:noWrap/>
            <w:hideMark/>
          </w:tcPr>
          <w:p w14:paraId="4A07D509" w14:textId="46D8AE28" w:rsidR="00EF51D8" w:rsidRPr="00CE7EB9" w:rsidRDefault="00EF51D8" w:rsidP="00EF51D8">
            <w:pPr>
              <w:widowControl/>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kern w:val="0"/>
                <w:sz w:val="22"/>
              </w:rPr>
            </w:pPr>
            <w:r w:rsidRPr="00CE7EB9">
              <w:rPr>
                <w:rFonts w:ascii="Calibri" w:hAnsi="Calibri" w:cs="Calibri"/>
                <w:color w:val="000000"/>
                <w:sz w:val="22"/>
              </w:rPr>
              <w:t>10%</w:t>
            </w:r>
          </w:p>
        </w:tc>
      </w:tr>
      <w:tr w:rsidR="00EF51D8" w:rsidRPr="00CE7EB9" w14:paraId="20EB2EAC" w14:textId="77777777" w:rsidTr="002C0395">
        <w:trPr>
          <w:trHeight w:val="208"/>
        </w:trPr>
        <w:tc>
          <w:tcPr>
            <w:cnfStyle w:val="001000000000" w:firstRow="0" w:lastRow="0" w:firstColumn="1" w:lastColumn="0" w:oddVBand="0" w:evenVBand="0" w:oddHBand="0" w:evenHBand="0" w:firstRowFirstColumn="0" w:firstRowLastColumn="0" w:lastRowFirstColumn="0" w:lastRowLastColumn="0"/>
            <w:tcW w:w="3186" w:type="dxa"/>
            <w:noWrap/>
            <w:hideMark/>
          </w:tcPr>
          <w:p w14:paraId="5DBFCD04" w14:textId="2882F9B6" w:rsidR="00EF51D8" w:rsidRPr="00CE7EB9" w:rsidRDefault="00EF51D8" w:rsidP="00EF51D8">
            <w:pPr>
              <w:widowControl/>
              <w:rPr>
                <w:rFonts w:ascii="Calibri" w:eastAsia="Times New Roman" w:hAnsi="Calibri" w:cs="Times New Roman"/>
                <w:b w:val="0"/>
                <w:bCs w:val="0"/>
                <w:color w:val="000000"/>
                <w:kern w:val="0"/>
                <w:sz w:val="22"/>
              </w:rPr>
            </w:pPr>
            <w:r w:rsidRPr="00CE7EB9">
              <w:rPr>
                <w:rFonts w:ascii="Calibri" w:hAnsi="Calibri" w:cs="Calibri"/>
                <w:b w:val="0"/>
                <w:bCs w:val="0"/>
                <w:color w:val="000000"/>
                <w:sz w:val="22"/>
              </w:rPr>
              <w:t>Return on Equity (ROE after tax)</w:t>
            </w:r>
          </w:p>
        </w:tc>
        <w:tc>
          <w:tcPr>
            <w:tcW w:w="1374" w:type="dxa"/>
            <w:noWrap/>
            <w:hideMark/>
          </w:tcPr>
          <w:p w14:paraId="2228F73C" w14:textId="30F02762" w:rsidR="00EF51D8" w:rsidRPr="00CE7EB9" w:rsidRDefault="00EF51D8" w:rsidP="00EF51D8">
            <w:pPr>
              <w:widowControl/>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kern w:val="0"/>
                <w:sz w:val="22"/>
              </w:rPr>
            </w:pPr>
            <w:r w:rsidRPr="00CE7EB9">
              <w:rPr>
                <w:rFonts w:ascii="Calibri" w:hAnsi="Calibri" w:cs="Calibri"/>
                <w:color w:val="000000"/>
                <w:sz w:val="22"/>
              </w:rPr>
              <w:t>9%</w:t>
            </w:r>
          </w:p>
        </w:tc>
        <w:tc>
          <w:tcPr>
            <w:tcW w:w="1821" w:type="dxa"/>
            <w:noWrap/>
            <w:hideMark/>
          </w:tcPr>
          <w:p w14:paraId="18A1780A" w14:textId="5A642087" w:rsidR="00EF51D8" w:rsidRPr="00CE7EB9" w:rsidRDefault="00EF51D8" w:rsidP="00EF51D8">
            <w:pPr>
              <w:widowControl/>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kern w:val="0"/>
                <w:sz w:val="22"/>
              </w:rPr>
            </w:pPr>
            <w:r w:rsidRPr="00CE7EB9">
              <w:rPr>
                <w:rFonts w:ascii="Calibri" w:hAnsi="Calibri" w:cs="Calibri"/>
                <w:color w:val="000000"/>
                <w:sz w:val="22"/>
              </w:rPr>
              <w:t>8%</w:t>
            </w:r>
          </w:p>
        </w:tc>
        <w:tc>
          <w:tcPr>
            <w:tcW w:w="1374" w:type="dxa"/>
            <w:noWrap/>
            <w:hideMark/>
          </w:tcPr>
          <w:p w14:paraId="0586D6CD" w14:textId="23E3AE37" w:rsidR="00EF51D8" w:rsidRPr="00CE7EB9" w:rsidRDefault="00EF51D8" w:rsidP="00EF51D8">
            <w:pPr>
              <w:widowControl/>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kern w:val="0"/>
                <w:sz w:val="22"/>
              </w:rPr>
            </w:pPr>
            <w:r w:rsidRPr="00CE7EB9">
              <w:rPr>
                <w:rFonts w:ascii="Calibri" w:hAnsi="Calibri" w:cs="Calibri"/>
                <w:color w:val="000000"/>
                <w:sz w:val="22"/>
              </w:rPr>
              <w:t>14%</w:t>
            </w:r>
          </w:p>
        </w:tc>
      </w:tr>
    </w:tbl>
    <w:p w14:paraId="7BC3FE2E" w14:textId="1CF96D09" w:rsidR="006F21AD" w:rsidRPr="002C0C4D" w:rsidRDefault="006F21AD" w:rsidP="006F21AD">
      <w:pPr>
        <w:spacing w:line="360" w:lineRule="auto"/>
        <w:rPr>
          <w:rFonts w:ascii="Arial" w:hAnsi="Arial" w:cs="Arial"/>
          <w:sz w:val="20"/>
          <w:szCs w:val="20"/>
        </w:rPr>
      </w:pPr>
      <w:r w:rsidRPr="002C0C4D">
        <w:rPr>
          <w:rFonts w:ascii="Arial" w:hAnsi="Arial" w:cs="Arial"/>
          <w:i/>
          <w:iCs/>
          <w:sz w:val="22"/>
        </w:rPr>
        <w:t xml:space="preserve">Source: </w:t>
      </w:r>
      <w:proofErr w:type="spellStart"/>
      <w:r w:rsidRPr="002C0C4D">
        <w:rPr>
          <w:rFonts w:ascii="Arial" w:hAnsi="Arial" w:cs="Arial"/>
          <w:i/>
          <w:iCs/>
          <w:sz w:val="20"/>
          <w:szCs w:val="20"/>
        </w:rPr>
        <w:t>Luk</w:t>
      </w:r>
      <w:proofErr w:type="spellEnd"/>
      <w:r w:rsidRPr="002C0C4D">
        <w:rPr>
          <w:rFonts w:ascii="Arial" w:hAnsi="Arial" w:cs="Arial"/>
          <w:i/>
          <w:iCs/>
          <w:sz w:val="20"/>
          <w:szCs w:val="20"/>
        </w:rPr>
        <w:t xml:space="preserve"> Fook Holdings (International) Limited (</w:t>
      </w:r>
      <w:r w:rsidR="00241F47">
        <w:rPr>
          <w:rFonts w:ascii="Arial" w:hAnsi="Arial" w:cs="Arial"/>
          <w:i/>
          <w:iCs/>
          <w:sz w:val="20"/>
          <w:szCs w:val="20"/>
        </w:rPr>
        <w:t>2019;2020;2021</w:t>
      </w:r>
      <w:r w:rsidRPr="002C0C4D">
        <w:rPr>
          <w:rFonts w:ascii="Arial" w:hAnsi="Arial" w:cs="Arial"/>
          <w:i/>
          <w:iCs/>
          <w:sz w:val="20"/>
          <w:szCs w:val="20"/>
        </w:rPr>
        <w:t>)</w:t>
      </w:r>
    </w:p>
    <w:p w14:paraId="63694C33" w14:textId="28FB279E" w:rsidR="00213F7D" w:rsidRPr="00CE7EB9" w:rsidRDefault="00213F7D" w:rsidP="0049372B">
      <w:pPr>
        <w:spacing w:line="360" w:lineRule="auto"/>
        <w:rPr>
          <w:rFonts w:ascii="Arial" w:hAnsi="Arial" w:cs="Arial"/>
          <w:szCs w:val="24"/>
        </w:rPr>
      </w:pPr>
    </w:p>
    <w:p w14:paraId="7CF4E3B4" w14:textId="5CA7B920" w:rsidR="00213F7D" w:rsidRPr="002C0C4D" w:rsidRDefault="00FB0961" w:rsidP="0049372B">
      <w:pPr>
        <w:spacing w:line="360" w:lineRule="auto"/>
        <w:rPr>
          <w:rFonts w:ascii="Arial" w:hAnsi="Arial" w:cs="Arial"/>
          <w:i/>
          <w:iCs/>
          <w:szCs w:val="24"/>
        </w:rPr>
      </w:pPr>
      <w:r w:rsidRPr="002C0C4D">
        <w:rPr>
          <w:rFonts w:ascii="Arial" w:hAnsi="Arial" w:cs="Arial"/>
          <w:i/>
          <w:iCs/>
          <w:szCs w:val="24"/>
        </w:rPr>
        <w:t>3</w:t>
      </w:r>
      <w:r w:rsidR="00213F7D" w:rsidRPr="002C0C4D">
        <w:rPr>
          <w:rFonts w:ascii="Arial" w:hAnsi="Arial" w:cs="Arial"/>
          <w:i/>
          <w:iCs/>
          <w:szCs w:val="24"/>
        </w:rPr>
        <w:t xml:space="preserve">.1 </w:t>
      </w:r>
      <w:r w:rsidRPr="002C0C4D">
        <w:rPr>
          <w:rFonts w:ascii="Arial" w:hAnsi="Arial" w:cs="Arial"/>
          <w:i/>
          <w:iCs/>
          <w:szCs w:val="24"/>
        </w:rPr>
        <w:t>Corporate Structure</w:t>
      </w:r>
    </w:p>
    <w:p w14:paraId="1A108932" w14:textId="2975EA6D" w:rsidR="000A1CA1" w:rsidRPr="00CE7EB9" w:rsidRDefault="000A1CA1" w:rsidP="0049372B">
      <w:pPr>
        <w:spacing w:line="360" w:lineRule="auto"/>
        <w:rPr>
          <w:rFonts w:ascii="Arial" w:hAnsi="Arial" w:cs="Arial"/>
          <w:szCs w:val="24"/>
        </w:rPr>
      </w:pPr>
      <w:r w:rsidRPr="00CE7EB9">
        <w:rPr>
          <w:rFonts w:ascii="Arial" w:hAnsi="Arial" w:cs="Arial"/>
          <w:szCs w:val="24"/>
        </w:rPr>
        <w:t>The Group is led</w:t>
      </w:r>
      <w:r w:rsidR="00651304" w:rsidRPr="00CE7EB9">
        <w:rPr>
          <w:rFonts w:ascii="Arial" w:hAnsi="Arial" w:cs="Arial"/>
          <w:szCs w:val="24"/>
        </w:rPr>
        <w:t xml:space="preserve"> by a </w:t>
      </w:r>
      <w:proofErr w:type="gramStart"/>
      <w:r w:rsidR="00651304" w:rsidRPr="00CE7EB9">
        <w:rPr>
          <w:rFonts w:ascii="Arial" w:hAnsi="Arial" w:cs="Arial"/>
          <w:szCs w:val="24"/>
        </w:rPr>
        <w:t>Chairman</w:t>
      </w:r>
      <w:proofErr w:type="gramEnd"/>
      <w:r w:rsidR="00651304" w:rsidRPr="00CE7EB9">
        <w:rPr>
          <w:rFonts w:ascii="Arial" w:hAnsi="Arial" w:cs="Arial"/>
          <w:szCs w:val="24"/>
        </w:rPr>
        <w:t xml:space="preserve"> who oversees the Board</w:t>
      </w:r>
      <w:r w:rsidRPr="00CE7EB9">
        <w:rPr>
          <w:rFonts w:ascii="Arial" w:hAnsi="Arial" w:cs="Arial"/>
          <w:szCs w:val="24"/>
        </w:rPr>
        <w:t xml:space="preserve"> of Directors</w:t>
      </w:r>
      <w:r w:rsidR="00651304" w:rsidRPr="00CE7EB9">
        <w:rPr>
          <w:rFonts w:ascii="Arial" w:hAnsi="Arial" w:cs="Arial"/>
          <w:szCs w:val="24"/>
        </w:rPr>
        <w:t xml:space="preserve"> in setting strategic directions and </w:t>
      </w:r>
      <w:r w:rsidR="00C14C73" w:rsidRPr="00CE7EB9">
        <w:rPr>
          <w:rFonts w:ascii="Arial" w:hAnsi="Arial" w:cs="Arial"/>
          <w:szCs w:val="24"/>
        </w:rPr>
        <w:t>risk management</w:t>
      </w:r>
      <w:r w:rsidR="00076349" w:rsidRPr="00CE7EB9">
        <w:rPr>
          <w:rFonts w:ascii="Arial" w:hAnsi="Arial" w:cs="Arial"/>
          <w:szCs w:val="24"/>
        </w:rPr>
        <w:t>. T</w:t>
      </w:r>
      <w:r w:rsidRPr="00CE7EB9">
        <w:rPr>
          <w:rFonts w:ascii="Arial" w:hAnsi="Arial" w:cs="Arial"/>
          <w:szCs w:val="24"/>
        </w:rPr>
        <w:t xml:space="preserve">he management team </w:t>
      </w:r>
      <w:r w:rsidR="00607CC6" w:rsidRPr="00CE7EB9">
        <w:rPr>
          <w:rFonts w:ascii="Arial" w:hAnsi="Arial" w:cs="Arial"/>
          <w:szCs w:val="24"/>
        </w:rPr>
        <w:t xml:space="preserve">and the </w:t>
      </w:r>
      <w:r w:rsidR="008E5581" w:rsidRPr="00CE7EB9">
        <w:rPr>
          <w:rFonts w:ascii="Arial" w:hAnsi="Arial" w:cs="Arial"/>
          <w:szCs w:val="24"/>
        </w:rPr>
        <w:t>four distinctive committees</w:t>
      </w:r>
      <w:r w:rsidR="00607CC6" w:rsidRPr="00CE7EB9">
        <w:rPr>
          <w:rFonts w:ascii="Arial" w:hAnsi="Arial" w:cs="Arial"/>
          <w:szCs w:val="24"/>
        </w:rPr>
        <w:t xml:space="preserve"> </w:t>
      </w:r>
      <w:r w:rsidR="008E5581" w:rsidRPr="00CE7EB9">
        <w:rPr>
          <w:rFonts w:ascii="Arial" w:hAnsi="Arial" w:cs="Arial"/>
          <w:szCs w:val="24"/>
        </w:rPr>
        <w:t>governing risk management, audit, remuneration, and nomination</w:t>
      </w:r>
      <w:r w:rsidR="00957A35" w:rsidRPr="00CE7EB9">
        <w:rPr>
          <w:rFonts w:ascii="Arial" w:hAnsi="Arial" w:cs="Arial"/>
          <w:szCs w:val="24"/>
        </w:rPr>
        <w:t>, are</w:t>
      </w:r>
      <w:r w:rsidR="00607CC6" w:rsidRPr="00CE7EB9">
        <w:rPr>
          <w:rFonts w:ascii="Arial" w:hAnsi="Arial" w:cs="Arial"/>
          <w:szCs w:val="24"/>
        </w:rPr>
        <w:t xml:space="preserve"> supervised</w:t>
      </w:r>
      <w:r w:rsidR="00957A35" w:rsidRPr="00CE7EB9">
        <w:rPr>
          <w:rFonts w:ascii="Arial" w:hAnsi="Arial" w:cs="Arial"/>
          <w:szCs w:val="24"/>
        </w:rPr>
        <w:t xml:space="preserve"> under the Board of Directors. </w:t>
      </w:r>
      <w:r w:rsidR="00092066" w:rsidRPr="00CE7EB9">
        <w:rPr>
          <w:rFonts w:ascii="Arial" w:hAnsi="Arial" w:cs="Arial"/>
          <w:szCs w:val="24"/>
        </w:rPr>
        <w:br/>
      </w:r>
    </w:p>
    <w:p w14:paraId="0C018474" w14:textId="334129E1" w:rsidR="00971FDE" w:rsidRPr="00CE7EB9" w:rsidRDefault="00957A35" w:rsidP="0049372B">
      <w:pPr>
        <w:spacing w:line="360" w:lineRule="auto"/>
        <w:rPr>
          <w:rFonts w:ascii="Arial" w:hAnsi="Arial" w:cs="Arial"/>
          <w:szCs w:val="24"/>
        </w:rPr>
      </w:pPr>
      <w:r w:rsidRPr="00CE7EB9">
        <w:rPr>
          <w:rFonts w:ascii="Arial" w:hAnsi="Arial" w:cs="Arial"/>
          <w:szCs w:val="24"/>
        </w:rPr>
        <w:t>The</w:t>
      </w:r>
      <w:r w:rsidR="00092066" w:rsidRPr="00CE7EB9">
        <w:rPr>
          <w:rFonts w:ascii="Arial" w:hAnsi="Arial" w:cs="Arial"/>
          <w:szCs w:val="24"/>
        </w:rPr>
        <w:t xml:space="preserve"> Group has applied the principles and complied with all code provisions by the Corporate Governance Code and Corporate Governance Report. </w:t>
      </w:r>
      <w:r w:rsidRPr="00CE7EB9">
        <w:rPr>
          <w:rFonts w:ascii="Arial" w:hAnsi="Arial" w:cs="Arial"/>
          <w:szCs w:val="24"/>
        </w:rPr>
        <w:t>However, t</w:t>
      </w:r>
      <w:r w:rsidR="003566D6" w:rsidRPr="00CE7EB9">
        <w:rPr>
          <w:rFonts w:ascii="Arial" w:hAnsi="Arial" w:cs="Arial"/>
          <w:szCs w:val="24"/>
        </w:rPr>
        <w:t>here is one exception to the</w:t>
      </w:r>
      <w:r w:rsidR="00971FDE" w:rsidRPr="00CE7EB9">
        <w:rPr>
          <w:rFonts w:ascii="Arial" w:hAnsi="Arial" w:cs="Arial"/>
          <w:szCs w:val="24"/>
        </w:rPr>
        <w:t xml:space="preserve"> compliance</w:t>
      </w:r>
      <w:r w:rsidR="0000711D" w:rsidRPr="00CE7EB9">
        <w:rPr>
          <w:rFonts w:ascii="Arial" w:hAnsi="Arial" w:cs="Arial"/>
          <w:szCs w:val="24"/>
        </w:rPr>
        <w:t xml:space="preserve"> to the</w:t>
      </w:r>
      <w:r w:rsidR="00092066" w:rsidRPr="00CE7EB9">
        <w:rPr>
          <w:rFonts w:ascii="Arial" w:hAnsi="Arial" w:cs="Arial"/>
          <w:szCs w:val="24"/>
        </w:rPr>
        <w:t xml:space="preserve"> code provision A.2.1 (Hong Kong Exchanges and Clearing Limited, 2011)</w:t>
      </w:r>
      <w:r w:rsidR="003566D6" w:rsidRPr="00CE7EB9">
        <w:rPr>
          <w:rFonts w:ascii="Arial" w:hAnsi="Arial" w:cs="Arial"/>
          <w:szCs w:val="24"/>
        </w:rPr>
        <w:t xml:space="preserve">, that is the group shares the same </w:t>
      </w:r>
      <w:r w:rsidR="00C578E1" w:rsidRPr="00CE7EB9">
        <w:rPr>
          <w:rFonts w:ascii="Arial" w:hAnsi="Arial" w:cs="Arial"/>
          <w:szCs w:val="24"/>
        </w:rPr>
        <w:t>C</w:t>
      </w:r>
      <w:r w:rsidR="003566D6" w:rsidRPr="00CE7EB9">
        <w:rPr>
          <w:rFonts w:ascii="Arial" w:hAnsi="Arial" w:cs="Arial"/>
          <w:szCs w:val="24"/>
        </w:rPr>
        <w:t>ha</w:t>
      </w:r>
      <w:r w:rsidR="00C578E1" w:rsidRPr="00CE7EB9">
        <w:rPr>
          <w:rFonts w:ascii="Arial" w:hAnsi="Arial" w:cs="Arial"/>
          <w:szCs w:val="24"/>
        </w:rPr>
        <w:t>ir</w:t>
      </w:r>
      <w:r w:rsidR="003566D6" w:rsidRPr="00CE7EB9">
        <w:rPr>
          <w:rFonts w:ascii="Arial" w:hAnsi="Arial" w:cs="Arial"/>
          <w:szCs w:val="24"/>
        </w:rPr>
        <w:t xml:space="preserve">man and </w:t>
      </w:r>
      <w:r w:rsidR="00FB0961">
        <w:rPr>
          <w:rFonts w:ascii="Arial" w:hAnsi="Arial" w:cs="Arial"/>
          <w:szCs w:val="24"/>
        </w:rPr>
        <w:t>C</w:t>
      </w:r>
      <w:r w:rsidR="003566D6" w:rsidRPr="00CE7EB9">
        <w:rPr>
          <w:rFonts w:ascii="Arial" w:hAnsi="Arial" w:cs="Arial"/>
          <w:szCs w:val="24"/>
        </w:rPr>
        <w:t xml:space="preserve">hief </w:t>
      </w:r>
      <w:r w:rsidR="00FB0961">
        <w:rPr>
          <w:rFonts w:ascii="Arial" w:hAnsi="Arial" w:cs="Arial"/>
          <w:szCs w:val="24"/>
        </w:rPr>
        <w:t>E</w:t>
      </w:r>
      <w:r w:rsidR="003566D6" w:rsidRPr="00CE7EB9">
        <w:rPr>
          <w:rFonts w:ascii="Arial" w:hAnsi="Arial" w:cs="Arial"/>
          <w:szCs w:val="24"/>
        </w:rPr>
        <w:t>xecutive</w:t>
      </w:r>
      <w:r w:rsidR="00FB0961">
        <w:rPr>
          <w:rFonts w:ascii="Arial" w:hAnsi="Arial" w:cs="Arial"/>
          <w:szCs w:val="24"/>
        </w:rPr>
        <w:t xml:space="preserve"> Officer</w:t>
      </w:r>
      <w:r w:rsidR="003566D6" w:rsidRPr="00CE7EB9">
        <w:rPr>
          <w:rFonts w:ascii="Arial" w:hAnsi="Arial" w:cs="Arial"/>
          <w:szCs w:val="24"/>
        </w:rPr>
        <w:t>, Mr. WONG Wai Sheung. The Group explained that i</w:t>
      </w:r>
      <w:r w:rsidR="00362588" w:rsidRPr="00CE7EB9">
        <w:rPr>
          <w:rFonts w:ascii="Arial" w:hAnsi="Arial" w:cs="Arial"/>
          <w:szCs w:val="24"/>
        </w:rPr>
        <w:t xml:space="preserve">n view of the increasing trend of business deriving from the </w:t>
      </w:r>
      <w:proofErr w:type="gramStart"/>
      <w:r w:rsidR="00362588" w:rsidRPr="00CE7EB9">
        <w:rPr>
          <w:rFonts w:ascii="Arial" w:hAnsi="Arial" w:cs="Arial"/>
          <w:szCs w:val="24"/>
        </w:rPr>
        <w:t>Mainland</w:t>
      </w:r>
      <w:proofErr w:type="gramEnd"/>
      <w:r w:rsidR="00362588" w:rsidRPr="00CE7EB9">
        <w:rPr>
          <w:rFonts w:ascii="Arial" w:hAnsi="Arial" w:cs="Arial"/>
          <w:szCs w:val="24"/>
        </w:rPr>
        <w:t xml:space="preserve"> market, it is believed that Mr. WONG Wai Sheung being the Chairman and </w:t>
      </w:r>
      <w:r w:rsidR="00FB0961">
        <w:rPr>
          <w:rFonts w:ascii="Arial" w:hAnsi="Arial" w:cs="Arial"/>
          <w:szCs w:val="24"/>
        </w:rPr>
        <w:t>the CEO</w:t>
      </w:r>
      <w:r w:rsidR="00362588" w:rsidRPr="00CE7EB9">
        <w:rPr>
          <w:rFonts w:ascii="Arial" w:hAnsi="Arial" w:cs="Arial"/>
          <w:szCs w:val="24"/>
        </w:rPr>
        <w:t xml:space="preserve"> of the Company will further enhance the business development of the Group in the Mainland market due to its norms on “status parity” when future business negotiations are conducted in Mainland. </w:t>
      </w:r>
      <w:r w:rsidR="00E00FAC" w:rsidRPr="00CE7EB9">
        <w:rPr>
          <w:rFonts w:ascii="Arial" w:hAnsi="Arial" w:cs="Arial"/>
          <w:szCs w:val="24"/>
        </w:rPr>
        <w:t xml:space="preserve">On this subject, there has been debate on whether separation of the Chairman and CEO should be adopted by listed companies. Some believes that the separation increases the board’s independence from the management leading to better monitoring and oversight; other believes the ‘unity of command’ enabling clear lines of authority for effective management (Tonello, 2011). </w:t>
      </w:r>
      <w:hyperlink r:id="rId10" w:history="1">
        <w:proofErr w:type="spellStart"/>
        <w:r w:rsidR="00D83AFF" w:rsidRPr="00CE7EB9">
          <w:rPr>
            <w:rStyle w:val="surname"/>
            <w:rFonts w:ascii="Arial" w:hAnsi="Arial" w:cs="Arial"/>
            <w:szCs w:val="24"/>
            <w:shd w:val="clear" w:color="auto" w:fill="FFFFFF"/>
          </w:rPr>
          <w:t>Wijethilake</w:t>
        </w:r>
        <w:proofErr w:type="spellEnd"/>
        <w:r w:rsidR="00D83AFF" w:rsidRPr="00CE7EB9">
          <w:rPr>
            <w:rStyle w:val="Hyperlink"/>
            <w:rFonts w:ascii="Arial" w:hAnsi="Arial" w:cs="Arial"/>
            <w:color w:val="auto"/>
            <w:szCs w:val="24"/>
            <w:shd w:val="clear" w:color="auto" w:fill="FFFFFF"/>
          </w:rPr>
          <w:t> </w:t>
        </w:r>
      </w:hyperlink>
      <w:r w:rsidR="00D83AFF" w:rsidRPr="00CE7EB9">
        <w:rPr>
          <w:rFonts w:ascii="Arial" w:hAnsi="Arial" w:cs="Arial"/>
          <w:szCs w:val="24"/>
        </w:rPr>
        <w:t xml:space="preserve">and </w:t>
      </w:r>
      <w:r w:rsidR="00D83AFF" w:rsidRPr="00CE7EB9">
        <w:rPr>
          <w:rFonts w:ascii="Arial" w:hAnsi="Arial" w:cs="Arial"/>
          <w:szCs w:val="24"/>
        </w:rPr>
        <w:lastRenderedPageBreak/>
        <w:t xml:space="preserve">Ekanayake (2020) stated that </w:t>
      </w:r>
      <w:r w:rsidR="00D83AFF" w:rsidRPr="00CE7EB9">
        <w:rPr>
          <w:rFonts w:ascii="Arial" w:hAnsi="Arial" w:cs="Arial"/>
          <w:szCs w:val="24"/>
          <w:shd w:val="clear" w:color="auto" w:fill="FFFFFF"/>
        </w:rPr>
        <w:t>CEO duality exerts a negative effect on firm performance when the CEO is equipped with additional informal power. Conversely, CEO duality exhibits a positive effect on firm performance when board involvements are high</w:t>
      </w:r>
      <w:r w:rsidR="007419F3" w:rsidRPr="00CE7EB9">
        <w:rPr>
          <w:rFonts w:ascii="Arial" w:hAnsi="Arial" w:cs="Arial"/>
          <w:szCs w:val="24"/>
          <w:shd w:val="clear" w:color="auto" w:fill="FFFFFF"/>
        </w:rPr>
        <w:t xml:space="preserve">. However, </w:t>
      </w:r>
      <w:r w:rsidR="007419F3" w:rsidRPr="00CE7EB9">
        <w:rPr>
          <w:rFonts w:ascii="Arial" w:hAnsi="Arial" w:cs="Arial"/>
          <w:szCs w:val="24"/>
        </w:rPr>
        <w:t xml:space="preserve">Duru et al. (2016) argued that CEO duality has statistically significant negative impacts as duality might reduce firm performance through managerial entrenchment, it can provide benefits to the firm in the presence of board vigilance. There are also believes that the decision by the firm to appoint their CEOs as </w:t>
      </w:r>
      <w:r w:rsidR="00DA0E04" w:rsidRPr="00CE7EB9">
        <w:rPr>
          <w:rFonts w:ascii="Arial" w:hAnsi="Arial" w:cs="Arial"/>
          <w:szCs w:val="24"/>
        </w:rPr>
        <w:t>the Chairman</w:t>
      </w:r>
      <w:r w:rsidR="007419F3" w:rsidRPr="00CE7EB9">
        <w:rPr>
          <w:rFonts w:ascii="Arial" w:hAnsi="Arial" w:cs="Arial"/>
          <w:szCs w:val="24"/>
        </w:rPr>
        <w:t xml:space="preserve"> is determined by the firms’ operating environment and that there is no evidence to suggest the CEO-chairs use their dual power to detriment of shareholders (Ghosh et al., 2015). </w:t>
      </w:r>
      <w:r w:rsidR="00C578E1" w:rsidRPr="00CE7EB9">
        <w:rPr>
          <w:rFonts w:ascii="Arial" w:hAnsi="Arial" w:cs="Arial"/>
          <w:szCs w:val="24"/>
        </w:rPr>
        <w:t xml:space="preserve">As such, it is recommended that the Group should </w:t>
      </w:r>
      <w:r w:rsidR="00B514E1" w:rsidRPr="00CE7EB9">
        <w:rPr>
          <w:rFonts w:ascii="Arial" w:hAnsi="Arial" w:cs="Arial"/>
          <w:szCs w:val="24"/>
        </w:rPr>
        <w:t xml:space="preserve">regularly </w:t>
      </w:r>
      <w:r w:rsidR="00C578E1" w:rsidRPr="00CE7EB9">
        <w:rPr>
          <w:rFonts w:ascii="Arial" w:hAnsi="Arial" w:cs="Arial"/>
          <w:szCs w:val="24"/>
        </w:rPr>
        <w:t xml:space="preserve">review the dual role </w:t>
      </w:r>
      <w:r w:rsidR="00B514E1" w:rsidRPr="00CE7EB9">
        <w:rPr>
          <w:rFonts w:ascii="Arial" w:hAnsi="Arial" w:cs="Arial"/>
          <w:szCs w:val="24"/>
        </w:rPr>
        <w:t xml:space="preserve">and have an independent review on this </w:t>
      </w:r>
      <w:r w:rsidR="00A13F42" w:rsidRPr="00CE7EB9">
        <w:rPr>
          <w:rFonts w:ascii="Arial" w:hAnsi="Arial" w:cs="Arial"/>
          <w:szCs w:val="24"/>
        </w:rPr>
        <w:t>for the benefit of the Group.</w:t>
      </w:r>
    </w:p>
    <w:p w14:paraId="74807645" w14:textId="77777777" w:rsidR="00787BAA" w:rsidRPr="00CE7EB9" w:rsidRDefault="00787BAA" w:rsidP="006065E8">
      <w:pPr>
        <w:spacing w:line="360" w:lineRule="auto"/>
        <w:rPr>
          <w:rFonts w:ascii="Arial" w:hAnsi="Arial" w:cs="Arial"/>
          <w:szCs w:val="24"/>
        </w:rPr>
      </w:pPr>
    </w:p>
    <w:p w14:paraId="48A79240" w14:textId="305EAA0A" w:rsidR="00013FC4" w:rsidRPr="002C0C4D" w:rsidRDefault="00FB0961" w:rsidP="006065E8">
      <w:pPr>
        <w:spacing w:line="360" w:lineRule="auto"/>
        <w:rPr>
          <w:rFonts w:ascii="Arial" w:hAnsi="Arial" w:cs="Arial"/>
          <w:i/>
          <w:iCs/>
          <w:szCs w:val="24"/>
        </w:rPr>
      </w:pPr>
      <w:r w:rsidRPr="002C0C4D">
        <w:rPr>
          <w:rFonts w:ascii="Arial" w:hAnsi="Arial" w:cs="Arial"/>
          <w:i/>
          <w:iCs/>
          <w:szCs w:val="24"/>
        </w:rPr>
        <w:t>3</w:t>
      </w:r>
      <w:r w:rsidR="00787BAA" w:rsidRPr="002C0C4D">
        <w:rPr>
          <w:rFonts w:ascii="Arial" w:hAnsi="Arial" w:cs="Arial"/>
          <w:i/>
          <w:iCs/>
          <w:szCs w:val="24"/>
        </w:rPr>
        <w:t>.2 Committee</w:t>
      </w:r>
      <w:r w:rsidR="00487376" w:rsidRPr="002C0C4D">
        <w:rPr>
          <w:rFonts w:ascii="Arial" w:hAnsi="Arial" w:cs="Arial"/>
          <w:i/>
          <w:iCs/>
          <w:szCs w:val="24"/>
        </w:rPr>
        <w:t>s</w:t>
      </w:r>
    </w:p>
    <w:p w14:paraId="6B2564C0" w14:textId="799312D1" w:rsidR="00013FC4" w:rsidRPr="00CE7EB9" w:rsidRDefault="00013FC4" w:rsidP="00013FC4">
      <w:pPr>
        <w:spacing w:line="360" w:lineRule="auto"/>
        <w:rPr>
          <w:rFonts w:ascii="Arial" w:hAnsi="Arial" w:cs="Arial"/>
          <w:szCs w:val="24"/>
        </w:rPr>
      </w:pPr>
      <w:r w:rsidRPr="00CE7EB9">
        <w:rPr>
          <w:rFonts w:ascii="Arial" w:hAnsi="Arial" w:cs="Arial"/>
          <w:szCs w:val="24"/>
        </w:rPr>
        <w:t>With reference to the Financial Report (</w:t>
      </w:r>
      <w:proofErr w:type="spellStart"/>
      <w:r w:rsidRPr="00CE7EB9">
        <w:rPr>
          <w:rFonts w:ascii="Arial" w:hAnsi="Arial" w:cs="Arial"/>
          <w:szCs w:val="24"/>
        </w:rPr>
        <w:t>Luk</w:t>
      </w:r>
      <w:proofErr w:type="spellEnd"/>
      <w:r w:rsidRPr="00CE7EB9">
        <w:rPr>
          <w:rFonts w:ascii="Arial" w:hAnsi="Arial" w:cs="Arial"/>
          <w:szCs w:val="24"/>
        </w:rPr>
        <w:t xml:space="preserve"> Fook Holdings </w:t>
      </w:r>
      <w:r w:rsidR="00241F47">
        <w:rPr>
          <w:rFonts w:ascii="Arial" w:hAnsi="Arial" w:cs="Arial"/>
          <w:szCs w:val="24"/>
        </w:rPr>
        <w:t>(</w:t>
      </w:r>
      <w:r w:rsidRPr="00CE7EB9">
        <w:rPr>
          <w:rFonts w:ascii="Arial" w:hAnsi="Arial" w:cs="Arial"/>
          <w:szCs w:val="24"/>
        </w:rPr>
        <w:t>International</w:t>
      </w:r>
      <w:r w:rsidR="00241F47">
        <w:rPr>
          <w:rFonts w:ascii="Arial" w:hAnsi="Arial" w:cs="Arial"/>
          <w:szCs w:val="24"/>
        </w:rPr>
        <w:t>)</w:t>
      </w:r>
      <w:r w:rsidRPr="00CE7EB9">
        <w:rPr>
          <w:rFonts w:ascii="Arial" w:hAnsi="Arial" w:cs="Arial"/>
          <w:szCs w:val="24"/>
        </w:rPr>
        <w:t xml:space="preserve"> Limited, 202</w:t>
      </w:r>
      <w:r w:rsidR="00FB0961">
        <w:rPr>
          <w:rFonts w:ascii="Arial" w:hAnsi="Arial" w:cs="Arial"/>
          <w:szCs w:val="24"/>
        </w:rPr>
        <w:t>1</w:t>
      </w:r>
      <w:r w:rsidRPr="00CE7EB9">
        <w:rPr>
          <w:rFonts w:ascii="Arial" w:hAnsi="Arial" w:cs="Arial"/>
          <w:szCs w:val="24"/>
        </w:rPr>
        <w:t>), there were regular meetings for the Board of Directors and Committees. All Directors attended the meetings in 20</w:t>
      </w:r>
      <w:r w:rsidR="00FB0961">
        <w:rPr>
          <w:rFonts w:ascii="Arial" w:hAnsi="Arial" w:cs="Arial"/>
          <w:szCs w:val="24"/>
        </w:rPr>
        <w:t>20</w:t>
      </w:r>
      <w:r w:rsidRPr="00CE7EB9">
        <w:rPr>
          <w:rFonts w:ascii="Arial" w:hAnsi="Arial" w:cs="Arial"/>
          <w:szCs w:val="24"/>
        </w:rPr>
        <w:t>/202</w:t>
      </w:r>
      <w:r w:rsidR="00FB0961">
        <w:rPr>
          <w:rFonts w:ascii="Arial" w:hAnsi="Arial" w:cs="Arial"/>
          <w:szCs w:val="24"/>
        </w:rPr>
        <w:t>1</w:t>
      </w:r>
      <w:r w:rsidRPr="00CE7EB9">
        <w:rPr>
          <w:rFonts w:ascii="Arial" w:hAnsi="Arial" w:cs="Arial"/>
          <w:szCs w:val="24"/>
        </w:rPr>
        <w:t xml:space="preserve"> Financial Year. In addition, there was also ongoing development for the Directors with specific training on regulatory development, </w:t>
      </w:r>
      <w:r w:rsidR="00A13F42" w:rsidRPr="00CE7EB9">
        <w:rPr>
          <w:rFonts w:ascii="Arial" w:hAnsi="Arial" w:cs="Arial"/>
          <w:szCs w:val="24"/>
        </w:rPr>
        <w:t>director’s</w:t>
      </w:r>
      <w:r w:rsidRPr="00CE7EB9">
        <w:rPr>
          <w:rFonts w:ascii="Arial" w:hAnsi="Arial" w:cs="Arial"/>
          <w:szCs w:val="24"/>
        </w:rPr>
        <w:t xml:space="preserve"> profession or duties or other relevant topics. </w:t>
      </w:r>
      <w:r w:rsidR="00A13F42" w:rsidRPr="00CE7EB9">
        <w:rPr>
          <w:rFonts w:ascii="Arial" w:hAnsi="Arial" w:cs="Arial"/>
          <w:szCs w:val="24"/>
        </w:rPr>
        <w:t xml:space="preserve">Four </w:t>
      </w:r>
      <w:r w:rsidR="00FC0923" w:rsidRPr="00CE7EB9">
        <w:rPr>
          <w:rFonts w:ascii="Arial" w:hAnsi="Arial" w:cs="Arial"/>
          <w:szCs w:val="24"/>
        </w:rPr>
        <w:t xml:space="preserve">separate </w:t>
      </w:r>
      <w:r w:rsidR="00A13F42" w:rsidRPr="00CE7EB9">
        <w:rPr>
          <w:rFonts w:ascii="Arial" w:hAnsi="Arial" w:cs="Arial"/>
          <w:szCs w:val="24"/>
        </w:rPr>
        <w:t>committee</w:t>
      </w:r>
      <w:r w:rsidR="00FB0961">
        <w:rPr>
          <w:rFonts w:ascii="Arial" w:hAnsi="Arial" w:cs="Arial"/>
          <w:szCs w:val="24"/>
        </w:rPr>
        <w:t>s</w:t>
      </w:r>
      <w:r w:rsidR="00A13F42" w:rsidRPr="00CE7EB9">
        <w:rPr>
          <w:rFonts w:ascii="Arial" w:hAnsi="Arial" w:cs="Arial"/>
          <w:szCs w:val="24"/>
        </w:rPr>
        <w:t xml:space="preserve"> </w:t>
      </w:r>
      <w:r w:rsidR="00FC0923" w:rsidRPr="00CE7EB9">
        <w:rPr>
          <w:rFonts w:ascii="Arial" w:hAnsi="Arial" w:cs="Arial"/>
          <w:szCs w:val="24"/>
        </w:rPr>
        <w:t xml:space="preserve">work together and report to the Board of Directors. </w:t>
      </w:r>
    </w:p>
    <w:p w14:paraId="79025FE2" w14:textId="77777777" w:rsidR="00013FC4" w:rsidRPr="00CE7EB9" w:rsidRDefault="00013FC4" w:rsidP="006065E8">
      <w:pPr>
        <w:spacing w:line="360" w:lineRule="auto"/>
        <w:rPr>
          <w:rFonts w:ascii="Arial" w:hAnsi="Arial" w:cs="Arial"/>
          <w:szCs w:val="24"/>
        </w:rPr>
      </w:pPr>
    </w:p>
    <w:p w14:paraId="7323313F" w14:textId="74DC5BB5" w:rsidR="00487376" w:rsidRPr="00CE7EB9" w:rsidRDefault="001D212C" w:rsidP="006065E8">
      <w:pPr>
        <w:spacing w:line="360" w:lineRule="auto"/>
        <w:rPr>
          <w:rFonts w:ascii="Arial" w:hAnsi="Arial" w:cs="Arial"/>
          <w:szCs w:val="24"/>
        </w:rPr>
      </w:pPr>
      <w:r w:rsidRPr="00CE7EB9">
        <w:rPr>
          <w:rFonts w:ascii="Arial" w:hAnsi="Arial" w:cs="Arial"/>
          <w:szCs w:val="24"/>
        </w:rPr>
        <w:t xml:space="preserve">The Remuneration Committee is responsible for making recommendations to the Board on the Company’s policy, </w:t>
      </w:r>
      <w:r w:rsidR="00FC0923" w:rsidRPr="00CE7EB9">
        <w:rPr>
          <w:rFonts w:ascii="Arial" w:hAnsi="Arial" w:cs="Arial"/>
          <w:szCs w:val="24"/>
        </w:rPr>
        <w:t>structure,</w:t>
      </w:r>
      <w:r w:rsidRPr="00CE7EB9">
        <w:rPr>
          <w:rFonts w:ascii="Arial" w:hAnsi="Arial" w:cs="Arial"/>
          <w:szCs w:val="24"/>
        </w:rPr>
        <w:t xml:space="preserve"> and packages for all remuneration of directors, senior </w:t>
      </w:r>
      <w:proofErr w:type="gramStart"/>
      <w:r w:rsidRPr="00CE7EB9">
        <w:rPr>
          <w:rFonts w:ascii="Arial" w:hAnsi="Arial" w:cs="Arial"/>
          <w:szCs w:val="24"/>
        </w:rPr>
        <w:t>management</w:t>
      </w:r>
      <w:proofErr w:type="gramEnd"/>
      <w:r w:rsidRPr="00CE7EB9">
        <w:rPr>
          <w:rFonts w:ascii="Arial" w:hAnsi="Arial" w:cs="Arial"/>
          <w:szCs w:val="24"/>
        </w:rPr>
        <w:t xml:space="preserve"> and staff. The</w:t>
      </w:r>
      <w:r w:rsidR="00E17F80" w:rsidRPr="00CE7EB9">
        <w:rPr>
          <w:rFonts w:ascii="Arial" w:hAnsi="Arial" w:cs="Arial"/>
          <w:szCs w:val="24"/>
        </w:rPr>
        <w:t xml:space="preserve"> salary adjustment and discretionary bonus are usually recommended by the committee</w:t>
      </w:r>
      <w:r w:rsidR="002C35E7" w:rsidRPr="00CE7EB9">
        <w:rPr>
          <w:rFonts w:ascii="Arial" w:hAnsi="Arial" w:cs="Arial"/>
          <w:szCs w:val="24"/>
        </w:rPr>
        <w:t xml:space="preserve">; </w:t>
      </w:r>
      <w:r w:rsidR="00487376" w:rsidRPr="00CE7EB9">
        <w:rPr>
          <w:rFonts w:ascii="Arial" w:hAnsi="Arial" w:cs="Arial"/>
          <w:szCs w:val="24"/>
        </w:rPr>
        <w:t>The Audit Committee</w:t>
      </w:r>
      <w:r w:rsidR="00DB4D9F" w:rsidRPr="00CE7EB9">
        <w:rPr>
          <w:rFonts w:ascii="Arial" w:hAnsi="Arial" w:cs="Arial"/>
          <w:szCs w:val="24"/>
        </w:rPr>
        <w:t xml:space="preserve"> </w:t>
      </w:r>
      <w:r w:rsidR="00212458" w:rsidRPr="00CE7EB9">
        <w:rPr>
          <w:rFonts w:ascii="Arial" w:hAnsi="Arial" w:cs="Arial"/>
          <w:szCs w:val="24"/>
        </w:rPr>
        <w:t xml:space="preserve">was </w:t>
      </w:r>
      <w:r w:rsidR="00212458" w:rsidRPr="00CE7EB9">
        <w:rPr>
          <w:rFonts w:ascii="Arial" w:hAnsi="Arial" w:cs="Arial"/>
          <w:szCs w:val="24"/>
        </w:rPr>
        <w:lastRenderedPageBreak/>
        <w:t xml:space="preserve">responsible for </w:t>
      </w:r>
      <w:r w:rsidR="007C1668" w:rsidRPr="00CE7EB9">
        <w:rPr>
          <w:rFonts w:ascii="Arial" w:hAnsi="Arial" w:cs="Arial"/>
          <w:szCs w:val="24"/>
        </w:rPr>
        <w:t>reviewing the Group’s interim and annual financial statement, reviewing the internal audit programme</w:t>
      </w:r>
      <w:r w:rsidR="00750439" w:rsidRPr="00CE7EB9">
        <w:rPr>
          <w:rFonts w:ascii="Arial" w:hAnsi="Arial" w:cs="Arial"/>
          <w:szCs w:val="24"/>
        </w:rPr>
        <w:t xml:space="preserve">, financial control, internal </w:t>
      </w:r>
      <w:proofErr w:type="gramStart"/>
      <w:r w:rsidR="00750439" w:rsidRPr="00CE7EB9">
        <w:rPr>
          <w:rFonts w:ascii="Arial" w:hAnsi="Arial" w:cs="Arial"/>
          <w:szCs w:val="24"/>
        </w:rPr>
        <w:t>control</w:t>
      </w:r>
      <w:proofErr w:type="gramEnd"/>
      <w:r w:rsidR="00750439" w:rsidRPr="00CE7EB9">
        <w:rPr>
          <w:rFonts w:ascii="Arial" w:hAnsi="Arial" w:cs="Arial"/>
          <w:szCs w:val="24"/>
        </w:rPr>
        <w:t xml:space="preserve"> and risk management system, as well as the Company’s policies and practices. The Group </w:t>
      </w:r>
      <w:r w:rsidR="00B415A4" w:rsidRPr="00CE7EB9">
        <w:rPr>
          <w:rFonts w:ascii="Arial" w:hAnsi="Arial" w:cs="Arial"/>
          <w:szCs w:val="24"/>
        </w:rPr>
        <w:t>recognizes</w:t>
      </w:r>
      <w:r w:rsidR="00750439" w:rsidRPr="00CE7EB9">
        <w:rPr>
          <w:rFonts w:ascii="Arial" w:hAnsi="Arial" w:cs="Arial"/>
          <w:szCs w:val="24"/>
        </w:rPr>
        <w:t xml:space="preserve"> </w:t>
      </w:r>
      <w:r w:rsidR="00B415A4" w:rsidRPr="00CE7EB9">
        <w:rPr>
          <w:rFonts w:ascii="Arial" w:hAnsi="Arial" w:cs="Arial"/>
          <w:szCs w:val="24"/>
        </w:rPr>
        <w:t xml:space="preserve">the importance of external auditors as a </w:t>
      </w:r>
      <w:r w:rsidR="00FC0923" w:rsidRPr="00CE7EB9">
        <w:rPr>
          <w:rFonts w:ascii="Arial" w:hAnsi="Arial" w:cs="Arial"/>
          <w:szCs w:val="24"/>
        </w:rPr>
        <w:t>separate role of the management</w:t>
      </w:r>
      <w:r w:rsidR="00AD6A70" w:rsidRPr="00CE7EB9">
        <w:rPr>
          <w:rFonts w:ascii="Arial" w:hAnsi="Arial" w:cs="Arial"/>
          <w:szCs w:val="24"/>
        </w:rPr>
        <w:t>, who</w:t>
      </w:r>
      <w:r w:rsidR="00B415A4" w:rsidRPr="00CE7EB9">
        <w:rPr>
          <w:rFonts w:ascii="Arial" w:hAnsi="Arial" w:cs="Arial"/>
          <w:szCs w:val="24"/>
        </w:rPr>
        <w:t xml:space="preserve"> would select appropriate external auditors </w:t>
      </w:r>
      <w:r w:rsidR="0093497A" w:rsidRPr="00CE7EB9">
        <w:rPr>
          <w:rFonts w:ascii="Arial" w:hAnsi="Arial" w:cs="Arial"/>
          <w:szCs w:val="24"/>
        </w:rPr>
        <w:t xml:space="preserve">for auditing and attesting to the Group’s Financial statement, and the Audit committee would be overseeing the whole process. </w:t>
      </w:r>
      <w:r w:rsidR="00394067" w:rsidRPr="00CE7EB9">
        <w:rPr>
          <w:rFonts w:ascii="Arial" w:hAnsi="Arial" w:cs="Arial"/>
          <w:szCs w:val="24"/>
        </w:rPr>
        <w:t xml:space="preserve">There are regular audits that cover a wide range of aspects including the adequacy of resources, staff qualifications and experience, training </w:t>
      </w:r>
      <w:proofErr w:type="spellStart"/>
      <w:r w:rsidR="00FC0923" w:rsidRPr="00CE7EB9">
        <w:rPr>
          <w:rFonts w:ascii="Arial" w:hAnsi="Arial" w:cs="Arial"/>
          <w:szCs w:val="24"/>
        </w:rPr>
        <w:t>programmes</w:t>
      </w:r>
      <w:proofErr w:type="spellEnd"/>
      <w:r w:rsidR="00AD6A70" w:rsidRPr="00CE7EB9">
        <w:rPr>
          <w:rFonts w:ascii="Arial" w:hAnsi="Arial" w:cs="Arial"/>
          <w:szCs w:val="24"/>
        </w:rPr>
        <w:t xml:space="preserve"> or</w:t>
      </w:r>
      <w:r w:rsidR="00394067" w:rsidRPr="00CE7EB9">
        <w:rPr>
          <w:rFonts w:ascii="Arial" w:hAnsi="Arial" w:cs="Arial"/>
          <w:szCs w:val="24"/>
        </w:rPr>
        <w:t xml:space="preserve"> accounting.</w:t>
      </w:r>
    </w:p>
    <w:p w14:paraId="13EC515C" w14:textId="77777777" w:rsidR="0093497A" w:rsidRPr="00CE7EB9" w:rsidRDefault="0093497A" w:rsidP="006065E8">
      <w:pPr>
        <w:spacing w:line="360" w:lineRule="auto"/>
        <w:rPr>
          <w:rFonts w:ascii="Arial" w:hAnsi="Arial" w:cs="Arial"/>
          <w:szCs w:val="24"/>
        </w:rPr>
      </w:pPr>
    </w:p>
    <w:p w14:paraId="68690BD5" w14:textId="09F1DA60" w:rsidR="00290156" w:rsidRDefault="00234232" w:rsidP="00290156">
      <w:pPr>
        <w:spacing w:line="360" w:lineRule="auto"/>
        <w:rPr>
          <w:rFonts w:ascii="Arial" w:hAnsi="Arial" w:cs="Arial"/>
          <w:szCs w:val="24"/>
        </w:rPr>
      </w:pPr>
      <w:r w:rsidRPr="00CE7EB9">
        <w:rPr>
          <w:rFonts w:ascii="Arial" w:hAnsi="Arial" w:cs="Arial"/>
          <w:szCs w:val="24"/>
        </w:rPr>
        <w:t xml:space="preserve">A Nomination Committee was established </w:t>
      </w:r>
      <w:r w:rsidR="00134618" w:rsidRPr="00CE7EB9">
        <w:rPr>
          <w:rFonts w:ascii="Arial" w:hAnsi="Arial" w:cs="Arial"/>
          <w:szCs w:val="24"/>
        </w:rPr>
        <w:t xml:space="preserve">to make recommendation to the Board on the structure, </w:t>
      </w:r>
      <w:proofErr w:type="gramStart"/>
      <w:r w:rsidR="00134618" w:rsidRPr="00CE7EB9">
        <w:rPr>
          <w:rFonts w:ascii="Arial" w:hAnsi="Arial" w:cs="Arial"/>
          <w:szCs w:val="24"/>
        </w:rPr>
        <w:t>size</w:t>
      </w:r>
      <w:proofErr w:type="gramEnd"/>
      <w:r w:rsidR="00134618" w:rsidRPr="00CE7EB9">
        <w:rPr>
          <w:rFonts w:ascii="Arial" w:hAnsi="Arial" w:cs="Arial"/>
          <w:szCs w:val="24"/>
        </w:rPr>
        <w:t xml:space="preserve"> and composition of the Board, and to review the retirement and rotation plan of the directors. </w:t>
      </w:r>
      <w:r w:rsidR="0035748D" w:rsidRPr="00CE7EB9">
        <w:rPr>
          <w:rFonts w:ascii="Arial" w:hAnsi="Arial" w:cs="Arial"/>
          <w:szCs w:val="24"/>
        </w:rPr>
        <w:t xml:space="preserve">There is a Nomination Policy for appointing or reappointing the directors of the Company and </w:t>
      </w:r>
      <w:r w:rsidR="009B5F51" w:rsidRPr="00CE7EB9">
        <w:rPr>
          <w:rFonts w:ascii="Arial" w:hAnsi="Arial" w:cs="Arial"/>
          <w:szCs w:val="24"/>
        </w:rPr>
        <w:t xml:space="preserve">to assess the candidates based on several selection criteria set by the policy. This can ensure the quality of Board of Directors entering to the Board level. </w:t>
      </w:r>
      <w:r w:rsidR="00290156" w:rsidRPr="00CE7EB9">
        <w:rPr>
          <w:rFonts w:ascii="Arial" w:hAnsi="Arial" w:cs="Arial"/>
          <w:szCs w:val="24"/>
        </w:rPr>
        <w:t xml:space="preserve">There was a clear election record indicating the responsibility and delegation of the Board of Directors and there was no financial, business, </w:t>
      </w:r>
      <w:proofErr w:type="gramStart"/>
      <w:r w:rsidR="00290156" w:rsidRPr="00CE7EB9">
        <w:rPr>
          <w:rFonts w:ascii="Arial" w:hAnsi="Arial" w:cs="Arial"/>
          <w:szCs w:val="24"/>
        </w:rPr>
        <w:t>family</w:t>
      </w:r>
      <w:proofErr w:type="gramEnd"/>
      <w:r w:rsidR="00290156" w:rsidRPr="00CE7EB9">
        <w:rPr>
          <w:rFonts w:ascii="Arial" w:hAnsi="Arial" w:cs="Arial"/>
          <w:szCs w:val="24"/>
        </w:rPr>
        <w:t xml:space="preserve"> or other connected relationship between members of the Board, this is an important highlight to show the independence of the role for each Board member. The Group recognizes the necessity of diversity at the Board level thus a report of demographics of the Board member is listed in the Annual Report (</w:t>
      </w:r>
      <w:proofErr w:type="spellStart"/>
      <w:r w:rsidR="00290156" w:rsidRPr="00CE7EB9">
        <w:rPr>
          <w:rFonts w:ascii="Arial" w:hAnsi="Arial" w:cs="Arial"/>
          <w:szCs w:val="24"/>
        </w:rPr>
        <w:t>Luk</w:t>
      </w:r>
      <w:proofErr w:type="spellEnd"/>
      <w:r w:rsidR="00290156" w:rsidRPr="00CE7EB9">
        <w:rPr>
          <w:rFonts w:ascii="Arial" w:hAnsi="Arial" w:cs="Arial"/>
          <w:szCs w:val="24"/>
        </w:rPr>
        <w:t xml:space="preserve"> Fook Holdings</w:t>
      </w:r>
      <w:r w:rsidR="00FB0961">
        <w:rPr>
          <w:rFonts w:ascii="Arial" w:hAnsi="Arial" w:cs="Arial"/>
          <w:szCs w:val="24"/>
        </w:rPr>
        <w:t xml:space="preserve"> </w:t>
      </w:r>
      <w:r w:rsidR="00241F47">
        <w:rPr>
          <w:rFonts w:ascii="Arial" w:hAnsi="Arial" w:cs="Arial"/>
          <w:szCs w:val="24"/>
        </w:rPr>
        <w:t>(</w:t>
      </w:r>
      <w:r w:rsidR="00FB0961" w:rsidRPr="00CE7EB9">
        <w:rPr>
          <w:rFonts w:ascii="Arial" w:hAnsi="Arial" w:cs="Arial"/>
          <w:szCs w:val="24"/>
        </w:rPr>
        <w:t>International</w:t>
      </w:r>
      <w:r w:rsidR="00241F47">
        <w:rPr>
          <w:rFonts w:ascii="Arial" w:hAnsi="Arial" w:cs="Arial"/>
          <w:szCs w:val="24"/>
        </w:rPr>
        <w:t>)</w:t>
      </w:r>
      <w:r w:rsidR="00290156" w:rsidRPr="00CE7EB9">
        <w:rPr>
          <w:rFonts w:ascii="Arial" w:hAnsi="Arial" w:cs="Arial"/>
          <w:szCs w:val="24"/>
        </w:rPr>
        <w:t xml:space="preserve"> Limited, 202</w:t>
      </w:r>
      <w:r w:rsidR="00FB0961">
        <w:rPr>
          <w:rFonts w:ascii="Arial" w:hAnsi="Arial" w:cs="Arial"/>
          <w:szCs w:val="24"/>
        </w:rPr>
        <w:t>1</w:t>
      </w:r>
      <w:r w:rsidR="00290156" w:rsidRPr="00CE7EB9">
        <w:rPr>
          <w:rFonts w:ascii="Arial" w:hAnsi="Arial" w:cs="Arial"/>
          <w:szCs w:val="24"/>
        </w:rPr>
        <w:t>). The Board is composed of members with different professionals, including financial or other industries, public service, government bodies or charities.</w:t>
      </w:r>
      <w:r w:rsidR="008243C5" w:rsidRPr="00CE7EB9">
        <w:rPr>
          <w:rFonts w:ascii="Arial" w:hAnsi="Arial" w:cs="Arial"/>
          <w:szCs w:val="24"/>
        </w:rPr>
        <w:t xml:space="preserve"> However,</w:t>
      </w:r>
      <w:r w:rsidR="00290156" w:rsidRPr="00CE7EB9">
        <w:rPr>
          <w:rFonts w:ascii="Arial" w:hAnsi="Arial" w:cs="Arial"/>
          <w:szCs w:val="24"/>
        </w:rPr>
        <w:t xml:space="preserve"> </w:t>
      </w:r>
      <w:r w:rsidR="008243C5" w:rsidRPr="00CE7EB9">
        <w:rPr>
          <w:rFonts w:ascii="Arial" w:hAnsi="Arial" w:cs="Arial"/>
          <w:szCs w:val="24"/>
        </w:rPr>
        <w:t>i</w:t>
      </w:r>
      <w:r w:rsidR="000D4C8A" w:rsidRPr="00CE7EB9">
        <w:rPr>
          <w:rFonts w:ascii="Arial" w:hAnsi="Arial" w:cs="Arial"/>
          <w:szCs w:val="24"/>
        </w:rPr>
        <w:t xml:space="preserve">t is recommended that the Board should have a Board Diversity Policy </w:t>
      </w:r>
      <w:r w:rsidR="002202A4" w:rsidRPr="00CE7EB9">
        <w:rPr>
          <w:rFonts w:ascii="Arial" w:hAnsi="Arial" w:cs="Arial"/>
          <w:szCs w:val="24"/>
        </w:rPr>
        <w:t xml:space="preserve">ensuring the diversity of the </w:t>
      </w:r>
      <w:r w:rsidR="008243C5" w:rsidRPr="00CE7EB9">
        <w:rPr>
          <w:rFonts w:ascii="Arial" w:hAnsi="Arial" w:cs="Arial"/>
          <w:szCs w:val="24"/>
        </w:rPr>
        <w:t xml:space="preserve">Board is met and be </w:t>
      </w:r>
      <w:r w:rsidR="008243C5" w:rsidRPr="00CE7EB9">
        <w:rPr>
          <w:rFonts w:ascii="Arial" w:hAnsi="Arial" w:cs="Arial"/>
          <w:szCs w:val="24"/>
        </w:rPr>
        <w:lastRenderedPageBreak/>
        <w:t>consistent over the years (</w:t>
      </w:r>
      <w:r w:rsidR="00512122" w:rsidRPr="00CE7EB9">
        <w:rPr>
          <w:rFonts w:ascii="Arial" w:hAnsi="Arial" w:cs="Arial"/>
          <w:szCs w:val="24"/>
        </w:rPr>
        <w:t xml:space="preserve">HKEX, 2020). </w:t>
      </w:r>
    </w:p>
    <w:p w14:paraId="6ECCFDC9" w14:textId="77777777" w:rsidR="00FB0961" w:rsidRPr="00CE7EB9" w:rsidRDefault="00FB0961" w:rsidP="00290156">
      <w:pPr>
        <w:spacing w:line="360" w:lineRule="auto"/>
        <w:rPr>
          <w:rFonts w:ascii="Arial" w:hAnsi="Arial" w:cs="Arial"/>
          <w:szCs w:val="24"/>
        </w:rPr>
      </w:pPr>
    </w:p>
    <w:p w14:paraId="29C25B0B" w14:textId="77777777" w:rsidR="00FC0923" w:rsidRPr="00CE7EB9" w:rsidRDefault="00FC0923" w:rsidP="0049372B">
      <w:pPr>
        <w:spacing w:line="360" w:lineRule="auto"/>
        <w:rPr>
          <w:rFonts w:ascii="Arial" w:hAnsi="Arial" w:cs="Arial"/>
          <w:szCs w:val="24"/>
        </w:rPr>
      </w:pPr>
    </w:p>
    <w:p w14:paraId="0D9B41C7" w14:textId="52451E24" w:rsidR="000F43B1" w:rsidRPr="00CE7EB9" w:rsidRDefault="00290156" w:rsidP="0049372B">
      <w:pPr>
        <w:spacing w:line="360" w:lineRule="auto"/>
        <w:rPr>
          <w:rFonts w:ascii="Arial" w:hAnsi="Arial" w:cs="Arial"/>
          <w:szCs w:val="24"/>
        </w:rPr>
      </w:pPr>
      <w:r w:rsidRPr="00CE7EB9">
        <w:rPr>
          <w:rFonts w:ascii="Arial" w:hAnsi="Arial" w:cs="Arial"/>
          <w:szCs w:val="24"/>
        </w:rPr>
        <w:t xml:space="preserve">The Risk Management Committee </w:t>
      </w:r>
      <w:r w:rsidR="004D0587" w:rsidRPr="00CE7EB9">
        <w:rPr>
          <w:rFonts w:ascii="Arial" w:hAnsi="Arial" w:cs="Arial"/>
          <w:szCs w:val="24"/>
        </w:rPr>
        <w:t xml:space="preserve">plays a key role in reviewing </w:t>
      </w:r>
      <w:r w:rsidR="00021E68" w:rsidRPr="00CE7EB9">
        <w:rPr>
          <w:rFonts w:ascii="Arial" w:hAnsi="Arial" w:cs="Arial"/>
          <w:szCs w:val="24"/>
        </w:rPr>
        <w:t xml:space="preserve">the Company’s compliance to </w:t>
      </w:r>
      <w:r w:rsidR="00B208B8" w:rsidRPr="00CE7EB9">
        <w:rPr>
          <w:rFonts w:ascii="Arial" w:hAnsi="Arial" w:cs="Arial"/>
          <w:szCs w:val="24"/>
        </w:rPr>
        <w:t>rules and working with the management team to risk assess new projects.</w:t>
      </w:r>
      <w:r w:rsidR="00013FC4" w:rsidRPr="00CE7EB9">
        <w:rPr>
          <w:rFonts w:ascii="Arial" w:hAnsi="Arial" w:cs="Arial"/>
          <w:szCs w:val="24"/>
        </w:rPr>
        <w:t xml:space="preserve"> </w:t>
      </w:r>
      <w:r w:rsidR="003C47FA" w:rsidRPr="00CE7EB9">
        <w:rPr>
          <w:rFonts w:ascii="Arial" w:hAnsi="Arial" w:cs="Arial"/>
          <w:szCs w:val="24"/>
        </w:rPr>
        <w:t xml:space="preserve">The Risk Management </w:t>
      </w:r>
      <w:r w:rsidR="000F43B1" w:rsidRPr="00CE7EB9">
        <w:rPr>
          <w:rFonts w:ascii="Arial" w:hAnsi="Arial" w:cs="Arial"/>
          <w:szCs w:val="24"/>
        </w:rPr>
        <w:t>is</w:t>
      </w:r>
      <w:r w:rsidR="003C47FA" w:rsidRPr="00CE7EB9">
        <w:rPr>
          <w:rFonts w:ascii="Arial" w:hAnsi="Arial" w:cs="Arial"/>
          <w:szCs w:val="24"/>
        </w:rPr>
        <w:t xml:space="preserve"> systemic and disciplined with a clear framework in place. There </w:t>
      </w:r>
      <w:r w:rsidR="000F43B1" w:rsidRPr="00CE7EB9">
        <w:rPr>
          <w:rFonts w:ascii="Arial" w:hAnsi="Arial" w:cs="Arial"/>
          <w:szCs w:val="24"/>
        </w:rPr>
        <w:t>is</w:t>
      </w:r>
      <w:r w:rsidR="003C47FA" w:rsidRPr="00CE7EB9">
        <w:rPr>
          <w:rFonts w:ascii="Arial" w:hAnsi="Arial" w:cs="Arial"/>
          <w:szCs w:val="24"/>
        </w:rPr>
        <w:t xml:space="preserve"> a clear policy for the disclosure of inside information with close regard to the Guidelines on Disclosure of Inside Information issued by the Securities and futures Commissions. </w:t>
      </w:r>
      <w:r w:rsidR="000F43B1" w:rsidRPr="00CE7EB9">
        <w:rPr>
          <w:rFonts w:ascii="Arial" w:hAnsi="Arial" w:cs="Arial"/>
          <w:szCs w:val="24"/>
        </w:rPr>
        <w:t>In terms of shareholder’s rights, there are numbers of procedures for shareholders to convene a Special General Meeting and putting forward proposals at a general meeting. The Board maintain ongoing communications with shareholders to provide transparency and engagement.</w:t>
      </w:r>
      <w:r w:rsidR="009463DE" w:rsidRPr="00CE7EB9">
        <w:rPr>
          <w:rFonts w:ascii="Arial" w:hAnsi="Arial" w:cs="Arial"/>
          <w:szCs w:val="24"/>
        </w:rPr>
        <w:t xml:space="preserve"> The</w:t>
      </w:r>
      <w:r w:rsidR="00325D16" w:rsidRPr="00CE7EB9">
        <w:rPr>
          <w:rFonts w:ascii="Arial" w:hAnsi="Arial" w:cs="Arial"/>
          <w:szCs w:val="24"/>
        </w:rPr>
        <w:t xml:space="preserve"> shareholders are allowed to require Board’s attention by writing or can make proposals at the annual AGM. </w:t>
      </w:r>
      <w:r w:rsidR="00FB0961" w:rsidRPr="00CE7EB9">
        <w:rPr>
          <w:rFonts w:ascii="Arial" w:hAnsi="Arial" w:cs="Arial"/>
          <w:szCs w:val="24"/>
        </w:rPr>
        <w:t>Finally,</w:t>
      </w:r>
      <w:r w:rsidR="000F43B1" w:rsidRPr="00CE7EB9">
        <w:rPr>
          <w:rFonts w:ascii="Arial" w:hAnsi="Arial" w:cs="Arial"/>
          <w:szCs w:val="24"/>
        </w:rPr>
        <w:t xml:space="preserve"> a dividend policy is in place and having considered certain criteria, the Group sets to distribute 40-45% of its annual net profits as dividends to shareholders,</w:t>
      </w:r>
    </w:p>
    <w:p w14:paraId="46046D74" w14:textId="77777777" w:rsidR="00CE0BB3" w:rsidRPr="00CE7EB9" w:rsidRDefault="00CE0BB3" w:rsidP="0049372B">
      <w:pPr>
        <w:spacing w:line="360" w:lineRule="auto"/>
        <w:rPr>
          <w:rFonts w:ascii="Arial" w:hAnsi="Arial" w:cs="Arial"/>
          <w:szCs w:val="24"/>
        </w:rPr>
      </w:pPr>
    </w:p>
    <w:p w14:paraId="0CFE2484" w14:textId="429D0408" w:rsidR="007419F3" w:rsidRPr="00CE7EB9" w:rsidRDefault="00480B4B" w:rsidP="0049372B">
      <w:pPr>
        <w:spacing w:line="360" w:lineRule="auto"/>
        <w:rPr>
          <w:rFonts w:ascii="Arial" w:hAnsi="Arial" w:cs="Arial"/>
          <w:szCs w:val="24"/>
        </w:rPr>
      </w:pPr>
      <w:r w:rsidRPr="00CE7EB9">
        <w:rPr>
          <w:rFonts w:ascii="Arial" w:hAnsi="Arial" w:cs="Arial"/>
          <w:szCs w:val="24"/>
        </w:rPr>
        <w:t xml:space="preserve">In summary, the </w:t>
      </w:r>
      <w:r w:rsidR="00045819" w:rsidRPr="00CE7EB9">
        <w:rPr>
          <w:rFonts w:ascii="Arial" w:hAnsi="Arial" w:cs="Arial"/>
          <w:szCs w:val="24"/>
        </w:rPr>
        <w:t xml:space="preserve">Corporate Governance </w:t>
      </w:r>
      <w:r w:rsidR="00DE5678" w:rsidRPr="00CE7EB9">
        <w:rPr>
          <w:rFonts w:ascii="Arial" w:hAnsi="Arial" w:cs="Arial"/>
          <w:szCs w:val="24"/>
        </w:rPr>
        <w:t>Structure is sol</w:t>
      </w:r>
      <w:r w:rsidR="0040439B" w:rsidRPr="00CE7EB9">
        <w:rPr>
          <w:rFonts w:ascii="Arial" w:hAnsi="Arial" w:cs="Arial"/>
          <w:szCs w:val="24"/>
        </w:rPr>
        <w:t>i</w:t>
      </w:r>
      <w:r w:rsidR="00DE5678" w:rsidRPr="00CE7EB9">
        <w:rPr>
          <w:rFonts w:ascii="Arial" w:hAnsi="Arial" w:cs="Arial"/>
          <w:szCs w:val="24"/>
        </w:rPr>
        <w:t>d and compliant to the best practice. Al</w:t>
      </w:r>
      <w:r w:rsidR="003B38C4" w:rsidRPr="00CE7EB9">
        <w:rPr>
          <w:rFonts w:ascii="Arial" w:hAnsi="Arial" w:cs="Arial"/>
          <w:szCs w:val="24"/>
        </w:rPr>
        <w:t xml:space="preserve">though they chose to have a dual role of the CEO and the </w:t>
      </w:r>
      <w:r w:rsidR="00FB0961" w:rsidRPr="00CE7EB9">
        <w:rPr>
          <w:rFonts w:ascii="Arial" w:hAnsi="Arial" w:cs="Arial"/>
          <w:szCs w:val="24"/>
        </w:rPr>
        <w:t>Chairman</w:t>
      </w:r>
      <w:r w:rsidR="00DE5678" w:rsidRPr="00CE7EB9">
        <w:rPr>
          <w:rFonts w:ascii="Arial" w:hAnsi="Arial" w:cs="Arial"/>
          <w:szCs w:val="24"/>
        </w:rPr>
        <w:t>,</w:t>
      </w:r>
      <w:r w:rsidR="003B38C4" w:rsidRPr="00CE7EB9">
        <w:rPr>
          <w:rFonts w:ascii="Arial" w:hAnsi="Arial" w:cs="Arial"/>
          <w:szCs w:val="24"/>
        </w:rPr>
        <w:t xml:space="preserve"> </w:t>
      </w:r>
      <w:r w:rsidR="00FB0961">
        <w:rPr>
          <w:rFonts w:ascii="Arial" w:hAnsi="Arial" w:cs="Arial"/>
          <w:szCs w:val="24"/>
        </w:rPr>
        <w:t>l</w:t>
      </w:r>
      <w:r w:rsidR="003B38C4" w:rsidRPr="00CE7EB9">
        <w:rPr>
          <w:rFonts w:ascii="Arial" w:hAnsi="Arial" w:cs="Arial"/>
          <w:szCs w:val="24"/>
        </w:rPr>
        <w:t xml:space="preserve">iterature reviews show both pros and cons of the </w:t>
      </w:r>
      <w:r w:rsidR="006626EA" w:rsidRPr="00CE7EB9">
        <w:rPr>
          <w:rFonts w:ascii="Arial" w:hAnsi="Arial" w:cs="Arial"/>
          <w:szCs w:val="24"/>
        </w:rPr>
        <w:t xml:space="preserve">dual role and </w:t>
      </w:r>
      <w:r w:rsidR="00FB0961">
        <w:rPr>
          <w:rFonts w:ascii="Arial" w:hAnsi="Arial" w:cs="Arial"/>
          <w:szCs w:val="24"/>
        </w:rPr>
        <w:t xml:space="preserve">there is </w:t>
      </w:r>
      <w:r w:rsidR="006626EA" w:rsidRPr="00CE7EB9">
        <w:rPr>
          <w:rFonts w:ascii="Arial" w:hAnsi="Arial" w:cs="Arial"/>
          <w:szCs w:val="24"/>
        </w:rPr>
        <w:t>no evidence to show that the dual role will be detrimental to the overall governance of the corporation.</w:t>
      </w:r>
      <w:r w:rsidR="000C6316" w:rsidRPr="00CE7EB9">
        <w:rPr>
          <w:rFonts w:ascii="Arial" w:hAnsi="Arial" w:cs="Arial"/>
          <w:szCs w:val="24"/>
        </w:rPr>
        <w:t xml:space="preserve"> </w:t>
      </w:r>
      <w:r w:rsidR="006703B2" w:rsidRPr="00CE7EB9">
        <w:rPr>
          <w:rFonts w:ascii="Arial" w:hAnsi="Arial" w:cs="Arial"/>
          <w:szCs w:val="24"/>
        </w:rPr>
        <w:t>However, the Board should review the dual role regularly</w:t>
      </w:r>
      <w:r w:rsidR="00570C7B" w:rsidRPr="00CE7EB9">
        <w:rPr>
          <w:rFonts w:ascii="Arial" w:hAnsi="Arial" w:cs="Arial"/>
          <w:szCs w:val="24"/>
        </w:rPr>
        <w:t xml:space="preserve"> and independently access the performance </w:t>
      </w:r>
      <w:r w:rsidR="00A116FE" w:rsidRPr="00CE7EB9">
        <w:rPr>
          <w:rFonts w:ascii="Arial" w:hAnsi="Arial" w:cs="Arial"/>
          <w:szCs w:val="24"/>
        </w:rPr>
        <w:t>for the benefit of shareholders.</w:t>
      </w:r>
      <w:r w:rsidR="00570C7B" w:rsidRPr="00CE7EB9">
        <w:rPr>
          <w:rFonts w:ascii="Arial" w:hAnsi="Arial" w:cs="Arial"/>
          <w:szCs w:val="24"/>
        </w:rPr>
        <w:t xml:space="preserve"> </w:t>
      </w:r>
      <w:r w:rsidR="00DE5678" w:rsidRPr="00CE7EB9">
        <w:rPr>
          <w:rFonts w:ascii="Arial" w:hAnsi="Arial" w:cs="Arial"/>
          <w:szCs w:val="24"/>
        </w:rPr>
        <w:t xml:space="preserve">It is also recommended that the Group should develop a Board Diversity Policy to ensure the diversity is maintained within the Board level. </w:t>
      </w:r>
    </w:p>
    <w:p w14:paraId="65E57452" w14:textId="77777777" w:rsidR="006626EA" w:rsidRPr="00CE7EB9" w:rsidRDefault="006626EA" w:rsidP="0049372B">
      <w:pPr>
        <w:spacing w:line="360" w:lineRule="auto"/>
        <w:rPr>
          <w:rFonts w:ascii="Arial" w:hAnsi="Arial" w:cs="Arial"/>
          <w:szCs w:val="24"/>
        </w:rPr>
      </w:pPr>
    </w:p>
    <w:p w14:paraId="3F500C20" w14:textId="3A64AFC4" w:rsidR="0035577F" w:rsidRPr="002C0C4D" w:rsidRDefault="00FB0961" w:rsidP="0049372B">
      <w:pPr>
        <w:spacing w:line="360" w:lineRule="auto"/>
        <w:rPr>
          <w:rFonts w:ascii="Arial" w:hAnsi="Arial" w:cs="Arial"/>
          <w:b/>
          <w:bCs/>
          <w:szCs w:val="24"/>
        </w:rPr>
      </w:pPr>
      <w:r w:rsidRPr="002C0C4D">
        <w:rPr>
          <w:rFonts w:ascii="Arial" w:hAnsi="Arial" w:cs="Arial"/>
          <w:b/>
          <w:bCs/>
          <w:szCs w:val="24"/>
        </w:rPr>
        <w:t>4</w:t>
      </w:r>
      <w:r w:rsidR="00FE7D1B" w:rsidRPr="002C0C4D">
        <w:rPr>
          <w:rFonts w:ascii="Arial" w:hAnsi="Arial" w:cs="Arial"/>
          <w:b/>
          <w:bCs/>
          <w:szCs w:val="24"/>
        </w:rPr>
        <w:t xml:space="preserve">. </w:t>
      </w:r>
      <w:r w:rsidR="00CF1004" w:rsidRPr="002C0C4D">
        <w:rPr>
          <w:rFonts w:ascii="Arial" w:hAnsi="Arial" w:cs="Arial"/>
          <w:b/>
          <w:bCs/>
          <w:szCs w:val="24"/>
        </w:rPr>
        <w:t xml:space="preserve"> </w:t>
      </w:r>
      <w:r w:rsidR="0035577F" w:rsidRPr="002C0C4D">
        <w:rPr>
          <w:rFonts w:ascii="Arial" w:hAnsi="Arial" w:cs="Arial"/>
          <w:b/>
          <w:bCs/>
          <w:szCs w:val="24"/>
        </w:rPr>
        <w:t>Financial analysis</w:t>
      </w:r>
    </w:p>
    <w:p w14:paraId="40D65BFB" w14:textId="086A6E37" w:rsidR="00CF1004" w:rsidRPr="00CE7EB9" w:rsidRDefault="00A10849" w:rsidP="00A03AF7">
      <w:pPr>
        <w:spacing w:line="360" w:lineRule="auto"/>
        <w:rPr>
          <w:rFonts w:ascii="Arial" w:hAnsi="Arial" w:cs="Arial"/>
          <w:szCs w:val="24"/>
        </w:rPr>
      </w:pPr>
      <w:r w:rsidRPr="00CE7EB9">
        <w:rPr>
          <w:rFonts w:ascii="Arial" w:hAnsi="Arial" w:cs="Arial"/>
          <w:szCs w:val="24"/>
        </w:rPr>
        <w:t xml:space="preserve">A three-year </w:t>
      </w:r>
      <w:r w:rsidR="0097707F" w:rsidRPr="00CE7EB9">
        <w:rPr>
          <w:rFonts w:ascii="Arial" w:hAnsi="Arial" w:cs="Arial"/>
          <w:szCs w:val="24"/>
        </w:rPr>
        <w:t xml:space="preserve">financial </w:t>
      </w:r>
      <w:r w:rsidR="00FA6EAB" w:rsidRPr="00CE7EB9">
        <w:rPr>
          <w:rFonts w:ascii="Arial" w:hAnsi="Arial" w:cs="Arial"/>
          <w:szCs w:val="24"/>
        </w:rPr>
        <w:t xml:space="preserve">analysis for </w:t>
      </w:r>
      <w:proofErr w:type="spellStart"/>
      <w:r w:rsidR="00FA6EAB" w:rsidRPr="00CE7EB9">
        <w:rPr>
          <w:rFonts w:ascii="Arial" w:hAnsi="Arial" w:cs="Arial"/>
          <w:szCs w:val="24"/>
        </w:rPr>
        <w:t>Luk</w:t>
      </w:r>
      <w:proofErr w:type="spellEnd"/>
      <w:r w:rsidR="00E424B1" w:rsidRPr="00CE7EB9">
        <w:rPr>
          <w:rFonts w:ascii="Arial" w:hAnsi="Arial" w:cs="Arial"/>
          <w:szCs w:val="24"/>
        </w:rPr>
        <w:t xml:space="preserve"> </w:t>
      </w:r>
      <w:proofErr w:type="spellStart"/>
      <w:r w:rsidR="00FB0961">
        <w:rPr>
          <w:rFonts w:ascii="Arial" w:hAnsi="Arial" w:cs="Arial"/>
          <w:szCs w:val="24"/>
        </w:rPr>
        <w:t>f</w:t>
      </w:r>
      <w:r w:rsidR="00FA6EAB" w:rsidRPr="00CE7EB9">
        <w:rPr>
          <w:rFonts w:ascii="Arial" w:hAnsi="Arial" w:cs="Arial"/>
          <w:szCs w:val="24"/>
        </w:rPr>
        <w:t>ook</w:t>
      </w:r>
      <w:proofErr w:type="spellEnd"/>
      <w:r w:rsidR="00FA6EAB" w:rsidRPr="00CE7EB9">
        <w:rPr>
          <w:rFonts w:ascii="Arial" w:hAnsi="Arial" w:cs="Arial"/>
          <w:szCs w:val="24"/>
        </w:rPr>
        <w:t xml:space="preserve"> is </w:t>
      </w:r>
      <w:r w:rsidRPr="00CE7EB9">
        <w:rPr>
          <w:rFonts w:ascii="Arial" w:hAnsi="Arial" w:cs="Arial"/>
          <w:szCs w:val="24"/>
        </w:rPr>
        <w:t xml:space="preserve">carried out and </w:t>
      </w:r>
      <w:r w:rsidR="00FA6EAB" w:rsidRPr="00CE7EB9">
        <w:rPr>
          <w:rFonts w:ascii="Arial" w:hAnsi="Arial" w:cs="Arial"/>
          <w:szCs w:val="24"/>
        </w:rPr>
        <w:t xml:space="preserve">compared with two other local jewellery brands, </w:t>
      </w:r>
      <w:r w:rsidR="00617D39" w:rsidRPr="00CE7EB9">
        <w:rPr>
          <w:rFonts w:ascii="Arial" w:hAnsi="Arial" w:cs="Arial"/>
          <w:szCs w:val="24"/>
        </w:rPr>
        <w:t xml:space="preserve">Chow Sang </w:t>
      </w:r>
      <w:proofErr w:type="spellStart"/>
      <w:r w:rsidR="00617D39" w:rsidRPr="00CE7EB9">
        <w:rPr>
          <w:rFonts w:ascii="Arial" w:hAnsi="Arial" w:cs="Arial"/>
          <w:szCs w:val="24"/>
        </w:rPr>
        <w:t>Sang</w:t>
      </w:r>
      <w:proofErr w:type="spellEnd"/>
      <w:r w:rsidR="00617D39" w:rsidRPr="00CE7EB9">
        <w:rPr>
          <w:rFonts w:ascii="Arial" w:hAnsi="Arial" w:cs="Arial"/>
          <w:szCs w:val="24"/>
        </w:rPr>
        <w:t xml:space="preserve"> Holdings International Limited </w:t>
      </w:r>
      <w:r w:rsidR="00A46B54" w:rsidRPr="00CE7EB9">
        <w:rPr>
          <w:rFonts w:ascii="Arial" w:hAnsi="Arial" w:cs="Arial"/>
          <w:szCs w:val="24"/>
        </w:rPr>
        <w:t xml:space="preserve">(‘CSS’) </w:t>
      </w:r>
      <w:r w:rsidR="00617D39" w:rsidRPr="00CE7EB9">
        <w:rPr>
          <w:rFonts w:ascii="Arial" w:hAnsi="Arial" w:cs="Arial"/>
          <w:szCs w:val="24"/>
        </w:rPr>
        <w:t xml:space="preserve">and </w:t>
      </w:r>
      <w:r w:rsidR="00185156" w:rsidRPr="00CE7EB9">
        <w:rPr>
          <w:rFonts w:ascii="Arial" w:hAnsi="Arial" w:cs="Arial"/>
          <w:szCs w:val="24"/>
        </w:rPr>
        <w:t>Tse Sui Luen Jewellery (International) Limited</w:t>
      </w:r>
      <w:r w:rsidR="00A46B54" w:rsidRPr="00CE7EB9">
        <w:rPr>
          <w:rFonts w:ascii="Arial" w:hAnsi="Arial" w:cs="Arial"/>
          <w:szCs w:val="24"/>
        </w:rPr>
        <w:t xml:space="preserve"> (‘TSL’). </w:t>
      </w:r>
      <w:r w:rsidR="005F3C7E" w:rsidRPr="00CE7EB9">
        <w:rPr>
          <w:rFonts w:ascii="Arial" w:hAnsi="Arial" w:cs="Arial"/>
          <w:szCs w:val="24"/>
        </w:rPr>
        <w:t xml:space="preserve">A simple comparison of the </w:t>
      </w:r>
      <w:r w:rsidR="000D7F9A" w:rsidRPr="00CE7EB9">
        <w:rPr>
          <w:rFonts w:ascii="Arial" w:hAnsi="Arial" w:cs="Arial"/>
          <w:szCs w:val="24"/>
        </w:rPr>
        <w:t xml:space="preserve">background of </w:t>
      </w:r>
      <w:r w:rsidR="005F3C7E" w:rsidRPr="00CE7EB9">
        <w:rPr>
          <w:rFonts w:ascii="Arial" w:hAnsi="Arial" w:cs="Arial"/>
          <w:szCs w:val="24"/>
        </w:rPr>
        <w:t xml:space="preserve">three companies are shown in Table </w:t>
      </w:r>
      <w:r w:rsidR="00A116FE" w:rsidRPr="00CE7EB9">
        <w:rPr>
          <w:rFonts w:ascii="Arial" w:hAnsi="Arial" w:cs="Arial"/>
          <w:szCs w:val="24"/>
        </w:rPr>
        <w:t>2</w:t>
      </w:r>
      <w:r w:rsidR="005F3C7E" w:rsidRPr="00CE7EB9">
        <w:rPr>
          <w:rFonts w:ascii="Arial" w:hAnsi="Arial" w:cs="Arial"/>
          <w:szCs w:val="24"/>
        </w:rPr>
        <w:t xml:space="preserve">. </w:t>
      </w:r>
      <w:r w:rsidR="00EE5E99" w:rsidRPr="00CE7EB9">
        <w:rPr>
          <w:rFonts w:ascii="Arial" w:hAnsi="Arial" w:cs="Arial"/>
          <w:szCs w:val="24"/>
        </w:rPr>
        <w:t xml:space="preserve">It is shown that </w:t>
      </w:r>
      <w:proofErr w:type="spellStart"/>
      <w:r w:rsidR="00207560" w:rsidRPr="00CE7EB9">
        <w:rPr>
          <w:rFonts w:ascii="Arial" w:hAnsi="Arial" w:cs="Arial"/>
          <w:szCs w:val="24"/>
        </w:rPr>
        <w:t>Luk</w:t>
      </w:r>
      <w:proofErr w:type="spellEnd"/>
      <w:r w:rsidR="00207560" w:rsidRPr="00CE7EB9">
        <w:rPr>
          <w:rFonts w:ascii="Arial" w:hAnsi="Arial" w:cs="Arial"/>
          <w:szCs w:val="24"/>
        </w:rPr>
        <w:t xml:space="preserve"> </w:t>
      </w:r>
      <w:proofErr w:type="spellStart"/>
      <w:r w:rsidR="00B77F87">
        <w:rPr>
          <w:rFonts w:ascii="Arial" w:hAnsi="Arial" w:cs="Arial"/>
          <w:szCs w:val="24"/>
        </w:rPr>
        <w:t>f</w:t>
      </w:r>
      <w:r w:rsidR="00207560" w:rsidRPr="00CE7EB9">
        <w:rPr>
          <w:rFonts w:ascii="Arial" w:hAnsi="Arial" w:cs="Arial"/>
          <w:szCs w:val="24"/>
        </w:rPr>
        <w:t>ook</w:t>
      </w:r>
      <w:proofErr w:type="spellEnd"/>
      <w:r w:rsidR="00207560" w:rsidRPr="00CE7EB9">
        <w:rPr>
          <w:rFonts w:ascii="Arial" w:hAnsi="Arial" w:cs="Arial"/>
          <w:szCs w:val="24"/>
        </w:rPr>
        <w:t xml:space="preserve"> is the newest company of </w:t>
      </w:r>
      <w:r w:rsidR="00FF474A" w:rsidRPr="00CE7EB9">
        <w:rPr>
          <w:rFonts w:ascii="Arial" w:hAnsi="Arial" w:cs="Arial"/>
          <w:szCs w:val="24"/>
        </w:rPr>
        <w:t>all,</w:t>
      </w:r>
      <w:r w:rsidR="00207560" w:rsidRPr="00CE7EB9">
        <w:rPr>
          <w:rFonts w:ascii="Arial" w:hAnsi="Arial" w:cs="Arial"/>
          <w:szCs w:val="24"/>
        </w:rPr>
        <w:t xml:space="preserve"> and it only entered to the stock market in 1997</w:t>
      </w:r>
      <w:r w:rsidR="00E33092" w:rsidRPr="00CE7EB9">
        <w:rPr>
          <w:rFonts w:ascii="Arial" w:hAnsi="Arial" w:cs="Arial"/>
          <w:szCs w:val="24"/>
        </w:rPr>
        <w:t>. It has the most store distribution and is heavily i</w:t>
      </w:r>
      <w:r w:rsidR="00FF474A" w:rsidRPr="00CE7EB9">
        <w:rPr>
          <w:rFonts w:ascii="Arial" w:hAnsi="Arial" w:cs="Arial"/>
          <w:szCs w:val="24"/>
        </w:rPr>
        <w:t xml:space="preserve">nvested </w:t>
      </w:r>
      <w:r w:rsidR="00E33092" w:rsidRPr="00CE7EB9">
        <w:rPr>
          <w:rFonts w:ascii="Arial" w:hAnsi="Arial" w:cs="Arial"/>
          <w:szCs w:val="24"/>
        </w:rPr>
        <w:t xml:space="preserve">in the </w:t>
      </w:r>
      <w:proofErr w:type="gramStart"/>
      <w:r w:rsidR="00E33092" w:rsidRPr="00CE7EB9">
        <w:rPr>
          <w:rFonts w:ascii="Arial" w:hAnsi="Arial" w:cs="Arial"/>
          <w:szCs w:val="24"/>
        </w:rPr>
        <w:t>Mainland</w:t>
      </w:r>
      <w:proofErr w:type="gramEnd"/>
      <w:r w:rsidR="00E33092" w:rsidRPr="00CE7EB9">
        <w:rPr>
          <w:rFonts w:ascii="Arial" w:hAnsi="Arial" w:cs="Arial"/>
          <w:szCs w:val="24"/>
        </w:rPr>
        <w:t xml:space="preserve"> market. </w:t>
      </w:r>
      <w:r w:rsidR="00777096" w:rsidRPr="00CE7EB9">
        <w:rPr>
          <w:rFonts w:ascii="Arial" w:hAnsi="Arial" w:cs="Arial"/>
          <w:szCs w:val="24"/>
        </w:rPr>
        <w:t xml:space="preserve">The total sales and gross profit in </w:t>
      </w:r>
      <w:r w:rsidR="004B2C97" w:rsidRPr="00CE7EB9">
        <w:rPr>
          <w:rFonts w:ascii="Arial" w:hAnsi="Arial" w:cs="Arial"/>
          <w:szCs w:val="24"/>
        </w:rPr>
        <w:t>20</w:t>
      </w:r>
      <w:r w:rsidR="00FF474A" w:rsidRPr="00CE7EB9">
        <w:rPr>
          <w:rFonts w:ascii="Arial" w:hAnsi="Arial" w:cs="Arial"/>
          <w:szCs w:val="24"/>
        </w:rPr>
        <w:t>20</w:t>
      </w:r>
      <w:r w:rsidR="004B2C97" w:rsidRPr="00CE7EB9">
        <w:rPr>
          <w:rFonts w:ascii="Arial" w:hAnsi="Arial" w:cs="Arial"/>
          <w:szCs w:val="24"/>
        </w:rPr>
        <w:t>/2</w:t>
      </w:r>
      <w:r w:rsidR="00FF474A" w:rsidRPr="00CE7EB9">
        <w:rPr>
          <w:rFonts w:ascii="Arial" w:hAnsi="Arial" w:cs="Arial"/>
          <w:szCs w:val="24"/>
        </w:rPr>
        <w:t>1</w:t>
      </w:r>
      <w:r w:rsidR="004B2C97" w:rsidRPr="00CE7EB9">
        <w:rPr>
          <w:rFonts w:ascii="Arial" w:hAnsi="Arial" w:cs="Arial"/>
          <w:szCs w:val="24"/>
        </w:rPr>
        <w:t xml:space="preserve"> Financial year </w:t>
      </w:r>
      <w:r w:rsidR="00B67F6C" w:rsidRPr="00CE7EB9">
        <w:rPr>
          <w:rFonts w:ascii="Arial" w:hAnsi="Arial" w:cs="Arial"/>
          <w:szCs w:val="24"/>
        </w:rPr>
        <w:t>were</w:t>
      </w:r>
      <w:r w:rsidR="004B2C97" w:rsidRPr="00CE7EB9">
        <w:rPr>
          <w:rFonts w:ascii="Arial" w:hAnsi="Arial" w:cs="Arial"/>
          <w:szCs w:val="24"/>
        </w:rPr>
        <w:t xml:space="preserve"> the middle amongst the three. </w:t>
      </w:r>
      <w:r w:rsidR="00337E3A" w:rsidRPr="00CE7EB9">
        <w:rPr>
          <w:rFonts w:ascii="Arial" w:hAnsi="Arial" w:cs="Arial"/>
          <w:szCs w:val="24"/>
        </w:rPr>
        <w:t>A more</w:t>
      </w:r>
      <w:r w:rsidR="004B2C97" w:rsidRPr="00CE7EB9">
        <w:rPr>
          <w:rFonts w:ascii="Arial" w:hAnsi="Arial" w:cs="Arial"/>
          <w:szCs w:val="24"/>
        </w:rPr>
        <w:t xml:space="preserve"> detailed financial comparison will be </w:t>
      </w:r>
      <w:r w:rsidR="00AC585E" w:rsidRPr="00CE7EB9">
        <w:rPr>
          <w:rFonts w:ascii="Arial" w:hAnsi="Arial" w:cs="Arial"/>
          <w:szCs w:val="24"/>
        </w:rPr>
        <w:t xml:space="preserve">carried out later in this section. </w:t>
      </w:r>
      <w:r w:rsidR="004B2C97" w:rsidRPr="00CE7EB9">
        <w:rPr>
          <w:rFonts w:ascii="Arial" w:hAnsi="Arial" w:cs="Arial"/>
          <w:szCs w:val="24"/>
        </w:rPr>
        <w:t xml:space="preserve"> </w:t>
      </w:r>
    </w:p>
    <w:p w14:paraId="3B71EC00" w14:textId="77777777" w:rsidR="00B67F6C" w:rsidRPr="00CE7EB9" w:rsidRDefault="00B67F6C" w:rsidP="00A03AF7">
      <w:pPr>
        <w:spacing w:line="360" w:lineRule="auto"/>
        <w:rPr>
          <w:rFonts w:ascii="Arial" w:hAnsi="Arial" w:cs="Arial"/>
          <w:szCs w:val="24"/>
          <w:highlight w:val="yellow"/>
        </w:rPr>
      </w:pPr>
    </w:p>
    <w:p w14:paraId="05C92BB8" w14:textId="1A8330E0" w:rsidR="00EE5E99" w:rsidRDefault="00EE5E99" w:rsidP="00A03AF7">
      <w:pPr>
        <w:spacing w:line="360" w:lineRule="auto"/>
        <w:rPr>
          <w:rFonts w:ascii="Arial" w:hAnsi="Arial" w:cs="Arial"/>
          <w:szCs w:val="24"/>
        </w:rPr>
      </w:pPr>
      <w:r w:rsidRPr="00CE7EB9">
        <w:rPr>
          <w:rFonts w:ascii="Arial" w:hAnsi="Arial" w:cs="Arial"/>
          <w:szCs w:val="24"/>
        </w:rPr>
        <w:t xml:space="preserve">Table </w:t>
      </w:r>
      <w:r w:rsidR="007F1C37" w:rsidRPr="00CE7EB9">
        <w:rPr>
          <w:rFonts w:ascii="Arial" w:hAnsi="Arial" w:cs="Arial"/>
          <w:szCs w:val="24"/>
        </w:rPr>
        <w:t>2</w:t>
      </w:r>
      <w:r w:rsidRPr="00CE7EB9">
        <w:rPr>
          <w:rFonts w:ascii="Arial" w:hAnsi="Arial" w:cs="Arial"/>
          <w:szCs w:val="24"/>
        </w:rPr>
        <w:t>. Comparison of company profile</w:t>
      </w:r>
    </w:p>
    <w:p w14:paraId="35F6CA35" w14:textId="62E0101C" w:rsidR="00552407" w:rsidRPr="00CE7EB9" w:rsidRDefault="00552407" w:rsidP="00A03AF7">
      <w:pPr>
        <w:spacing w:line="360" w:lineRule="auto"/>
        <w:rPr>
          <w:rFonts w:ascii="Arial" w:hAnsi="Arial" w:cs="Arial"/>
          <w:szCs w:val="24"/>
        </w:rPr>
      </w:pPr>
      <w:r>
        <w:rPr>
          <w:noProof/>
        </w:rPr>
        <w:drawing>
          <wp:inline distT="0" distB="0" distL="0" distR="0" wp14:anchorId="48D6FDE1" wp14:editId="1FF526DB">
            <wp:extent cx="4564380" cy="3511062"/>
            <wp:effectExtent l="0" t="0" r="762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6961" t="26709" r="26744" b="23656"/>
                    <a:stretch/>
                  </pic:blipFill>
                  <pic:spPr bwMode="auto">
                    <a:xfrm>
                      <a:off x="0" y="0"/>
                      <a:ext cx="4574779" cy="3519061"/>
                    </a:xfrm>
                    <a:prstGeom prst="rect">
                      <a:avLst/>
                    </a:prstGeom>
                    <a:ln>
                      <a:noFill/>
                    </a:ln>
                    <a:extLst>
                      <a:ext uri="{53640926-AAD7-44D8-BBD7-CCE9431645EC}">
                        <a14:shadowObscured xmlns:a14="http://schemas.microsoft.com/office/drawing/2010/main"/>
                      </a:ext>
                    </a:extLst>
                  </pic:spPr>
                </pic:pic>
              </a:graphicData>
            </a:graphic>
          </wp:inline>
        </w:drawing>
      </w:r>
    </w:p>
    <w:p w14:paraId="45E44B11" w14:textId="332C2CEF" w:rsidR="005F3C7E" w:rsidRPr="00CE7EB9" w:rsidRDefault="005556ED" w:rsidP="00A116FE">
      <w:pPr>
        <w:rPr>
          <w:rFonts w:ascii="Arial" w:hAnsi="Arial" w:cs="Arial"/>
          <w:i/>
          <w:iCs/>
          <w:sz w:val="22"/>
        </w:rPr>
      </w:pPr>
      <w:r w:rsidRPr="00CE7EB9">
        <w:rPr>
          <w:rFonts w:ascii="Arial" w:hAnsi="Arial" w:cs="Arial"/>
          <w:i/>
          <w:iCs/>
          <w:sz w:val="22"/>
        </w:rPr>
        <w:t xml:space="preserve">Note 1: </w:t>
      </w:r>
      <w:r w:rsidR="00112520" w:rsidRPr="00CE7EB9">
        <w:rPr>
          <w:rFonts w:ascii="Arial" w:hAnsi="Arial" w:cs="Arial"/>
          <w:i/>
          <w:iCs/>
          <w:sz w:val="22"/>
        </w:rPr>
        <w:t>for the period of 20</w:t>
      </w:r>
      <w:r w:rsidR="00FF474A" w:rsidRPr="00CE7EB9">
        <w:rPr>
          <w:rFonts w:ascii="Arial" w:hAnsi="Arial" w:cs="Arial"/>
          <w:i/>
          <w:iCs/>
          <w:sz w:val="22"/>
        </w:rPr>
        <w:t>20</w:t>
      </w:r>
      <w:r w:rsidR="00112520" w:rsidRPr="00CE7EB9">
        <w:rPr>
          <w:rFonts w:ascii="Arial" w:hAnsi="Arial" w:cs="Arial"/>
          <w:i/>
          <w:iCs/>
          <w:sz w:val="22"/>
        </w:rPr>
        <w:t>/2</w:t>
      </w:r>
      <w:r w:rsidR="00FF474A" w:rsidRPr="00CE7EB9">
        <w:rPr>
          <w:rFonts w:ascii="Arial" w:hAnsi="Arial" w:cs="Arial"/>
          <w:i/>
          <w:iCs/>
          <w:sz w:val="22"/>
        </w:rPr>
        <w:t>1</w:t>
      </w:r>
      <w:r w:rsidR="00112520" w:rsidRPr="00CE7EB9">
        <w:rPr>
          <w:rFonts w:ascii="Arial" w:hAnsi="Arial" w:cs="Arial"/>
          <w:i/>
          <w:iCs/>
          <w:sz w:val="22"/>
        </w:rPr>
        <w:t xml:space="preserve"> Financial Year, mon</w:t>
      </w:r>
      <w:r w:rsidR="00CA206A" w:rsidRPr="00CE7EB9">
        <w:rPr>
          <w:rFonts w:ascii="Arial" w:hAnsi="Arial" w:cs="Arial"/>
          <w:i/>
          <w:iCs/>
          <w:sz w:val="22"/>
        </w:rPr>
        <w:t>thly averaged</w:t>
      </w:r>
      <w:r w:rsidR="00247312" w:rsidRPr="00CE7EB9">
        <w:rPr>
          <w:rFonts w:ascii="Arial" w:hAnsi="Arial" w:cs="Arial"/>
          <w:i/>
          <w:iCs/>
          <w:sz w:val="22"/>
        </w:rPr>
        <w:t xml:space="preserve"> of the adjusted close value</w:t>
      </w:r>
      <w:r w:rsidR="00BE6405" w:rsidRPr="00CE7EB9">
        <w:rPr>
          <w:rFonts w:ascii="Arial" w:hAnsi="Arial" w:cs="Arial"/>
          <w:i/>
          <w:iCs/>
          <w:sz w:val="22"/>
        </w:rPr>
        <w:t xml:space="preserve"> (Appendix 1)</w:t>
      </w:r>
    </w:p>
    <w:p w14:paraId="5FC7BE87" w14:textId="76BC1241" w:rsidR="00337E3A" w:rsidRPr="00CE7EB9" w:rsidRDefault="002216C1" w:rsidP="0049372B">
      <w:pPr>
        <w:spacing w:line="360" w:lineRule="auto"/>
        <w:rPr>
          <w:rFonts w:ascii="Arial" w:hAnsi="Arial" w:cs="Arial"/>
          <w:sz w:val="22"/>
        </w:rPr>
      </w:pPr>
      <w:r w:rsidRPr="00CE7EB9">
        <w:rPr>
          <w:rFonts w:ascii="Arial" w:hAnsi="Arial" w:cs="Arial"/>
          <w:sz w:val="22"/>
        </w:rPr>
        <w:t>Source: Compiled by the author</w:t>
      </w:r>
    </w:p>
    <w:p w14:paraId="448F8557" w14:textId="584A873B" w:rsidR="009A4DB9" w:rsidRPr="002C0C4D" w:rsidRDefault="00B77F87" w:rsidP="0049372B">
      <w:pPr>
        <w:spacing w:line="360" w:lineRule="auto"/>
        <w:rPr>
          <w:rFonts w:ascii="Arial" w:hAnsi="Arial" w:cs="Arial"/>
          <w:i/>
          <w:iCs/>
          <w:szCs w:val="24"/>
        </w:rPr>
      </w:pPr>
      <w:r w:rsidRPr="002C0C4D">
        <w:rPr>
          <w:rFonts w:ascii="Arial" w:hAnsi="Arial" w:cs="Arial"/>
          <w:i/>
          <w:iCs/>
          <w:szCs w:val="24"/>
        </w:rPr>
        <w:lastRenderedPageBreak/>
        <w:t>4</w:t>
      </w:r>
      <w:r w:rsidR="00C57DA3" w:rsidRPr="002C0C4D">
        <w:rPr>
          <w:rFonts w:ascii="Arial" w:hAnsi="Arial" w:cs="Arial"/>
          <w:i/>
          <w:iCs/>
          <w:szCs w:val="24"/>
        </w:rPr>
        <w:t>.1 Income Statement Analysis</w:t>
      </w:r>
    </w:p>
    <w:p w14:paraId="548FD3E6" w14:textId="4F5EA7D2" w:rsidR="00EC4E6F" w:rsidRPr="00CE7EB9" w:rsidRDefault="00E71C66" w:rsidP="00EC4E6F">
      <w:pPr>
        <w:spacing w:line="360" w:lineRule="auto"/>
        <w:rPr>
          <w:rFonts w:ascii="Arial" w:hAnsi="Arial" w:cs="Arial"/>
          <w:szCs w:val="24"/>
        </w:rPr>
      </w:pPr>
      <w:r w:rsidRPr="00CE7EB9">
        <w:rPr>
          <w:rFonts w:ascii="Arial" w:hAnsi="Arial" w:cs="Arial"/>
          <w:szCs w:val="24"/>
        </w:rPr>
        <w:t xml:space="preserve">Hong Kong’s economy was negatively impacted by a series of events such as social unrest and Covid-19 pandemic since 2019. </w:t>
      </w:r>
      <w:r w:rsidR="009673F1" w:rsidRPr="00CE7EB9">
        <w:rPr>
          <w:rFonts w:ascii="Arial" w:hAnsi="Arial" w:cs="Arial"/>
          <w:szCs w:val="24"/>
        </w:rPr>
        <w:t xml:space="preserve">These events have severely impacted the number of tourists in Hong Kong </w:t>
      </w:r>
      <w:r w:rsidR="00EC4E6F" w:rsidRPr="00CE7EB9">
        <w:rPr>
          <w:rFonts w:ascii="Arial" w:hAnsi="Arial" w:cs="Arial"/>
          <w:szCs w:val="24"/>
        </w:rPr>
        <w:t xml:space="preserve">as described in section </w:t>
      </w:r>
      <w:r w:rsidR="00B77F87">
        <w:rPr>
          <w:rFonts w:ascii="Arial" w:hAnsi="Arial" w:cs="Arial"/>
          <w:szCs w:val="24"/>
        </w:rPr>
        <w:t>2</w:t>
      </w:r>
      <w:r w:rsidR="00EC4E6F" w:rsidRPr="00CE7EB9">
        <w:rPr>
          <w:rFonts w:ascii="Arial" w:hAnsi="Arial" w:cs="Arial"/>
          <w:szCs w:val="24"/>
        </w:rPr>
        <w:t xml:space="preserve">. </w:t>
      </w:r>
      <w:r w:rsidR="00854F69" w:rsidRPr="00CE7EB9">
        <w:rPr>
          <w:rFonts w:ascii="Arial" w:hAnsi="Arial" w:cs="Arial"/>
          <w:szCs w:val="24"/>
        </w:rPr>
        <w:t>Table 3 highlights the income statement analysis for the three companies in the past 3 fiscal years. Both three companies’ revenue</w:t>
      </w:r>
      <w:r w:rsidR="00EA357B" w:rsidRPr="00CE7EB9">
        <w:rPr>
          <w:rFonts w:ascii="Arial" w:hAnsi="Arial" w:cs="Arial"/>
          <w:szCs w:val="24"/>
        </w:rPr>
        <w:t xml:space="preserve"> and profit</w:t>
      </w:r>
      <w:r w:rsidR="00854F69" w:rsidRPr="00CE7EB9">
        <w:rPr>
          <w:rFonts w:ascii="Arial" w:hAnsi="Arial" w:cs="Arial"/>
          <w:szCs w:val="24"/>
        </w:rPr>
        <w:t xml:space="preserve"> </w:t>
      </w:r>
      <w:r w:rsidR="003A4387" w:rsidRPr="00CE7EB9">
        <w:rPr>
          <w:rFonts w:ascii="Arial" w:hAnsi="Arial" w:cs="Arial"/>
          <w:szCs w:val="24"/>
        </w:rPr>
        <w:t>decreased since 2018</w:t>
      </w:r>
      <w:r w:rsidR="00142500" w:rsidRPr="00CE7EB9">
        <w:rPr>
          <w:rFonts w:ascii="Arial" w:hAnsi="Arial" w:cs="Arial"/>
          <w:szCs w:val="24"/>
        </w:rPr>
        <w:t xml:space="preserve"> and TSL</w:t>
      </w:r>
      <w:r w:rsidR="00513A1D" w:rsidRPr="00CE7EB9">
        <w:rPr>
          <w:rFonts w:ascii="Arial" w:hAnsi="Arial" w:cs="Arial"/>
          <w:szCs w:val="24"/>
        </w:rPr>
        <w:t xml:space="preserve"> even</w:t>
      </w:r>
      <w:r w:rsidR="00142500" w:rsidRPr="00CE7EB9">
        <w:rPr>
          <w:rFonts w:ascii="Arial" w:hAnsi="Arial" w:cs="Arial"/>
          <w:szCs w:val="24"/>
        </w:rPr>
        <w:t xml:space="preserve"> resulted in </w:t>
      </w:r>
      <w:r w:rsidR="00513A1D" w:rsidRPr="00CE7EB9">
        <w:rPr>
          <w:rFonts w:ascii="Arial" w:hAnsi="Arial" w:cs="Arial"/>
          <w:szCs w:val="24"/>
        </w:rPr>
        <w:t>profit loss</w:t>
      </w:r>
      <w:r w:rsidR="00142500" w:rsidRPr="00CE7EB9">
        <w:rPr>
          <w:rFonts w:ascii="Arial" w:hAnsi="Arial" w:cs="Arial"/>
          <w:szCs w:val="24"/>
        </w:rPr>
        <w:t xml:space="preserve"> since 2019. </w:t>
      </w:r>
      <w:r w:rsidR="00891C16" w:rsidRPr="00CE7EB9">
        <w:rPr>
          <w:rFonts w:ascii="Arial" w:hAnsi="Arial" w:cs="Arial"/>
          <w:szCs w:val="24"/>
        </w:rPr>
        <w:t xml:space="preserve">In terms of percentage of revenue loss, </w:t>
      </w:r>
      <w:proofErr w:type="spellStart"/>
      <w:r w:rsidR="00891C16" w:rsidRPr="00CE7EB9">
        <w:rPr>
          <w:rFonts w:ascii="Arial" w:hAnsi="Arial" w:cs="Arial"/>
          <w:szCs w:val="24"/>
        </w:rPr>
        <w:t>Luk</w:t>
      </w:r>
      <w:proofErr w:type="spellEnd"/>
      <w:r w:rsidR="00891C16" w:rsidRPr="00CE7EB9">
        <w:rPr>
          <w:rFonts w:ascii="Arial" w:hAnsi="Arial" w:cs="Arial"/>
          <w:szCs w:val="24"/>
        </w:rPr>
        <w:t xml:space="preserve"> </w:t>
      </w:r>
      <w:proofErr w:type="spellStart"/>
      <w:r w:rsidR="00B77F87">
        <w:rPr>
          <w:rFonts w:ascii="Arial" w:hAnsi="Arial" w:cs="Arial"/>
          <w:szCs w:val="24"/>
        </w:rPr>
        <w:t>f</w:t>
      </w:r>
      <w:r w:rsidR="00891C16" w:rsidRPr="00CE7EB9">
        <w:rPr>
          <w:rFonts w:ascii="Arial" w:hAnsi="Arial" w:cs="Arial"/>
          <w:szCs w:val="24"/>
        </w:rPr>
        <w:t>ook</w:t>
      </w:r>
      <w:proofErr w:type="spellEnd"/>
      <w:r w:rsidR="00891C16" w:rsidRPr="00CE7EB9">
        <w:rPr>
          <w:rFonts w:ascii="Arial" w:hAnsi="Arial" w:cs="Arial"/>
          <w:szCs w:val="24"/>
        </w:rPr>
        <w:t xml:space="preserve"> has a total revenue loss of 44% since 2018/19, whereas CSS and TSL have </w:t>
      </w:r>
      <w:r w:rsidR="00DC3CFE" w:rsidRPr="00CE7EB9">
        <w:rPr>
          <w:rFonts w:ascii="Arial" w:hAnsi="Arial" w:cs="Arial"/>
          <w:szCs w:val="24"/>
        </w:rPr>
        <w:t xml:space="preserve">20% and 35% </w:t>
      </w:r>
      <w:r w:rsidR="003E7440" w:rsidRPr="00CE7EB9">
        <w:rPr>
          <w:rFonts w:ascii="Arial" w:hAnsi="Arial" w:cs="Arial"/>
          <w:szCs w:val="24"/>
        </w:rPr>
        <w:t xml:space="preserve">decreased since 2018 </w:t>
      </w:r>
      <w:r w:rsidR="00DC3CFE" w:rsidRPr="00CE7EB9">
        <w:rPr>
          <w:rFonts w:ascii="Arial" w:hAnsi="Arial" w:cs="Arial"/>
          <w:szCs w:val="24"/>
        </w:rPr>
        <w:t xml:space="preserve">respectively. </w:t>
      </w:r>
      <w:r w:rsidR="006801F8" w:rsidRPr="00CE7EB9">
        <w:rPr>
          <w:rFonts w:ascii="Arial" w:hAnsi="Arial" w:cs="Arial"/>
          <w:szCs w:val="24"/>
        </w:rPr>
        <w:t xml:space="preserve">However, </w:t>
      </w:r>
      <w:r w:rsidR="008C548A" w:rsidRPr="00CE7EB9">
        <w:rPr>
          <w:rFonts w:ascii="Arial" w:hAnsi="Arial" w:cs="Arial"/>
          <w:szCs w:val="24"/>
        </w:rPr>
        <w:t xml:space="preserve">in comparison to the total profit loss, </w:t>
      </w:r>
      <w:proofErr w:type="spellStart"/>
      <w:r w:rsidR="008C548A" w:rsidRPr="00CE7EB9">
        <w:rPr>
          <w:rFonts w:ascii="Arial" w:hAnsi="Arial" w:cs="Arial"/>
          <w:szCs w:val="24"/>
        </w:rPr>
        <w:t>Luk</w:t>
      </w:r>
      <w:proofErr w:type="spellEnd"/>
      <w:r w:rsidR="008C548A" w:rsidRPr="00CE7EB9">
        <w:rPr>
          <w:rFonts w:ascii="Arial" w:hAnsi="Arial" w:cs="Arial"/>
          <w:szCs w:val="24"/>
        </w:rPr>
        <w:t xml:space="preserve"> Fook has 32% decreased in profit while CSS and TSL have </w:t>
      </w:r>
      <w:r w:rsidR="00220101" w:rsidRPr="00CE7EB9">
        <w:rPr>
          <w:rFonts w:ascii="Arial" w:hAnsi="Arial" w:cs="Arial"/>
          <w:szCs w:val="24"/>
        </w:rPr>
        <w:t xml:space="preserve">46% and </w:t>
      </w:r>
      <w:r w:rsidR="000E2D59" w:rsidRPr="00CE7EB9">
        <w:rPr>
          <w:rFonts w:ascii="Arial" w:hAnsi="Arial" w:cs="Arial"/>
          <w:szCs w:val="24"/>
        </w:rPr>
        <w:t xml:space="preserve">181% </w:t>
      </w:r>
      <w:r w:rsidR="00D36D47" w:rsidRPr="00CE7EB9">
        <w:rPr>
          <w:rFonts w:ascii="Arial" w:hAnsi="Arial" w:cs="Arial"/>
          <w:szCs w:val="24"/>
        </w:rPr>
        <w:t>loss</w:t>
      </w:r>
      <w:r w:rsidR="000F7960" w:rsidRPr="00CE7EB9">
        <w:rPr>
          <w:rFonts w:ascii="Arial" w:hAnsi="Arial" w:cs="Arial"/>
          <w:szCs w:val="24"/>
        </w:rPr>
        <w:t xml:space="preserve"> respectively</w:t>
      </w:r>
      <w:r w:rsidR="00D36D47" w:rsidRPr="00CE7EB9">
        <w:rPr>
          <w:rFonts w:ascii="Arial" w:hAnsi="Arial" w:cs="Arial"/>
          <w:szCs w:val="24"/>
        </w:rPr>
        <w:t xml:space="preserve"> as compared to 201</w:t>
      </w:r>
      <w:r w:rsidR="000F7960" w:rsidRPr="00CE7EB9">
        <w:rPr>
          <w:rFonts w:ascii="Arial" w:hAnsi="Arial" w:cs="Arial"/>
          <w:szCs w:val="24"/>
        </w:rPr>
        <w:t>8</w:t>
      </w:r>
      <w:r w:rsidR="00D36D47" w:rsidRPr="00CE7EB9">
        <w:rPr>
          <w:rFonts w:ascii="Arial" w:hAnsi="Arial" w:cs="Arial"/>
          <w:szCs w:val="24"/>
        </w:rPr>
        <w:t>.</w:t>
      </w:r>
      <w:r w:rsidR="000F7960" w:rsidRPr="00CE7EB9">
        <w:rPr>
          <w:rFonts w:ascii="Arial" w:hAnsi="Arial" w:cs="Arial"/>
          <w:szCs w:val="24"/>
        </w:rPr>
        <w:t xml:space="preserve"> </w:t>
      </w:r>
      <w:r w:rsidR="00EC4E6F" w:rsidRPr="00CE7EB9">
        <w:rPr>
          <w:rFonts w:ascii="Arial" w:hAnsi="Arial" w:cs="Arial"/>
          <w:szCs w:val="24"/>
        </w:rPr>
        <w:t xml:space="preserve">This reflected that </w:t>
      </w:r>
      <w:proofErr w:type="spellStart"/>
      <w:r w:rsidR="00EC4E6F" w:rsidRPr="00CE7EB9">
        <w:rPr>
          <w:rFonts w:ascii="Arial" w:hAnsi="Arial" w:cs="Arial"/>
          <w:szCs w:val="24"/>
        </w:rPr>
        <w:t>Luk</w:t>
      </w:r>
      <w:proofErr w:type="spellEnd"/>
      <w:r w:rsidR="00EC4E6F" w:rsidRPr="00CE7EB9">
        <w:rPr>
          <w:rFonts w:ascii="Arial" w:hAnsi="Arial" w:cs="Arial"/>
          <w:szCs w:val="24"/>
        </w:rPr>
        <w:t xml:space="preserve"> </w:t>
      </w:r>
      <w:proofErr w:type="spellStart"/>
      <w:r w:rsidR="00B77F87">
        <w:rPr>
          <w:rFonts w:ascii="Arial" w:hAnsi="Arial" w:cs="Arial"/>
          <w:szCs w:val="24"/>
        </w:rPr>
        <w:t>f</w:t>
      </w:r>
      <w:r w:rsidR="00EC4E6F" w:rsidRPr="00CE7EB9">
        <w:rPr>
          <w:rFonts w:ascii="Arial" w:hAnsi="Arial" w:cs="Arial"/>
          <w:szCs w:val="24"/>
        </w:rPr>
        <w:t>ook</w:t>
      </w:r>
      <w:proofErr w:type="spellEnd"/>
      <w:r w:rsidR="00EC4E6F" w:rsidRPr="00CE7EB9">
        <w:rPr>
          <w:rFonts w:ascii="Arial" w:hAnsi="Arial" w:cs="Arial"/>
          <w:szCs w:val="24"/>
        </w:rPr>
        <w:t xml:space="preserve"> has a successful overall financial crisis management and measures were in place to retain profit during the financial crisis. </w:t>
      </w:r>
    </w:p>
    <w:p w14:paraId="6FB4FCD1" w14:textId="77777777" w:rsidR="00EC4E6F" w:rsidRPr="00CE7EB9" w:rsidRDefault="00EC4E6F" w:rsidP="00EC4E6F">
      <w:pPr>
        <w:spacing w:line="360" w:lineRule="auto"/>
        <w:rPr>
          <w:rFonts w:ascii="Arial" w:hAnsi="Arial" w:cs="Arial"/>
          <w:szCs w:val="24"/>
        </w:rPr>
      </w:pPr>
    </w:p>
    <w:p w14:paraId="4AB0B123" w14:textId="38D777F1" w:rsidR="00620FE5" w:rsidRPr="00CE7EB9" w:rsidRDefault="00620FE5" w:rsidP="00EC4E6F">
      <w:pPr>
        <w:spacing w:line="360" w:lineRule="auto"/>
        <w:rPr>
          <w:rFonts w:ascii="Arial" w:hAnsi="Arial" w:cs="Arial"/>
          <w:szCs w:val="24"/>
        </w:rPr>
      </w:pPr>
      <w:r w:rsidRPr="00CE7EB9">
        <w:rPr>
          <w:rFonts w:ascii="Arial" w:hAnsi="Arial" w:cs="Arial"/>
          <w:sz w:val="22"/>
        </w:rPr>
        <w:t>Table 3</w:t>
      </w:r>
      <w:r w:rsidR="00B77F87">
        <w:rPr>
          <w:rFonts w:ascii="Arial" w:hAnsi="Arial" w:cs="Arial"/>
          <w:sz w:val="22"/>
        </w:rPr>
        <w:t>.</w:t>
      </w:r>
      <w:r w:rsidR="007F1C37" w:rsidRPr="00CE7EB9">
        <w:rPr>
          <w:rFonts w:ascii="Arial" w:hAnsi="Arial" w:cs="Arial"/>
          <w:sz w:val="22"/>
        </w:rPr>
        <w:t xml:space="preserve"> Income Statement Comparison</w:t>
      </w:r>
    </w:p>
    <w:p w14:paraId="6AE40F50" w14:textId="28906180" w:rsidR="00100C44" w:rsidRPr="00CE7EB9" w:rsidRDefault="001840B5" w:rsidP="0049372B">
      <w:pPr>
        <w:spacing w:line="360" w:lineRule="auto"/>
        <w:rPr>
          <w:rFonts w:ascii="Arial" w:hAnsi="Arial" w:cs="Arial"/>
          <w:szCs w:val="24"/>
          <w:highlight w:val="yellow"/>
        </w:rPr>
      </w:pPr>
      <w:r w:rsidRPr="00CE7EB9">
        <w:rPr>
          <w:noProof/>
        </w:rPr>
        <w:drawing>
          <wp:inline distT="0" distB="0" distL="0" distR="0" wp14:anchorId="45F9457D" wp14:editId="49490D07">
            <wp:extent cx="6012180" cy="2261786"/>
            <wp:effectExtent l="0" t="0" r="7620" b="5715"/>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12"/>
                    <a:srcRect l="19711" t="33531" r="5898" b="16715"/>
                    <a:stretch/>
                  </pic:blipFill>
                  <pic:spPr bwMode="auto">
                    <a:xfrm>
                      <a:off x="0" y="0"/>
                      <a:ext cx="6026966" cy="2267348"/>
                    </a:xfrm>
                    <a:prstGeom prst="rect">
                      <a:avLst/>
                    </a:prstGeom>
                    <a:ln>
                      <a:noFill/>
                    </a:ln>
                    <a:extLst>
                      <a:ext uri="{53640926-AAD7-44D8-BBD7-CCE9431645EC}">
                        <a14:shadowObscured xmlns:a14="http://schemas.microsoft.com/office/drawing/2010/main"/>
                      </a:ext>
                    </a:extLst>
                  </pic:spPr>
                </pic:pic>
              </a:graphicData>
            </a:graphic>
          </wp:inline>
        </w:drawing>
      </w:r>
    </w:p>
    <w:p w14:paraId="73863C8A" w14:textId="77777777" w:rsidR="00241F47" w:rsidRPr="00CE7EB9" w:rsidRDefault="00241F47" w:rsidP="00241F47">
      <w:pPr>
        <w:rPr>
          <w:rFonts w:ascii="Arial" w:hAnsi="Arial" w:cs="Arial"/>
          <w:sz w:val="20"/>
          <w:szCs w:val="20"/>
        </w:rPr>
      </w:pPr>
      <w:r w:rsidRPr="00CE7EB9">
        <w:rPr>
          <w:rFonts w:ascii="Arial" w:hAnsi="Arial" w:cs="Arial"/>
          <w:i/>
          <w:iCs/>
          <w:sz w:val="22"/>
        </w:rPr>
        <w:t xml:space="preserve">Sources: </w:t>
      </w:r>
      <w:proofErr w:type="spellStart"/>
      <w:r w:rsidRPr="00CE7EB9">
        <w:rPr>
          <w:rFonts w:ascii="Arial" w:hAnsi="Arial" w:cs="Arial"/>
          <w:i/>
          <w:iCs/>
          <w:sz w:val="22"/>
        </w:rPr>
        <w:t>Luk</w:t>
      </w:r>
      <w:proofErr w:type="spellEnd"/>
      <w:r w:rsidRPr="00CE7EB9">
        <w:rPr>
          <w:rFonts w:ascii="Arial" w:hAnsi="Arial" w:cs="Arial"/>
          <w:i/>
          <w:iCs/>
          <w:sz w:val="22"/>
        </w:rPr>
        <w:t xml:space="preserve"> </w:t>
      </w:r>
      <w:r>
        <w:rPr>
          <w:rFonts w:ascii="Arial" w:hAnsi="Arial" w:cs="Arial"/>
          <w:i/>
          <w:iCs/>
          <w:sz w:val="22"/>
        </w:rPr>
        <w:t>F</w:t>
      </w:r>
      <w:r w:rsidRPr="00CE7EB9">
        <w:rPr>
          <w:rFonts w:ascii="Arial" w:hAnsi="Arial" w:cs="Arial"/>
          <w:i/>
          <w:iCs/>
          <w:sz w:val="22"/>
        </w:rPr>
        <w:t>ook Holdings (</w:t>
      </w:r>
      <w:proofErr w:type="gramStart"/>
      <w:r w:rsidRPr="00CE7EB9">
        <w:rPr>
          <w:rFonts w:ascii="Arial" w:hAnsi="Arial" w:cs="Arial"/>
          <w:i/>
          <w:iCs/>
          <w:sz w:val="22"/>
        </w:rPr>
        <w:t>International )</w:t>
      </w:r>
      <w:proofErr w:type="gramEnd"/>
      <w:r w:rsidRPr="00CE7EB9">
        <w:rPr>
          <w:rFonts w:ascii="Arial" w:hAnsi="Arial" w:cs="Arial"/>
          <w:i/>
          <w:iCs/>
          <w:sz w:val="22"/>
        </w:rPr>
        <w:t xml:space="preserve"> Limited (</w:t>
      </w:r>
      <w:r>
        <w:rPr>
          <w:rFonts w:ascii="Arial" w:hAnsi="Arial" w:cs="Arial"/>
          <w:i/>
          <w:iCs/>
          <w:sz w:val="22"/>
        </w:rPr>
        <w:t>2019,2020,2021)</w:t>
      </w:r>
      <w:r w:rsidRPr="00CE7EB9">
        <w:rPr>
          <w:rFonts w:ascii="Arial" w:hAnsi="Arial" w:cs="Arial"/>
          <w:i/>
          <w:iCs/>
          <w:sz w:val="22"/>
        </w:rPr>
        <w:t xml:space="preserve">; Chow Sang </w:t>
      </w:r>
      <w:proofErr w:type="spellStart"/>
      <w:r w:rsidRPr="00CE7EB9">
        <w:rPr>
          <w:rFonts w:ascii="Arial" w:hAnsi="Arial" w:cs="Arial"/>
          <w:i/>
          <w:iCs/>
          <w:sz w:val="22"/>
        </w:rPr>
        <w:t>Sang</w:t>
      </w:r>
      <w:proofErr w:type="spellEnd"/>
      <w:r w:rsidRPr="00CE7EB9">
        <w:rPr>
          <w:rFonts w:ascii="Arial" w:hAnsi="Arial" w:cs="Arial"/>
          <w:i/>
          <w:iCs/>
          <w:sz w:val="22"/>
        </w:rPr>
        <w:t xml:space="preserve"> Holdings International Limited (201</w:t>
      </w:r>
      <w:r>
        <w:rPr>
          <w:rFonts w:ascii="Arial" w:hAnsi="Arial" w:cs="Arial"/>
          <w:i/>
          <w:iCs/>
          <w:sz w:val="22"/>
        </w:rPr>
        <w:t>9</w:t>
      </w:r>
      <w:r w:rsidRPr="00CE7EB9">
        <w:rPr>
          <w:rFonts w:ascii="Arial" w:hAnsi="Arial" w:cs="Arial"/>
          <w:i/>
          <w:iCs/>
          <w:sz w:val="22"/>
        </w:rPr>
        <w:t>;20</w:t>
      </w:r>
      <w:r>
        <w:rPr>
          <w:rFonts w:ascii="Arial" w:hAnsi="Arial" w:cs="Arial"/>
          <w:i/>
          <w:iCs/>
          <w:sz w:val="22"/>
        </w:rPr>
        <w:t>20</w:t>
      </w:r>
      <w:r w:rsidRPr="00CE7EB9">
        <w:rPr>
          <w:rFonts w:ascii="Arial" w:hAnsi="Arial" w:cs="Arial"/>
          <w:i/>
          <w:iCs/>
          <w:sz w:val="22"/>
        </w:rPr>
        <w:t>;202</w:t>
      </w:r>
      <w:r>
        <w:rPr>
          <w:rFonts w:ascii="Arial" w:hAnsi="Arial" w:cs="Arial"/>
          <w:i/>
          <w:iCs/>
          <w:sz w:val="22"/>
        </w:rPr>
        <w:t>1</w:t>
      </w:r>
      <w:r w:rsidRPr="00CE7EB9">
        <w:rPr>
          <w:rFonts w:ascii="Arial" w:hAnsi="Arial" w:cs="Arial"/>
          <w:i/>
          <w:iCs/>
          <w:sz w:val="22"/>
        </w:rPr>
        <w:t xml:space="preserve">); </w:t>
      </w:r>
      <w:r w:rsidRPr="00CE7EB9">
        <w:rPr>
          <w:rFonts w:ascii="Arial" w:hAnsi="Arial" w:cs="Arial"/>
          <w:i/>
          <w:iCs/>
          <w:sz w:val="22"/>
          <w:szCs w:val="20"/>
        </w:rPr>
        <w:t xml:space="preserve">Tse Sui Luen Jewellery </w:t>
      </w:r>
      <w:r>
        <w:rPr>
          <w:rFonts w:ascii="Arial" w:hAnsi="Arial" w:cs="Arial"/>
          <w:i/>
          <w:iCs/>
          <w:sz w:val="22"/>
          <w:szCs w:val="20"/>
        </w:rPr>
        <w:t>(I</w:t>
      </w:r>
      <w:r w:rsidRPr="00CE7EB9">
        <w:rPr>
          <w:rFonts w:ascii="Arial" w:hAnsi="Arial" w:cs="Arial"/>
          <w:i/>
          <w:iCs/>
          <w:sz w:val="22"/>
          <w:szCs w:val="20"/>
        </w:rPr>
        <w:t xml:space="preserve">nternational) Limited </w:t>
      </w:r>
      <w:r w:rsidRPr="00CE7EB9">
        <w:rPr>
          <w:rFonts w:ascii="Arial" w:hAnsi="Arial" w:cs="Arial"/>
          <w:i/>
          <w:iCs/>
          <w:sz w:val="22"/>
        </w:rPr>
        <w:t>(201</w:t>
      </w:r>
      <w:r>
        <w:rPr>
          <w:rFonts w:ascii="Arial" w:hAnsi="Arial" w:cs="Arial"/>
          <w:i/>
          <w:iCs/>
          <w:sz w:val="22"/>
        </w:rPr>
        <w:t>9</w:t>
      </w:r>
      <w:r w:rsidRPr="00CE7EB9">
        <w:rPr>
          <w:rFonts w:ascii="Arial" w:hAnsi="Arial" w:cs="Arial"/>
          <w:i/>
          <w:iCs/>
          <w:sz w:val="22"/>
        </w:rPr>
        <w:t>;20</w:t>
      </w:r>
      <w:r>
        <w:rPr>
          <w:rFonts w:ascii="Arial" w:hAnsi="Arial" w:cs="Arial"/>
          <w:i/>
          <w:iCs/>
          <w:sz w:val="22"/>
        </w:rPr>
        <w:t>20</w:t>
      </w:r>
      <w:r w:rsidRPr="00CE7EB9">
        <w:rPr>
          <w:rFonts w:ascii="Arial" w:hAnsi="Arial" w:cs="Arial"/>
          <w:i/>
          <w:iCs/>
          <w:sz w:val="22"/>
        </w:rPr>
        <w:t>;202</w:t>
      </w:r>
      <w:r>
        <w:rPr>
          <w:rFonts w:ascii="Arial" w:hAnsi="Arial" w:cs="Arial"/>
          <w:i/>
          <w:iCs/>
          <w:sz w:val="22"/>
        </w:rPr>
        <w:t>1</w:t>
      </w:r>
      <w:r w:rsidRPr="00CE7EB9">
        <w:rPr>
          <w:rFonts w:ascii="Arial" w:hAnsi="Arial" w:cs="Arial"/>
          <w:i/>
          <w:iCs/>
          <w:sz w:val="22"/>
        </w:rPr>
        <w:t>)</w:t>
      </w:r>
    </w:p>
    <w:p w14:paraId="17B69953" w14:textId="507D9B50" w:rsidR="005F285B" w:rsidRDefault="005F285B" w:rsidP="005F285B">
      <w:pPr>
        <w:rPr>
          <w:rFonts w:ascii="Arial" w:hAnsi="Arial" w:cs="Arial"/>
          <w:i/>
          <w:iCs/>
          <w:sz w:val="22"/>
        </w:rPr>
      </w:pPr>
    </w:p>
    <w:p w14:paraId="7DBC3C60" w14:textId="77777777" w:rsidR="00B77F87" w:rsidRPr="00CE7EB9" w:rsidRDefault="00B77F87" w:rsidP="005F285B">
      <w:pPr>
        <w:rPr>
          <w:rFonts w:ascii="Arial" w:hAnsi="Arial" w:cs="Arial"/>
          <w:i/>
          <w:iCs/>
          <w:sz w:val="22"/>
        </w:rPr>
      </w:pPr>
    </w:p>
    <w:p w14:paraId="7ACA05EC" w14:textId="7B66F197" w:rsidR="00221BCB" w:rsidRPr="002C0C4D" w:rsidRDefault="00B77F87" w:rsidP="0049372B">
      <w:pPr>
        <w:spacing w:line="360" w:lineRule="auto"/>
        <w:rPr>
          <w:rFonts w:ascii="Arial" w:hAnsi="Arial" w:cs="Arial"/>
          <w:i/>
          <w:iCs/>
          <w:szCs w:val="24"/>
        </w:rPr>
      </w:pPr>
      <w:r w:rsidRPr="002C0C4D">
        <w:rPr>
          <w:rFonts w:ascii="Arial" w:hAnsi="Arial" w:cs="Arial"/>
          <w:i/>
          <w:iCs/>
          <w:szCs w:val="24"/>
        </w:rPr>
        <w:lastRenderedPageBreak/>
        <w:t>4</w:t>
      </w:r>
      <w:r w:rsidR="00221BCB" w:rsidRPr="002C0C4D">
        <w:rPr>
          <w:rFonts w:ascii="Arial" w:hAnsi="Arial" w:cs="Arial"/>
          <w:i/>
          <w:iCs/>
          <w:szCs w:val="24"/>
        </w:rPr>
        <w:t xml:space="preserve">.2 </w:t>
      </w:r>
      <w:r w:rsidR="005811A1" w:rsidRPr="002C0C4D">
        <w:rPr>
          <w:rFonts w:ascii="Arial" w:hAnsi="Arial" w:cs="Arial"/>
          <w:i/>
          <w:iCs/>
          <w:szCs w:val="24"/>
        </w:rPr>
        <w:t>Bankruptcy Index (</w:t>
      </w:r>
      <w:r w:rsidR="00147DB8" w:rsidRPr="002C0C4D">
        <w:rPr>
          <w:rFonts w:ascii="Arial" w:hAnsi="Arial" w:cs="Arial"/>
          <w:i/>
          <w:iCs/>
          <w:szCs w:val="24"/>
        </w:rPr>
        <w:t xml:space="preserve">Altman </w:t>
      </w:r>
      <w:r w:rsidR="005811A1" w:rsidRPr="002C0C4D">
        <w:rPr>
          <w:rFonts w:ascii="Arial" w:hAnsi="Arial" w:cs="Arial"/>
          <w:i/>
          <w:iCs/>
          <w:szCs w:val="24"/>
        </w:rPr>
        <w:t>Z-Score)</w:t>
      </w:r>
    </w:p>
    <w:p w14:paraId="71192F06" w14:textId="739867EA" w:rsidR="00D57A59" w:rsidRPr="00B77F87" w:rsidRDefault="009B6CF7" w:rsidP="0049372B">
      <w:pPr>
        <w:spacing w:line="360" w:lineRule="auto"/>
        <w:rPr>
          <w:rFonts w:ascii="Arial" w:hAnsi="Arial" w:cs="Arial"/>
          <w:sz w:val="22"/>
        </w:rPr>
      </w:pPr>
      <w:proofErr w:type="gramStart"/>
      <w:r w:rsidRPr="00CE7EB9">
        <w:rPr>
          <w:rFonts w:ascii="Arial" w:hAnsi="Arial" w:cs="Arial"/>
          <w:szCs w:val="24"/>
        </w:rPr>
        <w:t>In order to</w:t>
      </w:r>
      <w:proofErr w:type="gramEnd"/>
      <w:r w:rsidRPr="00CE7EB9">
        <w:rPr>
          <w:rFonts w:ascii="Arial" w:hAnsi="Arial" w:cs="Arial"/>
          <w:szCs w:val="24"/>
        </w:rPr>
        <w:t xml:space="preserve"> review the overall performance of a company, </w:t>
      </w:r>
      <w:r w:rsidR="00B77F87">
        <w:rPr>
          <w:rFonts w:ascii="Arial" w:hAnsi="Arial" w:cs="Arial"/>
          <w:szCs w:val="24"/>
        </w:rPr>
        <w:t>a</w:t>
      </w:r>
      <w:r w:rsidR="00147DB8" w:rsidRPr="00CE7EB9">
        <w:rPr>
          <w:rFonts w:ascii="Arial" w:hAnsi="Arial" w:cs="Arial"/>
          <w:szCs w:val="24"/>
        </w:rPr>
        <w:t xml:space="preserve">n Altman Z-Score </w:t>
      </w:r>
      <w:r w:rsidRPr="00CE7EB9">
        <w:rPr>
          <w:rFonts w:ascii="Arial" w:hAnsi="Arial" w:cs="Arial"/>
          <w:szCs w:val="24"/>
        </w:rPr>
        <w:t xml:space="preserve">could be used. It </w:t>
      </w:r>
      <w:r w:rsidR="008757EE" w:rsidRPr="00CE7EB9">
        <w:rPr>
          <w:rFonts w:ascii="Arial" w:hAnsi="Arial" w:cs="Arial"/>
          <w:szCs w:val="24"/>
        </w:rPr>
        <w:t>was first set up in 1968</w:t>
      </w:r>
      <w:r w:rsidR="00E44558" w:rsidRPr="00CE7EB9">
        <w:rPr>
          <w:rFonts w:ascii="Arial" w:hAnsi="Arial" w:cs="Arial"/>
          <w:szCs w:val="24"/>
        </w:rPr>
        <w:t xml:space="preserve"> by </w:t>
      </w:r>
      <w:r w:rsidR="00FA64D0" w:rsidRPr="00CE7EB9">
        <w:rPr>
          <w:rFonts w:ascii="Arial" w:hAnsi="Arial" w:cs="Arial"/>
          <w:szCs w:val="24"/>
        </w:rPr>
        <w:t xml:space="preserve">Professor Edward Altman </w:t>
      </w:r>
      <w:r w:rsidR="00B7266C" w:rsidRPr="00CE7EB9">
        <w:rPr>
          <w:rFonts w:ascii="Arial" w:hAnsi="Arial" w:cs="Arial"/>
          <w:szCs w:val="24"/>
        </w:rPr>
        <w:t>to depict the likelihood of bankruptcy of a company (</w:t>
      </w:r>
      <w:r w:rsidR="00120376" w:rsidRPr="00CE7EB9">
        <w:rPr>
          <w:rFonts w:ascii="Arial" w:hAnsi="Arial" w:cs="Arial"/>
          <w:szCs w:val="24"/>
        </w:rPr>
        <w:t>Batchelor, 2018)</w:t>
      </w:r>
      <w:r w:rsidR="00A71CB7" w:rsidRPr="00CE7EB9">
        <w:rPr>
          <w:rFonts w:ascii="Arial" w:hAnsi="Arial" w:cs="Arial"/>
          <w:szCs w:val="24"/>
        </w:rPr>
        <w:t xml:space="preserve">. A Z-Score lower than 1.81 indicates </w:t>
      </w:r>
      <w:r w:rsidR="00A04F09" w:rsidRPr="00CE7EB9">
        <w:rPr>
          <w:rFonts w:ascii="Arial" w:hAnsi="Arial" w:cs="Arial"/>
          <w:szCs w:val="24"/>
        </w:rPr>
        <w:t xml:space="preserve">a strong likelihood of bankruptcy whereas a score of greater than 2.99 indicates a less likelihood. </w:t>
      </w:r>
      <w:r w:rsidR="00AB62A6" w:rsidRPr="00CE7EB9">
        <w:rPr>
          <w:rFonts w:ascii="Arial" w:hAnsi="Arial" w:cs="Arial"/>
          <w:szCs w:val="24"/>
        </w:rPr>
        <w:t xml:space="preserve">The Z-score is calculated based on the financial indicators in Table </w:t>
      </w:r>
      <w:r w:rsidR="00847672" w:rsidRPr="00CE7EB9">
        <w:rPr>
          <w:rFonts w:ascii="Arial" w:hAnsi="Arial" w:cs="Arial"/>
          <w:szCs w:val="24"/>
        </w:rPr>
        <w:t>4</w:t>
      </w:r>
      <w:r w:rsidR="00AB62A6" w:rsidRPr="00CE7EB9">
        <w:rPr>
          <w:rFonts w:ascii="Arial" w:hAnsi="Arial" w:cs="Arial"/>
          <w:szCs w:val="24"/>
        </w:rPr>
        <w:t xml:space="preserve">. </w:t>
      </w:r>
      <w:r w:rsidR="00847672" w:rsidRPr="00CE7EB9">
        <w:rPr>
          <w:rFonts w:ascii="Arial" w:hAnsi="Arial" w:cs="Arial"/>
          <w:szCs w:val="24"/>
        </w:rPr>
        <w:br/>
      </w:r>
      <w:r w:rsidR="00AA0766" w:rsidRPr="00CE7EB9">
        <w:rPr>
          <w:rFonts w:ascii="Arial" w:hAnsi="Arial" w:cs="Arial"/>
          <w:szCs w:val="24"/>
        </w:rPr>
        <w:br/>
      </w:r>
      <w:r w:rsidR="00EF2ABF" w:rsidRPr="00B77F87">
        <w:rPr>
          <w:rFonts w:ascii="Arial" w:hAnsi="Arial" w:cs="Arial"/>
          <w:sz w:val="22"/>
        </w:rPr>
        <w:t xml:space="preserve">Table </w:t>
      </w:r>
      <w:r w:rsidR="00847672" w:rsidRPr="00B77F87">
        <w:rPr>
          <w:rFonts w:ascii="Arial" w:hAnsi="Arial" w:cs="Arial"/>
          <w:sz w:val="22"/>
        </w:rPr>
        <w:t>4.</w:t>
      </w:r>
      <w:r w:rsidR="00EF2ABF" w:rsidRPr="00B77F87">
        <w:rPr>
          <w:rFonts w:ascii="Arial" w:hAnsi="Arial" w:cs="Arial"/>
          <w:sz w:val="22"/>
        </w:rPr>
        <w:t xml:space="preserve"> </w:t>
      </w:r>
      <w:r w:rsidR="006F3687" w:rsidRPr="00B77F87">
        <w:rPr>
          <w:rFonts w:ascii="Arial" w:hAnsi="Arial" w:cs="Arial"/>
          <w:sz w:val="22"/>
        </w:rPr>
        <w:t>Financial indicators for the bankruptcy ratio</w:t>
      </w:r>
    </w:p>
    <w:p w14:paraId="587FAAE9" w14:textId="0484B155" w:rsidR="007A66B5" w:rsidRPr="00CE7EB9" w:rsidRDefault="002501EB" w:rsidP="0049372B">
      <w:pPr>
        <w:spacing w:line="360" w:lineRule="auto"/>
        <w:rPr>
          <w:rFonts w:ascii="Arial" w:hAnsi="Arial" w:cs="Arial"/>
          <w:szCs w:val="24"/>
          <w:highlight w:val="yellow"/>
        </w:rPr>
      </w:pPr>
      <w:r w:rsidRPr="00CE7EB9">
        <w:rPr>
          <w:noProof/>
        </w:rPr>
        <w:drawing>
          <wp:inline distT="0" distB="0" distL="0" distR="0" wp14:anchorId="7193BABB" wp14:editId="3D6DA1A9">
            <wp:extent cx="5651617" cy="2686929"/>
            <wp:effectExtent l="0" t="0" r="635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13"/>
                    <a:srcRect l="19847" t="24897" r="8443" b="14492"/>
                    <a:stretch/>
                  </pic:blipFill>
                  <pic:spPr bwMode="auto">
                    <a:xfrm>
                      <a:off x="0" y="0"/>
                      <a:ext cx="5661653" cy="2691700"/>
                    </a:xfrm>
                    <a:prstGeom prst="rect">
                      <a:avLst/>
                    </a:prstGeom>
                    <a:ln>
                      <a:noFill/>
                    </a:ln>
                    <a:extLst>
                      <a:ext uri="{53640926-AAD7-44D8-BBD7-CCE9431645EC}">
                        <a14:shadowObscured xmlns:a14="http://schemas.microsoft.com/office/drawing/2010/main"/>
                      </a:ext>
                    </a:extLst>
                  </pic:spPr>
                </pic:pic>
              </a:graphicData>
            </a:graphic>
          </wp:inline>
        </w:drawing>
      </w:r>
    </w:p>
    <w:p w14:paraId="6A0A1D69" w14:textId="736E1A6C" w:rsidR="00BF01C3" w:rsidRPr="00CE7EB9" w:rsidRDefault="00067E6C" w:rsidP="00692AE8">
      <w:pPr>
        <w:rPr>
          <w:rFonts w:ascii="Arial" w:hAnsi="Arial" w:cs="Arial"/>
          <w:sz w:val="20"/>
          <w:szCs w:val="20"/>
        </w:rPr>
      </w:pPr>
      <w:r w:rsidRPr="00CE7EB9">
        <w:rPr>
          <w:rFonts w:ascii="Arial" w:hAnsi="Arial" w:cs="Arial"/>
          <w:sz w:val="20"/>
          <w:szCs w:val="20"/>
        </w:rPr>
        <w:t xml:space="preserve">Note 1: </w:t>
      </w:r>
      <w:r w:rsidR="005556ED" w:rsidRPr="00CE7EB9">
        <w:rPr>
          <w:rFonts w:ascii="Arial" w:hAnsi="Arial" w:cs="Arial"/>
          <w:sz w:val="20"/>
          <w:szCs w:val="20"/>
        </w:rPr>
        <w:t>for the period of 2019/2020 Financial Year, monthly averaged of the adjusted close value (Appendix 1)</w:t>
      </w:r>
      <w:r w:rsidR="00BF01C3" w:rsidRPr="00CE7EB9">
        <w:rPr>
          <w:rFonts w:ascii="Arial" w:hAnsi="Arial" w:cs="Arial"/>
          <w:sz w:val="20"/>
          <w:szCs w:val="20"/>
        </w:rPr>
        <w:br/>
      </w:r>
      <w:r w:rsidR="00BF01C3" w:rsidRPr="00CE7EB9">
        <w:rPr>
          <w:rFonts w:ascii="Arial" w:hAnsi="Arial" w:cs="Arial"/>
          <w:i/>
          <w:iCs/>
          <w:sz w:val="22"/>
        </w:rPr>
        <w:t xml:space="preserve">Sources: </w:t>
      </w:r>
      <w:proofErr w:type="spellStart"/>
      <w:r w:rsidR="00BF01C3" w:rsidRPr="00CE7EB9">
        <w:rPr>
          <w:rFonts w:ascii="Arial" w:hAnsi="Arial" w:cs="Arial"/>
          <w:i/>
          <w:iCs/>
          <w:sz w:val="22"/>
        </w:rPr>
        <w:t>Luk</w:t>
      </w:r>
      <w:proofErr w:type="spellEnd"/>
      <w:r w:rsidR="00BF01C3" w:rsidRPr="00CE7EB9">
        <w:rPr>
          <w:rFonts w:ascii="Arial" w:hAnsi="Arial" w:cs="Arial"/>
          <w:i/>
          <w:iCs/>
          <w:sz w:val="22"/>
        </w:rPr>
        <w:t xml:space="preserve"> </w:t>
      </w:r>
      <w:r w:rsidR="005C3B4B">
        <w:rPr>
          <w:rFonts w:ascii="Arial" w:hAnsi="Arial" w:cs="Arial"/>
          <w:i/>
          <w:iCs/>
          <w:sz w:val="22"/>
        </w:rPr>
        <w:t>F</w:t>
      </w:r>
      <w:r w:rsidR="00BF01C3" w:rsidRPr="00CE7EB9">
        <w:rPr>
          <w:rFonts w:ascii="Arial" w:hAnsi="Arial" w:cs="Arial"/>
          <w:i/>
          <w:iCs/>
          <w:sz w:val="22"/>
        </w:rPr>
        <w:t>ook Holdings (</w:t>
      </w:r>
      <w:proofErr w:type="gramStart"/>
      <w:r w:rsidR="00BF01C3" w:rsidRPr="00CE7EB9">
        <w:rPr>
          <w:rFonts w:ascii="Arial" w:hAnsi="Arial" w:cs="Arial"/>
          <w:i/>
          <w:iCs/>
          <w:sz w:val="22"/>
        </w:rPr>
        <w:t>International )</w:t>
      </w:r>
      <w:proofErr w:type="gramEnd"/>
      <w:r w:rsidR="00BF01C3" w:rsidRPr="00CE7EB9">
        <w:rPr>
          <w:rFonts w:ascii="Arial" w:hAnsi="Arial" w:cs="Arial"/>
          <w:i/>
          <w:iCs/>
          <w:sz w:val="22"/>
        </w:rPr>
        <w:t xml:space="preserve"> Limited (</w:t>
      </w:r>
      <w:r w:rsidR="005C3B4B">
        <w:rPr>
          <w:rFonts w:ascii="Arial" w:hAnsi="Arial" w:cs="Arial"/>
          <w:i/>
          <w:iCs/>
          <w:sz w:val="22"/>
        </w:rPr>
        <w:t>2019,2020,2021)</w:t>
      </w:r>
      <w:r w:rsidR="00BF01C3" w:rsidRPr="00CE7EB9">
        <w:rPr>
          <w:rFonts w:ascii="Arial" w:hAnsi="Arial" w:cs="Arial"/>
          <w:i/>
          <w:iCs/>
          <w:sz w:val="22"/>
        </w:rPr>
        <w:t xml:space="preserve">; Chow Sang </w:t>
      </w:r>
      <w:proofErr w:type="spellStart"/>
      <w:r w:rsidR="00BF01C3" w:rsidRPr="00CE7EB9">
        <w:rPr>
          <w:rFonts w:ascii="Arial" w:hAnsi="Arial" w:cs="Arial"/>
          <w:i/>
          <w:iCs/>
          <w:sz w:val="22"/>
        </w:rPr>
        <w:t>Sang</w:t>
      </w:r>
      <w:proofErr w:type="spellEnd"/>
      <w:r w:rsidR="00BF01C3" w:rsidRPr="00CE7EB9">
        <w:rPr>
          <w:rFonts w:ascii="Arial" w:hAnsi="Arial" w:cs="Arial"/>
          <w:i/>
          <w:iCs/>
          <w:sz w:val="22"/>
        </w:rPr>
        <w:t xml:space="preserve"> Holdings International Limited (201</w:t>
      </w:r>
      <w:r w:rsidR="005C3B4B">
        <w:rPr>
          <w:rFonts w:ascii="Arial" w:hAnsi="Arial" w:cs="Arial"/>
          <w:i/>
          <w:iCs/>
          <w:sz w:val="22"/>
        </w:rPr>
        <w:t>9</w:t>
      </w:r>
      <w:r w:rsidR="00BF01C3" w:rsidRPr="00CE7EB9">
        <w:rPr>
          <w:rFonts w:ascii="Arial" w:hAnsi="Arial" w:cs="Arial"/>
          <w:i/>
          <w:iCs/>
          <w:sz w:val="22"/>
        </w:rPr>
        <w:t>;20</w:t>
      </w:r>
      <w:r w:rsidR="005C3B4B">
        <w:rPr>
          <w:rFonts w:ascii="Arial" w:hAnsi="Arial" w:cs="Arial"/>
          <w:i/>
          <w:iCs/>
          <w:sz w:val="22"/>
        </w:rPr>
        <w:t>20</w:t>
      </w:r>
      <w:r w:rsidR="00BF01C3" w:rsidRPr="00CE7EB9">
        <w:rPr>
          <w:rFonts w:ascii="Arial" w:hAnsi="Arial" w:cs="Arial"/>
          <w:i/>
          <w:iCs/>
          <w:sz w:val="22"/>
        </w:rPr>
        <w:t>;202</w:t>
      </w:r>
      <w:r w:rsidR="005C3B4B">
        <w:rPr>
          <w:rFonts w:ascii="Arial" w:hAnsi="Arial" w:cs="Arial"/>
          <w:i/>
          <w:iCs/>
          <w:sz w:val="22"/>
        </w:rPr>
        <w:t>1</w:t>
      </w:r>
      <w:r w:rsidR="00BF01C3" w:rsidRPr="00CE7EB9">
        <w:rPr>
          <w:rFonts w:ascii="Arial" w:hAnsi="Arial" w:cs="Arial"/>
          <w:i/>
          <w:iCs/>
          <w:sz w:val="22"/>
        </w:rPr>
        <w:t xml:space="preserve">); </w:t>
      </w:r>
      <w:r w:rsidR="00BF01C3" w:rsidRPr="00CE7EB9">
        <w:rPr>
          <w:rFonts w:ascii="Arial" w:hAnsi="Arial" w:cs="Arial"/>
          <w:i/>
          <w:iCs/>
          <w:sz w:val="22"/>
          <w:szCs w:val="20"/>
        </w:rPr>
        <w:t xml:space="preserve">Tse Sui Luen Jewellery </w:t>
      </w:r>
      <w:r w:rsidR="005C3B4B">
        <w:rPr>
          <w:rFonts w:ascii="Arial" w:hAnsi="Arial" w:cs="Arial"/>
          <w:i/>
          <w:iCs/>
          <w:sz w:val="22"/>
          <w:szCs w:val="20"/>
        </w:rPr>
        <w:t>(</w:t>
      </w:r>
      <w:r w:rsidR="00241F47">
        <w:rPr>
          <w:rFonts w:ascii="Arial" w:hAnsi="Arial" w:cs="Arial"/>
          <w:i/>
          <w:iCs/>
          <w:sz w:val="22"/>
          <w:szCs w:val="20"/>
        </w:rPr>
        <w:t>I</w:t>
      </w:r>
      <w:r w:rsidR="00BF01C3" w:rsidRPr="00CE7EB9">
        <w:rPr>
          <w:rFonts w:ascii="Arial" w:hAnsi="Arial" w:cs="Arial"/>
          <w:i/>
          <w:iCs/>
          <w:sz w:val="22"/>
          <w:szCs w:val="20"/>
        </w:rPr>
        <w:t xml:space="preserve">nternational) Limited </w:t>
      </w:r>
      <w:r w:rsidR="005C3B4B" w:rsidRPr="00CE7EB9">
        <w:rPr>
          <w:rFonts w:ascii="Arial" w:hAnsi="Arial" w:cs="Arial"/>
          <w:i/>
          <w:iCs/>
          <w:sz w:val="22"/>
        </w:rPr>
        <w:t>(201</w:t>
      </w:r>
      <w:r w:rsidR="005C3B4B">
        <w:rPr>
          <w:rFonts w:ascii="Arial" w:hAnsi="Arial" w:cs="Arial"/>
          <w:i/>
          <w:iCs/>
          <w:sz w:val="22"/>
        </w:rPr>
        <w:t>9</w:t>
      </w:r>
      <w:r w:rsidR="005C3B4B" w:rsidRPr="00CE7EB9">
        <w:rPr>
          <w:rFonts w:ascii="Arial" w:hAnsi="Arial" w:cs="Arial"/>
          <w:i/>
          <w:iCs/>
          <w:sz w:val="22"/>
        </w:rPr>
        <w:t>;20</w:t>
      </w:r>
      <w:r w:rsidR="005C3B4B">
        <w:rPr>
          <w:rFonts w:ascii="Arial" w:hAnsi="Arial" w:cs="Arial"/>
          <w:i/>
          <w:iCs/>
          <w:sz w:val="22"/>
        </w:rPr>
        <w:t>20</w:t>
      </w:r>
      <w:r w:rsidR="005C3B4B" w:rsidRPr="00CE7EB9">
        <w:rPr>
          <w:rFonts w:ascii="Arial" w:hAnsi="Arial" w:cs="Arial"/>
          <w:i/>
          <w:iCs/>
          <w:sz w:val="22"/>
        </w:rPr>
        <w:t>;202</w:t>
      </w:r>
      <w:r w:rsidR="005C3B4B">
        <w:rPr>
          <w:rFonts w:ascii="Arial" w:hAnsi="Arial" w:cs="Arial"/>
          <w:i/>
          <w:iCs/>
          <w:sz w:val="22"/>
        </w:rPr>
        <w:t>1</w:t>
      </w:r>
      <w:r w:rsidR="005C3B4B" w:rsidRPr="00CE7EB9">
        <w:rPr>
          <w:rFonts w:ascii="Arial" w:hAnsi="Arial" w:cs="Arial"/>
          <w:i/>
          <w:iCs/>
          <w:sz w:val="22"/>
        </w:rPr>
        <w:t>)</w:t>
      </w:r>
    </w:p>
    <w:p w14:paraId="479FD770" w14:textId="405ABEB7" w:rsidR="00692AE8" w:rsidRPr="00CE7EB9" w:rsidRDefault="00692AE8" w:rsidP="00692AE8">
      <w:pPr>
        <w:rPr>
          <w:rFonts w:ascii="Arial" w:hAnsi="Arial" w:cs="Arial"/>
          <w:sz w:val="20"/>
          <w:szCs w:val="20"/>
          <w:highlight w:val="yellow"/>
        </w:rPr>
      </w:pPr>
    </w:p>
    <w:p w14:paraId="74534EF1" w14:textId="7FE31872" w:rsidR="00692AE8" w:rsidRPr="00CE7EB9" w:rsidRDefault="00692AE8" w:rsidP="00847672">
      <w:pPr>
        <w:spacing w:line="360" w:lineRule="auto"/>
        <w:rPr>
          <w:rFonts w:ascii="Arial" w:hAnsi="Arial" w:cs="Arial"/>
          <w:szCs w:val="24"/>
        </w:rPr>
      </w:pPr>
      <w:r w:rsidRPr="00CE7EB9">
        <w:rPr>
          <w:rFonts w:ascii="Arial" w:hAnsi="Arial" w:cs="Arial"/>
          <w:szCs w:val="24"/>
        </w:rPr>
        <w:t xml:space="preserve">Using the above figures, a Z Score can be </w:t>
      </w:r>
      <w:r w:rsidR="00926CE9" w:rsidRPr="00CE7EB9">
        <w:rPr>
          <w:rFonts w:ascii="Arial" w:hAnsi="Arial" w:cs="Arial"/>
          <w:szCs w:val="24"/>
        </w:rPr>
        <w:t>derived through a formula:</w:t>
      </w:r>
      <w:r w:rsidR="00926CE9" w:rsidRPr="00CE7EB9">
        <w:rPr>
          <w:rFonts w:ascii="Arial" w:hAnsi="Arial" w:cs="Arial"/>
          <w:szCs w:val="24"/>
        </w:rPr>
        <w:br/>
        <w:t>Z score</w:t>
      </w:r>
      <w:r w:rsidR="00D81C80" w:rsidRPr="00CE7EB9">
        <w:rPr>
          <w:rFonts w:ascii="Arial" w:hAnsi="Arial" w:cs="Arial"/>
          <w:szCs w:val="24"/>
        </w:rPr>
        <w:t xml:space="preserve"> = 1.2A+1.4B+ 3.3C+0.6D+0.999E, where A</w:t>
      </w:r>
      <w:r w:rsidR="0021460F" w:rsidRPr="00CE7EB9">
        <w:rPr>
          <w:rFonts w:ascii="Arial" w:hAnsi="Arial" w:cs="Arial"/>
          <w:szCs w:val="24"/>
        </w:rPr>
        <w:t xml:space="preserve"> = working capital/ total assets; B= retained earnings/total assets; C=EBIT/total assets; D=</w:t>
      </w:r>
      <w:r w:rsidR="00EF2ABF" w:rsidRPr="00CE7EB9">
        <w:rPr>
          <w:rFonts w:ascii="Arial" w:hAnsi="Arial" w:cs="Arial"/>
          <w:szCs w:val="24"/>
        </w:rPr>
        <w:t xml:space="preserve"> (stock value x total number of stock)/ total liabilities; and E= Sales/ total assets</w:t>
      </w:r>
    </w:p>
    <w:p w14:paraId="5120E311" w14:textId="2B261058" w:rsidR="00AA0766" w:rsidRPr="00B77F87" w:rsidRDefault="006F3687" w:rsidP="00AA0766">
      <w:pPr>
        <w:rPr>
          <w:rFonts w:ascii="Arial" w:hAnsi="Arial" w:cs="Arial"/>
          <w:sz w:val="22"/>
        </w:rPr>
      </w:pPr>
      <w:r w:rsidRPr="00B77F87">
        <w:rPr>
          <w:rFonts w:ascii="Arial" w:hAnsi="Arial" w:cs="Arial"/>
          <w:sz w:val="22"/>
        </w:rPr>
        <w:t xml:space="preserve">Table </w:t>
      </w:r>
      <w:r w:rsidR="00847672" w:rsidRPr="00B77F87">
        <w:rPr>
          <w:rFonts w:ascii="Arial" w:hAnsi="Arial" w:cs="Arial"/>
          <w:sz w:val="22"/>
        </w:rPr>
        <w:t>5.</w:t>
      </w:r>
      <w:r w:rsidRPr="00B77F87">
        <w:rPr>
          <w:rFonts w:ascii="Arial" w:hAnsi="Arial" w:cs="Arial"/>
          <w:sz w:val="22"/>
        </w:rPr>
        <w:t xml:space="preserve"> Z Score and indicators  </w:t>
      </w:r>
    </w:p>
    <w:p w14:paraId="126BDA86" w14:textId="7399FA9B" w:rsidR="00AA0766" w:rsidRPr="00CE7EB9" w:rsidRDefault="00AA0766" w:rsidP="005556ED">
      <w:pPr>
        <w:spacing w:line="360" w:lineRule="auto"/>
        <w:rPr>
          <w:rFonts w:ascii="Arial" w:hAnsi="Arial" w:cs="Arial"/>
          <w:szCs w:val="24"/>
          <w:highlight w:val="yellow"/>
        </w:rPr>
      </w:pPr>
      <w:r w:rsidRPr="00CE7EB9">
        <w:rPr>
          <w:noProof/>
        </w:rPr>
        <w:lastRenderedPageBreak/>
        <w:drawing>
          <wp:inline distT="0" distB="0" distL="0" distR="0" wp14:anchorId="752FFBB9" wp14:editId="25FEE0FB">
            <wp:extent cx="5519914" cy="2264898"/>
            <wp:effectExtent l="0" t="0" r="5080" b="254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rotWithShape="1">
                    <a:blip r:embed="rId14"/>
                    <a:srcRect l="25158" t="34690" r="20096" b="25374"/>
                    <a:stretch/>
                  </pic:blipFill>
                  <pic:spPr bwMode="auto">
                    <a:xfrm>
                      <a:off x="0" y="0"/>
                      <a:ext cx="5532561" cy="2270087"/>
                    </a:xfrm>
                    <a:prstGeom prst="rect">
                      <a:avLst/>
                    </a:prstGeom>
                    <a:ln>
                      <a:noFill/>
                    </a:ln>
                    <a:extLst>
                      <a:ext uri="{53640926-AAD7-44D8-BBD7-CCE9431645EC}">
                        <a14:shadowObscured xmlns:a14="http://schemas.microsoft.com/office/drawing/2010/main"/>
                      </a:ext>
                    </a:extLst>
                  </pic:spPr>
                </pic:pic>
              </a:graphicData>
            </a:graphic>
          </wp:inline>
        </w:drawing>
      </w:r>
    </w:p>
    <w:p w14:paraId="4D3EF316" w14:textId="4EDA0BA5" w:rsidR="00AA1CD4" w:rsidRPr="00CE7EB9" w:rsidRDefault="00E70475" w:rsidP="005556ED">
      <w:pPr>
        <w:spacing w:line="360" w:lineRule="auto"/>
        <w:rPr>
          <w:rFonts w:ascii="Arial" w:hAnsi="Arial" w:cs="Arial"/>
          <w:szCs w:val="24"/>
        </w:rPr>
      </w:pPr>
      <w:r w:rsidRPr="00B77F87">
        <w:rPr>
          <w:rFonts w:ascii="Arial" w:hAnsi="Arial" w:cs="Arial"/>
          <w:sz w:val="22"/>
        </w:rPr>
        <w:t xml:space="preserve">Source: compiled by the author </w:t>
      </w:r>
      <w:r w:rsidRPr="00B77F87">
        <w:rPr>
          <w:rFonts w:ascii="Arial" w:hAnsi="Arial" w:cs="Arial"/>
          <w:sz w:val="22"/>
        </w:rPr>
        <w:br/>
      </w:r>
      <w:r w:rsidRPr="00CE7EB9">
        <w:rPr>
          <w:rFonts w:ascii="Arial" w:hAnsi="Arial" w:cs="Arial"/>
          <w:szCs w:val="24"/>
        </w:rPr>
        <w:br/>
      </w:r>
      <w:r w:rsidR="00AA1CD4" w:rsidRPr="00CE7EB9">
        <w:rPr>
          <w:rFonts w:ascii="Arial" w:hAnsi="Arial" w:cs="Arial"/>
          <w:szCs w:val="24"/>
        </w:rPr>
        <w:t xml:space="preserve">Table </w:t>
      </w:r>
      <w:r w:rsidR="00847672" w:rsidRPr="00CE7EB9">
        <w:rPr>
          <w:rFonts w:ascii="Arial" w:hAnsi="Arial" w:cs="Arial"/>
          <w:szCs w:val="24"/>
        </w:rPr>
        <w:t>5</w:t>
      </w:r>
      <w:r w:rsidR="00AA1CD4" w:rsidRPr="00CE7EB9">
        <w:rPr>
          <w:rFonts w:ascii="Arial" w:hAnsi="Arial" w:cs="Arial"/>
          <w:szCs w:val="24"/>
        </w:rPr>
        <w:t xml:space="preserve"> shows the Z-score of </w:t>
      </w:r>
      <w:proofErr w:type="spellStart"/>
      <w:r w:rsidR="00AA1CD4" w:rsidRPr="00CE7EB9">
        <w:rPr>
          <w:rFonts w:ascii="Arial" w:hAnsi="Arial" w:cs="Arial"/>
          <w:szCs w:val="24"/>
        </w:rPr>
        <w:t>Luk</w:t>
      </w:r>
      <w:proofErr w:type="spellEnd"/>
      <w:r w:rsidR="00AA1CD4" w:rsidRPr="00CE7EB9">
        <w:rPr>
          <w:rFonts w:ascii="Arial" w:hAnsi="Arial" w:cs="Arial"/>
          <w:szCs w:val="24"/>
        </w:rPr>
        <w:t xml:space="preserve"> </w:t>
      </w:r>
      <w:proofErr w:type="spellStart"/>
      <w:r w:rsidR="007D79C2">
        <w:rPr>
          <w:rFonts w:ascii="Arial" w:hAnsi="Arial" w:cs="Arial"/>
          <w:szCs w:val="24"/>
        </w:rPr>
        <w:t>f</w:t>
      </w:r>
      <w:r w:rsidR="00AA1CD4" w:rsidRPr="00CE7EB9">
        <w:rPr>
          <w:rFonts w:ascii="Arial" w:hAnsi="Arial" w:cs="Arial"/>
          <w:szCs w:val="24"/>
        </w:rPr>
        <w:t>ook</w:t>
      </w:r>
      <w:proofErr w:type="spellEnd"/>
      <w:r w:rsidR="00352972" w:rsidRPr="00CE7EB9">
        <w:rPr>
          <w:rFonts w:ascii="Arial" w:hAnsi="Arial" w:cs="Arial"/>
          <w:szCs w:val="24"/>
        </w:rPr>
        <w:t xml:space="preserve"> in the past 3 fiscal years</w:t>
      </w:r>
      <w:r w:rsidR="00AA1CD4" w:rsidRPr="00CE7EB9">
        <w:rPr>
          <w:rFonts w:ascii="Arial" w:hAnsi="Arial" w:cs="Arial"/>
          <w:szCs w:val="24"/>
        </w:rPr>
        <w:t xml:space="preserve"> as compared to the other two competitors. </w:t>
      </w:r>
      <w:proofErr w:type="spellStart"/>
      <w:r w:rsidR="00931165" w:rsidRPr="00CE7EB9">
        <w:rPr>
          <w:rFonts w:ascii="Arial" w:hAnsi="Arial" w:cs="Arial"/>
          <w:szCs w:val="24"/>
        </w:rPr>
        <w:t>Luk</w:t>
      </w:r>
      <w:proofErr w:type="spellEnd"/>
      <w:r w:rsidR="00931165" w:rsidRPr="00CE7EB9">
        <w:rPr>
          <w:rFonts w:ascii="Arial" w:hAnsi="Arial" w:cs="Arial"/>
          <w:szCs w:val="24"/>
        </w:rPr>
        <w:t xml:space="preserve"> </w:t>
      </w:r>
      <w:proofErr w:type="spellStart"/>
      <w:r w:rsidR="007D79C2">
        <w:rPr>
          <w:rFonts w:ascii="Arial" w:hAnsi="Arial" w:cs="Arial"/>
          <w:szCs w:val="24"/>
        </w:rPr>
        <w:t>f</w:t>
      </w:r>
      <w:r w:rsidR="00931165" w:rsidRPr="00CE7EB9">
        <w:rPr>
          <w:rFonts w:ascii="Arial" w:hAnsi="Arial" w:cs="Arial"/>
          <w:szCs w:val="24"/>
        </w:rPr>
        <w:t>ook’s</w:t>
      </w:r>
      <w:proofErr w:type="spellEnd"/>
      <w:r w:rsidR="00931165" w:rsidRPr="00CE7EB9">
        <w:rPr>
          <w:rFonts w:ascii="Arial" w:hAnsi="Arial" w:cs="Arial"/>
          <w:szCs w:val="24"/>
        </w:rPr>
        <w:t xml:space="preserve"> a</w:t>
      </w:r>
      <w:r w:rsidR="00352972" w:rsidRPr="00CE7EB9">
        <w:rPr>
          <w:rFonts w:ascii="Arial" w:hAnsi="Arial" w:cs="Arial"/>
          <w:szCs w:val="24"/>
        </w:rPr>
        <w:t xml:space="preserve">verage </w:t>
      </w:r>
      <w:r w:rsidR="00C172C9" w:rsidRPr="00CE7EB9">
        <w:rPr>
          <w:rFonts w:ascii="Arial" w:hAnsi="Arial" w:cs="Arial"/>
          <w:szCs w:val="24"/>
        </w:rPr>
        <w:t>Z-score</w:t>
      </w:r>
      <w:r w:rsidR="00931165" w:rsidRPr="00CE7EB9">
        <w:rPr>
          <w:rFonts w:ascii="Arial" w:hAnsi="Arial" w:cs="Arial"/>
          <w:szCs w:val="24"/>
        </w:rPr>
        <w:t xml:space="preserve"> (4.73)</w:t>
      </w:r>
      <w:r w:rsidR="00C172C9" w:rsidRPr="00CE7EB9">
        <w:rPr>
          <w:rFonts w:ascii="Arial" w:hAnsi="Arial" w:cs="Arial"/>
          <w:szCs w:val="24"/>
        </w:rPr>
        <w:t xml:space="preserve"> </w:t>
      </w:r>
      <w:r w:rsidR="00931165" w:rsidRPr="00CE7EB9">
        <w:rPr>
          <w:rFonts w:ascii="Arial" w:hAnsi="Arial" w:cs="Arial"/>
          <w:szCs w:val="24"/>
        </w:rPr>
        <w:t>is the highest amongst the three whereas Tze Shui Lun has the lowest (2.45). Al</w:t>
      </w:r>
      <w:r w:rsidR="00B61E24" w:rsidRPr="00CE7EB9">
        <w:rPr>
          <w:rFonts w:ascii="Arial" w:hAnsi="Arial" w:cs="Arial"/>
          <w:szCs w:val="24"/>
        </w:rPr>
        <w:t>l</w:t>
      </w:r>
      <w:r w:rsidR="00931165" w:rsidRPr="00CE7EB9">
        <w:rPr>
          <w:rFonts w:ascii="Arial" w:hAnsi="Arial" w:cs="Arial"/>
          <w:szCs w:val="24"/>
        </w:rPr>
        <w:t xml:space="preserve"> three companies have an average Z-Score above 1.8</w:t>
      </w:r>
      <w:r w:rsidR="00207B63" w:rsidRPr="00CE7EB9">
        <w:rPr>
          <w:rFonts w:ascii="Arial" w:hAnsi="Arial" w:cs="Arial"/>
          <w:szCs w:val="24"/>
        </w:rPr>
        <w:t xml:space="preserve">1 indicating that they all have less likelihood of bankruptcy. </w:t>
      </w:r>
      <w:r w:rsidR="00931165" w:rsidRPr="00CE7EB9">
        <w:rPr>
          <w:rFonts w:ascii="Arial" w:hAnsi="Arial" w:cs="Arial"/>
          <w:szCs w:val="24"/>
        </w:rPr>
        <w:t xml:space="preserve"> </w:t>
      </w:r>
    </w:p>
    <w:p w14:paraId="00BC6BA7" w14:textId="77777777" w:rsidR="00B61E24" w:rsidRPr="00CE7EB9" w:rsidRDefault="00B61E24" w:rsidP="005556ED">
      <w:pPr>
        <w:spacing w:line="360" w:lineRule="auto"/>
        <w:rPr>
          <w:rFonts w:ascii="Arial" w:hAnsi="Arial" w:cs="Arial"/>
          <w:szCs w:val="24"/>
        </w:rPr>
      </w:pPr>
    </w:p>
    <w:p w14:paraId="2520C37D" w14:textId="76D07078" w:rsidR="0041097B" w:rsidRPr="002C0C4D" w:rsidRDefault="007D79C2" w:rsidP="002C0C4D">
      <w:pPr>
        <w:widowControl/>
        <w:spacing w:line="360" w:lineRule="auto"/>
        <w:rPr>
          <w:rFonts w:ascii="Arial" w:hAnsi="Arial" w:cs="Arial"/>
          <w:i/>
          <w:iCs/>
          <w:szCs w:val="24"/>
        </w:rPr>
      </w:pPr>
      <w:r w:rsidRPr="002C0C4D">
        <w:rPr>
          <w:rFonts w:ascii="Arial" w:hAnsi="Arial" w:cs="Arial"/>
          <w:i/>
          <w:iCs/>
          <w:szCs w:val="24"/>
        </w:rPr>
        <w:t>4</w:t>
      </w:r>
      <w:r w:rsidR="00EA5668" w:rsidRPr="002C0C4D">
        <w:rPr>
          <w:rFonts w:ascii="Arial" w:hAnsi="Arial" w:cs="Arial"/>
          <w:i/>
          <w:iCs/>
          <w:szCs w:val="24"/>
        </w:rPr>
        <w:t>.</w:t>
      </w:r>
      <w:r w:rsidR="00AA4166" w:rsidRPr="002C0C4D">
        <w:rPr>
          <w:rFonts w:ascii="Arial" w:hAnsi="Arial" w:cs="Arial"/>
          <w:i/>
          <w:iCs/>
          <w:szCs w:val="24"/>
        </w:rPr>
        <w:t>3</w:t>
      </w:r>
      <w:r w:rsidR="00EA5668" w:rsidRPr="002C0C4D">
        <w:rPr>
          <w:rFonts w:ascii="Arial" w:hAnsi="Arial" w:cs="Arial"/>
          <w:i/>
          <w:iCs/>
          <w:szCs w:val="24"/>
        </w:rPr>
        <w:t xml:space="preserve"> </w:t>
      </w:r>
      <w:r w:rsidR="00AA4166" w:rsidRPr="002C0C4D">
        <w:rPr>
          <w:rFonts w:ascii="Arial" w:hAnsi="Arial" w:cs="Arial"/>
          <w:i/>
          <w:iCs/>
          <w:szCs w:val="24"/>
        </w:rPr>
        <w:t xml:space="preserve">Paying </w:t>
      </w:r>
      <w:r w:rsidRPr="002C0C4D">
        <w:rPr>
          <w:rFonts w:ascii="Arial" w:hAnsi="Arial" w:cs="Arial"/>
          <w:i/>
          <w:iCs/>
          <w:szCs w:val="24"/>
        </w:rPr>
        <w:t>D</w:t>
      </w:r>
      <w:r w:rsidR="00AA4166" w:rsidRPr="002C0C4D">
        <w:rPr>
          <w:rFonts w:ascii="Arial" w:hAnsi="Arial" w:cs="Arial"/>
          <w:i/>
          <w:iCs/>
          <w:szCs w:val="24"/>
        </w:rPr>
        <w:t xml:space="preserve">ebt </w:t>
      </w:r>
      <w:r w:rsidRPr="002C0C4D">
        <w:rPr>
          <w:rFonts w:ascii="Arial" w:hAnsi="Arial" w:cs="Arial"/>
          <w:i/>
          <w:iCs/>
          <w:szCs w:val="24"/>
        </w:rPr>
        <w:t>A</w:t>
      </w:r>
      <w:r w:rsidR="00AA4166" w:rsidRPr="002C0C4D">
        <w:rPr>
          <w:rFonts w:ascii="Arial" w:hAnsi="Arial" w:cs="Arial"/>
          <w:i/>
          <w:iCs/>
          <w:szCs w:val="24"/>
        </w:rPr>
        <w:t>bility</w:t>
      </w:r>
      <w:r w:rsidR="002C0C4D">
        <w:rPr>
          <w:rFonts w:ascii="Arial" w:hAnsi="Arial" w:cs="Arial"/>
          <w:i/>
          <w:iCs/>
          <w:szCs w:val="24"/>
        </w:rPr>
        <w:br/>
      </w:r>
      <w:r w:rsidR="0065572C" w:rsidRPr="00CE7EB9">
        <w:rPr>
          <w:rFonts w:ascii="Arial" w:hAnsi="Arial" w:cs="Arial"/>
          <w:color w:val="111111"/>
          <w:sz w:val="26"/>
          <w:szCs w:val="26"/>
          <w:shd w:val="clear" w:color="auto" w:fill="FFFFFF"/>
        </w:rPr>
        <w:t xml:space="preserve">Table </w:t>
      </w:r>
      <w:r w:rsidR="002066F3" w:rsidRPr="00CE7EB9">
        <w:rPr>
          <w:rFonts w:ascii="Arial" w:hAnsi="Arial" w:cs="Arial"/>
          <w:color w:val="111111"/>
          <w:sz w:val="26"/>
          <w:szCs w:val="26"/>
          <w:shd w:val="clear" w:color="auto" w:fill="FFFFFF"/>
        </w:rPr>
        <w:t>6</w:t>
      </w:r>
      <w:r w:rsidR="0065572C" w:rsidRPr="00CE7EB9">
        <w:rPr>
          <w:rFonts w:ascii="Arial" w:hAnsi="Arial" w:cs="Arial"/>
          <w:color w:val="111111"/>
          <w:sz w:val="26"/>
          <w:szCs w:val="26"/>
          <w:shd w:val="clear" w:color="auto" w:fill="FFFFFF"/>
        </w:rPr>
        <w:t xml:space="preserve"> shows a comparison of the paying debt ability of </w:t>
      </w:r>
      <w:proofErr w:type="spellStart"/>
      <w:r w:rsidR="0065572C" w:rsidRPr="00CE7EB9">
        <w:rPr>
          <w:rFonts w:ascii="Arial" w:hAnsi="Arial" w:cs="Arial"/>
          <w:color w:val="111111"/>
          <w:sz w:val="26"/>
          <w:szCs w:val="26"/>
          <w:shd w:val="clear" w:color="auto" w:fill="FFFFFF"/>
        </w:rPr>
        <w:t>Luk</w:t>
      </w:r>
      <w:proofErr w:type="spellEnd"/>
      <w:r w:rsidR="0065572C" w:rsidRPr="00CE7EB9">
        <w:rPr>
          <w:rFonts w:ascii="Arial" w:hAnsi="Arial" w:cs="Arial"/>
          <w:color w:val="111111"/>
          <w:sz w:val="26"/>
          <w:szCs w:val="26"/>
          <w:shd w:val="clear" w:color="auto" w:fill="FFFFFF"/>
        </w:rPr>
        <w:t xml:space="preserve"> </w:t>
      </w:r>
      <w:proofErr w:type="spellStart"/>
      <w:r>
        <w:rPr>
          <w:rFonts w:ascii="Arial" w:hAnsi="Arial" w:cs="Arial"/>
          <w:color w:val="111111"/>
          <w:sz w:val="26"/>
          <w:szCs w:val="26"/>
          <w:shd w:val="clear" w:color="auto" w:fill="FFFFFF"/>
        </w:rPr>
        <w:t>f</w:t>
      </w:r>
      <w:r w:rsidR="0065572C" w:rsidRPr="00CE7EB9">
        <w:rPr>
          <w:rFonts w:ascii="Arial" w:hAnsi="Arial" w:cs="Arial"/>
          <w:color w:val="111111"/>
          <w:sz w:val="26"/>
          <w:szCs w:val="26"/>
          <w:shd w:val="clear" w:color="auto" w:fill="FFFFFF"/>
        </w:rPr>
        <w:t>ook</w:t>
      </w:r>
      <w:proofErr w:type="spellEnd"/>
      <w:r w:rsidR="0065572C" w:rsidRPr="00CE7EB9">
        <w:rPr>
          <w:rFonts w:ascii="Arial" w:hAnsi="Arial" w:cs="Arial"/>
          <w:color w:val="111111"/>
          <w:sz w:val="26"/>
          <w:szCs w:val="26"/>
          <w:shd w:val="clear" w:color="auto" w:fill="FFFFFF"/>
        </w:rPr>
        <w:t xml:space="preserve"> and the other two competitors. </w:t>
      </w:r>
      <w:r w:rsidR="00B94A16" w:rsidRPr="00CE7EB9">
        <w:rPr>
          <w:rFonts w:ascii="Arial" w:hAnsi="Arial" w:cs="Arial"/>
          <w:color w:val="111111"/>
          <w:sz w:val="26"/>
          <w:szCs w:val="26"/>
          <w:shd w:val="clear" w:color="auto" w:fill="FFFFFF"/>
        </w:rPr>
        <w:t xml:space="preserve">The </w:t>
      </w:r>
      <w:r w:rsidR="00B61E24" w:rsidRPr="00CE7EB9">
        <w:rPr>
          <w:rFonts w:ascii="Arial" w:hAnsi="Arial" w:cs="Arial"/>
          <w:color w:val="111111"/>
          <w:sz w:val="26"/>
          <w:szCs w:val="26"/>
          <w:shd w:val="clear" w:color="auto" w:fill="FFFFFF"/>
        </w:rPr>
        <w:t>c</w:t>
      </w:r>
      <w:r w:rsidR="00B94A16" w:rsidRPr="00CE7EB9">
        <w:rPr>
          <w:rFonts w:ascii="Arial" w:hAnsi="Arial" w:cs="Arial"/>
          <w:color w:val="111111"/>
          <w:sz w:val="26"/>
          <w:szCs w:val="26"/>
          <w:shd w:val="clear" w:color="auto" w:fill="FFFFFF"/>
        </w:rPr>
        <w:t xml:space="preserve">urrent </w:t>
      </w:r>
      <w:r w:rsidR="00B61E24" w:rsidRPr="00CE7EB9">
        <w:rPr>
          <w:rFonts w:ascii="Arial" w:hAnsi="Arial" w:cs="Arial"/>
          <w:color w:val="111111"/>
          <w:sz w:val="26"/>
          <w:szCs w:val="26"/>
          <w:shd w:val="clear" w:color="auto" w:fill="FFFFFF"/>
        </w:rPr>
        <w:t>r</w:t>
      </w:r>
      <w:r w:rsidR="00B94A16" w:rsidRPr="00CE7EB9">
        <w:rPr>
          <w:rFonts w:ascii="Arial" w:hAnsi="Arial" w:cs="Arial"/>
          <w:color w:val="111111"/>
          <w:sz w:val="26"/>
          <w:szCs w:val="26"/>
          <w:shd w:val="clear" w:color="auto" w:fill="FFFFFF"/>
        </w:rPr>
        <w:t>atio measures a company's ability to pay short-term obligations or those due within one year.</w:t>
      </w:r>
      <w:r w:rsidR="00397FDC" w:rsidRPr="00CE7EB9">
        <w:rPr>
          <w:rFonts w:ascii="Arial" w:hAnsi="Arial" w:cs="Arial"/>
          <w:color w:val="111111"/>
          <w:sz w:val="26"/>
          <w:szCs w:val="26"/>
          <w:shd w:val="clear" w:color="auto" w:fill="FFFFFF"/>
        </w:rPr>
        <w:t xml:space="preserve"> </w:t>
      </w:r>
      <w:r w:rsidR="0067120A" w:rsidRPr="00CE7EB9">
        <w:rPr>
          <w:rFonts w:ascii="Arial" w:hAnsi="Arial" w:cs="Arial"/>
          <w:color w:val="111111"/>
          <w:sz w:val="26"/>
          <w:szCs w:val="26"/>
          <w:shd w:val="clear" w:color="auto" w:fill="FFFFFF"/>
        </w:rPr>
        <w:t>T</w:t>
      </w:r>
      <w:r w:rsidR="00397FDC" w:rsidRPr="00CE7EB9">
        <w:rPr>
          <w:rFonts w:ascii="Arial" w:hAnsi="Arial" w:cs="Arial"/>
          <w:color w:val="111111"/>
          <w:sz w:val="26"/>
          <w:szCs w:val="26"/>
          <w:shd w:val="clear" w:color="auto" w:fill="FFFFFF"/>
        </w:rPr>
        <w:t xml:space="preserve">aking the average from the past </w:t>
      </w:r>
      <w:r w:rsidR="0067120A" w:rsidRPr="00CE7EB9">
        <w:rPr>
          <w:rFonts w:ascii="Arial" w:hAnsi="Arial" w:cs="Arial"/>
          <w:color w:val="111111"/>
          <w:sz w:val="26"/>
          <w:szCs w:val="26"/>
          <w:shd w:val="clear" w:color="auto" w:fill="FFFFFF"/>
        </w:rPr>
        <w:t xml:space="preserve">three </w:t>
      </w:r>
      <w:r w:rsidR="00397FDC" w:rsidRPr="00CE7EB9">
        <w:rPr>
          <w:rFonts w:ascii="Arial" w:hAnsi="Arial" w:cs="Arial"/>
          <w:color w:val="111111"/>
          <w:sz w:val="26"/>
          <w:szCs w:val="26"/>
          <w:shd w:val="clear" w:color="auto" w:fill="FFFFFF"/>
        </w:rPr>
        <w:t xml:space="preserve">years, </w:t>
      </w:r>
      <w:proofErr w:type="spellStart"/>
      <w:r w:rsidR="00397FDC" w:rsidRPr="00CE7EB9">
        <w:rPr>
          <w:rFonts w:ascii="Arial" w:hAnsi="Arial" w:cs="Arial"/>
          <w:color w:val="111111"/>
          <w:sz w:val="26"/>
          <w:szCs w:val="26"/>
          <w:shd w:val="clear" w:color="auto" w:fill="FFFFFF"/>
        </w:rPr>
        <w:t>Luk</w:t>
      </w:r>
      <w:proofErr w:type="spellEnd"/>
      <w:r w:rsidR="00397FDC" w:rsidRPr="00CE7EB9">
        <w:rPr>
          <w:rFonts w:ascii="Arial" w:hAnsi="Arial" w:cs="Arial"/>
          <w:color w:val="111111"/>
          <w:sz w:val="26"/>
          <w:szCs w:val="26"/>
          <w:shd w:val="clear" w:color="auto" w:fill="FFFFFF"/>
        </w:rPr>
        <w:t xml:space="preserve"> </w:t>
      </w:r>
      <w:proofErr w:type="spellStart"/>
      <w:r>
        <w:rPr>
          <w:rFonts w:ascii="Arial" w:hAnsi="Arial" w:cs="Arial"/>
          <w:color w:val="111111"/>
          <w:sz w:val="26"/>
          <w:szCs w:val="26"/>
          <w:shd w:val="clear" w:color="auto" w:fill="FFFFFF"/>
        </w:rPr>
        <w:t>f</w:t>
      </w:r>
      <w:r w:rsidR="00397FDC" w:rsidRPr="00CE7EB9">
        <w:rPr>
          <w:rFonts w:ascii="Arial" w:hAnsi="Arial" w:cs="Arial"/>
          <w:color w:val="111111"/>
          <w:sz w:val="26"/>
          <w:szCs w:val="26"/>
          <w:shd w:val="clear" w:color="auto" w:fill="FFFFFF"/>
        </w:rPr>
        <w:t>ook</w:t>
      </w:r>
      <w:proofErr w:type="spellEnd"/>
      <w:r w:rsidR="00397FDC" w:rsidRPr="00CE7EB9">
        <w:rPr>
          <w:rFonts w:ascii="Arial" w:hAnsi="Arial" w:cs="Arial"/>
          <w:color w:val="111111"/>
          <w:sz w:val="26"/>
          <w:szCs w:val="26"/>
          <w:shd w:val="clear" w:color="auto" w:fill="FFFFFF"/>
        </w:rPr>
        <w:t xml:space="preserve"> has the highest current ratio, indicating that it has the highest ability to pay </w:t>
      </w:r>
      <w:r w:rsidR="0067120A" w:rsidRPr="00CE7EB9">
        <w:rPr>
          <w:rFonts w:ascii="Arial" w:hAnsi="Arial" w:cs="Arial"/>
          <w:color w:val="111111"/>
          <w:sz w:val="26"/>
          <w:szCs w:val="26"/>
          <w:shd w:val="clear" w:color="auto" w:fill="FFFFFF"/>
        </w:rPr>
        <w:t xml:space="preserve">debts. </w:t>
      </w:r>
      <w:r w:rsidR="00F06323" w:rsidRPr="00CE7EB9">
        <w:rPr>
          <w:rFonts w:ascii="Arial" w:eastAsia="Times New Roman" w:hAnsi="Arial" w:cs="Arial"/>
          <w:color w:val="111111"/>
          <w:kern w:val="0"/>
          <w:sz w:val="26"/>
          <w:szCs w:val="26"/>
        </w:rPr>
        <w:t xml:space="preserve">The </w:t>
      </w:r>
      <w:r w:rsidR="00316327" w:rsidRPr="00CE7EB9">
        <w:rPr>
          <w:rFonts w:ascii="Arial" w:eastAsia="Times New Roman" w:hAnsi="Arial" w:cs="Arial"/>
          <w:color w:val="111111"/>
          <w:kern w:val="0"/>
          <w:sz w:val="26"/>
          <w:szCs w:val="26"/>
        </w:rPr>
        <w:t>q</w:t>
      </w:r>
      <w:r w:rsidR="00F06323" w:rsidRPr="00CE7EB9">
        <w:rPr>
          <w:rFonts w:ascii="Arial" w:eastAsia="Times New Roman" w:hAnsi="Arial" w:cs="Arial"/>
          <w:color w:val="111111"/>
          <w:kern w:val="0"/>
          <w:sz w:val="26"/>
          <w:szCs w:val="26"/>
        </w:rPr>
        <w:t xml:space="preserve">uick </w:t>
      </w:r>
      <w:r w:rsidR="00316327" w:rsidRPr="00CE7EB9">
        <w:rPr>
          <w:rFonts w:ascii="Arial" w:eastAsia="Times New Roman" w:hAnsi="Arial" w:cs="Arial"/>
          <w:color w:val="111111"/>
          <w:kern w:val="0"/>
          <w:sz w:val="26"/>
          <w:szCs w:val="26"/>
        </w:rPr>
        <w:t>r</w:t>
      </w:r>
      <w:r w:rsidR="00F06323" w:rsidRPr="00CE7EB9">
        <w:rPr>
          <w:rFonts w:ascii="Arial" w:eastAsia="Times New Roman" w:hAnsi="Arial" w:cs="Arial"/>
          <w:color w:val="111111"/>
          <w:kern w:val="0"/>
          <w:sz w:val="26"/>
          <w:szCs w:val="26"/>
        </w:rPr>
        <w:t xml:space="preserve">atio measures the capacity to pay its current liabilities without needing to sell its inventory or obtain additional financing. </w:t>
      </w:r>
      <w:proofErr w:type="spellStart"/>
      <w:r w:rsidR="00F06323" w:rsidRPr="00CE7EB9">
        <w:rPr>
          <w:rFonts w:ascii="Arial" w:eastAsia="Times New Roman" w:hAnsi="Arial" w:cs="Arial"/>
          <w:color w:val="111111"/>
          <w:kern w:val="0"/>
          <w:sz w:val="26"/>
          <w:szCs w:val="26"/>
        </w:rPr>
        <w:t>Luk</w:t>
      </w:r>
      <w:proofErr w:type="spellEnd"/>
      <w:r w:rsidR="00F06323" w:rsidRPr="00CE7EB9">
        <w:rPr>
          <w:rFonts w:ascii="Arial" w:eastAsia="Times New Roman" w:hAnsi="Arial" w:cs="Arial"/>
          <w:color w:val="111111"/>
          <w:kern w:val="0"/>
          <w:sz w:val="26"/>
          <w:szCs w:val="26"/>
        </w:rPr>
        <w:t xml:space="preserve"> </w:t>
      </w:r>
      <w:proofErr w:type="spellStart"/>
      <w:r>
        <w:rPr>
          <w:rFonts w:ascii="Arial" w:eastAsia="Times New Roman" w:hAnsi="Arial" w:cs="Arial"/>
          <w:color w:val="111111"/>
          <w:kern w:val="0"/>
          <w:sz w:val="26"/>
          <w:szCs w:val="26"/>
        </w:rPr>
        <w:t>f</w:t>
      </w:r>
      <w:r w:rsidR="00F06323" w:rsidRPr="00CE7EB9">
        <w:rPr>
          <w:rFonts w:ascii="Arial" w:eastAsia="Times New Roman" w:hAnsi="Arial" w:cs="Arial"/>
          <w:color w:val="111111"/>
          <w:kern w:val="0"/>
          <w:sz w:val="26"/>
          <w:szCs w:val="26"/>
        </w:rPr>
        <w:t>ook’s</w:t>
      </w:r>
      <w:proofErr w:type="spellEnd"/>
      <w:r w:rsidR="00F06323" w:rsidRPr="00CE7EB9">
        <w:rPr>
          <w:rFonts w:ascii="Arial" w:eastAsia="Times New Roman" w:hAnsi="Arial" w:cs="Arial"/>
          <w:color w:val="111111"/>
          <w:kern w:val="0"/>
          <w:sz w:val="26"/>
          <w:szCs w:val="26"/>
        </w:rPr>
        <w:t xml:space="preserve"> quick ratio </w:t>
      </w:r>
      <w:r w:rsidR="00F06323" w:rsidRPr="00CE7EB9">
        <w:rPr>
          <w:rFonts w:ascii="Arial" w:hAnsi="Arial" w:cs="Arial"/>
          <w:color w:val="111111"/>
          <w:sz w:val="26"/>
          <w:szCs w:val="26"/>
          <w:shd w:val="clear" w:color="auto" w:fill="FFFFFF"/>
        </w:rPr>
        <w:t>appears to be in a decent position to cover its current liabilities</w:t>
      </w:r>
      <w:r w:rsidR="008618F9" w:rsidRPr="00CE7EB9">
        <w:rPr>
          <w:rFonts w:ascii="Arial" w:hAnsi="Arial" w:cs="Arial"/>
          <w:color w:val="111111"/>
          <w:sz w:val="26"/>
          <w:szCs w:val="26"/>
          <w:shd w:val="clear" w:color="auto" w:fill="FFFFFF"/>
        </w:rPr>
        <w:t xml:space="preserve">. </w:t>
      </w:r>
    </w:p>
    <w:p w14:paraId="14A4CD16" w14:textId="70F04BF2" w:rsidR="002066F3" w:rsidRPr="007D79C2" w:rsidRDefault="007C4B80" w:rsidP="00EA5668">
      <w:pPr>
        <w:spacing w:line="360" w:lineRule="auto"/>
        <w:rPr>
          <w:rFonts w:ascii="Arial" w:hAnsi="Arial" w:cs="Arial"/>
          <w:color w:val="111111"/>
          <w:szCs w:val="24"/>
          <w:shd w:val="clear" w:color="auto" w:fill="FFFFFF"/>
        </w:rPr>
      </w:pPr>
      <w:r>
        <w:rPr>
          <w:rFonts w:ascii="Arial" w:hAnsi="Arial" w:cs="Arial"/>
          <w:color w:val="111111"/>
          <w:sz w:val="26"/>
          <w:szCs w:val="26"/>
          <w:shd w:val="clear" w:color="auto" w:fill="FFFFFF"/>
        </w:rPr>
        <w:br/>
      </w:r>
      <w:r w:rsidR="002066F3" w:rsidRPr="007D79C2">
        <w:rPr>
          <w:rFonts w:ascii="Arial" w:hAnsi="Arial" w:cs="Arial"/>
          <w:color w:val="111111"/>
          <w:szCs w:val="24"/>
          <w:shd w:val="clear" w:color="auto" w:fill="FFFFFF"/>
        </w:rPr>
        <w:t xml:space="preserve">Table 6. </w:t>
      </w:r>
      <w:r w:rsidR="00316327" w:rsidRPr="007D79C2">
        <w:rPr>
          <w:rFonts w:ascii="Arial" w:hAnsi="Arial" w:cs="Arial"/>
          <w:color w:val="111111"/>
          <w:szCs w:val="24"/>
          <w:shd w:val="clear" w:color="auto" w:fill="FFFFFF"/>
        </w:rPr>
        <w:t>Analysis of the paying debt abilities</w:t>
      </w:r>
      <w:r w:rsidR="00625946" w:rsidRPr="007D79C2">
        <w:rPr>
          <w:rFonts w:ascii="Arial" w:hAnsi="Arial" w:cs="Arial"/>
          <w:color w:val="111111"/>
          <w:szCs w:val="24"/>
          <w:shd w:val="clear" w:color="auto" w:fill="FFFFFF"/>
        </w:rPr>
        <w:t xml:space="preserve"> </w:t>
      </w:r>
    </w:p>
    <w:p w14:paraId="1D87C7A5" w14:textId="51A79609" w:rsidR="007A5074" w:rsidRPr="00CE7EB9" w:rsidRDefault="00776222" w:rsidP="00EA5668">
      <w:pPr>
        <w:spacing w:line="360" w:lineRule="auto"/>
        <w:rPr>
          <w:rFonts w:ascii="Arial" w:hAnsi="Arial" w:cs="Arial"/>
          <w:color w:val="111111"/>
          <w:sz w:val="26"/>
          <w:szCs w:val="26"/>
          <w:highlight w:val="yellow"/>
          <w:shd w:val="clear" w:color="auto" w:fill="FFFFFF"/>
        </w:rPr>
      </w:pPr>
      <w:r w:rsidRPr="00CE7EB9">
        <w:rPr>
          <w:noProof/>
        </w:rPr>
        <w:lastRenderedPageBreak/>
        <w:drawing>
          <wp:inline distT="0" distB="0" distL="0" distR="0" wp14:anchorId="2533AF50" wp14:editId="4C36E17A">
            <wp:extent cx="5819806" cy="2032000"/>
            <wp:effectExtent l="0" t="0" r="9525" b="6350"/>
            <wp:docPr id="13" name="Picture 1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table, Excel&#10;&#10;Description automatically generated"/>
                    <pic:cNvPicPr/>
                  </pic:nvPicPr>
                  <pic:blipFill rotWithShape="1">
                    <a:blip r:embed="rId15"/>
                    <a:srcRect l="22933" t="34667" r="11699" b="24758"/>
                    <a:stretch/>
                  </pic:blipFill>
                  <pic:spPr bwMode="auto">
                    <a:xfrm>
                      <a:off x="0" y="0"/>
                      <a:ext cx="5826155" cy="2034217"/>
                    </a:xfrm>
                    <a:prstGeom prst="rect">
                      <a:avLst/>
                    </a:prstGeom>
                    <a:ln>
                      <a:noFill/>
                    </a:ln>
                    <a:extLst>
                      <a:ext uri="{53640926-AAD7-44D8-BBD7-CCE9431645EC}">
                        <a14:shadowObscured xmlns:a14="http://schemas.microsoft.com/office/drawing/2010/main"/>
                      </a:ext>
                    </a:extLst>
                  </pic:spPr>
                </pic:pic>
              </a:graphicData>
            </a:graphic>
          </wp:inline>
        </w:drawing>
      </w:r>
    </w:p>
    <w:p w14:paraId="0C4A9A73" w14:textId="21354395" w:rsidR="00182B76" w:rsidRPr="007D79C2" w:rsidRDefault="00316327" w:rsidP="005802D1">
      <w:pPr>
        <w:spacing w:line="360" w:lineRule="auto"/>
        <w:rPr>
          <w:rFonts w:ascii="Arial" w:hAnsi="Arial" w:cs="Arial"/>
          <w:sz w:val="22"/>
        </w:rPr>
      </w:pPr>
      <w:r w:rsidRPr="007D79C2">
        <w:rPr>
          <w:rFonts w:ascii="Arial" w:hAnsi="Arial" w:cs="Arial"/>
          <w:sz w:val="22"/>
        </w:rPr>
        <w:t>Source: compiled by the author</w:t>
      </w:r>
      <w:r w:rsidR="007D79C2">
        <w:rPr>
          <w:rFonts w:ascii="Arial" w:hAnsi="Arial" w:cs="Arial"/>
          <w:sz w:val="22"/>
        </w:rPr>
        <w:br/>
      </w:r>
      <w:r w:rsidR="000F5E21" w:rsidRPr="00CE7EB9">
        <w:rPr>
          <w:rFonts w:ascii="Arial" w:hAnsi="Arial" w:cs="Arial"/>
          <w:szCs w:val="24"/>
          <w:highlight w:val="yellow"/>
        </w:rPr>
        <w:br/>
      </w:r>
      <w:r w:rsidR="00FD73B4" w:rsidRPr="00CE7EB9">
        <w:rPr>
          <w:rFonts w:ascii="Arial" w:hAnsi="Arial" w:cs="Arial"/>
          <w:szCs w:val="24"/>
        </w:rPr>
        <w:t>The</w:t>
      </w:r>
      <w:r w:rsidR="008618F9" w:rsidRPr="00CE7EB9">
        <w:rPr>
          <w:rFonts w:ascii="Arial" w:hAnsi="Arial" w:cs="Arial"/>
          <w:szCs w:val="24"/>
        </w:rPr>
        <w:t xml:space="preserve"> average cash ratio for the three companies are all </w:t>
      </w:r>
      <w:r w:rsidR="00FD73B4" w:rsidRPr="00CE7EB9">
        <w:rPr>
          <w:rFonts w:ascii="Arial" w:hAnsi="Arial" w:cs="Arial"/>
          <w:szCs w:val="24"/>
        </w:rPr>
        <w:t xml:space="preserve">below </w:t>
      </w:r>
      <w:r w:rsidR="00E34CD1" w:rsidRPr="00CE7EB9">
        <w:rPr>
          <w:rFonts w:ascii="Arial" w:hAnsi="Arial" w:cs="Arial"/>
          <w:szCs w:val="24"/>
        </w:rPr>
        <w:t xml:space="preserve">1 </w:t>
      </w:r>
      <w:r w:rsidR="008618F9" w:rsidRPr="00CE7EB9">
        <w:rPr>
          <w:rFonts w:ascii="Arial" w:hAnsi="Arial" w:cs="Arial"/>
          <w:szCs w:val="24"/>
        </w:rPr>
        <w:t>in the pas</w:t>
      </w:r>
      <w:r w:rsidRPr="00CE7EB9">
        <w:rPr>
          <w:rFonts w:ascii="Arial" w:hAnsi="Arial" w:cs="Arial"/>
          <w:szCs w:val="24"/>
        </w:rPr>
        <w:t>t</w:t>
      </w:r>
      <w:r w:rsidR="008618F9" w:rsidRPr="00CE7EB9">
        <w:rPr>
          <w:rFonts w:ascii="Arial" w:hAnsi="Arial" w:cs="Arial"/>
          <w:szCs w:val="24"/>
        </w:rPr>
        <w:t xml:space="preserve"> three fiscal years</w:t>
      </w:r>
      <w:r w:rsidR="00E34CD1" w:rsidRPr="00CE7EB9">
        <w:rPr>
          <w:rFonts w:ascii="Arial" w:hAnsi="Arial" w:cs="Arial"/>
          <w:szCs w:val="24"/>
        </w:rPr>
        <w:t>, indicating that</w:t>
      </w:r>
      <w:r w:rsidR="00B719E6" w:rsidRPr="00CE7EB9">
        <w:rPr>
          <w:rFonts w:ascii="Arial" w:hAnsi="Arial" w:cs="Arial"/>
          <w:szCs w:val="24"/>
        </w:rPr>
        <w:t xml:space="preserve"> their</w:t>
      </w:r>
      <w:r w:rsidR="00E34CD1" w:rsidRPr="00CE7EB9">
        <w:rPr>
          <w:rFonts w:ascii="Arial" w:hAnsi="Arial" w:cs="Arial"/>
          <w:szCs w:val="24"/>
        </w:rPr>
        <w:t xml:space="preserve"> </w:t>
      </w:r>
      <w:r w:rsidR="00E34CD1" w:rsidRPr="00CE7EB9">
        <w:rPr>
          <w:rFonts w:ascii="Arial" w:hAnsi="Arial" w:cs="Arial"/>
          <w:color w:val="111111"/>
          <w:sz w:val="26"/>
          <w:szCs w:val="26"/>
          <w:shd w:val="clear" w:color="auto" w:fill="FFFFFF"/>
        </w:rPr>
        <w:t>abilit</w:t>
      </w:r>
      <w:r w:rsidR="00B719E6" w:rsidRPr="00CE7EB9">
        <w:rPr>
          <w:rFonts w:ascii="Arial" w:hAnsi="Arial" w:cs="Arial"/>
          <w:color w:val="111111"/>
          <w:sz w:val="26"/>
          <w:szCs w:val="26"/>
          <w:shd w:val="clear" w:color="auto" w:fill="FFFFFF"/>
        </w:rPr>
        <w:t>ies</w:t>
      </w:r>
      <w:r w:rsidR="00E34CD1" w:rsidRPr="00CE7EB9">
        <w:rPr>
          <w:rFonts w:ascii="Arial" w:hAnsi="Arial" w:cs="Arial"/>
          <w:color w:val="111111"/>
          <w:sz w:val="26"/>
          <w:szCs w:val="26"/>
          <w:shd w:val="clear" w:color="auto" w:fill="FFFFFF"/>
        </w:rPr>
        <w:t xml:space="preserve"> to cover its short-term obligations using only cash and cash equivalents is </w:t>
      </w:r>
      <w:r w:rsidR="006329D6" w:rsidRPr="00CE7EB9">
        <w:rPr>
          <w:rFonts w:ascii="Arial" w:hAnsi="Arial" w:cs="Arial"/>
          <w:color w:val="111111"/>
          <w:sz w:val="26"/>
          <w:szCs w:val="26"/>
          <w:shd w:val="clear" w:color="auto" w:fill="FFFFFF"/>
        </w:rPr>
        <w:t>low</w:t>
      </w:r>
      <w:r w:rsidR="00394ED9" w:rsidRPr="00CE7EB9">
        <w:rPr>
          <w:rFonts w:ascii="Arial" w:hAnsi="Arial" w:cs="Arial"/>
          <w:color w:val="111111"/>
          <w:sz w:val="26"/>
          <w:szCs w:val="26"/>
          <w:shd w:val="clear" w:color="auto" w:fill="FFFFFF"/>
        </w:rPr>
        <w:t xml:space="preserve">. </w:t>
      </w:r>
      <w:r w:rsidR="00FE3CC8" w:rsidRPr="00CE7EB9">
        <w:rPr>
          <w:rFonts w:ascii="Arial" w:hAnsi="Arial" w:cs="Arial"/>
          <w:color w:val="111111"/>
          <w:sz w:val="26"/>
          <w:szCs w:val="26"/>
          <w:shd w:val="clear" w:color="auto" w:fill="FFFFFF"/>
        </w:rPr>
        <w:t>However, a</w:t>
      </w:r>
      <w:r w:rsidR="00310A1A" w:rsidRPr="00CE7EB9">
        <w:rPr>
          <w:rFonts w:ascii="Arial" w:hAnsi="Arial" w:cs="Arial"/>
          <w:color w:val="111111"/>
          <w:sz w:val="26"/>
          <w:szCs w:val="26"/>
          <w:shd w:val="clear" w:color="auto" w:fill="FFFFFF"/>
        </w:rPr>
        <w:t>ll</w:t>
      </w:r>
      <w:r w:rsidR="00006218" w:rsidRPr="00CE7EB9">
        <w:rPr>
          <w:rFonts w:ascii="Arial" w:hAnsi="Arial" w:cs="Arial"/>
          <w:color w:val="111111"/>
          <w:sz w:val="26"/>
          <w:szCs w:val="26"/>
          <w:shd w:val="clear" w:color="auto" w:fill="FFFFFF"/>
        </w:rPr>
        <w:t xml:space="preserve"> three companies have shown increased in cash ratio in the most recent financial year</w:t>
      </w:r>
      <w:r w:rsidR="00A96ABF" w:rsidRPr="00CE7EB9">
        <w:rPr>
          <w:rFonts w:ascii="Arial" w:hAnsi="Arial" w:cs="Arial"/>
          <w:color w:val="111111"/>
          <w:sz w:val="26"/>
          <w:szCs w:val="26"/>
          <w:shd w:val="clear" w:color="auto" w:fill="FFFFFF"/>
        </w:rPr>
        <w:t>. This may be a result of decreased liabilities or increased in cash flow reserve</w:t>
      </w:r>
      <w:r w:rsidR="0036494F" w:rsidRPr="00CE7EB9">
        <w:rPr>
          <w:rFonts w:ascii="Arial" w:hAnsi="Arial" w:cs="Arial"/>
          <w:color w:val="111111"/>
          <w:sz w:val="26"/>
          <w:szCs w:val="26"/>
          <w:shd w:val="clear" w:color="auto" w:fill="FFFFFF"/>
        </w:rPr>
        <w:t xml:space="preserve"> as a</w:t>
      </w:r>
      <w:r w:rsidR="004A4966" w:rsidRPr="00CE7EB9">
        <w:rPr>
          <w:rFonts w:ascii="Arial" w:hAnsi="Arial" w:cs="Arial"/>
          <w:color w:val="111111"/>
          <w:sz w:val="26"/>
          <w:szCs w:val="26"/>
          <w:shd w:val="clear" w:color="auto" w:fill="FFFFFF"/>
        </w:rPr>
        <w:t xml:space="preserve"> responsive</w:t>
      </w:r>
      <w:r w:rsidR="0036494F" w:rsidRPr="00CE7EB9">
        <w:rPr>
          <w:rFonts w:ascii="Arial" w:hAnsi="Arial" w:cs="Arial"/>
          <w:color w:val="111111"/>
          <w:sz w:val="26"/>
          <w:szCs w:val="26"/>
          <w:shd w:val="clear" w:color="auto" w:fill="FFFFFF"/>
        </w:rPr>
        <w:t xml:space="preserve"> measure</w:t>
      </w:r>
      <w:r w:rsidR="004A4966" w:rsidRPr="00CE7EB9">
        <w:rPr>
          <w:rFonts w:ascii="Arial" w:hAnsi="Arial" w:cs="Arial"/>
          <w:color w:val="111111"/>
          <w:sz w:val="26"/>
          <w:szCs w:val="26"/>
          <w:shd w:val="clear" w:color="auto" w:fill="FFFFFF"/>
        </w:rPr>
        <w:t xml:space="preserve"> </w:t>
      </w:r>
      <w:r w:rsidR="0036494F" w:rsidRPr="00CE7EB9">
        <w:rPr>
          <w:rFonts w:ascii="Arial" w:hAnsi="Arial" w:cs="Arial"/>
          <w:color w:val="111111"/>
          <w:sz w:val="26"/>
          <w:szCs w:val="26"/>
          <w:shd w:val="clear" w:color="auto" w:fill="FFFFFF"/>
        </w:rPr>
        <w:t>to</w:t>
      </w:r>
      <w:r w:rsidR="004A4966" w:rsidRPr="00CE7EB9">
        <w:rPr>
          <w:rFonts w:ascii="Arial" w:hAnsi="Arial" w:cs="Arial"/>
          <w:color w:val="111111"/>
          <w:sz w:val="26"/>
          <w:szCs w:val="26"/>
          <w:shd w:val="clear" w:color="auto" w:fill="FFFFFF"/>
        </w:rPr>
        <w:t xml:space="preserve"> the </w:t>
      </w:r>
      <w:r w:rsidR="0036494F" w:rsidRPr="00CE7EB9">
        <w:rPr>
          <w:rFonts w:ascii="Arial" w:hAnsi="Arial" w:cs="Arial"/>
          <w:color w:val="111111"/>
          <w:sz w:val="26"/>
          <w:szCs w:val="26"/>
          <w:shd w:val="clear" w:color="auto" w:fill="FFFFFF"/>
        </w:rPr>
        <w:t>economic decline</w:t>
      </w:r>
      <w:r w:rsidR="004A4966" w:rsidRPr="00CE7EB9">
        <w:rPr>
          <w:rFonts w:ascii="Arial" w:hAnsi="Arial" w:cs="Arial"/>
          <w:color w:val="111111"/>
          <w:sz w:val="26"/>
          <w:szCs w:val="26"/>
          <w:shd w:val="clear" w:color="auto" w:fill="FFFFFF"/>
        </w:rPr>
        <w:t xml:space="preserve">. </w:t>
      </w:r>
      <w:r w:rsidR="00E8708C" w:rsidRPr="00CE7EB9">
        <w:rPr>
          <w:rFonts w:ascii="Arial" w:hAnsi="Arial" w:cs="Arial"/>
          <w:color w:val="111111"/>
          <w:sz w:val="26"/>
          <w:szCs w:val="26"/>
          <w:shd w:val="clear" w:color="auto" w:fill="FFFFFF"/>
        </w:rPr>
        <w:t xml:space="preserve">With regards to the total debt ratio, all three companies remain a ratio below one and </w:t>
      </w:r>
      <w:r w:rsidR="00F00AF2" w:rsidRPr="00CE7EB9">
        <w:rPr>
          <w:rFonts w:ascii="Arial" w:hAnsi="Arial" w:cs="Arial"/>
          <w:color w:val="111111"/>
          <w:sz w:val="26"/>
          <w:szCs w:val="26"/>
          <w:shd w:val="clear" w:color="auto" w:fill="FFFFFF"/>
        </w:rPr>
        <w:t xml:space="preserve">TSL has the highest </w:t>
      </w:r>
      <w:r w:rsidR="005C5B99" w:rsidRPr="00CE7EB9">
        <w:rPr>
          <w:rFonts w:ascii="Arial" w:hAnsi="Arial" w:cs="Arial"/>
          <w:color w:val="111111"/>
          <w:sz w:val="26"/>
          <w:szCs w:val="26"/>
          <w:shd w:val="clear" w:color="auto" w:fill="FFFFFF"/>
        </w:rPr>
        <w:t>t</w:t>
      </w:r>
      <w:r w:rsidR="00F00AF2" w:rsidRPr="00CE7EB9">
        <w:rPr>
          <w:rFonts w:ascii="Arial" w:hAnsi="Arial" w:cs="Arial"/>
          <w:color w:val="111111"/>
          <w:sz w:val="26"/>
          <w:szCs w:val="26"/>
          <w:shd w:val="clear" w:color="auto" w:fill="FFFFFF"/>
        </w:rPr>
        <w:t xml:space="preserve">otal </w:t>
      </w:r>
      <w:r w:rsidR="005C5B99" w:rsidRPr="00CE7EB9">
        <w:rPr>
          <w:rFonts w:ascii="Arial" w:hAnsi="Arial" w:cs="Arial"/>
          <w:color w:val="111111"/>
          <w:sz w:val="26"/>
          <w:szCs w:val="26"/>
          <w:shd w:val="clear" w:color="auto" w:fill="FFFFFF"/>
        </w:rPr>
        <w:t>d</w:t>
      </w:r>
      <w:r w:rsidR="00F00AF2" w:rsidRPr="00CE7EB9">
        <w:rPr>
          <w:rFonts w:ascii="Arial" w:hAnsi="Arial" w:cs="Arial"/>
          <w:color w:val="111111"/>
          <w:sz w:val="26"/>
          <w:szCs w:val="26"/>
          <w:shd w:val="clear" w:color="auto" w:fill="FFFFFF"/>
        </w:rPr>
        <w:t xml:space="preserve">ebt </w:t>
      </w:r>
      <w:r w:rsidR="005C5B99" w:rsidRPr="00CE7EB9">
        <w:rPr>
          <w:rFonts w:ascii="Arial" w:hAnsi="Arial" w:cs="Arial"/>
          <w:color w:val="111111"/>
          <w:sz w:val="26"/>
          <w:szCs w:val="26"/>
          <w:shd w:val="clear" w:color="auto" w:fill="FFFFFF"/>
        </w:rPr>
        <w:t>r</w:t>
      </w:r>
      <w:r w:rsidR="00F00AF2" w:rsidRPr="00CE7EB9">
        <w:rPr>
          <w:rFonts w:ascii="Arial" w:hAnsi="Arial" w:cs="Arial"/>
          <w:color w:val="111111"/>
          <w:sz w:val="26"/>
          <w:szCs w:val="26"/>
          <w:shd w:val="clear" w:color="auto" w:fill="FFFFFF"/>
        </w:rPr>
        <w:t xml:space="preserve">atio of all, meaning that </w:t>
      </w:r>
      <w:r w:rsidR="009F1169" w:rsidRPr="00CE7EB9">
        <w:rPr>
          <w:rFonts w:ascii="Arial" w:hAnsi="Arial" w:cs="Arial"/>
          <w:color w:val="111111"/>
          <w:sz w:val="26"/>
          <w:szCs w:val="26"/>
          <w:shd w:val="clear" w:color="auto" w:fill="FFFFFF"/>
        </w:rPr>
        <w:t>it has a higher degree to use its debt</w:t>
      </w:r>
      <w:r w:rsidR="00C51270" w:rsidRPr="00CE7EB9">
        <w:rPr>
          <w:rFonts w:ascii="Arial" w:hAnsi="Arial" w:cs="Arial"/>
          <w:color w:val="111111"/>
          <w:sz w:val="26"/>
          <w:szCs w:val="26"/>
          <w:shd w:val="clear" w:color="auto" w:fill="FFFFFF"/>
        </w:rPr>
        <w:t xml:space="preserve"> to finance its assets. </w:t>
      </w:r>
      <w:proofErr w:type="spellStart"/>
      <w:r w:rsidR="00E8708C" w:rsidRPr="00CE7EB9">
        <w:rPr>
          <w:rFonts w:ascii="Arial" w:hAnsi="Arial" w:cs="Arial"/>
          <w:color w:val="111111"/>
          <w:sz w:val="26"/>
          <w:szCs w:val="26"/>
          <w:shd w:val="clear" w:color="auto" w:fill="FFFFFF"/>
        </w:rPr>
        <w:t>Luk</w:t>
      </w:r>
      <w:proofErr w:type="spellEnd"/>
      <w:r w:rsidR="00E8708C" w:rsidRPr="00CE7EB9">
        <w:rPr>
          <w:rFonts w:ascii="Arial" w:hAnsi="Arial" w:cs="Arial"/>
          <w:color w:val="111111"/>
          <w:sz w:val="26"/>
          <w:szCs w:val="26"/>
          <w:shd w:val="clear" w:color="auto" w:fill="FFFFFF"/>
        </w:rPr>
        <w:t xml:space="preserve"> </w:t>
      </w:r>
      <w:proofErr w:type="spellStart"/>
      <w:r w:rsidR="007D79C2">
        <w:rPr>
          <w:rFonts w:ascii="Arial" w:hAnsi="Arial" w:cs="Arial"/>
          <w:color w:val="111111"/>
          <w:sz w:val="26"/>
          <w:szCs w:val="26"/>
          <w:shd w:val="clear" w:color="auto" w:fill="FFFFFF"/>
        </w:rPr>
        <w:t>f</w:t>
      </w:r>
      <w:r w:rsidR="00E8708C" w:rsidRPr="00CE7EB9">
        <w:rPr>
          <w:rFonts w:ascii="Arial" w:hAnsi="Arial" w:cs="Arial"/>
          <w:color w:val="111111"/>
          <w:sz w:val="26"/>
          <w:szCs w:val="26"/>
          <w:shd w:val="clear" w:color="auto" w:fill="FFFFFF"/>
        </w:rPr>
        <w:t>ook</w:t>
      </w:r>
      <w:proofErr w:type="spellEnd"/>
      <w:r w:rsidR="00E8708C" w:rsidRPr="00CE7EB9">
        <w:rPr>
          <w:rFonts w:ascii="Arial" w:hAnsi="Arial" w:cs="Arial"/>
          <w:color w:val="111111"/>
          <w:sz w:val="26"/>
          <w:szCs w:val="26"/>
          <w:shd w:val="clear" w:color="auto" w:fill="FFFFFF"/>
        </w:rPr>
        <w:t xml:space="preserve"> has the lowest average total debt ratio, </w:t>
      </w:r>
      <w:r w:rsidR="00412A8D" w:rsidRPr="00CE7EB9">
        <w:rPr>
          <w:rFonts w:ascii="Arial" w:hAnsi="Arial" w:cs="Arial"/>
          <w:color w:val="111111"/>
          <w:sz w:val="26"/>
          <w:szCs w:val="26"/>
          <w:shd w:val="clear" w:color="auto" w:fill="FFFFFF"/>
        </w:rPr>
        <w:t xml:space="preserve">indicating that only 25% of its assets is financed by the </w:t>
      </w:r>
      <w:r w:rsidR="00F801AD" w:rsidRPr="00CE7EB9">
        <w:rPr>
          <w:rFonts w:ascii="Arial" w:hAnsi="Arial" w:cs="Arial"/>
          <w:color w:val="111111"/>
          <w:sz w:val="26"/>
          <w:szCs w:val="26"/>
          <w:shd w:val="clear" w:color="auto" w:fill="FFFFFF"/>
        </w:rPr>
        <w:t xml:space="preserve">creditors. </w:t>
      </w:r>
      <w:r w:rsidR="00950B21" w:rsidRPr="00CE7EB9">
        <w:rPr>
          <w:rFonts w:ascii="Arial" w:hAnsi="Arial" w:cs="Arial"/>
          <w:color w:val="111111"/>
          <w:sz w:val="26"/>
          <w:szCs w:val="26"/>
          <w:shd w:val="clear" w:color="auto" w:fill="FFFFFF"/>
        </w:rPr>
        <w:t xml:space="preserve">The debt-to-equity ratio of TSL remains above one in the past three years and </w:t>
      </w:r>
      <w:proofErr w:type="spellStart"/>
      <w:r w:rsidR="00950B21" w:rsidRPr="00CE7EB9">
        <w:rPr>
          <w:rFonts w:ascii="Arial" w:hAnsi="Arial" w:cs="Arial"/>
          <w:color w:val="111111"/>
          <w:sz w:val="26"/>
          <w:szCs w:val="26"/>
          <w:shd w:val="clear" w:color="auto" w:fill="FFFFFF"/>
        </w:rPr>
        <w:t>Luk</w:t>
      </w:r>
      <w:proofErr w:type="spellEnd"/>
      <w:r w:rsidR="00950B21" w:rsidRPr="00CE7EB9">
        <w:rPr>
          <w:rFonts w:ascii="Arial" w:hAnsi="Arial" w:cs="Arial"/>
          <w:color w:val="111111"/>
          <w:sz w:val="26"/>
          <w:szCs w:val="26"/>
          <w:shd w:val="clear" w:color="auto" w:fill="FFFFFF"/>
        </w:rPr>
        <w:t xml:space="preserve"> </w:t>
      </w:r>
      <w:proofErr w:type="spellStart"/>
      <w:r w:rsidR="005C3B4B">
        <w:rPr>
          <w:rFonts w:ascii="Arial" w:hAnsi="Arial" w:cs="Arial"/>
          <w:color w:val="111111"/>
          <w:sz w:val="26"/>
          <w:szCs w:val="26"/>
          <w:shd w:val="clear" w:color="auto" w:fill="FFFFFF"/>
        </w:rPr>
        <w:t>f</w:t>
      </w:r>
      <w:r w:rsidR="00950B21" w:rsidRPr="00CE7EB9">
        <w:rPr>
          <w:rFonts w:ascii="Arial" w:hAnsi="Arial" w:cs="Arial"/>
          <w:color w:val="111111"/>
          <w:sz w:val="26"/>
          <w:szCs w:val="26"/>
          <w:shd w:val="clear" w:color="auto" w:fill="FFFFFF"/>
        </w:rPr>
        <w:t>ook</w:t>
      </w:r>
      <w:proofErr w:type="spellEnd"/>
      <w:r w:rsidR="00950B21" w:rsidRPr="00CE7EB9">
        <w:rPr>
          <w:rFonts w:ascii="Arial" w:hAnsi="Arial" w:cs="Arial"/>
          <w:color w:val="111111"/>
          <w:sz w:val="26"/>
          <w:szCs w:val="26"/>
          <w:shd w:val="clear" w:color="auto" w:fill="FFFFFF"/>
        </w:rPr>
        <w:t xml:space="preserve"> as the lowest ratio of all. </w:t>
      </w:r>
      <w:r w:rsidR="006536F3" w:rsidRPr="00CE7EB9">
        <w:rPr>
          <w:rFonts w:ascii="Arial" w:hAnsi="Arial" w:cs="Arial"/>
          <w:color w:val="111111"/>
          <w:sz w:val="26"/>
          <w:szCs w:val="26"/>
          <w:shd w:val="clear" w:color="auto" w:fill="FFFFFF"/>
        </w:rPr>
        <w:t xml:space="preserve">This reflects TSL </w:t>
      </w:r>
      <w:r w:rsidR="000473DC" w:rsidRPr="00CE7EB9">
        <w:rPr>
          <w:rFonts w:ascii="Arial" w:hAnsi="Arial" w:cs="Arial"/>
          <w:color w:val="111111"/>
          <w:sz w:val="26"/>
          <w:szCs w:val="26"/>
          <w:shd w:val="clear" w:color="auto" w:fill="FFFFFF"/>
        </w:rPr>
        <w:t xml:space="preserve">has a </w:t>
      </w:r>
      <w:r w:rsidR="00ED661C" w:rsidRPr="00CE7EB9">
        <w:rPr>
          <w:rFonts w:ascii="Arial" w:hAnsi="Arial" w:cs="Arial"/>
          <w:color w:val="111111"/>
          <w:sz w:val="26"/>
          <w:szCs w:val="26"/>
          <w:shd w:val="clear" w:color="auto" w:fill="FFFFFF"/>
        </w:rPr>
        <w:t>higher use leverage</w:t>
      </w:r>
      <w:r w:rsidR="000473DC" w:rsidRPr="00CE7EB9">
        <w:rPr>
          <w:rFonts w:ascii="Arial" w:hAnsi="Arial" w:cs="Arial"/>
          <w:color w:val="111111"/>
          <w:sz w:val="26"/>
          <w:szCs w:val="26"/>
          <w:shd w:val="clear" w:color="auto" w:fill="FFFFFF"/>
        </w:rPr>
        <w:t xml:space="preserve"> to its shareholders, posing a greater risk. </w:t>
      </w:r>
      <w:r w:rsidR="00712707" w:rsidRPr="00CE7EB9">
        <w:rPr>
          <w:rFonts w:ascii="Arial" w:hAnsi="Arial" w:cs="Arial"/>
          <w:color w:val="111111"/>
          <w:sz w:val="26"/>
          <w:szCs w:val="26"/>
          <w:shd w:val="clear" w:color="auto" w:fill="FFFFFF"/>
        </w:rPr>
        <w:t>CSS remains in the middle for many of the ratio and</w:t>
      </w:r>
      <w:r w:rsidR="001A176E" w:rsidRPr="00CE7EB9">
        <w:rPr>
          <w:rFonts w:ascii="Arial" w:hAnsi="Arial" w:cs="Arial"/>
          <w:color w:val="111111"/>
          <w:sz w:val="26"/>
          <w:szCs w:val="26"/>
          <w:shd w:val="clear" w:color="auto" w:fill="FFFFFF"/>
        </w:rPr>
        <w:t xml:space="preserve"> it has </w:t>
      </w:r>
      <w:r w:rsidR="00D52B44" w:rsidRPr="00CE7EB9">
        <w:rPr>
          <w:rFonts w:ascii="Arial" w:hAnsi="Arial" w:cs="Arial"/>
          <w:color w:val="111111"/>
          <w:sz w:val="26"/>
          <w:szCs w:val="26"/>
          <w:shd w:val="clear" w:color="auto" w:fill="FFFFFF"/>
        </w:rPr>
        <w:t>an</w:t>
      </w:r>
      <w:r w:rsidR="001A176E" w:rsidRPr="00CE7EB9">
        <w:rPr>
          <w:rFonts w:ascii="Arial" w:hAnsi="Arial" w:cs="Arial"/>
          <w:color w:val="111111"/>
          <w:sz w:val="26"/>
          <w:szCs w:val="26"/>
          <w:shd w:val="clear" w:color="auto" w:fill="FFFFFF"/>
        </w:rPr>
        <w:t xml:space="preserve"> equity multiplier of 1.4. This indicates that it has a higher level of debts</w:t>
      </w:r>
      <w:r w:rsidR="002672EE" w:rsidRPr="00CE7EB9">
        <w:rPr>
          <w:rFonts w:ascii="Arial" w:hAnsi="Arial" w:cs="Arial"/>
          <w:color w:val="111111"/>
          <w:sz w:val="26"/>
          <w:szCs w:val="26"/>
          <w:shd w:val="clear" w:color="auto" w:fill="FFFFFF"/>
        </w:rPr>
        <w:t xml:space="preserve">, </w:t>
      </w:r>
      <w:r w:rsidR="001A176E" w:rsidRPr="00CE7EB9">
        <w:rPr>
          <w:rFonts w:ascii="Arial" w:hAnsi="Arial" w:cs="Arial"/>
          <w:color w:val="111111"/>
          <w:sz w:val="26"/>
          <w:szCs w:val="26"/>
          <w:shd w:val="clear" w:color="auto" w:fill="FFFFFF"/>
        </w:rPr>
        <w:t xml:space="preserve">than </w:t>
      </w:r>
      <w:proofErr w:type="spellStart"/>
      <w:r w:rsidR="001A176E" w:rsidRPr="00CE7EB9">
        <w:rPr>
          <w:rFonts w:ascii="Arial" w:hAnsi="Arial" w:cs="Arial"/>
          <w:color w:val="111111"/>
          <w:sz w:val="26"/>
          <w:szCs w:val="26"/>
          <w:shd w:val="clear" w:color="auto" w:fill="FFFFFF"/>
        </w:rPr>
        <w:t>Luk</w:t>
      </w:r>
      <w:proofErr w:type="spellEnd"/>
      <w:r w:rsidR="001A176E" w:rsidRPr="00CE7EB9">
        <w:rPr>
          <w:rFonts w:ascii="Arial" w:hAnsi="Arial" w:cs="Arial"/>
          <w:color w:val="111111"/>
          <w:sz w:val="26"/>
          <w:szCs w:val="26"/>
          <w:shd w:val="clear" w:color="auto" w:fill="FFFFFF"/>
        </w:rPr>
        <w:t xml:space="preserve"> </w:t>
      </w:r>
      <w:proofErr w:type="spellStart"/>
      <w:r w:rsidR="005C3B4B">
        <w:rPr>
          <w:rFonts w:ascii="Arial" w:hAnsi="Arial" w:cs="Arial"/>
          <w:color w:val="111111"/>
          <w:sz w:val="26"/>
          <w:szCs w:val="26"/>
          <w:shd w:val="clear" w:color="auto" w:fill="FFFFFF"/>
        </w:rPr>
        <w:t>f</w:t>
      </w:r>
      <w:r w:rsidR="001A176E" w:rsidRPr="00CE7EB9">
        <w:rPr>
          <w:rFonts w:ascii="Arial" w:hAnsi="Arial" w:cs="Arial"/>
          <w:color w:val="111111"/>
          <w:sz w:val="26"/>
          <w:szCs w:val="26"/>
          <w:shd w:val="clear" w:color="auto" w:fill="FFFFFF"/>
        </w:rPr>
        <w:t>ook</w:t>
      </w:r>
      <w:proofErr w:type="spellEnd"/>
      <w:r w:rsidR="001A176E" w:rsidRPr="00CE7EB9">
        <w:rPr>
          <w:rFonts w:ascii="Arial" w:hAnsi="Arial" w:cs="Arial"/>
          <w:color w:val="111111"/>
          <w:sz w:val="26"/>
          <w:szCs w:val="26"/>
          <w:shd w:val="clear" w:color="auto" w:fill="FFFFFF"/>
        </w:rPr>
        <w:t xml:space="preserve"> but it is lower than </w:t>
      </w:r>
      <w:r w:rsidR="00D52B44" w:rsidRPr="00CE7EB9">
        <w:rPr>
          <w:rFonts w:ascii="Arial" w:hAnsi="Arial" w:cs="Arial"/>
          <w:color w:val="111111"/>
          <w:sz w:val="26"/>
          <w:szCs w:val="26"/>
          <w:shd w:val="clear" w:color="auto" w:fill="FFFFFF"/>
        </w:rPr>
        <w:t>TSL</w:t>
      </w:r>
      <w:r w:rsidR="005802D1" w:rsidRPr="00CE7EB9">
        <w:rPr>
          <w:rFonts w:ascii="Arial" w:hAnsi="Arial" w:cs="Arial"/>
          <w:color w:val="111111"/>
          <w:sz w:val="26"/>
          <w:szCs w:val="26"/>
          <w:shd w:val="clear" w:color="auto" w:fill="FFFFFF"/>
        </w:rPr>
        <w:t>. With regards to the Time Interest Earned</w:t>
      </w:r>
      <w:r w:rsidR="00423562" w:rsidRPr="00CE7EB9">
        <w:rPr>
          <w:rFonts w:ascii="Arial" w:hAnsi="Arial" w:cs="Arial"/>
          <w:color w:val="111111"/>
          <w:sz w:val="26"/>
          <w:szCs w:val="26"/>
          <w:shd w:val="clear" w:color="auto" w:fill="FFFFFF"/>
        </w:rPr>
        <w:t xml:space="preserve"> (TIE)</w:t>
      </w:r>
      <w:r w:rsidR="005802D1" w:rsidRPr="00CE7EB9">
        <w:rPr>
          <w:rFonts w:ascii="Arial" w:hAnsi="Arial" w:cs="Arial"/>
          <w:color w:val="111111"/>
          <w:sz w:val="26"/>
          <w:szCs w:val="26"/>
          <w:shd w:val="clear" w:color="auto" w:fill="FFFFFF"/>
        </w:rPr>
        <w:t xml:space="preserve">, </w:t>
      </w:r>
      <w:proofErr w:type="spellStart"/>
      <w:r w:rsidR="005802D1" w:rsidRPr="00CE7EB9">
        <w:rPr>
          <w:rFonts w:ascii="Arial" w:hAnsi="Arial" w:cs="Arial"/>
          <w:color w:val="111111"/>
          <w:sz w:val="26"/>
          <w:szCs w:val="26"/>
          <w:shd w:val="clear" w:color="auto" w:fill="FFFFFF"/>
        </w:rPr>
        <w:t>Luk</w:t>
      </w:r>
      <w:proofErr w:type="spellEnd"/>
      <w:r w:rsidR="005802D1" w:rsidRPr="00CE7EB9">
        <w:rPr>
          <w:rFonts w:ascii="Arial" w:hAnsi="Arial" w:cs="Arial"/>
          <w:color w:val="111111"/>
          <w:sz w:val="26"/>
          <w:szCs w:val="26"/>
          <w:shd w:val="clear" w:color="auto" w:fill="FFFFFF"/>
        </w:rPr>
        <w:t xml:space="preserve"> </w:t>
      </w:r>
      <w:proofErr w:type="spellStart"/>
      <w:r w:rsidR="005C3B4B">
        <w:rPr>
          <w:rFonts w:ascii="Arial" w:hAnsi="Arial" w:cs="Arial"/>
          <w:color w:val="111111"/>
          <w:sz w:val="26"/>
          <w:szCs w:val="26"/>
          <w:shd w:val="clear" w:color="auto" w:fill="FFFFFF"/>
        </w:rPr>
        <w:t>f</w:t>
      </w:r>
      <w:r w:rsidR="005802D1" w:rsidRPr="00CE7EB9">
        <w:rPr>
          <w:rFonts w:ascii="Arial" w:hAnsi="Arial" w:cs="Arial"/>
          <w:color w:val="111111"/>
          <w:sz w:val="26"/>
          <w:szCs w:val="26"/>
          <w:shd w:val="clear" w:color="auto" w:fill="FFFFFF"/>
        </w:rPr>
        <w:t>ook</w:t>
      </w:r>
      <w:proofErr w:type="spellEnd"/>
      <w:r w:rsidR="005802D1" w:rsidRPr="00CE7EB9">
        <w:rPr>
          <w:rFonts w:ascii="Arial" w:hAnsi="Arial" w:cs="Arial"/>
          <w:color w:val="111111"/>
          <w:sz w:val="26"/>
          <w:szCs w:val="26"/>
          <w:shd w:val="clear" w:color="auto" w:fill="FFFFFF"/>
        </w:rPr>
        <w:t xml:space="preserve"> has an outstanding ratio of 37.52 in average,</w:t>
      </w:r>
      <w:r w:rsidR="007E2EBE" w:rsidRPr="00CE7EB9">
        <w:rPr>
          <w:rFonts w:ascii="Arial" w:hAnsi="Arial" w:cs="Arial"/>
          <w:color w:val="111111"/>
          <w:sz w:val="26"/>
          <w:szCs w:val="26"/>
          <w:shd w:val="clear" w:color="auto" w:fill="FFFFFF"/>
        </w:rPr>
        <w:t xml:space="preserve"> representing it has a high </w:t>
      </w:r>
      <w:r w:rsidR="005C3D4F" w:rsidRPr="00CE7EB9">
        <w:rPr>
          <w:rFonts w:ascii="Arial" w:hAnsi="Arial" w:cs="Arial"/>
          <w:color w:val="111111"/>
          <w:sz w:val="26"/>
          <w:szCs w:val="26"/>
          <w:shd w:val="clear" w:color="auto" w:fill="FFFFFF"/>
        </w:rPr>
        <w:t xml:space="preserve">ability to pay off its debts as well as having remains </w:t>
      </w:r>
      <w:r w:rsidR="005C3D4F" w:rsidRPr="00CE7EB9">
        <w:rPr>
          <w:rFonts w:ascii="Arial" w:hAnsi="Arial" w:cs="Arial"/>
          <w:color w:val="111111"/>
          <w:sz w:val="26"/>
          <w:szCs w:val="26"/>
          <w:shd w:val="clear" w:color="auto" w:fill="FFFFFF"/>
        </w:rPr>
        <w:lastRenderedPageBreak/>
        <w:t xml:space="preserve">to invest in the business. </w:t>
      </w:r>
      <w:r w:rsidR="0027784C" w:rsidRPr="00CE7EB9">
        <w:rPr>
          <w:rFonts w:ascii="Arial" w:hAnsi="Arial" w:cs="Arial"/>
          <w:color w:val="111111"/>
          <w:sz w:val="26"/>
          <w:szCs w:val="26"/>
          <w:shd w:val="clear" w:color="auto" w:fill="FFFFFF"/>
        </w:rPr>
        <w:t xml:space="preserve">It has high profit before income tax as compared to the finance cost. </w:t>
      </w:r>
      <w:r w:rsidR="00182B76" w:rsidRPr="00CE7EB9">
        <w:rPr>
          <w:rFonts w:ascii="Arial" w:hAnsi="Arial" w:cs="Arial"/>
          <w:color w:val="111111"/>
          <w:sz w:val="26"/>
          <w:szCs w:val="26"/>
          <w:shd w:val="clear" w:color="auto" w:fill="FFFFFF"/>
        </w:rPr>
        <w:t xml:space="preserve">In summary, </w:t>
      </w:r>
      <w:proofErr w:type="spellStart"/>
      <w:r w:rsidR="00182B76" w:rsidRPr="00CE7EB9">
        <w:rPr>
          <w:rFonts w:ascii="Arial" w:hAnsi="Arial" w:cs="Arial"/>
          <w:color w:val="111111"/>
          <w:sz w:val="26"/>
          <w:szCs w:val="26"/>
          <w:shd w:val="clear" w:color="auto" w:fill="FFFFFF"/>
        </w:rPr>
        <w:t>Luk</w:t>
      </w:r>
      <w:proofErr w:type="spellEnd"/>
      <w:r w:rsidR="00182B76" w:rsidRPr="00CE7EB9">
        <w:rPr>
          <w:rFonts w:ascii="Arial" w:hAnsi="Arial" w:cs="Arial"/>
          <w:color w:val="111111"/>
          <w:sz w:val="26"/>
          <w:szCs w:val="26"/>
          <w:shd w:val="clear" w:color="auto" w:fill="FFFFFF"/>
        </w:rPr>
        <w:t xml:space="preserve"> </w:t>
      </w:r>
      <w:proofErr w:type="spellStart"/>
      <w:r w:rsidR="005C3B4B">
        <w:rPr>
          <w:rFonts w:ascii="Arial" w:hAnsi="Arial" w:cs="Arial"/>
          <w:color w:val="111111"/>
          <w:sz w:val="26"/>
          <w:szCs w:val="26"/>
          <w:shd w:val="clear" w:color="auto" w:fill="FFFFFF"/>
        </w:rPr>
        <w:t>f</w:t>
      </w:r>
      <w:r w:rsidR="00182B76" w:rsidRPr="00CE7EB9">
        <w:rPr>
          <w:rFonts w:ascii="Arial" w:hAnsi="Arial" w:cs="Arial"/>
          <w:color w:val="111111"/>
          <w:sz w:val="26"/>
          <w:szCs w:val="26"/>
          <w:shd w:val="clear" w:color="auto" w:fill="FFFFFF"/>
        </w:rPr>
        <w:t>ook’s</w:t>
      </w:r>
      <w:proofErr w:type="spellEnd"/>
      <w:r w:rsidR="00182B76" w:rsidRPr="00CE7EB9">
        <w:rPr>
          <w:rFonts w:ascii="Arial" w:hAnsi="Arial" w:cs="Arial"/>
          <w:color w:val="111111"/>
          <w:sz w:val="26"/>
          <w:szCs w:val="26"/>
          <w:shd w:val="clear" w:color="auto" w:fill="FFFFFF"/>
        </w:rPr>
        <w:t xml:space="preserve"> paying debt ability is </w:t>
      </w:r>
      <w:r w:rsidR="00617003" w:rsidRPr="00CE7EB9">
        <w:rPr>
          <w:rFonts w:ascii="Arial" w:hAnsi="Arial" w:cs="Arial"/>
          <w:color w:val="111111"/>
          <w:sz w:val="26"/>
          <w:szCs w:val="26"/>
          <w:shd w:val="clear" w:color="auto" w:fill="FFFFFF"/>
        </w:rPr>
        <w:t xml:space="preserve">the highest amongst the three and </w:t>
      </w:r>
      <w:r w:rsidR="0062720C" w:rsidRPr="00CE7EB9">
        <w:rPr>
          <w:rFonts w:ascii="Arial" w:hAnsi="Arial" w:cs="Arial"/>
          <w:color w:val="111111"/>
          <w:sz w:val="26"/>
          <w:szCs w:val="26"/>
          <w:shd w:val="clear" w:color="auto" w:fill="FFFFFF"/>
        </w:rPr>
        <w:t>it</w:t>
      </w:r>
      <w:r w:rsidR="00617003" w:rsidRPr="00CE7EB9">
        <w:rPr>
          <w:rFonts w:ascii="Arial" w:hAnsi="Arial" w:cs="Arial"/>
          <w:color w:val="111111"/>
          <w:sz w:val="26"/>
          <w:szCs w:val="26"/>
          <w:shd w:val="clear" w:color="auto" w:fill="FFFFFF"/>
        </w:rPr>
        <w:t xml:space="preserve"> remains abundant </w:t>
      </w:r>
      <w:r w:rsidR="0062720C" w:rsidRPr="00CE7EB9">
        <w:rPr>
          <w:rFonts w:ascii="Arial" w:hAnsi="Arial" w:cs="Arial"/>
          <w:color w:val="111111"/>
          <w:sz w:val="26"/>
          <w:szCs w:val="26"/>
          <w:shd w:val="clear" w:color="auto" w:fill="FFFFFF"/>
        </w:rPr>
        <w:t xml:space="preserve">in </w:t>
      </w:r>
      <w:r w:rsidR="00617003" w:rsidRPr="00CE7EB9">
        <w:rPr>
          <w:rFonts w:ascii="Arial" w:hAnsi="Arial" w:cs="Arial"/>
          <w:color w:val="111111"/>
          <w:sz w:val="26"/>
          <w:szCs w:val="26"/>
          <w:shd w:val="clear" w:color="auto" w:fill="FFFFFF"/>
        </w:rPr>
        <w:t>cashflow to</w:t>
      </w:r>
      <w:r w:rsidR="0062720C" w:rsidRPr="00CE7EB9">
        <w:rPr>
          <w:rFonts w:ascii="Arial" w:hAnsi="Arial" w:cs="Arial"/>
          <w:color w:val="111111"/>
          <w:sz w:val="26"/>
          <w:szCs w:val="26"/>
          <w:shd w:val="clear" w:color="auto" w:fill="FFFFFF"/>
        </w:rPr>
        <w:t xml:space="preserve"> manage its liability. </w:t>
      </w:r>
    </w:p>
    <w:p w14:paraId="50759784" w14:textId="77777777" w:rsidR="00517EA8" w:rsidRPr="00CE7EB9" w:rsidRDefault="00517EA8" w:rsidP="005556ED">
      <w:pPr>
        <w:spacing w:line="360" w:lineRule="auto"/>
        <w:rPr>
          <w:rFonts w:ascii="Arial" w:hAnsi="Arial" w:cs="Arial"/>
          <w:color w:val="111111"/>
          <w:sz w:val="26"/>
          <w:szCs w:val="26"/>
          <w:highlight w:val="yellow"/>
          <w:shd w:val="clear" w:color="auto" w:fill="FFFFFF"/>
        </w:rPr>
      </w:pPr>
    </w:p>
    <w:p w14:paraId="1AD9664A" w14:textId="0E38ECB3" w:rsidR="00221BCB" w:rsidRPr="002C0C4D" w:rsidRDefault="007D79C2" w:rsidP="0049372B">
      <w:pPr>
        <w:spacing w:line="360" w:lineRule="auto"/>
        <w:rPr>
          <w:rFonts w:ascii="Arial" w:hAnsi="Arial" w:cs="Arial"/>
          <w:i/>
          <w:iCs/>
          <w:szCs w:val="24"/>
        </w:rPr>
      </w:pPr>
      <w:r w:rsidRPr="002C0C4D">
        <w:rPr>
          <w:rFonts w:ascii="Arial" w:hAnsi="Arial" w:cs="Arial"/>
          <w:i/>
          <w:iCs/>
          <w:szCs w:val="24"/>
        </w:rPr>
        <w:t>4</w:t>
      </w:r>
      <w:r w:rsidR="00080207" w:rsidRPr="002C0C4D">
        <w:rPr>
          <w:rFonts w:ascii="Arial" w:hAnsi="Arial" w:cs="Arial"/>
          <w:i/>
          <w:iCs/>
          <w:szCs w:val="24"/>
        </w:rPr>
        <w:t>.</w:t>
      </w:r>
      <w:r w:rsidR="0062720C" w:rsidRPr="002C0C4D">
        <w:rPr>
          <w:rFonts w:ascii="Arial" w:hAnsi="Arial" w:cs="Arial"/>
          <w:i/>
          <w:iCs/>
          <w:szCs w:val="24"/>
        </w:rPr>
        <w:t>4</w:t>
      </w:r>
      <w:r w:rsidR="00080207" w:rsidRPr="002C0C4D">
        <w:rPr>
          <w:rFonts w:ascii="Arial" w:hAnsi="Arial" w:cs="Arial"/>
          <w:i/>
          <w:iCs/>
          <w:szCs w:val="24"/>
        </w:rPr>
        <w:t xml:space="preserve"> Profitability Assessment</w:t>
      </w:r>
    </w:p>
    <w:p w14:paraId="4E3D2EB1" w14:textId="554F4DD2" w:rsidR="00B34CDC" w:rsidRPr="00CE7EB9" w:rsidRDefault="007C3C1D" w:rsidP="0049372B">
      <w:pPr>
        <w:spacing w:line="360" w:lineRule="auto"/>
        <w:rPr>
          <w:rFonts w:ascii="Arial" w:hAnsi="Arial" w:cs="Arial"/>
          <w:szCs w:val="24"/>
        </w:rPr>
      </w:pPr>
      <w:r w:rsidRPr="00CE7EB9">
        <w:rPr>
          <w:rFonts w:ascii="Arial" w:hAnsi="Arial" w:cs="Arial"/>
          <w:szCs w:val="24"/>
        </w:rPr>
        <w:t xml:space="preserve">As according to Table 3, </w:t>
      </w:r>
      <w:r w:rsidR="00E82254" w:rsidRPr="00CE7EB9">
        <w:rPr>
          <w:rFonts w:ascii="Arial" w:hAnsi="Arial" w:cs="Arial"/>
          <w:szCs w:val="24"/>
        </w:rPr>
        <w:t>the</w:t>
      </w:r>
      <w:r w:rsidR="00B855B7" w:rsidRPr="00CE7EB9">
        <w:rPr>
          <w:rFonts w:ascii="Arial" w:hAnsi="Arial" w:cs="Arial"/>
          <w:szCs w:val="24"/>
        </w:rPr>
        <w:t xml:space="preserve"> average</w:t>
      </w:r>
      <w:r w:rsidR="00E82254" w:rsidRPr="00CE7EB9">
        <w:rPr>
          <w:rFonts w:ascii="Arial" w:hAnsi="Arial" w:cs="Arial"/>
          <w:szCs w:val="24"/>
        </w:rPr>
        <w:t xml:space="preserve"> total revenue of CSS </w:t>
      </w:r>
      <w:r w:rsidR="00B4359A" w:rsidRPr="00CE7EB9">
        <w:rPr>
          <w:rFonts w:ascii="Arial" w:hAnsi="Arial" w:cs="Arial"/>
          <w:szCs w:val="24"/>
        </w:rPr>
        <w:t>(</w:t>
      </w:r>
      <w:r w:rsidR="00B855B7" w:rsidRPr="00CE7EB9">
        <w:rPr>
          <w:rFonts w:ascii="Arial" w:hAnsi="Arial" w:cs="Arial"/>
          <w:szCs w:val="24"/>
        </w:rPr>
        <w:t xml:space="preserve">$17,192 million) </w:t>
      </w:r>
      <w:r w:rsidR="00E82254" w:rsidRPr="00CE7EB9">
        <w:rPr>
          <w:rFonts w:ascii="Arial" w:hAnsi="Arial" w:cs="Arial"/>
          <w:szCs w:val="24"/>
        </w:rPr>
        <w:t>in the past three fiscal year</w:t>
      </w:r>
      <w:r w:rsidR="002A094C" w:rsidRPr="00CE7EB9">
        <w:rPr>
          <w:rFonts w:ascii="Arial" w:hAnsi="Arial" w:cs="Arial"/>
          <w:szCs w:val="24"/>
        </w:rPr>
        <w:t xml:space="preserve">s was the highest amongst the three companies. However, </w:t>
      </w:r>
      <w:proofErr w:type="spellStart"/>
      <w:r w:rsidR="002A094C" w:rsidRPr="00CE7EB9">
        <w:rPr>
          <w:rFonts w:ascii="Arial" w:hAnsi="Arial" w:cs="Arial"/>
          <w:szCs w:val="24"/>
        </w:rPr>
        <w:t>Luk</w:t>
      </w:r>
      <w:proofErr w:type="spellEnd"/>
      <w:r w:rsidR="002A094C" w:rsidRPr="00CE7EB9">
        <w:rPr>
          <w:rFonts w:ascii="Arial" w:hAnsi="Arial" w:cs="Arial"/>
          <w:szCs w:val="24"/>
        </w:rPr>
        <w:t xml:space="preserve"> </w:t>
      </w:r>
      <w:proofErr w:type="spellStart"/>
      <w:r w:rsidR="007D79C2">
        <w:rPr>
          <w:rFonts w:ascii="Arial" w:hAnsi="Arial" w:cs="Arial"/>
          <w:szCs w:val="24"/>
        </w:rPr>
        <w:t>f</w:t>
      </w:r>
      <w:r w:rsidR="002A094C" w:rsidRPr="00CE7EB9">
        <w:rPr>
          <w:rFonts w:ascii="Arial" w:hAnsi="Arial" w:cs="Arial"/>
          <w:szCs w:val="24"/>
        </w:rPr>
        <w:t>ook</w:t>
      </w:r>
      <w:proofErr w:type="spellEnd"/>
      <w:r w:rsidR="002A094C" w:rsidRPr="00CE7EB9">
        <w:rPr>
          <w:rFonts w:ascii="Arial" w:hAnsi="Arial" w:cs="Arial"/>
          <w:szCs w:val="24"/>
        </w:rPr>
        <w:t xml:space="preserve"> resulted in the highest in </w:t>
      </w:r>
      <w:r w:rsidR="00B4359A" w:rsidRPr="00CE7EB9">
        <w:rPr>
          <w:rFonts w:ascii="Arial" w:hAnsi="Arial" w:cs="Arial"/>
          <w:szCs w:val="24"/>
        </w:rPr>
        <w:t xml:space="preserve">the profit of the year, having $1,130 million in average. </w:t>
      </w:r>
      <w:r w:rsidR="00B855B7" w:rsidRPr="00CE7EB9">
        <w:rPr>
          <w:rFonts w:ascii="Arial" w:hAnsi="Arial" w:cs="Arial"/>
          <w:szCs w:val="24"/>
        </w:rPr>
        <w:t xml:space="preserve">Table </w:t>
      </w:r>
      <w:r w:rsidR="007D79C2">
        <w:rPr>
          <w:rFonts w:ascii="Arial" w:hAnsi="Arial" w:cs="Arial"/>
          <w:szCs w:val="24"/>
        </w:rPr>
        <w:t>7</w:t>
      </w:r>
      <w:r w:rsidR="00B855B7" w:rsidRPr="00CE7EB9">
        <w:rPr>
          <w:rFonts w:ascii="Arial" w:hAnsi="Arial" w:cs="Arial"/>
          <w:szCs w:val="24"/>
        </w:rPr>
        <w:t xml:space="preserve"> highlights the ratio of the </w:t>
      </w:r>
      <w:r w:rsidR="00EB2D56" w:rsidRPr="00CE7EB9">
        <w:rPr>
          <w:rFonts w:ascii="Arial" w:hAnsi="Arial" w:cs="Arial"/>
          <w:szCs w:val="24"/>
        </w:rPr>
        <w:t>profitability</w:t>
      </w:r>
      <w:r w:rsidR="0086558D" w:rsidRPr="00CE7EB9">
        <w:rPr>
          <w:rFonts w:ascii="Arial" w:hAnsi="Arial" w:cs="Arial"/>
          <w:szCs w:val="24"/>
        </w:rPr>
        <w:t xml:space="preserve">, it shows that </w:t>
      </w:r>
      <w:r w:rsidR="00511DFE" w:rsidRPr="00CE7EB9">
        <w:rPr>
          <w:rFonts w:ascii="Arial" w:hAnsi="Arial" w:cs="Arial"/>
          <w:szCs w:val="24"/>
        </w:rPr>
        <w:t xml:space="preserve">the average </w:t>
      </w:r>
      <w:r w:rsidR="007E1D29" w:rsidRPr="00CE7EB9">
        <w:rPr>
          <w:rFonts w:ascii="Arial" w:hAnsi="Arial" w:cs="Arial"/>
          <w:szCs w:val="24"/>
        </w:rPr>
        <w:t>g</w:t>
      </w:r>
      <w:r w:rsidR="00511DFE" w:rsidRPr="00CE7EB9">
        <w:rPr>
          <w:rFonts w:ascii="Arial" w:hAnsi="Arial" w:cs="Arial"/>
          <w:szCs w:val="24"/>
        </w:rPr>
        <w:t xml:space="preserve">ross </w:t>
      </w:r>
      <w:r w:rsidR="007E1D29" w:rsidRPr="00CE7EB9">
        <w:rPr>
          <w:rFonts w:ascii="Arial" w:hAnsi="Arial" w:cs="Arial"/>
          <w:szCs w:val="24"/>
        </w:rPr>
        <w:t>p</w:t>
      </w:r>
      <w:r w:rsidR="00511DFE" w:rsidRPr="00CE7EB9">
        <w:rPr>
          <w:rFonts w:ascii="Arial" w:hAnsi="Arial" w:cs="Arial"/>
          <w:szCs w:val="24"/>
        </w:rPr>
        <w:t xml:space="preserve">rofit </w:t>
      </w:r>
      <w:r w:rsidR="007E1D29" w:rsidRPr="00CE7EB9">
        <w:rPr>
          <w:rFonts w:ascii="Arial" w:hAnsi="Arial" w:cs="Arial"/>
          <w:szCs w:val="24"/>
        </w:rPr>
        <w:t>m</w:t>
      </w:r>
      <w:r w:rsidR="00511DFE" w:rsidRPr="00CE7EB9">
        <w:rPr>
          <w:rFonts w:ascii="Arial" w:hAnsi="Arial" w:cs="Arial"/>
          <w:szCs w:val="24"/>
        </w:rPr>
        <w:t xml:space="preserve">argin of </w:t>
      </w:r>
      <w:proofErr w:type="spellStart"/>
      <w:r w:rsidR="00511DFE" w:rsidRPr="00CE7EB9">
        <w:rPr>
          <w:rFonts w:ascii="Arial" w:hAnsi="Arial" w:cs="Arial"/>
          <w:szCs w:val="24"/>
        </w:rPr>
        <w:t>Luk</w:t>
      </w:r>
      <w:proofErr w:type="spellEnd"/>
      <w:r w:rsidR="00511DFE" w:rsidRPr="00CE7EB9">
        <w:rPr>
          <w:rFonts w:ascii="Arial" w:hAnsi="Arial" w:cs="Arial"/>
          <w:szCs w:val="24"/>
        </w:rPr>
        <w:t xml:space="preserve"> </w:t>
      </w:r>
      <w:proofErr w:type="spellStart"/>
      <w:r w:rsidR="007D79C2">
        <w:rPr>
          <w:rFonts w:ascii="Arial" w:hAnsi="Arial" w:cs="Arial"/>
          <w:szCs w:val="24"/>
        </w:rPr>
        <w:t>f</w:t>
      </w:r>
      <w:r w:rsidR="00511DFE" w:rsidRPr="00CE7EB9">
        <w:rPr>
          <w:rFonts w:ascii="Arial" w:hAnsi="Arial" w:cs="Arial"/>
          <w:szCs w:val="24"/>
        </w:rPr>
        <w:t>ook</w:t>
      </w:r>
      <w:proofErr w:type="spellEnd"/>
      <w:r w:rsidR="00511DFE" w:rsidRPr="00CE7EB9">
        <w:rPr>
          <w:rFonts w:ascii="Arial" w:hAnsi="Arial" w:cs="Arial"/>
          <w:szCs w:val="24"/>
        </w:rPr>
        <w:t xml:space="preserve"> and CSS are both 26%, </w:t>
      </w:r>
      <w:r w:rsidR="007D79C2">
        <w:rPr>
          <w:rFonts w:ascii="Arial" w:hAnsi="Arial" w:cs="Arial"/>
          <w:szCs w:val="24"/>
        </w:rPr>
        <w:t>whereas</w:t>
      </w:r>
      <w:r w:rsidR="00511DFE" w:rsidRPr="00CE7EB9">
        <w:rPr>
          <w:rFonts w:ascii="Arial" w:hAnsi="Arial" w:cs="Arial"/>
          <w:szCs w:val="24"/>
        </w:rPr>
        <w:t xml:space="preserve"> </w:t>
      </w:r>
      <w:proofErr w:type="spellStart"/>
      <w:r w:rsidR="00511DFE" w:rsidRPr="00CE7EB9">
        <w:rPr>
          <w:rFonts w:ascii="Arial" w:hAnsi="Arial" w:cs="Arial"/>
          <w:szCs w:val="24"/>
        </w:rPr>
        <w:t>Luk</w:t>
      </w:r>
      <w:proofErr w:type="spellEnd"/>
      <w:r w:rsidR="00511DFE" w:rsidRPr="00CE7EB9">
        <w:rPr>
          <w:rFonts w:ascii="Arial" w:hAnsi="Arial" w:cs="Arial"/>
          <w:szCs w:val="24"/>
        </w:rPr>
        <w:t xml:space="preserve"> </w:t>
      </w:r>
      <w:proofErr w:type="spellStart"/>
      <w:r w:rsidR="007D79C2">
        <w:rPr>
          <w:rFonts w:ascii="Arial" w:hAnsi="Arial" w:cs="Arial"/>
          <w:szCs w:val="24"/>
        </w:rPr>
        <w:t>f</w:t>
      </w:r>
      <w:r w:rsidR="00511DFE" w:rsidRPr="00CE7EB9">
        <w:rPr>
          <w:rFonts w:ascii="Arial" w:hAnsi="Arial" w:cs="Arial"/>
          <w:szCs w:val="24"/>
        </w:rPr>
        <w:t>ook</w:t>
      </w:r>
      <w:proofErr w:type="spellEnd"/>
      <w:r w:rsidR="00511DFE" w:rsidRPr="00CE7EB9">
        <w:rPr>
          <w:rFonts w:ascii="Arial" w:hAnsi="Arial" w:cs="Arial"/>
          <w:szCs w:val="24"/>
        </w:rPr>
        <w:t xml:space="preserve"> has a net profit margin on 10%</w:t>
      </w:r>
      <w:r w:rsidR="00B564C8" w:rsidRPr="00CE7EB9">
        <w:rPr>
          <w:rFonts w:ascii="Arial" w:hAnsi="Arial" w:cs="Arial"/>
          <w:szCs w:val="24"/>
        </w:rPr>
        <w:t xml:space="preserve">. </w:t>
      </w:r>
      <w:r w:rsidR="007D79C2">
        <w:rPr>
          <w:rFonts w:ascii="Arial" w:hAnsi="Arial" w:cs="Arial"/>
          <w:szCs w:val="24"/>
        </w:rPr>
        <w:t xml:space="preserve">This has resulted in a higher overall net profit of </w:t>
      </w:r>
      <w:proofErr w:type="spellStart"/>
      <w:r w:rsidR="007D79C2">
        <w:rPr>
          <w:rFonts w:ascii="Arial" w:hAnsi="Arial" w:cs="Arial"/>
          <w:szCs w:val="24"/>
        </w:rPr>
        <w:t>Luk</w:t>
      </w:r>
      <w:proofErr w:type="spellEnd"/>
      <w:r w:rsidR="007D79C2">
        <w:rPr>
          <w:rFonts w:ascii="Arial" w:hAnsi="Arial" w:cs="Arial"/>
          <w:szCs w:val="24"/>
        </w:rPr>
        <w:t xml:space="preserve"> </w:t>
      </w:r>
      <w:proofErr w:type="spellStart"/>
      <w:r w:rsidR="007D79C2">
        <w:rPr>
          <w:rFonts w:ascii="Arial" w:hAnsi="Arial" w:cs="Arial"/>
          <w:szCs w:val="24"/>
        </w:rPr>
        <w:t>fook</w:t>
      </w:r>
      <w:proofErr w:type="spellEnd"/>
      <w:r w:rsidR="007D79C2">
        <w:rPr>
          <w:rFonts w:ascii="Arial" w:hAnsi="Arial" w:cs="Arial"/>
          <w:szCs w:val="24"/>
        </w:rPr>
        <w:t xml:space="preserve">. </w:t>
      </w:r>
      <w:r w:rsidR="00B564C8" w:rsidRPr="00CE7EB9">
        <w:rPr>
          <w:rFonts w:ascii="Arial" w:hAnsi="Arial" w:cs="Arial"/>
          <w:szCs w:val="24"/>
        </w:rPr>
        <w:t>TSL, on the other hand, has a high</w:t>
      </w:r>
      <w:r w:rsidR="007E1D29" w:rsidRPr="00CE7EB9">
        <w:rPr>
          <w:rFonts w:ascii="Arial" w:hAnsi="Arial" w:cs="Arial"/>
          <w:szCs w:val="24"/>
        </w:rPr>
        <w:t>est</w:t>
      </w:r>
      <w:r w:rsidR="00B564C8" w:rsidRPr="00CE7EB9">
        <w:rPr>
          <w:rFonts w:ascii="Arial" w:hAnsi="Arial" w:cs="Arial"/>
          <w:szCs w:val="24"/>
        </w:rPr>
        <w:t xml:space="preserve"> </w:t>
      </w:r>
      <w:r w:rsidR="007E1D29" w:rsidRPr="00CE7EB9">
        <w:rPr>
          <w:rFonts w:ascii="Arial" w:hAnsi="Arial" w:cs="Arial"/>
          <w:szCs w:val="24"/>
        </w:rPr>
        <w:t>g</w:t>
      </w:r>
      <w:r w:rsidR="00B564C8" w:rsidRPr="00CE7EB9">
        <w:rPr>
          <w:rFonts w:ascii="Arial" w:hAnsi="Arial" w:cs="Arial"/>
          <w:szCs w:val="24"/>
        </w:rPr>
        <w:t xml:space="preserve">ross </w:t>
      </w:r>
      <w:r w:rsidR="007E1D29" w:rsidRPr="00CE7EB9">
        <w:rPr>
          <w:rFonts w:ascii="Arial" w:hAnsi="Arial" w:cs="Arial"/>
          <w:szCs w:val="24"/>
        </w:rPr>
        <w:t>p</w:t>
      </w:r>
      <w:r w:rsidR="00B564C8" w:rsidRPr="00CE7EB9">
        <w:rPr>
          <w:rFonts w:ascii="Arial" w:hAnsi="Arial" w:cs="Arial"/>
          <w:szCs w:val="24"/>
        </w:rPr>
        <w:t xml:space="preserve">rofit </w:t>
      </w:r>
      <w:r w:rsidR="00530089" w:rsidRPr="00CE7EB9">
        <w:rPr>
          <w:rFonts w:ascii="Arial" w:hAnsi="Arial" w:cs="Arial"/>
          <w:szCs w:val="24"/>
        </w:rPr>
        <w:t>margin</w:t>
      </w:r>
      <w:r w:rsidR="00B564C8" w:rsidRPr="00CE7EB9">
        <w:rPr>
          <w:rFonts w:ascii="Arial" w:hAnsi="Arial" w:cs="Arial"/>
          <w:szCs w:val="24"/>
        </w:rPr>
        <w:t xml:space="preserve"> (38%) but a low</w:t>
      </w:r>
      <w:r w:rsidR="007E1D29" w:rsidRPr="00CE7EB9">
        <w:rPr>
          <w:rFonts w:ascii="Arial" w:hAnsi="Arial" w:cs="Arial"/>
          <w:szCs w:val="24"/>
        </w:rPr>
        <w:t>est</w:t>
      </w:r>
      <w:r w:rsidR="00B564C8" w:rsidRPr="00CE7EB9">
        <w:rPr>
          <w:rFonts w:ascii="Arial" w:hAnsi="Arial" w:cs="Arial"/>
          <w:szCs w:val="24"/>
        </w:rPr>
        <w:t xml:space="preserve"> Net Profit Margin (2%). This has affected its overall </w:t>
      </w:r>
      <w:r w:rsidR="00530089" w:rsidRPr="00CE7EB9">
        <w:rPr>
          <w:rFonts w:ascii="Arial" w:hAnsi="Arial" w:cs="Arial"/>
          <w:szCs w:val="24"/>
        </w:rPr>
        <w:t>performance and</w:t>
      </w:r>
      <w:r w:rsidR="007E1D29" w:rsidRPr="00CE7EB9">
        <w:rPr>
          <w:rFonts w:ascii="Arial" w:hAnsi="Arial" w:cs="Arial"/>
          <w:szCs w:val="24"/>
        </w:rPr>
        <w:t xml:space="preserve"> indicating that the Group needs to review on its operating cost </w:t>
      </w:r>
      <w:r w:rsidR="00EE3F93" w:rsidRPr="00CE7EB9">
        <w:rPr>
          <w:rFonts w:ascii="Arial" w:hAnsi="Arial" w:cs="Arial"/>
          <w:szCs w:val="24"/>
        </w:rPr>
        <w:t>to</w:t>
      </w:r>
      <w:r w:rsidR="007E1D29" w:rsidRPr="00CE7EB9">
        <w:rPr>
          <w:rFonts w:ascii="Arial" w:hAnsi="Arial" w:cs="Arial"/>
          <w:szCs w:val="24"/>
        </w:rPr>
        <w:t xml:space="preserve"> increase the net profit. </w:t>
      </w:r>
      <w:r w:rsidR="00B0248E" w:rsidRPr="00CE7EB9">
        <w:rPr>
          <w:rFonts w:ascii="Arial" w:hAnsi="Arial" w:cs="Arial"/>
          <w:szCs w:val="24"/>
        </w:rPr>
        <w:t xml:space="preserve">The return on assets and equity of </w:t>
      </w:r>
      <w:proofErr w:type="spellStart"/>
      <w:r w:rsidR="00B0248E" w:rsidRPr="00CE7EB9">
        <w:rPr>
          <w:rFonts w:ascii="Arial" w:hAnsi="Arial" w:cs="Arial"/>
          <w:szCs w:val="24"/>
        </w:rPr>
        <w:t>Luk</w:t>
      </w:r>
      <w:proofErr w:type="spellEnd"/>
      <w:r w:rsidR="00B0248E" w:rsidRPr="00CE7EB9">
        <w:rPr>
          <w:rFonts w:ascii="Arial" w:hAnsi="Arial" w:cs="Arial"/>
          <w:szCs w:val="24"/>
        </w:rPr>
        <w:t xml:space="preserve"> </w:t>
      </w:r>
      <w:proofErr w:type="spellStart"/>
      <w:r w:rsidR="007D79C2">
        <w:rPr>
          <w:rFonts w:ascii="Arial" w:hAnsi="Arial" w:cs="Arial"/>
          <w:szCs w:val="24"/>
        </w:rPr>
        <w:t>f</w:t>
      </w:r>
      <w:r w:rsidR="00B0248E" w:rsidRPr="00CE7EB9">
        <w:rPr>
          <w:rFonts w:ascii="Arial" w:hAnsi="Arial" w:cs="Arial"/>
          <w:szCs w:val="24"/>
        </w:rPr>
        <w:t>ook</w:t>
      </w:r>
      <w:proofErr w:type="spellEnd"/>
      <w:r w:rsidR="00B0248E" w:rsidRPr="00CE7EB9">
        <w:rPr>
          <w:rFonts w:ascii="Arial" w:hAnsi="Arial" w:cs="Arial"/>
          <w:szCs w:val="24"/>
        </w:rPr>
        <w:t xml:space="preserve"> </w:t>
      </w:r>
      <w:r w:rsidR="00227F17" w:rsidRPr="00CE7EB9">
        <w:rPr>
          <w:rFonts w:ascii="Arial" w:hAnsi="Arial" w:cs="Arial"/>
          <w:szCs w:val="24"/>
        </w:rPr>
        <w:t xml:space="preserve">are both the highest amongst the three. </w:t>
      </w:r>
      <w:r w:rsidR="00DD1863" w:rsidRPr="00CE7EB9">
        <w:rPr>
          <w:rFonts w:ascii="Arial" w:hAnsi="Arial" w:cs="Arial"/>
          <w:szCs w:val="24"/>
        </w:rPr>
        <w:t xml:space="preserve">This highlights that </w:t>
      </w:r>
      <w:proofErr w:type="spellStart"/>
      <w:r w:rsidR="00DD1863" w:rsidRPr="00CE7EB9">
        <w:rPr>
          <w:rFonts w:ascii="Arial" w:hAnsi="Arial" w:cs="Arial"/>
          <w:szCs w:val="24"/>
        </w:rPr>
        <w:t>Luk</w:t>
      </w:r>
      <w:proofErr w:type="spellEnd"/>
      <w:r w:rsidR="00DD1863" w:rsidRPr="00CE7EB9">
        <w:rPr>
          <w:rFonts w:ascii="Arial" w:hAnsi="Arial" w:cs="Arial"/>
          <w:szCs w:val="24"/>
        </w:rPr>
        <w:t xml:space="preserve"> </w:t>
      </w:r>
      <w:proofErr w:type="spellStart"/>
      <w:r w:rsidR="007D79C2">
        <w:rPr>
          <w:rFonts w:ascii="Arial" w:hAnsi="Arial" w:cs="Arial"/>
          <w:szCs w:val="24"/>
        </w:rPr>
        <w:t>f</w:t>
      </w:r>
      <w:r w:rsidR="00DD1863" w:rsidRPr="00CE7EB9">
        <w:rPr>
          <w:rFonts w:ascii="Arial" w:hAnsi="Arial" w:cs="Arial"/>
          <w:szCs w:val="24"/>
        </w:rPr>
        <w:t>ook</w:t>
      </w:r>
      <w:proofErr w:type="spellEnd"/>
      <w:r w:rsidR="00DD1863" w:rsidRPr="00CE7EB9">
        <w:rPr>
          <w:rFonts w:ascii="Arial" w:hAnsi="Arial" w:cs="Arial"/>
          <w:szCs w:val="24"/>
        </w:rPr>
        <w:t xml:space="preserve"> better utilizes its assets in terms of profitability</w:t>
      </w:r>
      <w:r w:rsidR="00227F17" w:rsidRPr="00CE7EB9">
        <w:rPr>
          <w:rFonts w:ascii="Arial" w:hAnsi="Arial" w:cs="Arial"/>
          <w:szCs w:val="24"/>
        </w:rPr>
        <w:t xml:space="preserve"> </w:t>
      </w:r>
      <w:r w:rsidR="00B34CDC" w:rsidRPr="00CE7EB9">
        <w:rPr>
          <w:rFonts w:ascii="Arial" w:hAnsi="Arial" w:cs="Arial"/>
          <w:szCs w:val="24"/>
        </w:rPr>
        <w:t xml:space="preserve">and it has a higher profitability in relation to shareholder’s equity. In summary, the profitability of </w:t>
      </w:r>
      <w:proofErr w:type="spellStart"/>
      <w:r w:rsidR="00B34CDC" w:rsidRPr="00CE7EB9">
        <w:rPr>
          <w:rFonts w:ascii="Arial" w:hAnsi="Arial" w:cs="Arial"/>
          <w:szCs w:val="24"/>
        </w:rPr>
        <w:t>Luk</w:t>
      </w:r>
      <w:proofErr w:type="spellEnd"/>
      <w:r w:rsidR="00B34CDC" w:rsidRPr="00CE7EB9">
        <w:rPr>
          <w:rFonts w:ascii="Arial" w:hAnsi="Arial" w:cs="Arial"/>
          <w:szCs w:val="24"/>
        </w:rPr>
        <w:t xml:space="preserve"> Fook is satisfactory within the industry</w:t>
      </w:r>
      <w:r w:rsidR="00C0143B" w:rsidRPr="00CE7EB9">
        <w:rPr>
          <w:rFonts w:ascii="Arial" w:hAnsi="Arial" w:cs="Arial"/>
          <w:szCs w:val="24"/>
        </w:rPr>
        <w:t xml:space="preserve">. </w:t>
      </w:r>
    </w:p>
    <w:p w14:paraId="39BD9AB5" w14:textId="3C3BF5BE" w:rsidR="00A11A4C" w:rsidRPr="007D79C2" w:rsidRDefault="00A11A4C" w:rsidP="0049372B">
      <w:pPr>
        <w:spacing w:line="360" w:lineRule="auto"/>
        <w:rPr>
          <w:rFonts w:ascii="Arial" w:hAnsi="Arial" w:cs="Arial"/>
          <w:sz w:val="22"/>
        </w:rPr>
      </w:pPr>
      <w:r w:rsidRPr="007D79C2">
        <w:rPr>
          <w:rFonts w:ascii="Arial" w:hAnsi="Arial" w:cs="Arial"/>
          <w:sz w:val="22"/>
        </w:rPr>
        <w:t xml:space="preserve">Table </w:t>
      </w:r>
      <w:r w:rsidR="00C0143B" w:rsidRPr="007D79C2">
        <w:rPr>
          <w:rFonts w:ascii="Arial" w:hAnsi="Arial" w:cs="Arial"/>
          <w:sz w:val="22"/>
        </w:rPr>
        <w:t>7</w:t>
      </w:r>
      <w:r w:rsidRPr="007D79C2">
        <w:rPr>
          <w:rFonts w:ascii="Arial" w:hAnsi="Arial" w:cs="Arial"/>
          <w:sz w:val="22"/>
        </w:rPr>
        <w:t>.</w:t>
      </w:r>
      <w:r w:rsidR="007C3C1D" w:rsidRPr="007D79C2">
        <w:rPr>
          <w:rFonts w:ascii="Arial" w:hAnsi="Arial" w:cs="Arial"/>
          <w:sz w:val="22"/>
        </w:rPr>
        <w:t xml:space="preserve"> Comparison of the profitability ratio</w:t>
      </w:r>
    </w:p>
    <w:p w14:paraId="5621CA52" w14:textId="3BE11376" w:rsidR="00B211BA" w:rsidRPr="00CE7EB9" w:rsidRDefault="00225C81" w:rsidP="0049372B">
      <w:pPr>
        <w:spacing w:line="360" w:lineRule="auto"/>
        <w:rPr>
          <w:rFonts w:ascii="Arial" w:hAnsi="Arial" w:cs="Arial"/>
          <w:szCs w:val="24"/>
        </w:rPr>
      </w:pPr>
      <w:r w:rsidRPr="00CE7EB9">
        <w:rPr>
          <w:noProof/>
        </w:rPr>
        <w:drawing>
          <wp:inline distT="0" distB="0" distL="0" distR="0" wp14:anchorId="44B462AB" wp14:editId="43E46DC4">
            <wp:extent cx="5823561" cy="1346200"/>
            <wp:effectExtent l="0" t="0" r="6350" b="6350"/>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rotWithShape="1">
                    <a:blip r:embed="rId16"/>
                    <a:srcRect l="22379" t="47075" r="12919" b="26335"/>
                    <a:stretch/>
                  </pic:blipFill>
                  <pic:spPr bwMode="auto">
                    <a:xfrm>
                      <a:off x="0" y="0"/>
                      <a:ext cx="5827238" cy="1347050"/>
                    </a:xfrm>
                    <a:prstGeom prst="rect">
                      <a:avLst/>
                    </a:prstGeom>
                    <a:ln>
                      <a:noFill/>
                    </a:ln>
                    <a:extLst>
                      <a:ext uri="{53640926-AAD7-44D8-BBD7-CCE9431645EC}">
                        <a14:shadowObscured xmlns:a14="http://schemas.microsoft.com/office/drawing/2010/main"/>
                      </a:ext>
                    </a:extLst>
                  </pic:spPr>
                </pic:pic>
              </a:graphicData>
            </a:graphic>
          </wp:inline>
        </w:drawing>
      </w:r>
    </w:p>
    <w:p w14:paraId="2AF6B8CA" w14:textId="3E2C6B4E" w:rsidR="005119DF" w:rsidRPr="007D79C2" w:rsidRDefault="005119DF" w:rsidP="005119DF">
      <w:pPr>
        <w:spacing w:line="360" w:lineRule="auto"/>
        <w:rPr>
          <w:rFonts w:ascii="Arial" w:hAnsi="Arial" w:cs="Arial"/>
          <w:sz w:val="22"/>
        </w:rPr>
      </w:pPr>
      <w:r w:rsidRPr="007D79C2">
        <w:rPr>
          <w:rFonts w:ascii="Arial" w:hAnsi="Arial" w:cs="Arial"/>
          <w:sz w:val="22"/>
        </w:rPr>
        <w:t>Source: compiled by the author</w:t>
      </w:r>
      <w:r w:rsidR="00D770F1" w:rsidRPr="007D79C2">
        <w:rPr>
          <w:rFonts w:ascii="Arial" w:hAnsi="Arial" w:cs="Arial"/>
          <w:sz w:val="22"/>
        </w:rPr>
        <w:t xml:space="preserve"> </w:t>
      </w:r>
    </w:p>
    <w:p w14:paraId="57FFC6D7" w14:textId="0EC33D76" w:rsidR="00080207" w:rsidRPr="002C0C4D" w:rsidRDefault="007D79C2" w:rsidP="0049372B">
      <w:pPr>
        <w:spacing w:line="360" w:lineRule="auto"/>
        <w:rPr>
          <w:rFonts w:ascii="Arial" w:hAnsi="Arial" w:cs="Arial"/>
          <w:i/>
          <w:iCs/>
          <w:szCs w:val="24"/>
        </w:rPr>
      </w:pPr>
      <w:r w:rsidRPr="002C0C4D">
        <w:rPr>
          <w:rFonts w:ascii="Arial" w:hAnsi="Arial" w:cs="Arial"/>
          <w:i/>
          <w:iCs/>
          <w:szCs w:val="24"/>
        </w:rPr>
        <w:t>4</w:t>
      </w:r>
      <w:r w:rsidR="00080207" w:rsidRPr="002C0C4D">
        <w:rPr>
          <w:rFonts w:ascii="Arial" w:hAnsi="Arial" w:cs="Arial"/>
          <w:i/>
          <w:iCs/>
          <w:szCs w:val="24"/>
        </w:rPr>
        <w:t>.</w:t>
      </w:r>
      <w:r w:rsidR="0077239E" w:rsidRPr="002C0C4D">
        <w:rPr>
          <w:rFonts w:ascii="Arial" w:hAnsi="Arial" w:cs="Arial"/>
          <w:i/>
          <w:iCs/>
          <w:szCs w:val="24"/>
        </w:rPr>
        <w:t>5</w:t>
      </w:r>
      <w:r w:rsidR="00080207" w:rsidRPr="002C0C4D">
        <w:rPr>
          <w:rFonts w:ascii="Arial" w:hAnsi="Arial" w:cs="Arial"/>
          <w:i/>
          <w:iCs/>
          <w:szCs w:val="24"/>
        </w:rPr>
        <w:t xml:space="preserve"> </w:t>
      </w:r>
      <w:r w:rsidR="00235C52" w:rsidRPr="002C0C4D">
        <w:rPr>
          <w:rFonts w:ascii="Arial" w:hAnsi="Arial" w:cs="Arial"/>
          <w:i/>
          <w:iCs/>
          <w:szCs w:val="24"/>
        </w:rPr>
        <w:t>Operational Assessment</w:t>
      </w:r>
    </w:p>
    <w:p w14:paraId="58C508E5" w14:textId="4882966E" w:rsidR="007D79C2" w:rsidRDefault="007D79C2" w:rsidP="007D79C2">
      <w:pPr>
        <w:spacing w:line="360" w:lineRule="auto"/>
        <w:rPr>
          <w:rFonts w:ascii="Arial" w:hAnsi="Arial" w:cs="Arial"/>
          <w:szCs w:val="24"/>
        </w:rPr>
      </w:pPr>
      <w:r w:rsidRPr="00CE7EB9">
        <w:rPr>
          <w:rFonts w:ascii="Arial" w:hAnsi="Arial" w:cs="Arial"/>
          <w:szCs w:val="24"/>
        </w:rPr>
        <w:lastRenderedPageBreak/>
        <w:t>Table 8 shows the operational performances of all three companies. As described earlier, the overall economy in Hong Kong was impacted since 2019 due to various factors. This has resulted in the overall decline in the inventory turnover across the industry. Another reason contributing to the slow inventory turnover was also because of the increased in gold and platinum price overall that will delay the buying from customer (</w:t>
      </w:r>
      <w:proofErr w:type="spellStart"/>
      <w:r w:rsidRPr="00CE7EB9">
        <w:rPr>
          <w:rFonts w:ascii="Arial" w:hAnsi="Arial" w:cs="Arial"/>
          <w:szCs w:val="24"/>
        </w:rPr>
        <w:t>Luk</w:t>
      </w:r>
      <w:proofErr w:type="spellEnd"/>
      <w:r w:rsidRPr="00CE7EB9">
        <w:rPr>
          <w:rFonts w:ascii="Arial" w:hAnsi="Arial" w:cs="Arial"/>
          <w:szCs w:val="24"/>
        </w:rPr>
        <w:t xml:space="preserve"> Fook Holdings </w:t>
      </w:r>
      <w:r w:rsidR="005C3B4B">
        <w:rPr>
          <w:rFonts w:ascii="Arial" w:hAnsi="Arial" w:cs="Arial"/>
          <w:szCs w:val="24"/>
        </w:rPr>
        <w:t>(</w:t>
      </w:r>
      <w:r w:rsidRPr="00CE7EB9">
        <w:rPr>
          <w:rFonts w:ascii="Arial" w:hAnsi="Arial" w:cs="Arial"/>
          <w:szCs w:val="24"/>
        </w:rPr>
        <w:t>International</w:t>
      </w:r>
      <w:r w:rsidR="005C3B4B">
        <w:rPr>
          <w:rFonts w:ascii="Arial" w:hAnsi="Arial" w:cs="Arial"/>
          <w:szCs w:val="24"/>
        </w:rPr>
        <w:t>)</w:t>
      </w:r>
      <w:r w:rsidRPr="00CE7EB9">
        <w:rPr>
          <w:rFonts w:ascii="Arial" w:hAnsi="Arial" w:cs="Arial"/>
          <w:szCs w:val="24"/>
        </w:rPr>
        <w:t xml:space="preserve"> Ltd, 2021). The average inventory turnover for </w:t>
      </w:r>
      <w:proofErr w:type="spellStart"/>
      <w:r w:rsidRPr="00CE7EB9">
        <w:rPr>
          <w:rFonts w:ascii="Arial" w:hAnsi="Arial" w:cs="Arial"/>
          <w:szCs w:val="24"/>
        </w:rPr>
        <w:t>Luk</w:t>
      </w:r>
      <w:proofErr w:type="spellEnd"/>
      <w:r w:rsidRPr="00CE7EB9">
        <w:rPr>
          <w:rFonts w:ascii="Arial" w:hAnsi="Arial" w:cs="Arial"/>
          <w:szCs w:val="24"/>
        </w:rPr>
        <w:t xml:space="preserve"> </w:t>
      </w:r>
      <w:proofErr w:type="spellStart"/>
      <w:r>
        <w:rPr>
          <w:rFonts w:ascii="Arial" w:hAnsi="Arial" w:cs="Arial"/>
          <w:szCs w:val="24"/>
        </w:rPr>
        <w:t>f</w:t>
      </w:r>
      <w:r w:rsidRPr="00CE7EB9">
        <w:rPr>
          <w:rFonts w:ascii="Arial" w:hAnsi="Arial" w:cs="Arial"/>
          <w:szCs w:val="24"/>
        </w:rPr>
        <w:t>ook</w:t>
      </w:r>
      <w:proofErr w:type="spellEnd"/>
      <w:r w:rsidRPr="00CE7EB9">
        <w:rPr>
          <w:rFonts w:ascii="Arial" w:hAnsi="Arial" w:cs="Arial"/>
          <w:szCs w:val="24"/>
        </w:rPr>
        <w:t xml:space="preserve"> was the slowest amongst the three and it has the highest number of days’ sales in inventory. </w:t>
      </w:r>
      <w:r>
        <w:rPr>
          <w:rFonts w:ascii="Arial" w:hAnsi="Arial" w:cs="Arial"/>
          <w:szCs w:val="24"/>
        </w:rPr>
        <w:t xml:space="preserve">The Group needs to reduce the inventory turnover by introducing more sales activities through the retail or e-commerce channels. </w:t>
      </w:r>
    </w:p>
    <w:p w14:paraId="19F329E3" w14:textId="77777777" w:rsidR="007D79C2" w:rsidRDefault="007D79C2" w:rsidP="007D79C2">
      <w:pPr>
        <w:spacing w:line="360" w:lineRule="auto"/>
        <w:rPr>
          <w:rFonts w:ascii="Arial" w:hAnsi="Arial" w:cs="Arial"/>
          <w:szCs w:val="24"/>
        </w:rPr>
      </w:pPr>
    </w:p>
    <w:p w14:paraId="209AA423" w14:textId="77777777" w:rsidR="007D79C2" w:rsidRPr="00CE7EB9" w:rsidRDefault="007D79C2" w:rsidP="007D79C2">
      <w:pPr>
        <w:spacing w:line="360" w:lineRule="auto"/>
        <w:rPr>
          <w:rFonts w:ascii="Arial" w:hAnsi="Arial" w:cs="Arial"/>
          <w:szCs w:val="24"/>
        </w:rPr>
      </w:pPr>
      <w:proofErr w:type="spellStart"/>
      <w:r>
        <w:rPr>
          <w:rFonts w:ascii="Arial" w:hAnsi="Arial" w:cs="Arial"/>
          <w:szCs w:val="24"/>
        </w:rPr>
        <w:t>Luk</w:t>
      </w:r>
      <w:proofErr w:type="spellEnd"/>
      <w:r>
        <w:rPr>
          <w:rFonts w:ascii="Arial" w:hAnsi="Arial" w:cs="Arial"/>
          <w:szCs w:val="24"/>
        </w:rPr>
        <w:t xml:space="preserve"> Fook</w:t>
      </w:r>
      <w:r w:rsidRPr="00CE7EB9">
        <w:rPr>
          <w:rFonts w:ascii="Arial" w:hAnsi="Arial" w:cs="Arial"/>
          <w:szCs w:val="24"/>
        </w:rPr>
        <w:t xml:space="preserve"> has a high receivable turnover of 41.42 in average with an average collection period of 9.1 days. </w:t>
      </w:r>
      <w:r>
        <w:rPr>
          <w:rFonts w:ascii="Arial" w:hAnsi="Arial" w:cs="Arial"/>
          <w:szCs w:val="24"/>
        </w:rPr>
        <w:t xml:space="preserve">Although it is shown to be rather effective amongst the three companies, </w:t>
      </w:r>
      <w:proofErr w:type="spellStart"/>
      <w:r>
        <w:rPr>
          <w:rFonts w:ascii="Arial" w:hAnsi="Arial" w:cs="Arial"/>
          <w:szCs w:val="24"/>
        </w:rPr>
        <w:t>Luk</w:t>
      </w:r>
      <w:proofErr w:type="spellEnd"/>
      <w:r>
        <w:rPr>
          <w:rFonts w:ascii="Arial" w:hAnsi="Arial" w:cs="Arial"/>
          <w:szCs w:val="24"/>
        </w:rPr>
        <w:t xml:space="preserve"> Fook data showed that the average collection period (days) was longer in the recent financial year. This needs to be reviewed by the group and to evaluate the reason of delay</w:t>
      </w:r>
      <w:r w:rsidRPr="00CE7EB9">
        <w:rPr>
          <w:rFonts w:ascii="Arial" w:hAnsi="Arial" w:cs="Arial"/>
          <w:szCs w:val="24"/>
        </w:rPr>
        <w:t xml:space="preserve">. </w:t>
      </w:r>
    </w:p>
    <w:p w14:paraId="018E0002" w14:textId="3141ADD2" w:rsidR="00A11A4C" w:rsidRPr="00CE7EB9" w:rsidRDefault="007C4B80" w:rsidP="007C4B80">
      <w:pPr>
        <w:rPr>
          <w:rFonts w:ascii="Arial" w:hAnsi="Arial" w:cs="Arial"/>
          <w:szCs w:val="24"/>
        </w:rPr>
      </w:pPr>
      <w:r>
        <w:rPr>
          <w:rFonts w:ascii="Arial" w:hAnsi="Arial" w:cs="Arial"/>
          <w:szCs w:val="24"/>
        </w:rPr>
        <w:br/>
      </w:r>
      <w:r w:rsidR="00A11A4C" w:rsidRPr="00CE7EB9">
        <w:rPr>
          <w:rFonts w:ascii="Arial" w:hAnsi="Arial" w:cs="Arial"/>
          <w:szCs w:val="24"/>
        </w:rPr>
        <w:t xml:space="preserve">Table </w:t>
      </w:r>
      <w:r w:rsidR="00F90CC4" w:rsidRPr="00CE7EB9">
        <w:rPr>
          <w:rFonts w:ascii="Arial" w:hAnsi="Arial" w:cs="Arial"/>
          <w:szCs w:val="24"/>
        </w:rPr>
        <w:t>8</w:t>
      </w:r>
      <w:r w:rsidR="00A11A4C" w:rsidRPr="00CE7EB9">
        <w:rPr>
          <w:rFonts w:ascii="Arial" w:hAnsi="Arial" w:cs="Arial"/>
          <w:szCs w:val="24"/>
        </w:rPr>
        <w:t>.</w:t>
      </w:r>
      <w:r w:rsidR="00F90CC4" w:rsidRPr="00CE7EB9">
        <w:rPr>
          <w:rFonts w:ascii="Arial" w:hAnsi="Arial" w:cs="Arial"/>
          <w:szCs w:val="24"/>
        </w:rPr>
        <w:t xml:space="preserve"> Operational </w:t>
      </w:r>
      <w:r w:rsidR="007D79C2">
        <w:rPr>
          <w:rFonts w:ascii="Arial" w:hAnsi="Arial" w:cs="Arial"/>
          <w:szCs w:val="24"/>
        </w:rPr>
        <w:t xml:space="preserve">ratio </w:t>
      </w:r>
      <w:r w:rsidR="00F90CC4" w:rsidRPr="00CE7EB9">
        <w:rPr>
          <w:rFonts w:ascii="Arial" w:hAnsi="Arial" w:cs="Arial"/>
          <w:szCs w:val="24"/>
        </w:rPr>
        <w:t>analysis</w:t>
      </w:r>
    </w:p>
    <w:p w14:paraId="7937FE10" w14:textId="15493519" w:rsidR="00EC4CAA" w:rsidRPr="00CE7EB9" w:rsidRDefault="006347A0" w:rsidP="007C4B80">
      <w:pPr>
        <w:rPr>
          <w:rFonts w:ascii="Arial" w:hAnsi="Arial" w:cs="Arial"/>
          <w:szCs w:val="24"/>
          <w:highlight w:val="yellow"/>
        </w:rPr>
      </w:pPr>
      <w:r w:rsidRPr="00CE7EB9">
        <w:rPr>
          <w:noProof/>
        </w:rPr>
        <w:drawing>
          <wp:inline distT="0" distB="0" distL="0" distR="0" wp14:anchorId="3486B74E" wp14:editId="2C216778">
            <wp:extent cx="5905756" cy="1876370"/>
            <wp:effectExtent l="0" t="0" r="0" b="0"/>
            <wp:docPr id="17" name="Picture 17"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able&#10;&#10;Description automatically generated"/>
                    <pic:cNvPicPr/>
                  </pic:nvPicPr>
                  <pic:blipFill rotWithShape="1">
                    <a:blip r:embed="rId17"/>
                    <a:srcRect l="21962" t="33633" r="13061" b="29664"/>
                    <a:stretch/>
                  </pic:blipFill>
                  <pic:spPr bwMode="auto">
                    <a:xfrm>
                      <a:off x="0" y="0"/>
                      <a:ext cx="5938455" cy="1886759"/>
                    </a:xfrm>
                    <a:prstGeom prst="rect">
                      <a:avLst/>
                    </a:prstGeom>
                    <a:ln>
                      <a:noFill/>
                    </a:ln>
                    <a:extLst>
                      <a:ext uri="{53640926-AAD7-44D8-BBD7-CCE9431645EC}">
                        <a14:shadowObscured xmlns:a14="http://schemas.microsoft.com/office/drawing/2010/main"/>
                      </a:ext>
                    </a:extLst>
                  </pic:spPr>
                </pic:pic>
              </a:graphicData>
            </a:graphic>
          </wp:inline>
        </w:drawing>
      </w:r>
    </w:p>
    <w:p w14:paraId="2AA64C6E" w14:textId="77777777" w:rsidR="007D79C2" w:rsidRDefault="005119DF" w:rsidP="007C4B80">
      <w:pPr>
        <w:rPr>
          <w:rFonts w:ascii="Arial" w:hAnsi="Arial" w:cs="Arial"/>
          <w:szCs w:val="24"/>
        </w:rPr>
      </w:pPr>
      <w:r w:rsidRPr="00CE7EB9">
        <w:rPr>
          <w:rFonts w:ascii="Arial" w:hAnsi="Arial" w:cs="Arial"/>
          <w:szCs w:val="24"/>
        </w:rPr>
        <w:t>Source: compiled by the author</w:t>
      </w:r>
    </w:p>
    <w:p w14:paraId="505D44B4" w14:textId="4605384F" w:rsidR="005C26A7" w:rsidRPr="002C0C4D" w:rsidRDefault="007D79C2" w:rsidP="0049372B">
      <w:pPr>
        <w:spacing w:line="360" w:lineRule="auto"/>
        <w:rPr>
          <w:rFonts w:ascii="Arial" w:hAnsi="Arial" w:cs="Arial"/>
          <w:i/>
          <w:iCs/>
          <w:szCs w:val="24"/>
        </w:rPr>
      </w:pPr>
      <w:r w:rsidRPr="002C0C4D">
        <w:rPr>
          <w:rFonts w:ascii="Arial" w:hAnsi="Arial" w:cs="Arial"/>
          <w:i/>
          <w:iCs/>
          <w:szCs w:val="24"/>
        </w:rPr>
        <w:t>4</w:t>
      </w:r>
      <w:r w:rsidR="0077239E" w:rsidRPr="002C0C4D">
        <w:rPr>
          <w:rFonts w:ascii="Arial" w:hAnsi="Arial" w:cs="Arial"/>
          <w:i/>
          <w:iCs/>
          <w:szCs w:val="24"/>
        </w:rPr>
        <w:t>.</w:t>
      </w:r>
      <w:r w:rsidR="00202BD1" w:rsidRPr="002C0C4D">
        <w:rPr>
          <w:rFonts w:ascii="Arial" w:hAnsi="Arial" w:cs="Arial"/>
          <w:i/>
          <w:iCs/>
          <w:szCs w:val="24"/>
        </w:rPr>
        <w:t>6 Stock Market Assessment</w:t>
      </w:r>
    </w:p>
    <w:p w14:paraId="194201A2" w14:textId="4A7D240F" w:rsidR="007D79C2" w:rsidRPr="00CE7EB9" w:rsidRDefault="007D79C2" w:rsidP="007D79C2">
      <w:pPr>
        <w:spacing w:line="360" w:lineRule="auto"/>
        <w:rPr>
          <w:rFonts w:ascii="Arial" w:hAnsi="Arial" w:cs="Arial"/>
          <w:szCs w:val="24"/>
        </w:rPr>
      </w:pPr>
      <w:r w:rsidRPr="00CE7EB9">
        <w:rPr>
          <w:rFonts w:ascii="Arial" w:hAnsi="Arial" w:cs="Arial"/>
          <w:szCs w:val="24"/>
        </w:rPr>
        <w:lastRenderedPageBreak/>
        <w:t xml:space="preserve">All three companies have shown decreased in market capitalization and PE ratio in the last three years although </w:t>
      </w:r>
      <w:proofErr w:type="spellStart"/>
      <w:r w:rsidRPr="00CE7EB9">
        <w:rPr>
          <w:rFonts w:ascii="Arial" w:hAnsi="Arial" w:cs="Arial"/>
          <w:szCs w:val="24"/>
        </w:rPr>
        <w:t>Luk</w:t>
      </w:r>
      <w:proofErr w:type="spellEnd"/>
      <w:r w:rsidRPr="00CE7EB9">
        <w:rPr>
          <w:rFonts w:ascii="Arial" w:hAnsi="Arial" w:cs="Arial"/>
          <w:szCs w:val="24"/>
        </w:rPr>
        <w:t xml:space="preserve"> </w:t>
      </w:r>
      <w:proofErr w:type="spellStart"/>
      <w:r>
        <w:rPr>
          <w:rFonts w:ascii="Arial" w:hAnsi="Arial" w:cs="Arial"/>
          <w:szCs w:val="24"/>
        </w:rPr>
        <w:t>f</w:t>
      </w:r>
      <w:r w:rsidRPr="00CE7EB9">
        <w:rPr>
          <w:rFonts w:ascii="Arial" w:hAnsi="Arial" w:cs="Arial"/>
          <w:szCs w:val="24"/>
        </w:rPr>
        <w:t>ook</w:t>
      </w:r>
      <w:proofErr w:type="spellEnd"/>
      <w:r w:rsidRPr="00CE7EB9">
        <w:rPr>
          <w:rFonts w:ascii="Arial" w:hAnsi="Arial" w:cs="Arial"/>
          <w:szCs w:val="24"/>
        </w:rPr>
        <w:t xml:space="preserve"> remains the highest in both as compared to the other two companies. CSS’s PE ratio remains stable and less fluctuated in the past three years despite the </w:t>
      </w:r>
      <w:proofErr w:type="spellStart"/>
      <w:r w:rsidRPr="00CE7EB9">
        <w:rPr>
          <w:rFonts w:ascii="Arial" w:hAnsi="Arial" w:cs="Arial"/>
          <w:szCs w:val="24"/>
        </w:rPr>
        <w:t>economical</w:t>
      </w:r>
      <w:proofErr w:type="spellEnd"/>
      <w:r w:rsidRPr="00CE7EB9">
        <w:rPr>
          <w:rFonts w:ascii="Arial" w:hAnsi="Arial" w:cs="Arial"/>
          <w:szCs w:val="24"/>
        </w:rPr>
        <w:t xml:space="preserve"> downturn. This may be a benefit to the investors for long term investment. </w:t>
      </w:r>
      <w:r>
        <w:rPr>
          <w:rFonts w:ascii="Arial" w:hAnsi="Arial" w:cs="Arial"/>
          <w:szCs w:val="24"/>
        </w:rPr>
        <w:br/>
      </w:r>
    </w:p>
    <w:p w14:paraId="4309AC94" w14:textId="040EE7C0" w:rsidR="00A11A4C" w:rsidRPr="007D79C2" w:rsidRDefault="00A11A4C" w:rsidP="0049372B">
      <w:pPr>
        <w:spacing w:line="360" w:lineRule="auto"/>
        <w:rPr>
          <w:rFonts w:ascii="Arial" w:hAnsi="Arial" w:cs="Arial"/>
          <w:sz w:val="22"/>
        </w:rPr>
      </w:pPr>
      <w:r w:rsidRPr="007D79C2">
        <w:rPr>
          <w:rFonts w:ascii="Arial" w:hAnsi="Arial" w:cs="Arial"/>
          <w:sz w:val="22"/>
        </w:rPr>
        <w:t xml:space="preserve">Table </w:t>
      </w:r>
      <w:r w:rsidR="0077239E" w:rsidRPr="007D79C2">
        <w:rPr>
          <w:rFonts w:ascii="Arial" w:hAnsi="Arial" w:cs="Arial"/>
          <w:sz w:val="22"/>
        </w:rPr>
        <w:t>9</w:t>
      </w:r>
      <w:r w:rsidRPr="007D79C2">
        <w:rPr>
          <w:rFonts w:ascii="Arial" w:hAnsi="Arial" w:cs="Arial"/>
          <w:sz w:val="22"/>
        </w:rPr>
        <w:t>.</w:t>
      </w:r>
      <w:r w:rsidR="00B85FBE" w:rsidRPr="007D79C2">
        <w:rPr>
          <w:rFonts w:ascii="Arial" w:hAnsi="Arial" w:cs="Arial"/>
          <w:sz w:val="22"/>
        </w:rPr>
        <w:t xml:space="preserve"> Stock Market Assessment</w:t>
      </w:r>
    </w:p>
    <w:p w14:paraId="38D91E40" w14:textId="649E7887" w:rsidR="000B556D" w:rsidRPr="00CE7EB9" w:rsidRDefault="00447AF7" w:rsidP="0049372B">
      <w:pPr>
        <w:spacing w:line="360" w:lineRule="auto"/>
        <w:rPr>
          <w:rFonts w:ascii="Arial" w:hAnsi="Arial" w:cs="Arial"/>
          <w:szCs w:val="24"/>
        </w:rPr>
      </w:pPr>
      <w:r w:rsidRPr="00CE7EB9">
        <w:rPr>
          <w:noProof/>
        </w:rPr>
        <w:drawing>
          <wp:inline distT="0" distB="0" distL="0" distR="0" wp14:anchorId="2E82AE02" wp14:editId="63994485">
            <wp:extent cx="5945414" cy="1131107"/>
            <wp:effectExtent l="0" t="0" r="0" b="0"/>
            <wp:docPr id="19" name="Picture 19" descr="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pplication&#10;&#10;Description automatically generated with medium confidence"/>
                    <pic:cNvPicPr/>
                  </pic:nvPicPr>
                  <pic:blipFill rotWithShape="1">
                    <a:blip r:embed="rId18"/>
                    <a:srcRect l="20291" t="46889" r="13775" b="30811"/>
                    <a:stretch/>
                  </pic:blipFill>
                  <pic:spPr bwMode="auto">
                    <a:xfrm>
                      <a:off x="0" y="0"/>
                      <a:ext cx="5989363" cy="1139468"/>
                    </a:xfrm>
                    <a:prstGeom prst="rect">
                      <a:avLst/>
                    </a:prstGeom>
                    <a:ln>
                      <a:noFill/>
                    </a:ln>
                    <a:extLst>
                      <a:ext uri="{53640926-AAD7-44D8-BBD7-CCE9431645EC}">
                        <a14:shadowObscured xmlns:a14="http://schemas.microsoft.com/office/drawing/2010/main"/>
                      </a:ext>
                    </a:extLst>
                  </pic:spPr>
                </pic:pic>
              </a:graphicData>
            </a:graphic>
          </wp:inline>
        </w:drawing>
      </w:r>
    </w:p>
    <w:p w14:paraId="51797D0A" w14:textId="77777777" w:rsidR="005119DF" w:rsidRPr="007D79C2" w:rsidRDefault="005119DF" w:rsidP="005119DF">
      <w:pPr>
        <w:spacing w:line="360" w:lineRule="auto"/>
        <w:rPr>
          <w:rFonts w:ascii="Arial" w:hAnsi="Arial" w:cs="Arial"/>
          <w:sz w:val="22"/>
        </w:rPr>
      </w:pPr>
      <w:r w:rsidRPr="007D79C2">
        <w:rPr>
          <w:rFonts w:ascii="Arial" w:hAnsi="Arial" w:cs="Arial"/>
          <w:sz w:val="22"/>
        </w:rPr>
        <w:t>Source: compiled by the author</w:t>
      </w:r>
    </w:p>
    <w:p w14:paraId="48FE4D99" w14:textId="77777777" w:rsidR="00A30AB2" w:rsidRPr="00CE7EB9" w:rsidRDefault="00A30AB2" w:rsidP="007657E0">
      <w:pPr>
        <w:widowControl/>
        <w:jc w:val="both"/>
        <w:rPr>
          <w:rFonts w:ascii="Arial" w:hAnsi="Arial" w:cs="Arial"/>
          <w:color w:val="111111"/>
          <w:sz w:val="26"/>
          <w:szCs w:val="26"/>
          <w:shd w:val="clear" w:color="auto" w:fill="FFFFFF"/>
        </w:rPr>
      </w:pPr>
    </w:p>
    <w:p w14:paraId="75278A73" w14:textId="77777777" w:rsidR="007D79C2" w:rsidRPr="00CE7EB9" w:rsidRDefault="007D79C2" w:rsidP="007D79C2">
      <w:pPr>
        <w:widowControl/>
        <w:spacing w:line="360" w:lineRule="auto"/>
        <w:jc w:val="both"/>
        <w:rPr>
          <w:rFonts w:ascii="Arial" w:hAnsi="Arial" w:cs="Arial"/>
          <w:szCs w:val="24"/>
        </w:rPr>
      </w:pPr>
      <w:r w:rsidRPr="00CE7EB9">
        <w:rPr>
          <w:rFonts w:ascii="Arial" w:hAnsi="Arial" w:cs="Arial"/>
          <w:color w:val="111111"/>
          <w:szCs w:val="24"/>
          <w:shd w:val="clear" w:color="auto" w:fill="FFFFFF"/>
        </w:rPr>
        <w:t>The book-to-market ratio determines the market value of a company relative to its actual worth. Kenton (2019) stated that if the ratio is above 1, the stock is undervalued, whereas if it is less than 1, the stock is considered overvalued. A high ratio is preferred by value managers who interpret it to mean that the company is a</w:t>
      </w:r>
      <w:r w:rsidRPr="00CE7EB9">
        <w:rPr>
          <w:rFonts w:ascii="Arial" w:hAnsi="Arial" w:cs="Arial"/>
          <w:szCs w:val="24"/>
        </w:rPr>
        <w:t xml:space="preserve"> value stock. With reference to Table 9, </w:t>
      </w:r>
      <w:proofErr w:type="spellStart"/>
      <w:r w:rsidRPr="00CE7EB9">
        <w:rPr>
          <w:rFonts w:ascii="Arial" w:hAnsi="Arial" w:cs="Arial"/>
          <w:szCs w:val="24"/>
        </w:rPr>
        <w:t>Luk</w:t>
      </w:r>
      <w:proofErr w:type="spellEnd"/>
      <w:r w:rsidRPr="00CE7EB9">
        <w:rPr>
          <w:rFonts w:ascii="Arial" w:hAnsi="Arial" w:cs="Arial"/>
          <w:szCs w:val="24"/>
        </w:rPr>
        <w:t xml:space="preserve"> Fook has an average of 1 in the market to book ratio meaning that from the investor point of view it is attractive to invest as compared to the other two companies. </w:t>
      </w:r>
    </w:p>
    <w:p w14:paraId="389FEF5F" w14:textId="77777777" w:rsidR="001C7019" w:rsidRPr="00CE7EB9" w:rsidRDefault="001C7019" w:rsidP="007657E0">
      <w:pPr>
        <w:widowControl/>
        <w:jc w:val="both"/>
        <w:rPr>
          <w:rFonts w:ascii="Arial" w:hAnsi="Arial" w:cs="Arial"/>
        </w:rPr>
      </w:pPr>
    </w:p>
    <w:p w14:paraId="5D8E2833" w14:textId="6586197B" w:rsidR="007D79C2" w:rsidRPr="002C0C4D" w:rsidRDefault="00F831E6" w:rsidP="007D79C2">
      <w:pPr>
        <w:widowControl/>
        <w:rPr>
          <w:rFonts w:ascii="Arial" w:hAnsi="Arial" w:cs="Arial"/>
          <w:b/>
          <w:bCs/>
        </w:rPr>
      </w:pPr>
      <w:r w:rsidRPr="002C0C4D">
        <w:rPr>
          <w:rFonts w:ascii="Arial" w:hAnsi="Arial" w:cs="Arial"/>
          <w:b/>
          <w:bCs/>
        </w:rPr>
        <w:t xml:space="preserve">5. </w:t>
      </w:r>
      <w:r w:rsidR="007D79C2" w:rsidRPr="002C0C4D">
        <w:rPr>
          <w:rFonts w:ascii="Arial" w:hAnsi="Arial" w:cs="Arial"/>
          <w:b/>
          <w:bCs/>
        </w:rPr>
        <w:t xml:space="preserve">Investment </w:t>
      </w:r>
      <w:r w:rsidRPr="002C0C4D">
        <w:rPr>
          <w:rFonts w:ascii="Arial" w:hAnsi="Arial" w:cs="Arial"/>
          <w:b/>
          <w:bCs/>
        </w:rPr>
        <w:t>Project A</w:t>
      </w:r>
      <w:r w:rsidR="007D79C2" w:rsidRPr="002C0C4D">
        <w:rPr>
          <w:rFonts w:ascii="Arial" w:hAnsi="Arial" w:cs="Arial"/>
          <w:b/>
          <w:bCs/>
        </w:rPr>
        <w:t xml:space="preserve">ppraisals </w:t>
      </w:r>
    </w:p>
    <w:p w14:paraId="5A3E1AAE" w14:textId="77777777" w:rsidR="00F831E6" w:rsidRDefault="007D79C2" w:rsidP="007D79C2">
      <w:pPr>
        <w:spacing w:line="360" w:lineRule="auto"/>
        <w:rPr>
          <w:rFonts w:ascii="Arial" w:hAnsi="Arial" w:cs="Arial"/>
          <w:szCs w:val="24"/>
        </w:rPr>
      </w:pPr>
      <w:r w:rsidRPr="00CE7EB9">
        <w:rPr>
          <w:rFonts w:ascii="Arial" w:hAnsi="Arial" w:cs="Arial"/>
          <w:szCs w:val="24"/>
        </w:rPr>
        <w:t xml:space="preserve">In the 2020/2021 Financial Report, the Group stated the target of additional 300 or more </w:t>
      </w:r>
      <w:proofErr w:type="spellStart"/>
      <w:r w:rsidRPr="00CE7EB9">
        <w:rPr>
          <w:rFonts w:ascii="Arial" w:hAnsi="Arial" w:cs="Arial"/>
          <w:szCs w:val="24"/>
        </w:rPr>
        <w:t>Luk</w:t>
      </w:r>
      <w:proofErr w:type="spellEnd"/>
      <w:r w:rsidRPr="00CE7EB9">
        <w:rPr>
          <w:rFonts w:ascii="Arial" w:hAnsi="Arial" w:cs="Arial"/>
          <w:szCs w:val="24"/>
        </w:rPr>
        <w:t xml:space="preserve"> </w:t>
      </w:r>
      <w:proofErr w:type="spellStart"/>
      <w:r w:rsidR="00F831E6">
        <w:rPr>
          <w:rFonts w:ascii="Arial" w:hAnsi="Arial" w:cs="Arial"/>
          <w:szCs w:val="24"/>
        </w:rPr>
        <w:t>f</w:t>
      </w:r>
      <w:r w:rsidRPr="00CE7EB9">
        <w:rPr>
          <w:rFonts w:ascii="Arial" w:hAnsi="Arial" w:cs="Arial"/>
          <w:szCs w:val="24"/>
        </w:rPr>
        <w:t>ook</w:t>
      </w:r>
      <w:proofErr w:type="spellEnd"/>
      <w:r w:rsidRPr="00CE7EB9">
        <w:rPr>
          <w:rFonts w:ascii="Arial" w:hAnsi="Arial" w:cs="Arial"/>
          <w:szCs w:val="24"/>
        </w:rPr>
        <w:t xml:space="preserve"> Licensed Shops in Mainland in the upcoming year. A licensed shop is different from a self-operated shop, </w:t>
      </w:r>
      <w:proofErr w:type="gramStart"/>
      <w:r w:rsidRPr="00CE7EB9">
        <w:rPr>
          <w:rFonts w:ascii="Arial" w:hAnsi="Arial" w:cs="Arial"/>
          <w:szCs w:val="24"/>
        </w:rPr>
        <w:t>where by</w:t>
      </w:r>
      <w:proofErr w:type="gramEnd"/>
      <w:r w:rsidRPr="00CE7EB9">
        <w:rPr>
          <w:rFonts w:ascii="Arial" w:hAnsi="Arial" w:cs="Arial"/>
          <w:szCs w:val="24"/>
        </w:rPr>
        <w:t xml:space="preserve"> definition means ‘any business, organization, or individual that has been granted legal permission by another entity to engage in an activity’ (Segal, 2019). </w:t>
      </w:r>
      <w:proofErr w:type="spellStart"/>
      <w:r w:rsidRPr="00CE7EB9">
        <w:rPr>
          <w:rFonts w:ascii="Arial" w:hAnsi="Arial" w:cs="Arial"/>
          <w:szCs w:val="24"/>
        </w:rPr>
        <w:t>Luk</w:t>
      </w:r>
      <w:proofErr w:type="spellEnd"/>
      <w:r w:rsidRPr="00CE7EB9">
        <w:rPr>
          <w:rFonts w:ascii="Arial" w:hAnsi="Arial" w:cs="Arial"/>
          <w:szCs w:val="24"/>
        </w:rPr>
        <w:t xml:space="preserve"> Fook mainly operates in China based on </w:t>
      </w:r>
      <w:r w:rsidRPr="00CE7EB9">
        <w:rPr>
          <w:rFonts w:ascii="Arial" w:hAnsi="Arial" w:cs="Arial"/>
          <w:szCs w:val="24"/>
        </w:rPr>
        <w:lastRenderedPageBreak/>
        <w:t xml:space="preserve">licensed shop as it fits into their urbanization strategies by having more departmental stores or shopping malls in rural cities. An appraisal exercise is going to be done in this section, highlighting various financial indicators to evaluate the feasibility of the project. </w:t>
      </w:r>
    </w:p>
    <w:p w14:paraId="5D6B9852" w14:textId="13E45DA1" w:rsidR="00F831E6" w:rsidRDefault="00F831E6" w:rsidP="007D79C2">
      <w:pPr>
        <w:spacing w:line="360" w:lineRule="auto"/>
        <w:rPr>
          <w:rFonts w:ascii="Arial" w:hAnsi="Arial" w:cs="Arial"/>
          <w:szCs w:val="24"/>
        </w:rPr>
      </w:pPr>
    </w:p>
    <w:p w14:paraId="5E8448A9" w14:textId="12E0E73F" w:rsidR="00F831E6" w:rsidRPr="002C0C4D" w:rsidRDefault="00F831E6" w:rsidP="007D79C2">
      <w:pPr>
        <w:spacing w:line="360" w:lineRule="auto"/>
        <w:rPr>
          <w:rFonts w:ascii="Arial" w:hAnsi="Arial" w:cs="Arial"/>
          <w:i/>
          <w:iCs/>
          <w:szCs w:val="24"/>
        </w:rPr>
      </w:pPr>
      <w:r w:rsidRPr="002C0C4D">
        <w:rPr>
          <w:rFonts w:ascii="Arial" w:hAnsi="Arial" w:cs="Arial"/>
          <w:i/>
          <w:iCs/>
          <w:szCs w:val="24"/>
        </w:rPr>
        <w:t xml:space="preserve">5.1 Cost and Profit Estimation </w:t>
      </w:r>
    </w:p>
    <w:p w14:paraId="5F5DB912" w14:textId="180BEE05" w:rsidR="00F831E6" w:rsidRPr="00CE7EB9" w:rsidRDefault="007D79C2" w:rsidP="007D79C2">
      <w:pPr>
        <w:spacing w:line="360" w:lineRule="auto"/>
        <w:rPr>
          <w:rFonts w:ascii="Arial" w:hAnsi="Arial" w:cs="Arial"/>
          <w:szCs w:val="24"/>
        </w:rPr>
      </w:pPr>
      <w:r w:rsidRPr="00CE7EB9">
        <w:rPr>
          <w:rFonts w:ascii="Arial" w:hAnsi="Arial" w:cs="Arial"/>
          <w:szCs w:val="24"/>
        </w:rPr>
        <w:t xml:space="preserve">Table 9 predicts the cost of the project based on the recent </w:t>
      </w:r>
      <w:r w:rsidR="00F831E6">
        <w:rPr>
          <w:rFonts w:ascii="Arial" w:hAnsi="Arial" w:cs="Arial"/>
          <w:szCs w:val="24"/>
        </w:rPr>
        <w:t>f</w:t>
      </w:r>
      <w:r w:rsidRPr="00CE7EB9">
        <w:rPr>
          <w:rFonts w:ascii="Arial" w:hAnsi="Arial" w:cs="Arial"/>
          <w:szCs w:val="24"/>
        </w:rPr>
        <w:t xml:space="preserve">inancial </w:t>
      </w:r>
      <w:r w:rsidR="00F831E6">
        <w:rPr>
          <w:rFonts w:ascii="Arial" w:hAnsi="Arial" w:cs="Arial"/>
          <w:szCs w:val="24"/>
        </w:rPr>
        <w:t>r</w:t>
      </w:r>
      <w:r w:rsidRPr="00CE7EB9">
        <w:rPr>
          <w:rFonts w:ascii="Arial" w:hAnsi="Arial" w:cs="Arial"/>
          <w:szCs w:val="24"/>
        </w:rPr>
        <w:t xml:space="preserve">eport and some assumptions. It is estimated that the total estimated cost to open 300 stores in China is $251 million. </w:t>
      </w:r>
      <w:r w:rsidR="00F831E6">
        <w:rPr>
          <w:rFonts w:ascii="Arial" w:hAnsi="Arial" w:cs="Arial"/>
          <w:szCs w:val="24"/>
        </w:rPr>
        <w:br/>
      </w:r>
    </w:p>
    <w:p w14:paraId="3BED5B41" w14:textId="42FF2B75" w:rsidR="007D79C2" w:rsidRDefault="007D79C2" w:rsidP="007D79C2">
      <w:pPr>
        <w:spacing w:line="360" w:lineRule="auto"/>
        <w:rPr>
          <w:rFonts w:ascii="Arial" w:hAnsi="Arial" w:cs="Arial"/>
          <w:sz w:val="22"/>
        </w:rPr>
      </w:pPr>
      <w:r w:rsidRPr="00F831E6">
        <w:rPr>
          <w:rFonts w:ascii="Arial" w:hAnsi="Arial" w:cs="Arial"/>
          <w:sz w:val="22"/>
        </w:rPr>
        <w:t>Table 9. Cost estimation for the project</w:t>
      </w:r>
    </w:p>
    <w:p w14:paraId="5232F6DA" w14:textId="7EFA737D" w:rsidR="00F831E6" w:rsidRDefault="00F831E6" w:rsidP="007D79C2">
      <w:pPr>
        <w:spacing w:line="360" w:lineRule="auto"/>
        <w:rPr>
          <w:rFonts w:ascii="Arial" w:hAnsi="Arial" w:cs="Arial"/>
          <w:sz w:val="22"/>
        </w:rPr>
      </w:pPr>
      <w:r>
        <w:rPr>
          <w:noProof/>
        </w:rPr>
        <w:drawing>
          <wp:inline distT="0" distB="0" distL="0" distR="0" wp14:anchorId="692D8994" wp14:editId="3ECE3C21">
            <wp:extent cx="5044440" cy="3613927"/>
            <wp:effectExtent l="0" t="0" r="381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2440" t="24818" r="23023" b="18456"/>
                    <a:stretch/>
                  </pic:blipFill>
                  <pic:spPr bwMode="auto">
                    <a:xfrm>
                      <a:off x="0" y="0"/>
                      <a:ext cx="5053899" cy="3620703"/>
                    </a:xfrm>
                    <a:prstGeom prst="rect">
                      <a:avLst/>
                    </a:prstGeom>
                    <a:ln>
                      <a:noFill/>
                    </a:ln>
                    <a:extLst>
                      <a:ext uri="{53640926-AAD7-44D8-BBD7-CCE9431645EC}">
                        <a14:shadowObscured xmlns:a14="http://schemas.microsoft.com/office/drawing/2010/main"/>
                      </a:ext>
                    </a:extLst>
                  </pic:spPr>
                </pic:pic>
              </a:graphicData>
            </a:graphic>
          </wp:inline>
        </w:drawing>
      </w:r>
    </w:p>
    <w:p w14:paraId="70FA4FDF" w14:textId="4238FBD4" w:rsidR="0026201B" w:rsidRPr="007D79C2" w:rsidRDefault="007D79C2" w:rsidP="0026201B">
      <w:pPr>
        <w:rPr>
          <w:rFonts w:ascii="Arial" w:hAnsi="Arial" w:cs="Arial"/>
          <w:sz w:val="22"/>
        </w:rPr>
      </w:pPr>
      <w:r w:rsidRPr="00F831E6">
        <w:rPr>
          <w:rFonts w:ascii="Arial" w:hAnsi="Arial" w:cs="Arial"/>
          <w:sz w:val="22"/>
        </w:rPr>
        <w:t>Note 1: Total 2,212 stores in Mainland</w:t>
      </w:r>
      <w:r w:rsidR="0026201B">
        <w:rPr>
          <w:rFonts w:ascii="Arial" w:hAnsi="Arial" w:cs="Arial"/>
          <w:sz w:val="22"/>
        </w:rPr>
        <w:br/>
      </w:r>
      <w:r w:rsidR="0026201B" w:rsidRPr="007D79C2">
        <w:rPr>
          <w:rFonts w:ascii="Arial" w:hAnsi="Arial" w:cs="Arial"/>
          <w:sz w:val="22"/>
        </w:rPr>
        <w:t>Source: compiled by the author</w:t>
      </w:r>
    </w:p>
    <w:p w14:paraId="553F477D" w14:textId="77777777" w:rsidR="006B7477" w:rsidRDefault="006B7477" w:rsidP="007D79C2">
      <w:pPr>
        <w:widowControl/>
        <w:rPr>
          <w:rFonts w:ascii="Arial" w:hAnsi="Arial" w:cs="Arial"/>
          <w:szCs w:val="24"/>
        </w:rPr>
      </w:pPr>
    </w:p>
    <w:p w14:paraId="7AEA47AF" w14:textId="6AF0A257" w:rsidR="00F831E6" w:rsidRDefault="00F831E6" w:rsidP="007D79C2">
      <w:pPr>
        <w:widowControl/>
        <w:rPr>
          <w:rFonts w:ascii="Arial" w:hAnsi="Arial" w:cs="Arial"/>
          <w:szCs w:val="24"/>
        </w:rPr>
      </w:pPr>
      <w:r>
        <w:rPr>
          <w:rFonts w:ascii="Arial" w:hAnsi="Arial" w:cs="Arial"/>
          <w:szCs w:val="24"/>
        </w:rPr>
        <w:t xml:space="preserve">The sales projection is based on the current </w:t>
      </w:r>
      <w:r w:rsidR="006B7477">
        <w:rPr>
          <w:rFonts w:ascii="Arial" w:hAnsi="Arial" w:cs="Arial"/>
          <w:szCs w:val="24"/>
        </w:rPr>
        <w:t>straight-line</w:t>
      </w:r>
      <w:r>
        <w:rPr>
          <w:rFonts w:ascii="Arial" w:hAnsi="Arial" w:cs="Arial"/>
          <w:szCs w:val="24"/>
        </w:rPr>
        <w:t xml:space="preserve"> depreciation rate in 5 years. Since the Group has not had positive sales growth rate in recent years, a reference of 8.2% has been taken for prediction (Zheng, 2021).  </w:t>
      </w:r>
    </w:p>
    <w:p w14:paraId="48A41C6F" w14:textId="77777777" w:rsidR="006B7477" w:rsidRDefault="006B7477" w:rsidP="007D79C2">
      <w:pPr>
        <w:widowControl/>
        <w:rPr>
          <w:rFonts w:ascii="Arial" w:hAnsi="Arial" w:cs="Arial"/>
          <w:szCs w:val="24"/>
        </w:rPr>
      </w:pPr>
    </w:p>
    <w:p w14:paraId="2A6B397B" w14:textId="77777777" w:rsidR="007D79C2" w:rsidRPr="006B7477" w:rsidRDefault="007D79C2" w:rsidP="007D79C2">
      <w:pPr>
        <w:widowControl/>
        <w:rPr>
          <w:rFonts w:ascii="Arial" w:eastAsia="Times New Roman" w:hAnsi="Arial" w:cs="Arial"/>
          <w:color w:val="000000"/>
          <w:kern w:val="0"/>
          <w:sz w:val="22"/>
        </w:rPr>
      </w:pPr>
      <w:r w:rsidRPr="006B7477">
        <w:rPr>
          <w:rFonts w:ascii="Arial" w:hAnsi="Arial" w:cs="Arial"/>
          <w:sz w:val="22"/>
        </w:rPr>
        <w:t xml:space="preserve">Table 10. </w:t>
      </w:r>
      <w:r w:rsidRPr="006B7477">
        <w:rPr>
          <w:rFonts w:ascii="Arial" w:eastAsia="Times New Roman" w:hAnsi="Arial" w:cs="Arial"/>
          <w:color w:val="000000"/>
          <w:kern w:val="0"/>
          <w:sz w:val="22"/>
        </w:rPr>
        <w:t>Basic Information for sales projection</w:t>
      </w:r>
    </w:p>
    <w:p w14:paraId="270C480B" w14:textId="6A3679AF" w:rsidR="007D79C2" w:rsidRPr="00CE7EB9" w:rsidRDefault="00F831E6" w:rsidP="007D79C2">
      <w:pPr>
        <w:widowControl/>
        <w:rPr>
          <w:rFonts w:ascii="Arial" w:eastAsia="Times New Roman" w:hAnsi="Arial" w:cs="Arial"/>
          <w:color w:val="000000"/>
          <w:kern w:val="0"/>
          <w:szCs w:val="24"/>
        </w:rPr>
      </w:pPr>
      <w:r>
        <w:rPr>
          <w:noProof/>
        </w:rPr>
        <w:drawing>
          <wp:inline distT="0" distB="0" distL="0" distR="0" wp14:anchorId="46E7142D" wp14:editId="4F89E78E">
            <wp:extent cx="5406016" cy="2407920"/>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41746" t="52235" r="27809" b="23656"/>
                    <a:stretch/>
                  </pic:blipFill>
                  <pic:spPr bwMode="auto">
                    <a:xfrm>
                      <a:off x="0" y="0"/>
                      <a:ext cx="5413266" cy="2411149"/>
                    </a:xfrm>
                    <a:prstGeom prst="rect">
                      <a:avLst/>
                    </a:prstGeom>
                    <a:ln>
                      <a:noFill/>
                    </a:ln>
                    <a:extLst>
                      <a:ext uri="{53640926-AAD7-44D8-BBD7-CCE9431645EC}">
                        <a14:shadowObscured xmlns:a14="http://schemas.microsoft.com/office/drawing/2010/main"/>
                      </a:ext>
                    </a:extLst>
                  </pic:spPr>
                </pic:pic>
              </a:graphicData>
            </a:graphic>
          </wp:inline>
        </w:drawing>
      </w:r>
    </w:p>
    <w:p w14:paraId="35775BAE" w14:textId="77777777" w:rsidR="0026201B" w:rsidRPr="007D79C2" w:rsidRDefault="0026201B" w:rsidP="0026201B">
      <w:pPr>
        <w:spacing w:line="360" w:lineRule="auto"/>
        <w:rPr>
          <w:rFonts w:ascii="Arial" w:hAnsi="Arial" w:cs="Arial"/>
          <w:sz w:val="22"/>
        </w:rPr>
      </w:pPr>
      <w:r w:rsidRPr="007D79C2">
        <w:rPr>
          <w:rFonts w:ascii="Arial" w:hAnsi="Arial" w:cs="Arial"/>
          <w:sz w:val="22"/>
        </w:rPr>
        <w:t>Source: compiled by the author</w:t>
      </w:r>
    </w:p>
    <w:p w14:paraId="1D349FE5" w14:textId="77777777" w:rsidR="007D79C2" w:rsidRPr="00CE7EB9" w:rsidRDefault="007D79C2" w:rsidP="007D79C2">
      <w:pPr>
        <w:widowControl/>
        <w:rPr>
          <w:rFonts w:ascii="Arial" w:eastAsia="Times New Roman" w:hAnsi="Arial" w:cs="Arial"/>
          <w:color w:val="000000"/>
          <w:kern w:val="0"/>
          <w:szCs w:val="24"/>
        </w:rPr>
      </w:pPr>
    </w:p>
    <w:p w14:paraId="0C667B6D" w14:textId="77777777" w:rsidR="00F831E6" w:rsidRPr="00CE7EB9" w:rsidRDefault="00F831E6" w:rsidP="00F831E6">
      <w:pPr>
        <w:spacing w:line="360" w:lineRule="auto"/>
        <w:rPr>
          <w:rFonts w:ascii="Arial" w:hAnsi="Arial" w:cs="Arial"/>
          <w:szCs w:val="24"/>
        </w:rPr>
      </w:pPr>
      <w:r w:rsidRPr="006B7477">
        <w:rPr>
          <w:rFonts w:ascii="Arial" w:hAnsi="Arial" w:cs="Arial"/>
          <w:sz w:val="22"/>
        </w:rPr>
        <w:t>Table 11. Sales and Revenue Projection</w:t>
      </w:r>
    </w:p>
    <w:p w14:paraId="03D48E5F" w14:textId="4A98551C" w:rsidR="00F831E6" w:rsidRPr="00CE7EB9" w:rsidRDefault="00F831E6" w:rsidP="007D79C2">
      <w:pPr>
        <w:widowControl/>
        <w:rPr>
          <w:rFonts w:ascii="Arial" w:eastAsia="Times New Roman" w:hAnsi="Arial" w:cs="Arial"/>
          <w:color w:val="000000"/>
          <w:kern w:val="0"/>
          <w:szCs w:val="24"/>
        </w:rPr>
      </w:pPr>
      <w:r>
        <w:rPr>
          <w:noProof/>
        </w:rPr>
        <w:drawing>
          <wp:inline distT="0" distB="0" distL="0" distR="0" wp14:anchorId="5105EB5D" wp14:editId="680F4470">
            <wp:extent cx="4381500" cy="301807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3902" t="24109" r="22092" b="22001"/>
                    <a:stretch/>
                  </pic:blipFill>
                  <pic:spPr bwMode="auto">
                    <a:xfrm>
                      <a:off x="0" y="0"/>
                      <a:ext cx="4391965" cy="3025281"/>
                    </a:xfrm>
                    <a:prstGeom prst="rect">
                      <a:avLst/>
                    </a:prstGeom>
                    <a:ln>
                      <a:noFill/>
                    </a:ln>
                    <a:extLst>
                      <a:ext uri="{53640926-AAD7-44D8-BBD7-CCE9431645EC}">
                        <a14:shadowObscured xmlns:a14="http://schemas.microsoft.com/office/drawing/2010/main"/>
                      </a:ext>
                    </a:extLst>
                  </pic:spPr>
                </pic:pic>
              </a:graphicData>
            </a:graphic>
          </wp:inline>
        </w:drawing>
      </w:r>
    </w:p>
    <w:p w14:paraId="3F04F874" w14:textId="77777777" w:rsidR="0026201B" w:rsidRPr="007D79C2" w:rsidRDefault="0026201B" w:rsidP="0026201B">
      <w:pPr>
        <w:spacing w:line="360" w:lineRule="auto"/>
        <w:rPr>
          <w:rFonts w:ascii="Arial" w:hAnsi="Arial" w:cs="Arial"/>
          <w:sz w:val="22"/>
        </w:rPr>
      </w:pPr>
      <w:r w:rsidRPr="007D79C2">
        <w:rPr>
          <w:rFonts w:ascii="Arial" w:hAnsi="Arial" w:cs="Arial"/>
          <w:sz w:val="22"/>
        </w:rPr>
        <w:t>Source: compiled by the author</w:t>
      </w:r>
    </w:p>
    <w:p w14:paraId="74494D87" w14:textId="7BAD323C" w:rsidR="007D79C2" w:rsidRDefault="007D79C2" w:rsidP="007D79C2">
      <w:pPr>
        <w:widowControl/>
        <w:rPr>
          <w:rFonts w:ascii="Arial" w:eastAsia="Times New Roman" w:hAnsi="Arial" w:cs="Arial"/>
          <w:color w:val="000000"/>
          <w:kern w:val="0"/>
          <w:szCs w:val="24"/>
        </w:rPr>
      </w:pPr>
    </w:p>
    <w:p w14:paraId="3E6D1FE8" w14:textId="6D1F68E3" w:rsidR="006B7477" w:rsidRDefault="006B7477" w:rsidP="007D79C2">
      <w:pPr>
        <w:widowControl/>
        <w:rPr>
          <w:rFonts w:ascii="Arial" w:eastAsia="Times New Roman" w:hAnsi="Arial" w:cs="Arial"/>
          <w:color w:val="000000"/>
          <w:kern w:val="0"/>
          <w:szCs w:val="24"/>
        </w:rPr>
      </w:pPr>
    </w:p>
    <w:p w14:paraId="6907BAAF" w14:textId="06E60C2C" w:rsidR="008E0437" w:rsidRDefault="008E0437" w:rsidP="007D79C2">
      <w:pPr>
        <w:widowControl/>
        <w:rPr>
          <w:rFonts w:ascii="Arial" w:eastAsia="Times New Roman" w:hAnsi="Arial" w:cs="Arial"/>
          <w:color w:val="000000"/>
          <w:kern w:val="0"/>
          <w:szCs w:val="24"/>
        </w:rPr>
      </w:pPr>
    </w:p>
    <w:p w14:paraId="3B302D6D" w14:textId="28714D6D" w:rsidR="007D79C2" w:rsidRPr="006B7477" w:rsidRDefault="00F831E6" w:rsidP="00F831E6">
      <w:pPr>
        <w:widowControl/>
        <w:rPr>
          <w:rFonts w:ascii="Arial" w:hAnsi="Arial" w:cs="Arial"/>
          <w:sz w:val="22"/>
        </w:rPr>
      </w:pPr>
      <w:r w:rsidRPr="006B7477">
        <w:rPr>
          <w:rFonts w:ascii="Arial" w:hAnsi="Arial" w:cs="Arial"/>
          <w:sz w:val="22"/>
        </w:rPr>
        <w:t>Table 12. Computing Profit</w:t>
      </w:r>
    </w:p>
    <w:p w14:paraId="2BE6D8D8" w14:textId="28F8D131" w:rsidR="006B7477" w:rsidRPr="00F831E6" w:rsidRDefault="006B7477" w:rsidP="00F831E6">
      <w:pPr>
        <w:widowControl/>
        <w:rPr>
          <w:rFonts w:ascii="Arial" w:eastAsia="Times New Roman" w:hAnsi="Arial" w:cs="Arial"/>
          <w:color w:val="000000"/>
          <w:kern w:val="0"/>
          <w:szCs w:val="24"/>
        </w:rPr>
      </w:pPr>
      <w:r>
        <w:rPr>
          <w:noProof/>
        </w:rPr>
        <w:lastRenderedPageBreak/>
        <w:drawing>
          <wp:inline distT="0" distB="0" distL="0" distR="0" wp14:anchorId="6C7E00F7" wp14:editId="597ECF06">
            <wp:extent cx="5151120" cy="188214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40550" t="52945" r="24884" b="24601"/>
                    <a:stretch/>
                  </pic:blipFill>
                  <pic:spPr bwMode="auto">
                    <a:xfrm>
                      <a:off x="0" y="0"/>
                      <a:ext cx="5168516" cy="1888496"/>
                    </a:xfrm>
                    <a:prstGeom prst="rect">
                      <a:avLst/>
                    </a:prstGeom>
                    <a:ln>
                      <a:noFill/>
                    </a:ln>
                    <a:extLst>
                      <a:ext uri="{53640926-AAD7-44D8-BBD7-CCE9431645EC}">
                        <a14:shadowObscured xmlns:a14="http://schemas.microsoft.com/office/drawing/2010/main"/>
                      </a:ext>
                    </a:extLst>
                  </pic:spPr>
                </pic:pic>
              </a:graphicData>
            </a:graphic>
          </wp:inline>
        </w:drawing>
      </w:r>
    </w:p>
    <w:p w14:paraId="3B570754" w14:textId="4D904BAA" w:rsidR="00F831E6" w:rsidRDefault="00F831E6" w:rsidP="0026201B">
      <w:pPr>
        <w:rPr>
          <w:rFonts w:ascii="Arial" w:eastAsia="Times New Roman" w:hAnsi="Arial" w:cs="Arial"/>
          <w:color w:val="000000"/>
          <w:kern w:val="0"/>
          <w:sz w:val="22"/>
        </w:rPr>
      </w:pPr>
      <w:r w:rsidRPr="00CE7EB9">
        <w:rPr>
          <w:rFonts w:ascii="Arial" w:hAnsi="Arial" w:cs="Arial"/>
          <w:sz w:val="22"/>
        </w:rPr>
        <w:t xml:space="preserve">Note 1: </w:t>
      </w:r>
      <w:r w:rsidRPr="005C4D34">
        <w:rPr>
          <w:rFonts w:ascii="Arial" w:eastAsia="Times New Roman" w:hAnsi="Arial" w:cs="Arial"/>
          <w:color w:val="000000"/>
          <w:kern w:val="0"/>
          <w:sz w:val="22"/>
        </w:rPr>
        <w:t>Last year sales from Mainland X (1+growth rate)</w:t>
      </w:r>
    </w:p>
    <w:p w14:paraId="328516A2" w14:textId="6C7220AB" w:rsidR="007D79C2" w:rsidRDefault="007D79C2" w:rsidP="0026201B">
      <w:pPr>
        <w:rPr>
          <w:rFonts w:ascii="Arial" w:hAnsi="Arial" w:cs="Arial"/>
          <w:sz w:val="22"/>
        </w:rPr>
      </w:pPr>
      <w:r w:rsidRPr="00CE7EB9">
        <w:rPr>
          <w:rFonts w:ascii="Arial" w:eastAsia="Times New Roman" w:hAnsi="Arial" w:cs="Arial"/>
          <w:color w:val="000000"/>
          <w:kern w:val="0"/>
          <w:sz w:val="22"/>
        </w:rPr>
        <w:t>Note #: Extended calculation to 20 years is shown in Appendix xx</w:t>
      </w:r>
      <w:r w:rsidRPr="00CE7EB9">
        <w:rPr>
          <w:rFonts w:ascii="Arial" w:eastAsia="Times New Roman" w:hAnsi="Arial" w:cs="Arial"/>
          <w:color w:val="000000"/>
          <w:kern w:val="0"/>
          <w:sz w:val="22"/>
        </w:rPr>
        <w:br/>
        <w:t>Note 2: Tax rate as 25%</w:t>
      </w:r>
      <w:r w:rsidR="0026201B">
        <w:rPr>
          <w:rFonts w:ascii="Arial" w:eastAsia="Times New Roman" w:hAnsi="Arial" w:cs="Arial"/>
          <w:color w:val="000000"/>
          <w:kern w:val="0"/>
          <w:sz w:val="22"/>
        </w:rPr>
        <w:br/>
      </w:r>
      <w:r w:rsidR="0026201B" w:rsidRPr="007D79C2">
        <w:rPr>
          <w:rFonts w:ascii="Arial" w:hAnsi="Arial" w:cs="Arial"/>
          <w:sz w:val="22"/>
        </w:rPr>
        <w:t>Source: compiled by the author</w:t>
      </w:r>
    </w:p>
    <w:p w14:paraId="715C37B4" w14:textId="77777777" w:rsidR="0026201B" w:rsidRPr="0026201B" w:rsidRDefault="0026201B" w:rsidP="0026201B">
      <w:pPr>
        <w:rPr>
          <w:rFonts w:ascii="Arial" w:hAnsi="Arial" w:cs="Arial"/>
          <w:sz w:val="22"/>
        </w:rPr>
      </w:pPr>
    </w:p>
    <w:p w14:paraId="36C2012B" w14:textId="58B7EE47" w:rsidR="007D79C2" w:rsidRPr="00CE7EB9" w:rsidRDefault="007D79C2" w:rsidP="007D79C2">
      <w:pPr>
        <w:spacing w:line="360" w:lineRule="auto"/>
        <w:rPr>
          <w:rFonts w:ascii="Arial" w:eastAsia="Times New Roman" w:hAnsi="Arial" w:cs="Arial"/>
          <w:color w:val="000000"/>
          <w:kern w:val="0"/>
          <w:szCs w:val="24"/>
        </w:rPr>
      </w:pPr>
      <w:r w:rsidRPr="00CE7EB9">
        <w:rPr>
          <w:rFonts w:ascii="Arial" w:eastAsia="Times New Roman" w:hAnsi="Arial" w:cs="Arial"/>
          <w:color w:val="000000"/>
          <w:kern w:val="0"/>
          <w:szCs w:val="24"/>
        </w:rPr>
        <w:t xml:space="preserve">The estimated profit for the </w:t>
      </w:r>
      <w:r w:rsidR="006B7477" w:rsidRPr="00CE7EB9">
        <w:rPr>
          <w:rFonts w:ascii="Arial" w:eastAsia="Times New Roman" w:hAnsi="Arial" w:cs="Arial"/>
          <w:color w:val="000000"/>
          <w:kern w:val="0"/>
          <w:szCs w:val="24"/>
        </w:rPr>
        <w:t>first-year</w:t>
      </w:r>
      <w:r w:rsidRPr="00CE7EB9">
        <w:rPr>
          <w:rFonts w:ascii="Arial" w:eastAsia="Times New Roman" w:hAnsi="Arial" w:cs="Arial"/>
          <w:color w:val="000000"/>
          <w:kern w:val="0"/>
          <w:szCs w:val="24"/>
        </w:rPr>
        <w:t xml:space="preserve"> accounts for 9.32% of the actual Group's net profit in 2020/21. Due to COVID-19, the number of inventory turnover days was 429 days in 2020/21 financial year, this has affected the calculation of the expenditure based on the inventory turnover days. In addition, there is insufficient China data to support for the project forecast. With reference to the positive net cash flow for the Group, the prediction for the first year cashflow is therefore predicted as 9.32% of the actual Group’s net cashflow from China, which is $19 million. </w:t>
      </w:r>
      <w:r w:rsidRPr="00CE7EB9">
        <w:rPr>
          <w:rFonts w:ascii="Arial" w:eastAsia="Times New Roman" w:hAnsi="Arial" w:cs="Arial"/>
          <w:color w:val="000000"/>
          <w:kern w:val="0"/>
          <w:szCs w:val="24"/>
        </w:rPr>
        <w:br/>
      </w:r>
    </w:p>
    <w:p w14:paraId="4BB3B0ED" w14:textId="25169224" w:rsidR="007D79C2" w:rsidRPr="006B7477" w:rsidRDefault="007D79C2" w:rsidP="007D79C2">
      <w:pPr>
        <w:widowControl/>
        <w:rPr>
          <w:rFonts w:ascii="Arial" w:hAnsi="Arial" w:cs="Arial"/>
          <w:sz w:val="22"/>
        </w:rPr>
      </w:pPr>
      <w:r w:rsidRPr="006B7477">
        <w:rPr>
          <w:rFonts w:ascii="Arial" w:hAnsi="Arial" w:cs="Arial"/>
          <w:sz w:val="22"/>
        </w:rPr>
        <w:t>Table 13. Cashflow calculation</w:t>
      </w:r>
    </w:p>
    <w:p w14:paraId="6DF13FC6" w14:textId="5ABD6508" w:rsidR="006B7477" w:rsidRPr="00CE7EB9" w:rsidRDefault="006B7477" w:rsidP="007D79C2">
      <w:pPr>
        <w:widowControl/>
        <w:rPr>
          <w:rFonts w:ascii="Arial" w:hAnsi="Arial" w:cs="Arial"/>
          <w:szCs w:val="24"/>
        </w:rPr>
      </w:pPr>
      <w:r>
        <w:rPr>
          <w:noProof/>
        </w:rPr>
        <w:drawing>
          <wp:inline distT="0" distB="0" distL="0" distR="0" wp14:anchorId="2ED9C52A" wp14:editId="119ABCE5">
            <wp:extent cx="4091940" cy="1580221"/>
            <wp:effectExtent l="0" t="0" r="381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41081" t="48218" r="26214" b="29328"/>
                    <a:stretch/>
                  </pic:blipFill>
                  <pic:spPr bwMode="auto">
                    <a:xfrm>
                      <a:off x="0" y="0"/>
                      <a:ext cx="4141884" cy="1599508"/>
                    </a:xfrm>
                    <a:prstGeom prst="rect">
                      <a:avLst/>
                    </a:prstGeom>
                    <a:ln>
                      <a:noFill/>
                    </a:ln>
                    <a:extLst>
                      <a:ext uri="{53640926-AAD7-44D8-BBD7-CCE9431645EC}">
                        <a14:shadowObscured xmlns:a14="http://schemas.microsoft.com/office/drawing/2010/main"/>
                      </a:ext>
                    </a:extLst>
                  </pic:spPr>
                </pic:pic>
              </a:graphicData>
            </a:graphic>
          </wp:inline>
        </w:drawing>
      </w:r>
    </w:p>
    <w:p w14:paraId="49B3EE3A" w14:textId="77777777" w:rsidR="007D79C2" w:rsidRPr="0026201B" w:rsidRDefault="007D79C2" w:rsidP="0026201B">
      <w:pPr>
        <w:rPr>
          <w:rFonts w:ascii="Arial" w:eastAsia="Times New Roman" w:hAnsi="Arial" w:cs="Arial"/>
          <w:color w:val="000000"/>
          <w:kern w:val="0"/>
          <w:sz w:val="22"/>
        </w:rPr>
      </w:pPr>
      <w:r w:rsidRPr="0026201B">
        <w:rPr>
          <w:rFonts w:ascii="Arial" w:eastAsia="Times New Roman" w:hAnsi="Arial" w:cs="Arial"/>
          <w:color w:val="000000"/>
          <w:kern w:val="0"/>
          <w:sz w:val="22"/>
        </w:rPr>
        <w:t>Note 1: Estimated based on the cashflow projection with growth rate as 8.2%.</w:t>
      </w:r>
    </w:p>
    <w:p w14:paraId="4F516895" w14:textId="14E28FF8" w:rsidR="0026201B" w:rsidRPr="0026201B" w:rsidRDefault="007D79C2" w:rsidP="0026201B">
      <w:pPr>
        <w:rPr>
          <w:rFonts w:ascii="Arial" w:eastAsia="Times New Roman" w:hAnsi="Arial" w:cs="Arial"/>
          <w:color w:val="000000"/>
          <w:kern w:val="0"/>
          <w:sz w:val="22"/>
        </w:rPr>
      </w:pPr>
      <w:r w:rsidRPr="0026201B">
        <w:rPr>
          <w:rFonts w:ascii="Arial" w:eastAsia="Times New Roman" w:hAnsi="Arial" w:cs="Arial"/>
          <w:color w:val="000000"/>
          <w:kern w:val="0"/>
          <w:sz w:val="22"/>
        </w:rPr>
        <w:t xml:space="preserve">Note #: Extended calculation to 20 years is shown in </w:t>
      </w:r>
      <w:r w:rsidRPr="008E0437">
        <w:rPr>
          <w:rFonts w:ascii="Arial" w:eastAsia="Times New Roman" w:hAnsi="Arial" w:cs="Arial"/>
          <w:color w:val="000000"/>
          <w:kern w:val="0"/>
          <w:sz w:val="22"/>
        </w:rPr>
        <w:t xml:space="preserve">Appendix </w:t>
      </w:r>
      <w:r w:rsidR="008E0437">
        <w:rPr>
          <w:rFonts w:ascii="Arial" w:eastAsia="Times New Roman" w:hAnsi="Arial" w:cs="Arial"/>
          <w:color w:val="000000"/>
          <w:kern w:val="0"/>
          <w:sz w:val="22"/>
        </w:rPr>
        <w:t>2</w:t>
      </w:r>
    </w:p>
    <w:p w14:paraId="0125ED6E" w14:textId="77777777" w:rsidR="0026201B" w:rsidRPr="0026201B" w:rsidRDefault="0026201B" w:rsidP="0026201B">
      <w:pPr>
        <w:rPr>
          <w:rFonts w:ascii="Arial" w:hAnsi="Arial" w:cs="Arial"/>
          <w:sz w:val="22"/>
        </w:rPr>
      </w:pPr>
      <w:r w:rsidRPr="0026201B">
        <w:rPr>
          <w:rFonts w:ascii="Arial" w:hAnsi="Arial" w:cs="Arial"/>
          <w:sz w:val="22"/>
        </w:rPr>
        <w:t>Source: compiled by the author</w:t>
      </w:r>
    </w:p>
    <w:p w14:paraId="6F75BD02" w14:textId="07CD1F42" w:rsidR="006B7477" w:rsidRPr="002C0C4D" w:rsidRDefault="006B7477" w:rsidP="006B7477">
      <w:pPr>
        <w:rPr>
          <w:rFonts w:ascii="Arial" w:hAnsi="Arial" w:cs="Arial"/>
          <w:i/>
          <w:iCs/>
          <w:szCs w:val="24"/>
        </w:rPr>
      </w:pPr>
      <w:r w:rsidRPr="002C0C4D">
        <w:rPr>
          <w:rFonts w:ascii="Arial" w:hAnsi="Arial" w:cs="Arial"/>
          <w:i/>
          <w:iCs/>
          <w:szCs w:val="24"/>
        </w:rPr>
        <w:t xml:space="preserve">5.2 The NPV, IRR and ARR </w:t>
      </w:r>
    </w:p>
    <w:p w14:paraId="16084688" w14:textId="7599519A" w:rsidR="007D79C2" w:rsidRPr="006B7477" w:rsidRDefault="007D79C2" w:rsidP="006B7477">
      <w:pPr>
        <w:rPr>
          <w:rFonts w:ascii="Arial" w:hAnsi="Arial" w:cs="Arial"/>
          <w:szCs w:val="24"/>
        </w:rPr>
      </w:pPr>
      <w:r w:rsidRPr="00CE7EB9">
        <w:rPr>
          <w:rFonts w:ascii="Arial" w:hAnsi="Arial" w:cs="Arial"/>
          <w:szCs w:val="24"/>
        </w:rPr>
        <w:lastRenderedPageBreak/>
        <w:t xml:space="preserve">The Net Present Value (NPV) for the project is presented in Table 14. Since the initial set up cost is high, the project is reassessed and extended to 20 years to look at the NPV. The Interest rate used in the NPV calculation is 7% which is the ROA of the Group in 2020/21 Financial Year. The NPV derived from Table 14 is $106 million. A positive NPV indicates that </w:t>
      </w:r>
      <w:r w:rsidRPr="00CE7EB9">
        <w:rPr>
          <w:rFonts w:ascii="Arial" w:hAnsi="Arial" w:cs="Arial"/>
          <w:color w:val="111111"/>
          <w:sz w:val="26"/>
          <w:szCs w:val="26"/>
          <w:shd w:val="clear" w:color="auto" w:fill="FFFFFF"/>
        </w:rPr>
        <w:t xml:space="preserve">the discounted present value of all future cash flows related to the project is positive, in other words, attractive to invest (Fernando, 2021). Therefore, this project to open 300 stores in China is positive to move forward. The Internal Rate of Return (IRR) of this project is 11%, meaning that the discount rate that sets NPV to zero is 11%. The account rate of return (ARR) of this project is 34.58%, with </w:t>
      </w:r>
      <w:proofErr w:type="spellStart"/>
      <w:proofErr w:type="gramStart"/>
      <w:r w:rsidRPr="00CE7EB9">
        <w:rPr>
          <w:rFonts w:ascii="Arial" w:hAnsi="Arial" w:cs="Arial"/>
          <w:color w:val="111111"/>
          <w:sz w:val="26"/>
          <w:szCs w:val="26"/>
          <w:shd w:val="clear" w:color="auto" w:fill="FFFFFF"/>
        </w:rPr>
        <w:t>a</w:t>
      </w:r>
      <w:proofErr w:type="spellEnd"/>
      <w:proofErr w:type="gramEnd"/>
      <w:r w:rsidRPr="00CE7EB9">
        <w:rPr>
          <w:rFonts w:ascii="Arial" w:hAnsi="Arial" w:cs="Arial"/>
          <w:color w:val="111111"/>
          <w:sz w:val="26"/>
          <w:szCs w:val="26"/>
          <w:shd w:val="clear" w:color="auto" w:fill="FFFFFF"/>
        </w:rPr>
        <w:t xml:space="preserve"> expected </w:t>
      </w:r>
      <w:proofErr w:type="spellStart"/>
      <w:r w:rsidRPr="00CE7EB9">
        <w:rPr>
          <w:rFonts w:ascii="Arial" w:hAnsi="Arial" w:cs="Arial"/>
          <w:color w:val="111111"/>
          <w:sz w:val="26"/>
          <w:szCs w:val="26"/>
          <w:shd w:val="clear" w:color="auto" w:fill="FFFFFF"/>
        </w:rPr>
        <w:t>pay back</w:t>
      </w:r>
      <w:proofErr w:type="spellEnd"/>
      <w:r w:rsidRPr="00CE7EB9">
        <w:rPr>
          <w:rFonts w:ascii="Arial" w:hAnsi="Arial" w:cs="Arial"/>
          <w:color w:val="111111"/>
          <w:sz w:val="26"/>
          <w:szCs w:val="26"/>
          <w:shd w:val="clear" w:color="auto" w:fill="FFFFFF"/>
        </w:rPr>
        <w:t xml:space="preserve"> period of 9.66 years. </w:t>
      </w:r>
      <w:r w:rsidR="006B7477">
        <w:rPr>
          <w:rFonts w:ascii="Arial" w:hAnsi="Arial" w:cs="Arial"/>
          <w:color w:val="111111"/>
          <w:sz w:val="26"/>
          <w:szCs w:val="26"/>
          <w:shd w:val="clear" w:color="auto" w:fill="FFFFFF"/>
        </w:rPr>
        <w:br/>
      </w:r>
    </w:p>
    <w:p w14:paraId="5CA5D5DC" w14:textId="589DD6EB" w:rsidR="007D79C2" w:rsidRPr="007C4B80" w:rsidRDefault="007D79C2" w:rsidP="007C4B80">
      <w:pPr>
        <w:rPr>
          <w:rFonts w:ascii="Arial" w:hAnsi="Arial" w:cs="Arial"/>
          <w:sz w:val="22"/>
        </w:rPr>
      </w:pPr>
      <w:r w:rsidRPr="007C4B80">
        <w:rPr>
          <w:rFonts w:ascii="Arial" w:hAnsi="Arial" w:cs="Arial"/>
          <w:sz w:val="22"/>
        </w:rPr>
        <w:t xml:space="preserve">Table 14. </w:t>
      </w:r>
      <w:r w:rsidR="006B7477" w:rsidRPr="007C4B80">
        <w:rPr>
          <w:rFonts w:ascii="Arial" w:hAnsi="Arial" w:cs="Arial"/>
          <w:sz w:val="22"/>
        </w:rPr>
        <w:t>NPV</w:t>
      </w:r>
      <w:r w:rsidRPr="007C4B80">
        <w:rPr>
          <w:rFonts w:ascii="Arial" w:hAnsi="Arial" w:cs="Arial"/>
          <w:sz w:val="22"/>
        </w:rPr>
        <w:t>, ARR, IRR</w:t>
      </w:r>
    </w:p>
    <w:p w14:paraId="6334CCE3" w14:textId="77777777" w:rsidR="002C0C4D" w:rsidRPr="007D79C2" w:rsidRDefault="006B7477" w:rsidP="007C4B80">
      <w:pPr>
        <w:rPr>
          <w:rFonts w:ascii="Arial" w:hAnsi="Arial" w:cs="Arial"/>
          <w:sz w:val="22"/>
        </w:rPr>
      </w:pPr>
      <w:r>
        <w:rPr>
          <w:noProof/>
        </w:rPr>
        <w:drawing>
          <wp:inline distT="0" distB="0" distL="0" distR="0" wp14:anchorId="3B171F36" wp14:editId="7F161776">
            <wp:extent cx="5082540" cy="3797300"/>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9885" t="36400" r="25416" b="17510"/>
                    <a:stretch/>
                  </pic:blipFill>
                  <pic:spPr bwMode="auto">
                    <a:xfrm>
                      <a:off x="0" y="0"/>
                      <a:ext cx="5095514" cy="3806993"/>
                    </a:xfrm>
                    <a:prstGeom prst="rect">
                      <a:avLst/>
                    </a:prstGeom>
                    <a:ln>
                      <a:noFill/>
                    </a:ln>
                    <a:extLst>
                      <a:ext uri="{53640926-AAD7-44D8-BBD7-CCE9431645EC}">
                        <a14:shadowObscured xmlns:a14="http://schemas.microsoft.com/office/drawing/2010/main"/>
                      </a:ext>
                    </a:extLst>
                  </pic:spPr>
                </pic:pic>
              </a:graphicData>
            </a:graphic>
          </wp:inline>
        </w:drawing>
      </w:r>
      <w:r w:rsidR="007D79C2" w:rsidRPr="00CE7EB9">
        <w:rPr>
          <w:rFonts w:ascii="Arial" w:hAnsi="Arial" w:cs="Arial"/>
          <w:color w:val="111111"/>
          <w:sz w:val="26"/>
          <w:szCs w:val="26"/>
          <w:shd w:val="clear" w:color="auto" w:fill="FFFFFF"/>
        </w:rPr>
        <w:br/>
      </w:r>
      <w:r w:rsidR="002C0C4D" w:rsidRPr="007D79C2">
        <w:rPr>
          <w:rFonts w:ascii="Arial" w:hAnsi="Arial" w:cs="Arial"/>
          <w:sz w:val="22"/>
        </w:rPr>
        <w:t>Source: compiled by the author</w:t>
      </w:r>
    </w:p>
    <w:p w14:paraId="610A4232" w14:textId="7BA51D38" w:rsidR="007D79C2" w:rsidRPr="006B7477" w:rsidRDefault="007D79C2" w:rsidP="007D79C2">
      <w:pPr>
        <w:spacing w:line="360" w:lineRule="auto"/>
        <w:rPr>
          <w:rFonts w:ascii="Arial" w:hAnsi="Arial" w:cs="Arial"/>
          <w:color w:val="111111"/>
          <w:sz w:val="26"/>
          <w:szCs w:val="26"/>
          <w:shd w:val="clear" w:color="auto" w:fill="FFFFFF"/>
        </w:rPr>
      </w:pPr>
    </w:p>
    <w:p w14:paraId="79769474" w14:textId="0CAEFE25" w:rsidR="007D79C2" w:rsidRPr="006B7477" w:rsidRDefault="006B7477" w:rsidP="007D79C2">
      <w:pPr>
        <w:spacing w:line="360" w:lineRule="auto"/>
        <w:rPr>
          <w:rFonts w:ascii="Arial" w:hAnsi="Arial" w:cs="Arial"/>
        </w:rPr>
      </w:pPr>
      <w:r>
        <w:rPr>
          <w:rFonts w:ascii="Arial" w:hAnsi="Arial" w:cs="Arial"/>
          <w:b/>
          <w:bCs/>
        </w:rPr>
        <w:t xml:space="preserve">6. </w:t>
      </w:r>
      <w:r w:rsidR="007D79C2" w:rsidRPr="008330FA">
        <w:rPr>
          <w:rFonts w:ascii="Arial" w:hAnsi="Arial" w:cs="Arial"/>
          <w:b/>
          <w:bCs/>
        </w:rPr>
        <w:t xml:space="preserve">Fund-raising Management </w:t>
      </w:r>
      <w:r w:rsidR="007D79C2" w:rsidRPr="008330FA">
        <w:rPr>
          <w:rFonts w:ascii="Arial" w:hAnsi="Arial" w:cs="Arial"/>
          <w:b/>
          <w:bCs/>
        </w:rPr>
        <w:br/>
      </w:r>
      <w:proofErr w:type="spellStart"/>
      <w:r w:rsidR="007D79C2" w:rsidRPr="00CE7EB9">
        <w:rPr>
          <w:rFonts w:ascii="Arial" w:hAnsi="Arial" w:cs="Arial"/>
          <w:szCs w:val="24"/>
        </w:rPr>
        <w:t>Luk</w:t>
      </w:r>
      <w:proofErr w:type="spellEnd"/>
      <w:r w:rsidR="007D79C2" w:rsidRPr="00CE7EB9">
        <w:rPr>
          <w:rFonts w:ascii="Arial" w:hAnsi="Arial" w:cs="Arial"/>
          <w:szCs w:val="24"/>
        </w:rPr>
        <w:t xml:space="preserve"> </w:t>
      </w:r>
      <w:proofErr w:type="spellStart"/>
      <w:r>
        <w:rPr>
          <w:rFonts w:ascii="Arial" w:hAnsi="Arial" w:cs="Arial"/>
          <w:szCs w:val="24"/>
        </w:rPr>
        <w:t>f</w:t>
      </w:r>
      <w:r w:rsidR="007D79C2" w:rsidRPr="00CE7EB9">
        <w:rPr>
          <w:rFonts w:ascii="Arial" w:hAnsi="Arial" w:cs="Arial"/>
          <w:szCs w:val="24"/>
        </w:rPr>
        <w:t>ook’s</w:t>
      </w:r>
      <w:proofErr w:type="spellEnd"/>
      <w:r w:rsidR="007D79C2" w:rsidRPr="00CE7EB9">
        <w:rPr>
          <w:rFonts w:ascii="Arial" w:hAnsi="Arial" w:cs="Arial"/>
          <w:szCs w:val="24"/>
        </w:rPr>
        <w:t xml:space="preserve"> ca</w:t>
      </w:r>
      <w:r>
        <w:rPr>
          <w:rFonts w:ascii="Arial" w:hAnsi="Arial" w:cs="Arial"/>
          <w:szCs w:val="24"/>
        </w:rPr>
        <w:t>p</w:t>
      </w:r>
      <w:r w:rsidR="007D79C2" w:rsidRPr="00CE7EB9">
        <w:rPr>
          <w:rFonts w:ascii="Arial" w:hAnsi="Arial" w:cs="Arial"/>
          <w:szCs w:val="24"/>
        </w:rPr>
        <w:t xml:space="preserve">ital management </w:t>
      </w:r>
      <w:r w:rsidR="007D79C2" w:rsidRPr="00CE7EB9">
        <w:rPr>
          <w:rFonts w:ascii="Arial" w:hAnsi="Arial" w:cs="Arial"/>
        </w:rPr>
        <w:t>objectives are to safeguard the ability to provide returns for shareholders, benefits for other stakeholders, and to maintain an optimal capital structure to reduce the cost of capital (</w:t>
      </w:r>
      <w:proofErr w:type="spellStart"/>
      <w:r w:rsidR="007D79C2" w:rsidRPr="00CE7EB9">
        <w:rPr>
          <w:rFonts w:ascii="Arial" w:hAnsi="Arial" w:cs="Arial"/>
        </w:rPr>
        <w:t>Luk</w:t>
      </w:r>
      <w:proofErr w:type="spellEnd"/>
      <w:r w:rsidR="007D79C2" w:rsidRPr="00CE7EB9">
        <w:rPr>
          <w:rFonts w:ascii="Arial" w:hAnsi="Arial" w:cs="Arial"/>
        </w:rPr>
        <w:t xml:space="preserve"> Fook Holdings </w:t>
      </w:r>
      <w:r w:rsidR="002C5376">
        <w:rPr>
          <w:rFonts w:ascii="Arial" w:hAnsi="Arial" w:cs="Arial"/>
        </w:rPr>
        <w:t>(</w:t>
      </w:r>
      <w:r w:rsidR="007D79C2" w:rsidRPr="00CE7EB9">
        <w:rPr>
          <w:rFonts w:ascii="Arial" w:hAnsi="Arial" w:cs="Arial"/>
        </w:rPr>
        <w:t>International</w:t>
      </w:r>
      <w:r w:rsidR="002C5376">
        <w:rPr>
          <w:rFonts w:ascii="Arial" w:hAnsi="Arial" w:cs="Arial"/>
        </w:rPr>
        <w:t>)</w:t>
      </w:r>
      <w:r w:rsidR="007D79C2" w:rsidRPr="00CE7EB9">
        <w:rPr>
          <w:rFonts w:ascii="Arial" w:hAnsi="Arial" w:cs="Arial"/>
        </w:rPr>
        <w:t xml:space="preserve"> </w:t>
      </w:r>
      <w:r w:rsidR="007D79C2" w:rsidRPr="00CE7EB9">
        <w:rPr>
          <w:rFonts w:ascii="Arial" w:hAnsi="Arial" w:cs="Arial"/>
        </w:rPr>
        <w:lastRenderedPageBreak/>
        <w:t>Limited</w:t>
      </w:r>
      <w:r>
        <w:rPr>
          <w:rFonts w:ascii="Arial" w:hAnsi="Arial" w:cs="Arial"/>
        </w:rPr>
        <w:t>, 2021</w:t>
      </w:r>
      <w:r w:rsidR="007D79C2" w:rsidRPr="00CE7EB9">
        <w:rPr>
          <w:rFonts w:ascii="Arial" w:hAnsi="Arial" w:cs="Arial"/>
        </w:rPr>
        <w:t>). In terms of raising funds for new projects, the Group has option</w:t>
      </w:r>
      <w:r>
        <w:rPr>
          <w:rFonts w:ascii="Arial" w:hAnsi="Arial" w:cs="Arial"/>
        </w:rPr>
        <w:t>s</w:t>
      </w:r>
      <w:r w:rsidR="007D79C2" w:rsidRPr="00CE7EB9">
        <w:rPr>
          <w:rFonts w:ascii="Arial" w:hAnsi="Arial" w:cs="Arial"/>
        </w:rPr>
        <w:t xml:space="preserve"> to do this via the retained earnings, issue of new shares or obtain new bank borrowings. </w:t>
      </w:r>
    </w:p>
    <w:p w14:paraId="552A1B2D" w14:textId="77777777" w:rsidR="007D79C2" w:rsidRPr="00CE7EB9" w:rsidRDefault="007D79C2" w:rsidP="007D79C2">
      <w:pPr>
        <w:spacing w:line="360" w:lineRule="auto"/>
        <w:rPr>
          <w:rFonts w:ascii="Arial" w:hAnsi="Arial" w:cs="Arial"/>
          <w:szCs w:val="24"/>
        </w:rPr>
      </w:pPr>
    </w:p>
    <w:p w14:paraId="4B61830F" w14:textId="567D71AA" w:rsidR="007D79C2" w:rsidRDefault="007D79C2" w:rsidP="007D79C2">
      <w:pPr>
        <w:spacing w:line="360" w:lineRule="auto"/>
        <w:rPr>
          <w:rFonts w:ascii="Arial" w:hAnsi="Arial" w:cs="Arial"/>
          <w:szCs w:val="24"/>
        </w:rPr>
      </w:pPr>
      <w:proofErr w:type="spellStart"/>
      <w:r w:rsidRPr="00CE7EB9">
        <w:rPr>
          <w:rFonts w:ascii="Arial" w:hAnsi="Arial" w:cs="Arial"/>
          <w:szCs w:val="24"/>
        </w:rPr>
        <w:t>Luk</w:t>
      </w:r>
      <w:proofErr w:type="spellEnd"/>
      <w:r w:rsidRPr="00CE7EB9">
        <w:rPr>
          <w:rFonts w:ascii="Arial" w:hAnsi="Arial" w:cs="Arial"/>
          <w:szCs w:val="24"/>
        </w:rPr>
        <w:t xml:space="preserve"> Fook has abundant retained </w:t>
      </w:r>
      <w:r w:rsidR="006B7477" w:rsidRPr="00CE7EB9">
        <w:rPr>
          <w:rFonts w:ascii="Arial" w:hAnsi="Arial" w:cs="Arial"/>
          <w:szCs w:val="24"/>
        </w:rPr>
        <w:t>earnings</w:t>
      </w:r>
      <w:r w:rsidRPr="00CE7EB9">
        <w:rPr>
          <w:rFonts w:ascii="Arial" w:hAnsi="Arial" w:cs="Arial"/>
          <w:szCs w:val="24"/>
        </w:rPr>
        <w:t xml:space="preserve"> and cashflow. As according to the Group’s Annual Report 2020/21, the net cash was $3,546 million. This includes the bank borrowing of $526 million and $1,983 million of gold loans. If the Group was to invest on a project costing 3% of total assets ($14,512 million) this would cost $435 million, which is enough for the group to cover from its net cashflow. However, the disadvantage of that would be the reserves will be reduced</w:t>
      </w:r>
      <w:r>
        <w:rPr>
          <w:rFonts w:ascii="Arial" w:hAnsi="Arial" w:cs="Arial"/>
          <w:szCs w:val="24"/>
        </w:rPr>
        <w:t xml:space="preserve"> by 12%. Given the economy is still being unstable by the Covid-19 pandemic, with the boarder remains closed for travelers, the Group is best to retain the cashflow for financial risk management. </w:t>
      </w:r>
    </w:p>
    <w:p w14:paraId="76EDBDFF" w14:textId="77777777" w:rsidR="007D79C2" w:rsidRDefault="007D79C2" w:rsidP="007D79C2">
      <w:pPr>
        <w:spacing w:line="360" w:lineRule="auto"/>
        <w:rPr>
          <w:rFonts w:ascii="Arial" w:hAnsi="Arial" w:cs="Arial"/>
          <w:szCs w:val="24"/>
        </w:rPr>
      </w:pPr>
    </w:p>
    <w:p w14:paraId="199EE0E4" w14:textId="12594661" w:rsidR="007D79C2" w:rsidRPr="00F54345" w:rsidRDefault="007D79C2" w:rsidP="007D79C2">
      <w:pPr>
        <w:spacing w:line="360" w:lineRule="auto"/>
        <w:rPr>
          <w:rFonts w:ascii="Arial" w:hAnsi="Arial" w:cs="Arial"/>
          <w:szCs w:val="24"/>
        </w:rPr>
      </w:pPr>
      <w:r w:rsidRPr="00F54345">
        <w:rPr>
          <w:rFonts w:ascii="Arial" w:hAnsi="Arial" w:cs="Arial"/>
          <w:szCs w:val="24"/>
        </w:rPr>
        <w:t xml:space="preserve">Another way is to issue new shares, there are a total of 800 million of authorized shares of </w:t>
      </w:r>
      <w:proofErr w:type="spellStart"/>
      <w:r w:rsidRPr="00F54345">
        <w:rPr>
          <w:rFonts w:ascii="Arial" w:hAnsi="Arial" w:cs="Arial"/>
          <w:szCs w:val="24"/>
        </w:rPr>
        <w:t>Luk</w:t>
      </w:r>
      <w:proofErr w:type="spellEnd"/>
      <w:r w:rsidRPr="00F54345">
        <w:rPr>
          <w:rFonts w:ascii="Arial" w:hAnsi="Arial" w:cs="Arial"/>
          <w:szCs w:val="24"/>
        </w:rPr>
        <w:t xml:space="preserve"> Fook and only 587 million have been issued (</w:t>
      </w:r>
      <w:proofErr w:type="spellStart"/>
      <w:r w:rsidRPr="00F54345">
        <w:rPr>
          <w:rFonts w:ascii="Arial" w:hAnsi="Arial" w:cs="Arial"/>
          <w:szCs w:val="24"/>
        </w:rPr>
        <w:t>Luk</w:t>
      </w:r>
      <w:proofErr w:type="spellEnd"/>
      <w:r w:rsidRPr="00F54345">
        <w:rPr>
          <w:rFonts w:ascii="Arial" w:hAnsi="Arial" w:cs="Arial"/>
          <w:szCs w:val="24"/>
        </w:rPr>
        <w:t xml:space="preserve"> Fook Holdings </w:t>
      </w:r>
      <w:r w:rsidR="002C5376">
        <w:rPr>
          <w:rFonts w:ascii="Arial" w:hAnsi="Arial" w:cs="Arial"/>
          <w:szCs w:val="24"/>
        </w:rPr>
        <w:t>(</w:t>
      </w:r>
      <w:r w:rsidRPr="00F54345">
        <w:rPr>
          <w:rFonts w:ascii="Arial" w:hAnsi="Arial" w:cs="Arial"/>
          <w:szCs w:val="24"/>
        </w:rPr>
        <w:t>International</w:t>
      </w:r>
      <w:r w:rsidR="002C5376">
        <w:rPr>
          <w:rFonts w:ascii="Arial" w:hAnsi="Arial" w:cs="Arial"/>
          <w:szCs w:val="24"/>
        </w:rPr>
        <w:t>)</w:t>
      </w:r>
      <w:r w:rsidRPr="00F54345">
        <w:rPr>
          <w:rFonts w:ascii="Arial" w:hAnsi="Arial" w:cs="Arial"/>
          <w:szCs w:val="24"/>
        </w:rPr>
        <w:t xml:space="preserve"> Limited, </w:t>
      </w:r>
      <w:r w:rsidR="002C5376">
        <w:rPr>
          <w:rFonts w:ascii="Arial" w:hAnsi="Arial" w:cs="Arial"/>
          <w:szCs w:val="24"/>
        </w:rPr>
        <w:t>20</w:t>
      </w:r>
      <w:r w:rsidRPr="00F54345">
        <w:rPr>
          <w:rFonts w:ascii="Arial" w:hAnsi="Arial" w:cs="Arial"/>
          <w:szCs w:val="24"/>
        </w:rPr>
        <w:t xml:space="preserve">21). This shows that the Group has capacity to issue more new shares to attract investors. This is an effective way to raise funds, but the Group will also have to share the profits with the investors should there be any. </w:t>
      </w:r>
    </w:p>
    <w:p w14:paraId="7F264B0A" w14:textId="77777777" w:rsidR="007D79C2" w:rsidRDefault="007D79C2" w:rsidP="007D79C2">
      <w:pPr>
        <w:spacing w:line="360" w:lineRule="auto"/>
        <w:rPr>
          <w:rFonts w:ascii="Arial" w:hAnsi="Arial" w:cs="Arial"/>
        </w:rPr>
      </w:pPr>
      <w:r w:rsidRPr="00F54345">
        <w:rPr>
          <w:rFonts w:ascii="Arial" w:hAnsi="Arial" w:cs="Arial"/>
        </w:rPr>
        <w:t xml:space="preserve">The Group’s Dividend Policy sets out that the Group intends to distribute 40% to 45% of its annual net profits as dividends to shareholders, although it is set with terms and conditions applied, this will overall reduce total amount of profit to the Group.  </w:t>
      </w:r>
    </w:p>
    <w:p w14:paraId="7B19B205" w14:textId="085ED7BF" w:rsidR="007D79C2" w:rsidRDefault="007D79C2" w:rsidP="007D79C2">
      <w:pPr>
        <w:spacing w:line="360" w:lineRule="auto"/>
        <w:rPr>
          <w:rFonts w:ascii="Arial" w:hAnsi="Arial" w:cs="Arial"/>
          <w:szCs w:val="24"/>
        </w:rPr>
      </w:pPr>
    </w:p>
    <w:p w14:paraId="23CF5F88" w14:textId="7C46DF82" w:rsidR="007D79C2" w:rsidRPr="00CE7EB9" w:rsidRDefault="007D79C2" w:rsidP="007D79C2">
      <w:pPr>
        <w:spacing w:line="360" w:lineRule="auto"/>
        <w:rPr>
          <w:rFonts w:ascii="Arial" w:hAnsi="Arial" w:cs="Arial"/>
          <w:szCs w:val="24"/>
        </w:rPr>
      </w:pPr>
      <w:r>
        <w:rPr>
          <w:rFonts w:ascii="Arial" w:hAnsi="Arial" w:cs="Arial"/>
          <w:szCs w:val="24"/>
        </w:rPr>
        <w:t xml:space="preserve">Alternatively, the Group may consider borrowing money from bank for further </w:t>
      </w:r>
      <w:r>
        <w:rPr>
          <w:rFonts w:ascii="Arial" w:hAnsi="Arial" w:cs="Arial"/>
          <w:szCs w:val="24"/>
        </w:rPr>
        <w:lastRenderedPageBreak/>
        <w:t xml:space="preserve">investment. With reference to the Annual Report 2020/21, </w:t>
      </w:r>
      <w:r>
        <w:rPr>
          <w:rFonts w:ascii="Arial" w:hAnsi="Arial" w:cs="Arial"/>
        </w:rPr>
        <w:t>t</w:t>
      </w:r>
      <w:r w:rsidRPr="00213829">
        <w:rPr>
          <w:rFonts w:ascii="Arial" w:hAnsi="Arial" w:cs="Arial"/>
        </w:rPr>
        <w:t>he interest rates of the bank borrowing ranged from 0.73%– 0.75% per annum</w:t>
      </w:r>
      <w:r>
        <w:rPr>
          <w:rFonts w:ascii="Arial" w:hAnsi="Arial" w:cs="Arial"/>
        </w:rPr>
        <w:t>, this is lower than the rate (</w:t>
      </w:r>
      <w:r w:rsidRPr="00213829">
        <w:rPr>
          <w:rFonts w:ascii="Arial" w:hAnsi="Arial" w:cs="Arial"/>
        </w:rPr>
        <w:t>2.37%- 2.89%)</w:t>
      </w:r>
      <w:r>
        <w:rPr>
          <w:rFonts w:ascii="Arial" w:hAnsi="Arial" w:cs="Arial"/>
        </w:rPr>
        <w:t xml:space="preserve"> as compared to 2020. With the lower interest rate, it is reasonable for the Group to borrow money for a one-off investment. The only concern would be the Group will increase the liabilities and the overall investment cost is increased. However, given that the interest rate is low, it is the most suitable </w:t>
      </w:r>
      <w:r w:rsidR="006B7477">
        <w:rPr>
          <w:rFonts w:ascii="Arial" w:hAnsi="Arial" w:cs="Arial"/>
        </w:rPr>
        <w:t>fund-raising</w:t>
      </w:r>
      <w:r>
        <w:rPr>
          <w:rFonts w:ascii="Arial" w:hAnsi="Arial" w:cs="Arial"/>
        </w:rPr>
        <w:t xml:space="preserve"> method under this economy and overall situation for the Group. </w:t>
      </w:r>
    </w:p>
    <w:p w14:paraId="6590A5AB" w14:textId="77777777" w:rsidR="007D79C2" w:rsidRPr="00CE7FD1" w:rsidRDefault="007D79C2" w:rsidP="007D79C2">
      <w:pPr>
        <w:spacing w:line="360" w:lineRule="auto"/>
        <w:rPr>
          <w:rFonts w:ascii="Arial" w:hAnsi="Arial" w:cs="Arial"/>
        </w:rPr>
      </w:pPr>
      <w:r w:rsidRPr="00CE7EB9">
        <w:rPr>
          <w:rFonts w:ascii="Arial" w:hAnsi="Arial" w:cs="Arial"/>
          <w:szCs w:val="24"/>
        </w:rPr>
        <w:t xml:space="preserve">  </w:t>
      </w:r>
      <w:r w:rsidRPr="00CE7EB9">
        <w:rPr>
          <w:rFonts w:ascii="Arial" w:hAnsi="Arial" w:cs="Arial"/>
          <w:szCs w:val="24"/>
        </w:rPr>
        <w:tab/>
        <w:t xml:space="preserve"> </w:t>
      </w:r>
    </w:p>
    <w:p w14:paraId="793072F9" w14:textId="2657F25D" w:rsidR="007D79C2" w:rsidRDefault="006B7477" w:rsidP="007D79C2">
      <w:pPr>
        <w:spacing w:line="360" w:lineRule="auto"/>
        <w:rPr>
          <w:rFonts w:ascii="Arial" w:hAnsi="Arial" w:cs="Arial"/>
          <w:b/>
          <w:bCs/>
          <w:szCs w:val="24"/>
        </w:rPr>
      </w:pPr>
      <w:r>
        <w:rPr>
          <w:rFonts w:ascii="Arial" w:hAnsi="Arial" w:cs="Arial"/>
          <w:b/>
          <w:bCs/>
          <w:szCs w:val="24"/>
        </w:rPr>
        <w:t xml:space="preserve">7. </w:t>
      </w:r>
      <w:r w:rsidR="007D79C2" w:rsidRPr="00917A7A">
        <w:rPr>
          <w:rFonts w:ascii="Arial" w:hAnsi="Arial" w:cs="Arial"/>
          <w:b/>
          <w:bCs/>
          <w:szCs w:val="24"/>
        </w:rPr>
        <w:t>Audit plan</w:t>
      </w:r>
      <w:r>
        <w:rPr>
          <w:rFonts w:ascii="Arial" w:hAnsi="Arial" w:cs="Arial"/>
          <w:b/>
          <w:bCs/>
          <w:szCs w:val="24"/>
        </w:rPr>
        <w:t>ning</w:t>
      </w:r>
    </w:p>
    <w:p w14:paraId="52B7C333" w14:textId="19AE7548" w:rsidR="007D79C2" w:rsidRDefault="007D79C2" w:rsidP="007D79C2">
      <w:pPr>
        <w:spacing w:line="360" w:lineRule="auto"/>
        <w:rPr>
          <w:rFonts w:ascii="Arial" w:hAnsi="Arial" w:cs="Arial"/>
          <w:szCs w:val="24"/>
        </w:rPr>
      </w:pPr>
      <w:r w:rsidRPr="00917A7A">
        <w:rPr>
          <w:rFonts w:ascii="Arial" w:hAnsi="Arial" w:cs="Arial"/>
          <w:szCs w:val="24"/>
        </w:rPr>
        <w:t xml:space="preserve">With reference to the financial analysis in section </w:t>
      </w:r>
      <w:r w:rsidR="006B7477">
        <w:rPr>
          <w:rFonts w:ascii="Arial" w:hAnsi="Arial" w:cs="Arial"/>
          <w:szCs w:val="24"/>
        </w:rPr>
        <w:t>4</w:t>
      </w:r>
      <w:r w:rsidRPr="00917A7A">
        <w:rPr>
          <w:rFonts w:ascii="Arial" w:hAnsi="Arial" w:cs="Arial"/>
          <w:szCs w:val="24"/>
        </w:rPr>
        <w:t xml:space="preserve">. A few areas of </w:t>
      </w:r>
      <w:r>
        <w:rPr>
          <w:rFonts w:ascii="Arial" w:hAnsi="Arial" w:cs="Arial"/>
          <w:szCs w:val="24"/>
        </w:rPr>
        <w:t>improvements can be identified</w:t>
      </w:r>
      <w:r w:rsidR="006B7477">
        <w:rPr>
          <w:rFonts w:ascii="Arial" w:hAnsi="Arial" w:cs="Arial"/>
          <w:szCs w:val="24"/>
        </w:rPr>
        <w:t xml:space="preserve"> for </w:t>
      </w:r>
      <w:proofErr w:type="spellStart"/>
      <w:r w:rsidR="006B7477">
        <w:rPr>
          <w:rFonts w:ascii="Arial" w:hAnsi="Arial" w:cs="Arial"/>
          <w:szCs w:val="24"/>
        </w:rPr>
        <w:t>Luk</w:t>
      </w:r>
      <w:proofErr w:type="spellEnd"/>
      <w:r w:rsidR="006B7477">
        <w:rPr>
          <w:rFonts w:ascii="Arial" w:hAnsi="Arial" w:cs="Arial"/>
          <w:szCs w:val="24"/>
        </w:rPr>
        <w:t xml:space="preserve"> </w:t>
      </w:r>
      <w:proofErr w:type="spellStart"/>
      <w:r w:rsidR="006B7477">
        <w:rPr>
          <w:rFonts w:ascii="Arial" w:hAnsi="Arial" w:cs="Arial"/>
          <w:szCs w:val="24"/>
        </w:rPr>
        <w:t>fook</w:t>
      </w:r>
      <w:proofErr w:type="spellEnd"/>
      <w:r>
        <w:rPr>
          <w:rFonts w:ascii="Arial" w:hAnsi="Arial" w:cs="Arial"/>
          <w:szCs w:val="24"/>
        </w:rPr>
        <w:t xml:space="preserve">, and the following audit plan is recommended to the Group. </w:t>
      </w:r>
    </w:p>
    <w:p w14:paraId="6EC86865" w14:textId="77777777" w:rsidR="007D79C2" w:rsidRDefault="007D79C2" w:rsidP="007D79C2">
      <w:pPr>
        <w:spacing w:line="360" w:lineRule="auto"/>
        <w:rPr>
          <w:rFonts w:ascii="Arial" w:hAnsi="Arial" w:cs="Arial"/>
          <w:szCs w:val="24"/>
        </w:rPr>
      </w:pPr>
    </w:p>
    <w:p w14:paraId="1959E7F9" w14:textId="787D5EA5" w:rsidR="007D79C2" w:rsidRDefault="006B7477" w:rsidP="007D79C2">
      <w:pPr>
        <w:spacing w:line="360" w:lineRule="auto"/>
        <w:rPr>
          <w:rFonts w:ascii="Arial" w:hAnsi="Arial" w:cs="Arial"/>
          <w:szCs w:val="24"/>
        </w:rPr>
      </w:pPr>
      <w:r>
        <w:rPr>
          <w:rFonts w:ascii="Arial" w:hAnsi="Arial" w:cs="Arial"/>
          <w:szCs w:val="24"/>
        </w:rPr>
        <w:t>First quarter-</w:t>
      </w:r>
      <w:r w:rsidR="007D79C2">
        <w:rPr>
          <w:rFonts w:ascii="Arial" w:hAnsi="Arial" w:cs="Arial"/>
          <w:szCs w:val="24"/>
        </w:rPr>
        <w:t xml:space="preserve"> Direct Cost Management </w:t>
      </w:r>
    </w:p>
    <w:p w14:paraId="292509E9" w14:textId="6DB2678B" w:rsidR="007D79C2" w:rsidRDefault="007D79C2" w:rsidP="007D79C2">
      <w:pPr>
        <w:spacing w:line="360" w:lineRule="auto"/>
        <w:rPr>
          <w:rFonts w:ascii="Arial" w:hAnsi="Arial" w:cs="Arial"/>
          <w:szCs w:val="24"/>
        </w:rPr>
      </w:pPr>
      <w:r>
        <w:rPr>
          <w:rFonts w:ascii="Arial" w:hAnsi="Arial" w:cs="Arial"/>
          <w:szCs w:val="24"/>
        </w:rPr>
        <w:t xml:space="preserve">As the Gross Profit Margin of the Group was low (Table </w:t>
      </w:r>
      <w:r w:rsidR="006B7477">
        <w:rPr>
          <w:rFonts w:ascii="Arial" w:hAnsi="Arial" w:cs="Arial"/>
          <w:szCs w:val="24"/>
        </w:rPr>
        <w:t>7</w:t>
      </w:r>
      <w:r>
        <w:rPr>
          <w:rFonts w:ascii="Arial" w:hAnsi="Arial" w:cs="Arial"/>
          <w:szCs w:val="24"/>
        </w:rPr>
        <w:t xml:space="preserve">), the Group needs to review the overall cost of sales to see if they can increase the Gross Profit Margin. It is recommended that the staff cost, and the overall cost of the licensing business should be reviewed in the first quarter. </w:t>
      </w:r>
    </w:p>
    <w:p w14:paraId="0CF9E9F1" w14:textId="77777777" w:rsidR="007D79C2" w:rsidRDefault="007D79C2" w:rsidP="007D79C2">
      <w:pPr>
        <w:spacing w:line="360" w:lineRule="auto"/>
        <w:rPr>
          <w:rFonts w:ascii="Arial" w:hAnsi="Arial" w:cs="Arial"/>
          <w:szCs w:val="24"/>
        </w:rPr>
      </w:pPr>
    </w:p>
    <w:p w14:paraId="6A90822A" w14:textId="7CA4D606" w:rsidR="007D79C2" w:rsidRDefault="006B7477" w:rsidP="007D79C2">
      <w:pPr>
        <w:spacing w:line="360" w:lineRule="auto"/>
        <w:rPr>
          <w:rFonts w:ascii="Arial" w:hAnsi="Arial" w:cs="Arial"/>
          <w:szCs w:val="24"/>
        </w:rPr>
      </w:pPr>
      <w:r>
        <w:rPr>
          <w:rFonts w:ascii="Arial" w:hAnsi="Arial" w:cs="Arial"/>
          <w:szCs w:val="24"/>
        </w:rPr>
        <w:t>Second quarter-</w:t>
      </w:r>
      <w:r w:rsidR="007D79C2">
        <w:rPr>
          <w:rFonts w:ascii="Arial" w:hAnsi="Arial" w:cs="Arial"/>
          <w:szCs w:val="24"/>
        </w:rPr>
        <w:t xml:space="preserve"> Inventory and supply chain management </w:t>
      </w:r>
    </w:p>
    <w:p w14:paraId="44DE6744" w14:textId="426BF489" w:rsidR="007D79C2" w:rsidRDefault="007D79C2" w:rsidP="007D79C2">
      <w:pPr>
        <w:spacing w:line="360" w:lineRule="auto"/>
        <w:rPr>
          <w:rFonts w:ascii="Arial" w:hAnsi="Arial" w:cs="Arial"/>
          <w:szCs w:val="24"/>
        </w:rPr>
      </w:pPr>
      <w:r>
        <w:rPr>
          <w:rFonts w:ascii="Arial" w:hAnsi="Arial" w:cs="Arial"/>
          <w:szCs w:val="24"/>
        </w:rPr>
        <w:t xml:space="preserve">As the number of Days’ Sales in Inventory reached over 400 days due to the pandemic, the Group must review the channels of sales and to promote faster turnover of goods. There is also a need to review the supply chain management and to have a market research on the consumer behavior. Shortening the inventory days will increase the overall revenue and with the additional cost control, these will </w:t>
      </w:r>
      <w:r w:rsidR="006B7477">
        <w:rPr>
          <w:rFonts w:ascii="Arial" w:hAnsi="Arial" w:cs="Arial"/>
          <w:szCs w:val="24"/>
        </w:rPr>
        <w:lastRenderedPageBreak/>
        <w:t>benefit</w:t>
      </w:r>
      <w:r>
        <w:rPr>
          <w:rFonts w:ascii="Arial" w:hAnsi="Arial" w:cs="Arial"/>
          <w:szCs w:val="24"/>
        </w:rPr>
        <w:t xml:space="preserve"> the overall profit for the Group. </w:t>
      </w:r>
    </w:p>
    <w:p w14:paraId="232C65A9" w14:textId="77777777" w:rsidR="007D79C2" w:rsidRDefault="007D79C2" w:rsidP="007D79C2">
      <w:pPr>
        <w:spacing w:line="360" w:lineRule="auto"/>
        <w:rPr>
          <w:rFonts w:ascii="Arial" w:hAnsi="Arial" w:cs="Arial"/>
          <w:szCs w:val="24"/>
        </w:rPr>
      </w:pPr>
    </w:p>
    <w:p w14:paraId="7944C295" w14:textId="468568A8" w:rsidR="007D79C2" w:rsidRDefault="006B7477" w:rsidP="007D79C2">
      <w:pPr>
        <w:spacing w:line="360" w:lineRule="auto"/>
        <w:rPr>
          <w:rFonts w:ascii="Arial" w:hAnsi="Arial" w:cs="Arial"/>
          <w:szCs w:val="24"/>
        </w:rPr>
      </w:pPr>
      <w:r>
        <w:rPr>
          <w:rFonts w:ascii="Arial" w:hAnsi="Arial" w:cs="Arial"/>
          <w:szCs w:val="24"/>
        </w:rPr>
        <w:t>Third quarter-</w:t>
      </w:r>
      <w:r w:rsidR="007D79C2">
        <w:rPr>
          <w:rFonts w:ascii="Arial" w:hAnsi="Arial" w:cs="Arial"/>
          <w:szCs w:val="24"/>
        </w:rPr>
        <w:t xml:space="preserve"> Credit and debt collection </w:t>
      </w:r>
    </w:p>
    <w:p w14:paraId="5DE9C530" w14:textId="77777777" w:rsidR="007D79C2" w:rsidRDefault="007D79C2" w:rsidP="007D79C2">
      <w:pPr>
        <w:spacing w:line="360" w:lineRule="auto"/>
        <w:rPr>
          <w:rFonts w:ascii="Arial" w:hAnsi="Arial" w:cs="Arial"/>
          <w:szCs w:val="24"/>
        </w:rPr>
      </w:pPr>
      <w:r>
        <w:rPr>
          <w:rFonts w:ascii="Arial" w:hAnsi="Arial" w:cs="Arial"/>
          <w:szCs w:val="24"/>
        </w:rPr>
        <w:t xml:space="preserve">An audit for creditors and the debt collection period from suppliers should be carried out for tighter cashflow control. A performance evaluation for the suppliers can be done which includes the purchasing process, delivery of supplies, payment due date, etc. </w:t>
      </w:r>
    </w:p>
    <w:p w14:paraId="6C3EB467" w14:textId="77777777" w:rsidR="007D79C2" w:rsidRDefault="007D79C2" w:rsidP="007D79C2">
      <w:pPr>
        <w:spacing w:line="360" w:lineRule="auto"/>
        <w:rPr>
          <w:rFonts w:ascii="Arial" w:hAnsi="Arial" w:cs="Arial"/>
          <w:szCs w:val="24"/>
        </w:rPr>
      </w:pPr>
    </w:p>
    <w:p w14:paraId="3C9BB7D3" w14:textId="29434091" w:rsidR="007D79C2" w:rsidRDefault="006B7477" w:rsidP="007D79C2">
      <w:pPr>
        <w:spacing w:line="360" w:lineRule="auto"/>
        <w:rPr>
          <w:rFonts w:ascii="Arial" w:hAnsi="Arial" w:cs="Arial"/>
          <w:szCs w:val="24"/>
        </w:rPr>
      </w:pPr>
      <w:proofErr w:type="spellStart"/>
      <w:r>
        <w:rPr>
          <w:rFonts w:ascii="Arial" w:hAnsi="Arial" w:cs="Arial"/>
          <w:szCs w:val="24"/>
        </w:rPr>
        <w:t>Forth</w:t>
      </w:r>
      <w:proofErr w:type="spellEnd"/>
      <w:r>
        <w:rPr>
          <w:rFonts w:ascii="Arial" w:hAnsi="Arial" w:cs="Arial"/>
          <w:szCs w:val="24"/>
        </w:rPr>
        <w:t xml:space="preserve"> quarter-</w:t>
      </w:r>
      <w:r w:rsidR="007D79C2">
        <w:rPr>
          <w:rFonts w:ascii="Arial" w:hAnsi="Arial" w:cs="Arial"/>
          <w:szCs w:val="24"/>
        </w:rPr>
        <w:t xml:space="preserve"> Corporate governance structure </w:t>
      </w:r>
    </w:p>
    <w:p w14:paraId="3CE7DC6A" w14:textId="429116EB" w:rsidR="007D79C2" w:rsidRDefault="007D79C2" w:rsidP="007D79C2">
      <w:pPr>
        <w:spacing w:line="360" w:lineRule="auto"/>
        <w:rPr>
          <w:rFonts w:ascii="Arial" w:hAnsi="Arial" w:cs="Arial"/>
          <w:szCs w:val="24"/>
        </w:rPr>
      </w:pPr>
      <w:r>
        <w:rPr>
          <w:rFonts w:ascii="Arial" w:hAnsi="Arial" w:cs="Arial"/>
          <w:szCs w:val="24"/>
        </w:rPr>
        <w:t xml:space="preserve">A review of the corporate governance structure </w:t>
      </w:r>
      <w:proofErr w:type="gramStart"/>
      <w:r>
        <w:rPr>
          <w:rFonts w:ascii="Arial" w:hAnsi="Arial" w:cs="Arial"/>
          <w:szCs w:val="24"/>
        </w:rPr>
        <w:t>in particular of</w:t>
      </w:r>
      <w:proofErr w:type="gramEnd"/>
      <w:r>
        <w:rPr>
          <w:rFonts w:ascii="Arial" w:hAnsi="Arial" w:cs="Arial"/>
          <w:szCs w:val="24"/>
        </w:rPr>
        <w:t xml:space="preserve"> the dual role of the Chairman and the CEO needs to be reviewed by the Nomination Committee. </w:t>
      </w:r>
    </w:p>
    <w:p w14:paraId="58D4967C" w14:textId="4A50B83C" w:rsidR="006B7477" w:rsidRDefault="006B7477" w:rsidP="007D79C2">
      <w:pPr>
        <w:spacing w:line="360" w:lineRule="auto"/>
        <w:rPr>
          <w:rFonts w:ascii="Arial" w:hAnsi="Arial" w:cs="Arial"/>
          <w:szCs w:val="24"/>
        </w:rPr>
      </w:pPr>
    </w:p>
    <w:p w14:paraId="15B8B050" w14:textId="070E2ABA" w:rsidR="006B7477" w:rsidRPr="002C0C4D" w:rsidRDefault="006B7477" w:rsidP="007D79C2">
      <w:pPr>
        <w:spacing w:line="360" w:lineRule="auto"/>
        <w:rPr>
          <w:rFonts w:ascii="Arial" w:hAnsi="Arial" w:cs="Arial"/>
          <w:b/>
          <w:bCs/>
          <w:szCs w:val="24"/>
        </w:rPr>
      </w:pPr>
      <w:r w:rsidRPr="002C0C4D">
        <w:rPr>
          <w:rFonts w:ascii="Arial" w:hAnsi="Arial" w:cs="Arial"/>
          <w:b/>
          <w:bCs/>
          <w:szCs w:val="24"/>
        </w:rPr>
        <w:t>8. Conclusion</w:t>
      </w:r>
    </w:p>
    <w:p w14:paraId="79F7AE22" w14:textId="13E214D6" w:rsidR="00D629A0" w:rsidRPr="00CE7EB9" w:rsidRDefault="00F47FDE" w:rsidP="0049372B">
      <w:pPr>
        <w:spacing w:line="360" w:lineRule="auto"/>
        <w:rPr>
          <w:rFonts w:ascii="Arial" w:hAnsi="Arial" w:cs="Arial"/>
          <w:szCs w:val="24"/>
        </w:rPr>
      </w:pPr>
      <w:r>
        <w:rPr>
          <w:rFonts w:ascii="Arial" w:hAnsi="Arial" w:cs="Arial"/>
          <w:szCs w:val="24"/>
        </w:rPr>
        <w:t xml:space="preserve">The overall background and performance of </w:t>
      </w:r>
      <w:proofErr w:type="spellStart"/>
      <w:r>
        <w:rPr>
          <w:rFonts w:ascii="Arial" w:hAnsi="Arial" w:cs="Arial"/>
          <w:szCs w:val="24"/>
        </w:rPr>
        <w:t>Luk</w:t>
      </w:r>
      <w:proofErr w:type="spellEnd"/>
      <w:r>
        <w:rPr>
          <w:rFonts w:ascii="Arial" w:hAnsi="Arial" w:cs="Arial"/>
          <w:szCs w:val="24"/>
        </w:rPr>
        <w:t xml:space="preserve"> </w:t>
      </w:r>
      <w:proofErr w:type="spellStart"/>
      <w:r>
        <w:rPr>
          <w:rFonts w:ascii="Arial" w:hAnsi="Arial" w:cs="Arial"/>
          <w:szCs w:val="24"/>
        </w:rPr>
        <w:t>fook</w:t>
      </w:r>
      <w:proofErr w:type="spellEnd"/>
      <w:r>
        <w:rPr>
          <w:rFonts w:ascii="Arial" w:hAnsi="Arial" w:cs="Arial"/>
          <w:szCs w:val="24"/>
        </w:rPr>
        <w:t xml:space="preserve"> can be concluded as outstanding within the industries. Its investment on Mainland market and control on profit margin has shown positive outcomes in terms on the overall profit of the Group. It has a bigger vision on expanding further in the </w:t>
      </w:r>
      <w:proofErr w:type="gramStart"/>
      <w:r>
        <w:rPr>
          <w:rFonts w:ascii="Arial" w:hAnsi="Arial" w:cs="Arial"/>
          <w:szCs w:val="24"/>
        </w:rPr>
        <w:t>Mainland</w:t>
      </w:r>
      <w:proofErr w:type="gramEnd"/>
      <w:r>
        <w:rPr>
          <w:rFonts w:ascii="Arial" w:hAnsi="Arial" w:cs="Arial"/>
          <w:szCs w:val="24"/>
        </w:rPr>
        <w:t xml:space="preserve"> market, although the investment project appraisals were calculated based on the estimated figures, the Group has abundant net cash flow and low interest loan opportunities to raise funds for future investment projects. In terms of future planning, the Group needs to review further on its cost</w:t>
      </w:r>
      <w:r w:rsidR="0026201B">
        <w:rPr>
          <w:rFonts w:ascii="Arial" w:hAnsi="Arial" w:cs="Arial"/>
          <w:szCs w:val="24"/>
        </w:rPr>
        <w:t xml:space="preserve">, debt collection period </w:t>
      </w:r>
      <w:r>
        <w:rPr>
          <w:rFonts w:ascii="Arial" w:hAnsi="Arial" w:cs="Arial"/>
          <w:szCs w:val="24"/>
        </w:rPr>
        <w:t xml:space="preserve">and find innovative solutions to reduce the days sales in inventory to </w:t>
      </w:r>
      <w:r w:rsidR="0026201B">
        <w:rPr>
          <w:rFonts w:ascii="Arial" w:hAnsi="Arial" w:cs="Arial"/>
          <w:szCs w:val="24"/>
        </w:rPr>
        <w:t xml:space="preserve">increase the revenue and profit. </w:t>
      </w:r>
    </w:p>
    <w:p w14:paraId="704E37E0" w14:textId="77777777" w:rsidR="00552407" w:rsidRDefault="00552407">
      <w:pPr>
        <w:widowControl/>
        <w:rPr>
          <w:rFonts w:ascii="Arial" w:hAnsi="Arial" w:cs="Arial"/>
          <w:b/>
          <w:bCs/>
          <w:szCs w:val="24"/>
        </w:rPr>
      </w:pPr>
      <w:r>
        <w:rPr>
          <w:rFonts w:ascii="Arial" w:hAnsi="Arial" w:cs="Arial"/>
          <w:b/>
          <w:bCs/>
          <w:szCs w:val="24"/>
        </w:rPr>
        <w:br w:type="page"/>
      </w:r>
    </w:p>
    <w:p w14:paraId="2349D69E" w14:textId="5FFE58C3" w:rsidR="00552407" w:rsidRDefault="00552407" w:rsidP="007C4B80">
      <w:pPr>
        <w:widowControl/>
        <w:jc w:val="center"/>
        <w:rPr>
          <w:rFonts w:ascii="Arial" w:hAnsi="Arial" w:cs="Arial"/>
          <w:b/>
          <w:bCs/>
          <w:szCs w:val="24"/>
        </w:rPr>
      </w:pPr>
      <w:r>
        <w:rPr>
          <w:rFonts w:ascii="Arial" w:hAnsi="Arial" w:cs="Arial"/>
          <w:b/>
          <w:bCs/>
          <w:szCs w:val="24"/>
        </w:rPr>
        <w:lastRenderedPageBreak/>
        <w:t xml:space="preserve">Appendix 1 – Stock Value of </w:t>
      </w:r>
      <w:proofErr w:type="spellStart"/>
      <w:r>
        <w:rPr>
          <w:rFonts w:ascii="Arial" w:hAnsi="Arial" w:cs="Arial"/>
          <w:b/>
          <w:bCs/>
          <w:szCs w:val="24"/>
        </w:rPr>
        <w:t>Luk</w:t>
      </w:r>
      <w:proofErr w:type="spellEnd"/>
      <w:r>
        <w:rPr>
          <w:rFonts w:ascii="Arial" w:hAnsi="Arial" w:cs="Arial"/>
          <w:b/>
          <w:bCs/>
          <w:szCs w:val="24"/>
        </w:rPr>
        <w:t xml:space="preserve"> </w:t>
      </w:r>
      <w:proofErr w:type="spellStart"/>
      <w:r>
        <w:rPr>
          <w:rFonts w:ascii="Arial" w:hAnsi="Arial" w:cs="Arial"/>
          <w:b/>
          <w:bCs/>
          <w:szCs w:val="24"/>
        </w:rPr>
        <w:t>fook</w:t>
      </w:r>
      <w:proofErr w:type="spellEnd"/>
      <w:r>
        <w:rPr>
          <w:rFonts w:ascii="Arial" w:hAnsi="Arial" w:cs="Arial"/>
          <w:b/>
          <w:bCs/>
          <w:szCs w:val="24"/>
        </w:rPr>
        <w:t xml:space="preserve"> (2018-2021)</w:t>
      </w:r>
    </w:p>
    <w:tbl>
      <w:tblPr>
        <w:tblW w:w="8895" w:type="dxa"/>
        <w:tblLook w:val="04A0" w:firstRow="1" w:lastRow="0" w:firstColumn="1" w:lastColumn="0" w:noHBand="0" w:noVBand="1"/>
      </w:tblPr>
      <w:tblGrid>
        <w:gridCol w:w="1432"/>
        <w:gridCol w:w="981"/>
        <w:gridCol w:w="981"/>
        <w:gridCol w:w="981"/>
        <w:gridCol w:w="1145"/>
        <w:gridCol w:w="1452"/>
        <w:gridCol w:w="1923"/>
      </w:tblGrid>
      <w:tr w:rsidR="00552407" w:rsidRPr="00552407" w14:paraId="311CB5F9" w14:textId="77777777" w:rsidTr="00552407">
        <w:trPr>
          <w:trHeight w:val="256"/>
        </w:trPr>
        <w:tc>
          <w:tcPr>
            <w:tcW w:w="1432" w:type="dxa"/>
            <w:tcBorders>
              <w:top w:val="nil"/>
              <w:left w:val="nil"/>
              <w:bottom w:val="nil"/>
              <w:right w:val="nil"/>
            </w:tcBorders>
            <w:shd w:val="clear" w:color="auto" w:fill="auto"/>
            <w:noWrap/>
            <w:vAlign w:val="bottom"/>
            <w:hideMark/>
          </w:tcPr>
          <w:p w14:paraId="2B5C349C"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b/>
                <w:bCs/>
                <w:color w:val="000000"/>
                <w:kern w:val="0"/>
                <w:sz w:val="16"/>
                <w:szCs w:val="16"/>
                <w:lang w:val="en-GB"/>
              </w:rPr>
            </w:pPr>
            <w:r w:rsidRPr="00552407">
              <w:rPr>
                <w:rFonts w:ascii="Calibri" w:eastAsia="Times New Roman" w:hAnsi="Calibri" w:cs="Times New Roman"/>
                <w:b/>
                <w:bCs/>
                <w:color w:val="000000"/>
                <w:kern w:val="0"/>
                <w:sz w:val="16"/>
                <w:szCs w:val="16"/>
                <w:lang w:val="en-GB"/>
              </w:rPr>
              <w:t>Date</w:t>
            </w:r>
          </w:p>
        </w:tc>
        <w:tc>
          <w:tcPr>
            <w:tcW w:w="981" w:type="dxa"/>
            <w:tcBorders>
              <w:top w:val="nil"/>
              <w:left w:val="nil"/>
              <w:bottom w:val="nil"/>
              <w:right w:val="nil"/>
            </w:tcBorders>
            <w:shd w:val="clear" w:color="auto" w:fill="auto"/>
            <w:noWrap/>
            <w:vAlign w:val="bottom"/>
            <w:hideMark/>
          </w:tcPr>
          <w:p w14:paraId="0B5B1FF0"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b/>
                <w:bCs/>
                <w:color w:val="000000"/>
                <w:kern w:val="0"/>
                <w:sz w:val="16"/>
                <w:szCs w:val="16"/>
                <w:lang w:val="en-GB"/>
              </w:rPr>
            </w:pPr>
            <w:r w:rsidRPr="00552407">
              <w:rPr>
                <w:rFonts w:ascii="Calibri" w:eastAsia="Times New Roman" w:hAnsi="Calibri" w:cs="Times New Roman"/>
                <w:b/>
                <w:bCs/>
                <w:color w:val="000000"/>
                <w:kern w:val="0"/>
                <w:sz w:val="16"/>
                <w:szCs w:val="16"/>
                <w:lang w:val="en-GB"/>
              </w:rPr>
              <w:t>Open</w:t>
            </w:r>
          </w:p>
        </w:tc>
        <w:tc>
          <w:tcPr>
            <w:tcW w:w="981" w:type="dxa"/>
            <w:tcBorders>
              <w:top w:val="nil"/>
              <w:left w:val="nil"/>
              <w:bottom w:val="nil"/>
              <w:right w:val="nil"/>
            </w:tcBorders>
            <w:shd w:val="clear" w:color="auto" w:fill="auto"/>
            <w:noWrap/>
            <w:vAlign w:val="bottom"/>
            <w:hideMark/>
          </w:tcPr>
          <w:p w14:paraId="41E4F6CE"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b/>
                <w:bCs/>
                <w:color w:val="000000"/>
                <w:kern w:val="0"/>
                <w:sz w:val="16"/>
                <w:szCs w:val="16"/>
                <w:lang w:val="en-GB"/>
              </w:rPr>
            </w:pPr>
            <w:r w:rsidRPr="00552407">
              <w:rPr>
                <w:rFonts w:ascii="Calibri" w:eastAsia="Times New Roman" w:hAnsi="Calibri" w:cs="Times New Roman"/>
                <w:b/>
                <w:bCs/>
                <w:color w:val="000000"/>
                <w:kern w:val="0"/>
                <w:sz w:val="16"/>
                <w:szCs w:val="16"/>
                <w:lang w:val="en-GB"/>
              </w:rPr>
              <w:t>High</w:t>
            </w:r>
          </w:p>
        </w:tc>
        <w:tc>
          <w:tcPr>
            <w:tcW w:w="981" w:type="dxa"/>
            <w:tcBorders>
              <w:top w:val="nil"/>
              <w:left w:val="nil"/>
              <w:bottom w:val="nil"/>
              <w:right w:val="nil"/>
            </w:tcBorders>
            <w:shd w:val="clear" w:color="auto" w:fill="auto"/>
            <w:noWrap/>
            <w:vAlign w:val="bottom"/>
            <w:hideMark/>
          </w:tcPr>
          <w:p w14:paraId="07DD14A8"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b/>
                <w:bCs/>
                <w:color w:val="000000"/>
                <w:kern w:val="0"/>
                <w:sz w:val="16"/>
                <w:szCs w:val="16"/>
                <w:lang w:val="en-GB"/>
              </w:rPr>
            </w:pPr>
            <w:r w:rsidRPr="00552407">
              <w:rPr>
                <w:rFonts w:ascii="Calibri" w:eastAsia="Times New Roman" w:hAnsi="Calibri" w:cs="Times New Roman"/>
                <w:b/>
                <w:bCs/>
                <w:color w:val="000000"/>
                <w:kern w:val="0"/>
                <w:sz w:val="16"/>
                <w:szCs w:val="16"/>
                <w:lang w:val="en-GB"/>
              </w:rPr>
              <w:t>Low</w:t>
            </w:r>
          </w:p>
        </w:tc>
        <w:tc>
          <w:tcPr>
            <w:tcW w:w="1145" w:type="dxa"/>
            <w:tcBorders>
              <w:top w:val="nil"/>
              <w:left w:val="nil"/>
              <w:bottom w:val="nil"/>
              <w:right w:val="nil"/>
            </w:tcBorders>
            <w:shd w:val="clear" w:color="auto" w:fill="auto"/>
            <w:noWrap/>
            <w:vAlign w:val="bottom"/>
            <w:hideMark/>
          </w:tcPr>
          <w:p w14:paraId="476E2003"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b/>
                <w:bCs/>
                <w:color w:val="000000"/>
                <w:kern w:val="0"/>
                <w:sz w:val="16"/>
                <w:szCs w:val="16"/>
                <w:lang w:val="en-GB"/>
              </w:rPr>
            </w:pPr>
            <w:r w:rsidRPr="00552407">
              <w:rPr>
                <w:rFonts w:ascii="Calibri" w:eastAsia="Times New Roman" w:hAnsi="Calibri" w:cs="Times New Roman"/>
                <w:b/>
                <w:bCs/>
                <w:color w:val="000000"/>
                <w:kern w:val="0"/>
                <w:sz w:val="16"/>
                <w:szCs w:val="16"/>
                <w:lang w:val="en-GB"/>
              </w:rPr>
              <w:t>Close</w:t>
            </w:r>
          </w:p>
        </w:tc>
        <w:tc>
          <w:tcPr>
            <w:tcW w:w="1452" w:type="dxa"/>
            <w:tcBorders>
              <w:top w:val="nil"/>
              <w:left w:val="nil"/>
              <w:bottom w:val="nil"/>
              <w:right w:val="nil"/>
            </w:tcBorders>
            <w:shd w:val="clear" w:color="auto" w:fill="auto"/>
            <w:noWrap/>
            <w:vAlign w:val="bottom"/>
            <w:hideMark/>
          </w:tcPr>
          <w:p w14:paraId="66CEE8A8"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b/>
                <w:bCs/>
                <w:color w:val="000000"/>
                <w:kern w:val="0"/>
                <w:sz w:val="16"/>
                <w:szCs w:val="16"/>
                <w:lang w:val="en-GB"/>
              </w:rPr>
            </w:pPr>
            <w:proofErr w:type="spellStart"/>
            <w:r w:rsidRPr="00552407">
              <w:rPr>
                <w:rFonts w:ascii="Calibri" w:eastAsia="Times New Roman" w:hAnsi="Calibri" w:cs="Times New Roman"/>
                <w:b/>
                <w:bCs/>
                <w:color w:val="000000"/>
                <w:kern w:val="0"/>
                <w:sz w:val="16"/>
                <w:szCs w:val="16"/>
                <w:lang w:val="en-GB"/>
              </w:rPr>
              <w:t>Adj</w:t>
            </w:r>
            <w:proofErr w:type="spellEnd"/>
            <w:r w:rsidRPr="00552407">
              <w:rPr>
                <w:rFonts w:ascii="Calibri" w:eastAsia="Times New Roman" w:hAnsi="Calibri" w:cs="Times New Roman"/>
                <w:b/>
                <w:bCs/>
                <w:color w:val="000000"/>
                <w:kern w:val="0"/>
                <w:sz w:val="16"/>
                <w:szCs w:val="16"/>
                <w:lang w:val="en-GB"/>
              </w:rPr>
              <w:t xml:space="preserve"> Close</w:t>
            </w:r>
          </w:p>
        </w:tc>
        <w:tc>
          <w:tcPr>
            <w:tcW w:w="1923" w:type="dxa"/>
            <w:tcBorders>
              <w:top w:val="nil"/>
              <w:left w:val="nil"/>
              <w:bottom w:val="nil"/>
              <w:right w:val="nil"/>
            </w:tcBorders>
            <w:shd w:val="clear" w:color="auto" w:fill="auto"/>
            <w:noWrap/>
            <w:vAlign w:val="bottom"/>
            <w:hideMark/>
          </w:tcPr>
          <w:p w14:paraId="2AC05F82"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b/>
                <w:bCs/>
                <w:color w:val="000000"/>
                <w:kern w:val="0"/>
                <w:sz w:val="16"/>
                <w:szCs w:val="16"/>
                <w:lang w:val="en-GB"/>
              </w:rPr>
            </w:pPr>
            <w:r w:rsidRPr="00552407">
              <w:rPr>
                <w:rFonts w:ascii="Calibri" w:eastAsia="Times New Roman" w:hAnsi="Calibri" w:cs="Times New Roman"/>
                <w:b/>
                <w:bCs/>
                <w:color w:val="000000"/>
                <w:kern w:val="0"/>
                <w:sz w:val="16"/>
                <w:szCs w:val="16"/>
                <w:lang w:val="en-GB"/>
              </w:rPr>
              <w:t>Volume</w:t>
            </w:r>
          </w:p>
        </w:tc>
      </w:tr>
      <w:tr w:rsidR="00552407" w:rsidRPr="00552407" w14:paraId="0749A81C" w14:textId="77777777" w:rsidTr="00552407">
        <w:trPr>
          <w:trHeight w:val="256"/>
        </w:trPr>
        <w:tc>
          <w:tcPr>
            <w:tcW w:w="1432" w:type="dxa"/>
            <w:tcBorders>
              <w:top w:val="nil"/>
              <w:left w:val="nil"/>
              <w:bottom w:val="nil"/>
              <w:right w:val="nil"/>
            </w:tcBorders>
            <w:shd w:val="clear" w:color="auto" w:fill="auto"/>
            <w:noWrap/>
            <w:vAlign w:val="bottom"/>
            <w:hideMark/>
          </w:tcPr>
          <w:p w14:paraId="357DF0B1"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01/04/2018</w:t>
            </w:r>
          </w:p>
        </w:tc>
        <w:tc>
          <w:tcPr>
            <w:tcW w:w="981" w:type="dxa"/>
            <w:tcBorders>
              <w:top w:val="nil"/>
              <w:left w:val="nil"/>
              <w:bottom w:val="nil"/>
              <w:right w:val="nil"/>
            </w:tcBorders>
            <w:shd w:val="clear" w:color="auto" w:fill="auto"/>
            <w:noWrap/>
            <w:vAlign w:val="bottom"/>
            <w:hideMark/>
          </w:tcPr>
          <w:p w14:paraId="3B878AF8"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28.5</w:t>
            </w:r>
          </w:p>
        </w:tc>
        <w:tc>
          <w:tcPr>
            <w:tcW w:w="981" w:type="dxa"/>
            <w:tcBorders>
              <w:top w:val="nil"/>
              <w:left w:val="nil"/>
              <w:bottom w:val="nil"/>
              <w:right w:val="nil"/>
            </w:tcBorders>
            <w:shd w:val="clear" w:color="auto" w:fill="auto"/>
            <w:noWrap/>
            <w:vAlign w:val="bottom"/>
            <w:hideMark/>
          </w:tcPr>
          <w:p w14:paraId="59EB2FAC"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34</w:t>
            </w:r>
          </w:p>
        </w:tc>
        <w:tc>
          <w:tcPr>
            <w:tcW w:w="981" w:type="dxa"/>
            <w:tcBorders>
              <w:top w:val="nil"/>
              <w:left w:val="nil"/>
              <w:bottom w:val="nil"/>
              <w:right w:val="nil"/>
            </w:tcBorders>
            <w:shd w:val="clear" w:color="auto" w:fill="auto"/>
            <w:noWrap/>
            <w:vAlign w:val="bottom"/>
            <w:hideMark/>
          </w:tcPr>
          <w:p w14:paraId="2E90C2AF"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27.6</w:t>
            </w:r>
          </w:p>
        </w:tc>
        <w:tc>
          <w:tcPr>
            <w:tcW w:w="1145" w:type="dxa"/>
            <w:tcBorders>
              <w:top w:val="nil"/>
              <w:left w:val="nil"/>
              <w:bottom w:val="nil"/>
              <w:right w:val="nil"/>
            </w:tcBorders>
            <w:shd w:val="clear" w:color="auto" w:fill="auto"/>
            <w:noWrap/>
            <w:vAlign w:val="bottom"/>
            <w:hideMark/>
          </w:tcPr>
          <w:p w14:paraId="02898E51"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33.0</w:t>
            </w:r>
          </w:p>
        </w:tc>
        <w:tc>
          <w:tcPr>
            <w:tcW w:w="1452" w:type="dxa"/>
            <w:tcBorders>
              <w:top w:val="nil"/>
              <w:left w:val="nil"/>
              <w:bottom w:val="nil"/>
              <w:right w:val="nil"/>
            </w:tcBorders>
            <w:shd w:val="clear" w:color="auto" w:fill="auto"/>
            <w:noWrap/>
            <w:vAlign w:val="bottom"/>
            <w:hideMark/>
          </w:tcPr>
          <w:p w14:paraId="72256BA0"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28.6</w:t>
            </w:r>
          </w:p>
        </w:tc>
        <w:tc>
          <w:tcPr>
            <w:tcW w:w="1923" w:type="dxa"/>
            <w:tcBorders>
              <w:top w:val="nil"/>
              <w:left w:val="nil"/>
              <w:bottom w:val="nil"/>
              <w:right w:val="nil"/>
            </w:tcBorders>
            <w:shd w:val="clear" w:color="auto" w:fill="auto"/>
            <w:noWrap/>
            <w:vAlign w:val="bottom"/>
            <w:hideMark/>
          </w:tcPr>
          <w:p w14:paraId="209ECDCB"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28780232</w:t>
            </w:r>
          </w:p>
        </w:tc>
      </w:tr>
      <w:tr w:rsidR="00552407" w:rsidRPr="00552407" w14:paraId="1B82E56A" w14:textId="77777777" w:rsidTr="00552407">
        <w:trPr>
          <w:trHeight w:val="256"/>
        </w:trPr>
        <w:tc>
          <w:tcPr>
            <w:tcW w:w="1432" w:type="dxa"/>
            <w:tcBorders>
              <w:top w:val="nil"/>
              <w:left w:val="nil"/>
              <w:bottom w:val="nil"/>
              <w:right w:val="nil"/>
            </w:tcBorders>
            <w:shd w:val="clear" w:color="auto" w:fill="auto"/>
            <w:noWrap/>
            <w:vAlign w:val="bottom"/>
            <w:hideMark/>
          </w:tcPr>
          <w:p w14:paraId="2FC2F8F7"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01/05/2018</w:t>
            </w:r>
          </w:p>
        </w:tc>
        <w:tc>
          <w:tcPr>
            <w:tcW w:w="981" w:type="dxa"/>
            <w:tcBorders>
              <w:top w:val="nil"/>
              <w:left w:val="nil"/>
              <w:bottom w:val="nil"/>
              <w:right w:val="nil"/>
            </w:tcBorders>
            <w:shd w:val="clear" w:color="auto" w:fill="auto"/>
            <w:noWrap/>
            <w:vAlign w:val="bottom"/>
            <w:hideMark/>
          </w:tcPr>
          <w:p w14:paraId="65D5D772"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32.95</w:t>
            </w:r>
          </w:p>
        </w:tc>
        <w:tc>
          <w:tcPr>
            <w:tcW w:w="981" w:type="dxa"/>
            <w:tcBorders>
              <w:top w:val="nil"/>
              <w:left w:val="nil"/>
              <w:bottom w:val="nil"/>
              <w:right w:val="nil"/>
            </w:tcBorders>
            <w:shd w:val="clear" w:color="auto" w:fill="auto"/>
            <w:noWrap/>
            <w:vAlign w:val="bottom"/>
            <w:hideMark/>
          </w:tcPr>
          <w:p w14:paraId="57B727B3"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36.15</w:t>
            </w:r>
          </w:p>
        </w:tc>
        <w:tc>
          <w:tcPr>
            <w:tcW w:w="981" w:type="dxa"/>
            <w:tcBorders>
              <w:top w:val="nil"/>
              <w:left w:val="nil"/>
              <w:bottom w:val="nil"/>
              <w:right w:val="nil"/>
            </w:tcBorders>
            <w:shd w:val="clear" w:color="auto" w:fill="auto"/>
            <w:noWrap/>
            <w:vAlign w:val="bottom"/>
            <w:hideMark/>
          </w:tcPr>
          <w:p w14:paraId="287ADE76"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32</w:t>
            </w:r>
          </w:p>
        </w:tc>
        <w:tc>
          <w:tcPr>
            <w:tcW w:w="1145" w:type="dxa"/>
            <w:tcBorders>
              <w:top w:val="nil"/>
              <w:left w:val="nil"/>
              <w:bottom w:val="nil"/>
              <w:right w:val="nil"/>
            </w:tcBorders>
            <w:shd w:val="clear" w:color="auto" w:fill="auto"/>
            <w:noWrap/>
            <w:vAlign w:val="bottom"/>
            <w:hideMark/>
          </w:tcPr>
          <w:p w14:paraId="0CB525F1"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35.8</w:t>
            </w:r>
          </w:p>
        </w:tc>
        <w:tc>
          <w:tcPr>
            <w:tcW w:w="1452" w:type="dxa"/>
            <w:tcBorders>
              <w:top w:val="nil"/>
              <w:left w:val="nil"/>
              <w:bottom w:val="nil"/>
              <w:right w:val="nil"/>
            </w:tcBorders>
            <w:shd w:val="clear" w:color="auto" w:fill="auto"/>
            <w:noWrap/>
            <w:vAlign w:val="bottom"/>
            <w:hideMark/>
          </w:tcPr>
          <w:p w14:paraId="1C7D568F"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31.0</w:t>
            </w:r>
          </w:p>
        </w:tc>
        <w:tc>
          <w:tcPr>
            <w:tcW w:w="1923" w:type="dxa"/>
            <w:tcBorders>
              <w:top w:val="nil"/>
              <w:left w:val="nil"/>
              <w:bottom w:val="nil"/>
              <w:right w:val="nil"/>
            </w:tcBorders>
            <w:shd w:val="clear" w:color="auto" w:fill="auto"/>
            <w:noWrap/>
            <w:vAlign w:val="bottom"/>
            <w:hideMark/>
          </w:tcPr>
          <w:p w14:paraId="0F6E74C8"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16238385</w:t>
            </w:r>
          </w:p>
        </w:tc>
      </w:tr>
      <w:tr w:rsidR="00552407" w:rsidRPr="00552407" w14:paraId="1BCD4865" w14:textId="77777777" w:rsidTr="00552407">
        <w:trPr>
          <w:trHeight w:val="256"/>
        </w:trPr>
        <w:tc>
          <w:tcPr>
            <w:tcW w:w="1432" w:type="dxa"/>
            <w:tcBorders>
              <w:top w:val="nil"/>
              <w:left w:val="nil"/>
              <w:bottom w:val="nil"/>
              <w:right w:val="nil"/>
            </w:tcBorders>
            <w:shd w:val="clear" w:color="auto" w:fill="auto"/>
            <w:noWrap/>
            <w:vAlign w:val="bottom"/>
            <w:hideMark/>
          </w:tcPr>
          <w:p w14:paraId="07A7D54C"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01/06/2018</w:t>
            </w:r>
          </w:p>
        </w:tc>
        <w:tc>
          <w:tcPr>
            <w:tcW w:w="981" w:type="dxa"/>
            <w:tcBorders>
              <w:top w:val="nil"/>
              <w:left w:val="nil"/>
              <w:bottom w:val="nil"/>
              <w:right w:val="nil"/>
            </w:tcBorders>
            <w:shd w:val="clear" w:color="auto" w:fill="auto"/>
            <w:noWrap/>
            <w:vAlign w:val="bottom"/>
            <w:hideMark/>
          </w:tcPr>
          <w:p w14:paraId="4CAE8A84"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35.75</w:t>
            </w:r>
          </w:p>
        </w:tc>
        <w:tc>
          <w:tcPr>
            <w:tcW w:w="981" w:type="dxa"/>
            <w:tcBorders>
              <w:top w:val="nil"/>
              <w:left w:val="nil"/>
              <w:bottom w:val="nil"/>
              <w:right w:val="nil"/>
            </w:tcBorders>
            <w:shd w:val="clear" w:color="auto" w:fill="auto"/>
            <w:noWrap/>
            <w:vAlign w:val="bottom"/>
            <w:hideMark/>
          </w:tcPr>
          <w:p w14:paraId="5F04D5D9"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37.75</w:t>
            </w:r>
          </w:p>
        </w:tc>
        <w:tc>
          <w:tcPr>
            <w:tcW w:w="981" w:type="dxa"/>
            <w:tcBorders>
              <w:top w:val="nil"/>
              <w:left w:val="nil"/>
              <w:bottom w:val="nil"/>
              <w:right w:val="nil"/>
            </w:tcBorders>
            <w:shd w:val="clear" w:color="auto" w:fill="auto"/>
            <w:noWrap/>
            <w:vAlign w:val="bottom"/>
            <w:hideMark/>
          </w:tcPr>
          <w:p w14:paraId="578CD540"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29.2</w:t>
            </w:r>
          </w:p>
        </w:tc>
        <w:tc>
          <w:tcPr>
            <w:tcW w:w="1145" w:type="dxa"/>
            <w:tcBorders>
              <w:top w:val="nil"/>
              <w:left w:val="nil"/>
              <w:bottom w:val="nil"/>
              <w:right w:val="nil"/>
            </w:tcBorders>
            <w:shd w:val="clear" w:color="auto" w:fill="auto"/>
            <w:noWrap/>
            <w:vAlign w:val="bottom"/>
            <w:hideMark/>
          </w:tcPr>
          <w:p w14:paraId="50DDD5E9"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32.5</w:t>
            </w:r>
          </w:p>
        </w:tc>
        <w:tc>
          <w:tcPr>
            <w:tcW w:w="1452" w:type="dxa"/>
            <w:tcBorders>
              <w:top w:val="nil"/>
              <w:left w:val="nil"/>
              <w:bottom w:val="nil"/>
              <w:right w:val="nil"/>
            </w:tcBorders>
            <w:shd w:val="clear" w:color="auto" w:fill="auto"/>
            <w:noWrap/>
            <w:vAlign w:val="bottom"/>
            <w:hideMark/>
          </w:tcPr>
          <w:p w14:paraId="6964276E"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28.2</w:t>
            </w:r>
          </w:p>
        </w:tc>
        <w:tc>
          <w:tcPr>
            <w:tcW w:w="1923" w:type="dxa"/>
            <w:tcBorders>
              <w:top w:val="nil"/>
              <w:left w:val="nil"/>
              <w:bottom w:val="nil"/>
              <w:right w:val="nil"/>
            </w:tcBorders>
            <w:shd w:val="clear" w:color="auto" w:fill="auto"/>
            <w:noWrap/>
            <w:vAlign w:val="bottom"/>
            <w:hideMark/>
          </w:tcPr>
          <w:p w14:paraId="4249945B"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21826031</w:t>
            </w:r>
          </w:p>
        </w:tc>
      </w:tr>
      <w:tr w:rsidR="00552407" w:rsidRPr="00552407" w14:paraId="072268DC" w14:textId="77777777" w:rsidTr="00552407">
        <w:trPr>
          <w:trHeight w:val="256"/>
        </w:trPr>
        <w:tc>
          <w:tcPr>
            <w:tcW w:w="1432" w:type="dxa"/>
            <w:tcBorders>
              <w:top w:val="nil"/>
              <w:left w:val="nil"/>
              <w:bottom w:val="nil"/>
              <w:right w:val="nil"/>
            </w:tcBorders>
            <w:shd w:val="clear" w:color="auto" w:fill="auto"/>
            <w:noWrap/>
            <w:vAlign w:val="bottom"/>
            <w:hideMark/>
          </w:tcPr>
          <w:p w14:paraId="2D5EFC4C"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01/07/2018</w:t>
            </w:r>
          </w:p>
        </w:tc>
        <w:tc>
          <w:tcPr>
            <w:tcW w:w="981" w:type="dxa"/>
            <w:tcBorders>
              <w:top w:val="nil"/>
              <w:left w:val="nil"/>
              <w:bottom w:val="nil"/>
              <w:right w:val="nil"/>
            </w:tcBorders>
            <w:shd w:val="clear" w:color="auto" w:fill="auto"/>
            <w:noWrap/>
            <w:vAlign w:val="bottom"/>
            <w:hideMark/>
          </w:tcPr>
          <w:p w14:paraId="3001AC87"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32.45</w:t>
            </w:r>
          </w:p>
        </w:tc>
        <w:tc>
          <w:tcPr>
            <w:tcW w:w="981" w:type="dxa"/>
            <w:tcBorders>
              <w:top w:val="nil"/>
              <w:left w:val="nil"/>
              <w:bottom w:val="nil"/>
              <w:right w:val="nil"/>
            </w:tcBorders>
            <w:shd w:val="clear" w:color="auto" w:fill="auto"/>
            <w:noWrap/>
            <w:vAlign w:val="bottom"/>
            <w:hideMark/>
          </w:tcPr>
          <w:p w14:paraId="4B44845E"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33</w:t>
            </w:r>
          </w:p>
        </w:tc>
        <w:tc>
          <w:tcPr>
            <w:tcW w:w="981" w:type="dxa"/>
            <w:tcBorders>
              <w:top w:val="nil"/>
              <w:left w:val="nil"/>
              <w:bottom w:val="nil"/>
              <w:right w:val="nil"/>
            </w:tcBorders>
            <w:shd w:val="clear" w:color="auto" w:fill="auto"/>
            <w:noWrap/>
            <w:vAlign w:val="bottom"/>
            <w:hideMark/>
          </w:tcPr>
          <w:p w14:paraId="1E96F560"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26.8</w:t>
            </w:r>
          </w:p>
        </w:tc>
        <w:tc>
          <w:tcPr>
            <w:tcW w:w="1145" w:type="dxa"/>
            <w:tcBorders>
              <w:top w:val="nil"/>
              <w:left w:val="nil"/>
              <w:bottom w:val="nil"/>
              <w:right w:val="nil"/>
            </w:tcBorders>
            <w:shd w:val="clear" w:color="auto" w:fill="auto"/>
            <w:noWrap/>
            <w:vAlign w:val="bottom"/>
            <w:hideMark/>
          </w:tcPr>
          <w:p w14:paraId="20501495"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27.9</w:t>
            </w:r>
          </w:p>
        </w:tc>
        <w:tc>
          <w:tcPr>
            <w:tcW w:w="1452" w:type="dxa"/>
            <w:tcBorders>
              <w:top w:val="nil"/>
              <w:left w:val="nil"/>
              <w:bottom w:val="nil"/>
              <w:right w:val="nil"/>
            </w:tcBorders>
            <w:shd w:val="clear" w:color="auto" w:fill="auto"/>
            <w:noWrap/>
            <w:vAlign w:val="bottom"/>
            <w:hideMark/>
          </w:tcPr>
          <w:p w14:paraId="3B324E27"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24.2</w:t>
            </w:r>
          </w:p>
        </w:tc>
        <w:tc>
          <w:tcPr>
            <w:tcW w:w="1923" w:type="dxa"/>
            <w:tcBorders>
              <w:top w:val="nil"/>
              <w:left w:val="nil"/>
              <w:bottom w:val="nil"/>
              <w:right w:val="nil"/>
            </w:tcBorders>
            <w:shd w:val="clear" w:color="auto" w:fill="auto"/>
            <w:noWrap/>
            <w:vAlign w:val="bottom"/>
            <w:hideMark/>
          </w:tcPr>
          <w:p w14:paraId="13ED0696"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31144713</w:t>
            </w:r>
          </w:p>
        </w:tc>
      </w:tr>
      <w:tr w:rsidR="00552407" w:rsidRPr="00552407" w14:paraId="3974FAB7" w14:textId="77777777" w:rsidTr="00552407">
        <w:trPr>
          <w:trHeight w:val="256"/>
        </w:trPr>
        <w:tc>
          <w:tcPr>
            <w:tcW w:w="1432" w:type="dxa"/>
            <w:tcBorders>
              <w:top w:val="nil"/>
              <w:left w:val="nil"/>
              <w:bottom w:val="nil"/>
              <w:right w:val="nil"/>
            </w:tcBorders>
            <w:shd w:val="clear" w:color="auto" w:fill="auto"/>
            <w:noWrap/>
            <w:vAlign w:val="bottom"/>
            <w:hideMark/>
          </w:tcPr>
          <w:p w14:paraId="4E1D7485"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01/08/2018</w:t>
            </w:r>
          </w:p>
        </w:tc>
        <w:tc>
          <w:tcPr>
            <w:tcW w:w="981" w:type="dxa"/>
            <w:tcBorders>
              <w:top w:val="nil"/>
              <w:left w:val="nil"/>
              <w:bottom w:val="nil"/>
              <w:right w:val="nil"/>
            </w:tcBorders>
            <w:shd w:val="clear" w:color="auto" w:fill="auto"/>
            <w:noWrap/>
            <w:vAlign w:val="bottom"/>
            <w:hideMark/>
          </w:tcPr>
          <w:p w14:paraId="5B0BFFC9"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28</w:t>
            </w:r>
          </w:p>
        </w:tc>
        <w:tc>
          <w:tcPr>
            <w:tcW w:w="981" w:type="dxa"/>
            <w:tcBorders>
              <w:top w:val="nil"/>
              <w:left w:val="nil"/>
              <w:bottom w:val="nil"/>
              <w:right w:val="nil"/>
            </w:tcBorders>
            <w:shd w:val="clear" w:color="auto" w:fill="auto"/>
            <w:noWrap/>
            <w:vAlign w:val="bottom"/>
            <w:hideMark/>
          </w:tcPr>
          <w:p w14:paraId="7660AA51"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28.85</w:t>
            </w:r>
          </w:p>
        </w:tc>
        <w:tc>
          <w:tcPr>
            <w:tcW w:w="981" w:type="dxa"/>
            <w:tcBorders>
              <w:top w:val="nil"/>
              <w:left w:val="nil"/>
              <w:bottom w:val="nil"/>
              <w:right w:val="nil"/>
            </w:tcBorders>
            <w:shd w:val="clear" w:color="auto" w:fill="auto"/>
            <w:noWrap/>
            <w:vAlign w:val="bottom"/>
            <w:hideMark/>
          </w:tcPr>
          <w:p w14:paraId="7572DFA2"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25.8</w:t>
            </w:r>
          </w:p>
        </w:tc>
        <w:tc>
          <w:tcPr>
            <w:tcW w:w="1145" w:type="dxa"/>
            <w:tcBorders>
              <w:top w:val="nil"/>
              <w:left w:val="nil"/>
              <w:bottom w:val="nil"/>
              <w:right w:val="nil"/>
            </w:tcBorders>
            <w:shd w:val="clear" w:color="auto" w:fill="auto"/>
            <w:noWrap/>
            <w:vAlign w:val="bottom"/>
            <w:hideMark/>
          </w:tcPr>
          <w:p w14:paraId="52FA2D95"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27.3</w:t>
            </w:r>
          </w:p>
        </w:tc>
        <w:tc>
          <w:tcPr>
            <w:tcW w:w="1452" w:type="dxa"/>
            <w:tcBorders>
              <w:top w:val="nil"/>
              <w:left w:val="nil"/>
              <w:bottom w:val="nil"/>
              <w:right w:val="nil"/>
            </w:tcBorders>
            <w:shd w:val="clear" w:color="auto" w:fill="auto"/>
            <w:noWrap/>
            <w:vAlign w:val="bottom"/>
            <w:hideMark/>
          </w:tcPr>
          <w:p w14:paraId="62B37DFA"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23.7</w:t>
            </w:r>
          </w:p>
        </w:tc>
        <w:tc>
          <w:tcPr>
            <w:tcW w:w="1923" w:type="dxa"/>
            <w:tcBorders>
              <w:top w:val="nil"/>
              <w:left w:val="nil"/>
              <w:bottom w:val="nil"/>
              <w:right w:val="nil"/>
            </w:tcBorders>
            <w:shd w:val="clear" w:color="auto" w:fill="auto"/>
            <w:noWrap/>
            <w:vAlign w:val="bottom"/>
            <w:hideMark/>
          </w:tcPr>
          <w:p w14:paraId="1AF4B94A"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19855857</w:t>
            </w:r>
          </w:p>
        </w:tc>
      </w:tr>
      <w:tr w:rsidR="00552407" w:rsidRPr="00552407" w14:paraId="59D3048E" w14:textId="77777777" w:rsidTr="00552407">
        <w:trPr>
          <w:trHeight w:val="256"/>
        </w:trPr>
        <w:tc>
          <w:tcPr>
            <w:tcW w:w="1432" w:type="dxa"/>
            <w:tcBorders>
              <w:top w:val="nil"/>
              <w:left w:val="nil"/>
              <w:bottom w:val="nil"/>
              <w:right w:val="nil"/>
            </w:tcBorders>
            <w:shd w:val="clear" w:color="auto" w:fill="auto"/>
            <w:noWrap/>
            <w:vAlign w:val="bottom"/>
            <w:hideMark/>
          </w:tcPr>
          <w:p w14:paraId="57C3061C"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01/09/2018</w:t>
            </w:r>
          </w:p>
        </w:tc>
        <w:tc>
          <w:tcPr>
            <w:tcW w:w="981" w:type="dxa"/>
            <w:tcBorders>
              <w:top w:val="nil"/>
              <w:left w:val="nil"/>
              <w:bottom w:val="nil"/>
              <w:right w:val="nil"/>
            </w:tcBorders>
            <w:shd w:val="clear" w:color="auto" w:fill="auto"/>
            <w:noWrap/>
            <w:vAlign w:val="bottom"/>
            <w:hideMark/>
          </w:tcPr>
          <w:p w14:paraId="6FCE52E2"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27.4</w:t>
            </w:r>
          </w:p>
        </w:tc>
        <w:tc>
          <w:tcPr>
            <w:tcW w:w="981" w:type="dxa"/>
            <w:tcBorders>
              <w:top w:val="nil"/>
              <w:left w:val="nil"/>
              <w:bottom w:val="nil"/>
              <w:right w:val="nil"/>
            </w:tcBorders>
            <w:shd w:val="clear" w:color="auto" w:fill="auto"/>
            <w:noWrap/>
            <w:vAlign w:val="bottom"/>
            <w:hideMark/>
          </w:tcPr>
          <w:p w14:paraId="594EABD3"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28.2</w:t>
            </w:r>
          </w:p>
        </w:tc>
        <w:tc>
          <w:tcPr>
            <w:tcW w:w="981" w:type="dxa"/>
            <w:tcBorders>
              <w:top w:val="nil"/>
              <w:left w:val="nil"/>
              <w:bottom w:val="nil"/>
              <w:right w:val="nil"/>
            </w:tcBorders>
            <w:shd w:val="clear" w:color="auto" w:fill="auto"/>
            <w:noWrap/>
            <w:vAlign w:val="bottom"/>
            <w:hideMark/>
          </w:tcPr>
          <w:p w14:paraId="3A22A414"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25.05</w:t>
            </w:r>
          </w:p>
        </w:tc>
        <w:tc>
          <w:tcPr>
            <w:tcW w:w="1145" w:type="dxa"/>
            <w:tcBorders>
              <w:top w:val="nil"/>
              <w:left w:val="nil"/>
              <w:bottom w:val="nil"/>
              <w:right w:val="nil"/>
            </w:tcBorders>
            <w:shd w:val="clear" w:color="auto" w:fill="auto"/>
            <w:noWrap/>
            <w:vAlign w:val="bottom"/>
            <w:hideMark/>
          </w:tcPr>
          <w:p w14:paraId="5DFD78B8"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27.3</w:t>
            </w:r>
          </w:p>
        </w:tc>
        <w:tc>
          <w:tcPr>
            <w:tcW w:w="1452" w:type="dxa"/>
            <w:tcBorders>
              <w:top w:val="nil"/>
              <w:left w:val="nil"/>
              <w:bottom w:val="nil"/>
              <w:right w:val="nil"/>
            </w:tcBorders>
            <w:shd w:val="clear" w:color="auto" w:fill="auto"/>
            <w:noWrap/>
            <w:vAlign w:val="bottom"/>
            <w:hideMark/>
          </w:tcPr>
          <w:p w14:paraId="600D026F"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24.1</w:t>
            </w:r>
          </w:p>
        </w:tc>
        <w:tc>
          <w:tcPr>
            <w:tcW w:w="1923" w:type="dxa"/>
            <w:tcBorders>
              <w:top w:val="nil"/>
              <w:left w:val="nil"/>
              <w:bottom w:val="nil"/>
              <w:right w:val="nil"/>
            </w:tcBorders>
            <w:shd w:val="clear" w:color="auto" w:fill="auto"/>
            <w:noWrap/>
            <w:vAlign w:val="bottom"/>
            <w:hideMark/>
          </w:tcPr>
          <w:p w14:paraId="6E234320"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10034867</w:t>
            </w:r>
          </w:p>
        </w:tc>
      </w:tr>
      <w:tr w:rsidR="00552407" w:rsidRPr="00552407" w14:paraId="315F925B" w14:textId="77777777" w:rsidTr="00552407">
        <w:trPr>
          <w:trHeight w:val="256"/>
        </w:trPr>
        <w:tc>
          <w:tcPr>
            <w:tcW w:w="1432" w:type="dxa"/>
            <w:tcBorders>
              <w:top w:val="nil"/>
              <w:left w:val="nil"/>
              <w:bottom w:val="nil"/>
              <w:right w:val="nil"/>
            </w:tcBorders>
            <w:shd w:val="clear" w:color="auto" w:fill="auto"/>
            <w:noWrap/>
            <w:vAlign w:val="bottom"/>
            <w:hideMark/>
          </w:tcPr>
          <w:p w14:paraId="0F62A503"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01/10/2018</w:t>
            </w:r>
          </w:p>
        </w:tc>
        <w:tc>
          <w:tcPr>
            <w:tcW w:w="981" w:type="dxa"/>
            <w:tcBorders>
              <w:top w:val="nil"/>
              <w:left w:val="nil"/>
              <w:bottom w:val="nil"/>
              <w:right w:val="nil"/>
            </w:tcBorders>
            <w:shd w:val="clear" w:color="auto" w:fill="auto"/>
            <w:noWrap/>
            <w:vAlign w:val="bottom"/>
            <w:hideMark/>
          </w:tcPr>
          <w:p w14:paraId="56612D5E"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27.25</w:t>
            </w:r>
          </w:p>
        </w:tc>
        <w:tc>
          <w:tcPr>
            <w:tcW w:w="981" w:type="dxa"/>
            <w:tcBorders>
              <w:top w:val="nil"/>
              <w:left w:val="nil"/>
              <w:bottom w:val="nil"/>
              <w:right w:val="nil"/>
            </w:tcBorders>
            <w:shd w:val="clear" w:color="auto" w:fill="auto"/>
            <w:noWrap/>
            <w:vAlign w:val="bottom"/>
            <w:hideMark/>
          </w:tcPr>
          <w:p w14:paraId="691661B6"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27.95</w:t>
            </w:r>
          </w:p>
        </w:tc>
        <w:tc>
          <w:tcPr>
            <w:tcW w:w="981" w:type="dxa"/>
            <w:tcBorders>
              <w:top w:val="nil"/>
              <w:left w:val="nil"/>
              <w:bottom w:val="nil"/>
              <w:right w:val="nil"/>
            </w:tcBorders>
            <w:shd w:val="clear" w:color="auto" w:fill="auto"/>
            <w:noWrap/>
            <w:vAlign w:val="bottom"/>
            <w:hideMark/>
          </w:tcPr>
          <w:p w14:paraId="1AAF78E8"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23.65</w:t>
            </w:r>
          </w:p>
        </w:tc>
        <w:tc>
          <w:tcPr>
            <w:tcW w:w="1145" w:type="dxa"/>
            <w:tcBorders>
              <w:top w:val="nil"/>
              <w:left w:val="nil"/>
              <w:bottom w:val="nil"/>
              <w:right w:val="nil"/>
            </w:tcBorders>
            <w:shd w:val="clear" w:color="auto" w:fill="auto"/>
            <w:noWrap/>
            <w:vAlign w:val="bottom"/>
            <w:hideMark/>
          </w:tcPr>
          <w:p w14:paraId="58BE2470"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25.9</w:t>
            </w:r>
          </w:p>
        </w:tc>
        <w:tc>
          <w:tcPr>
            <w:tcW w:w="1452" w:type="dxa"/>
            <w:tcBorders>
              <w:top w:val="nil"/>
              <w:left w:val="nil"/>
              <w:bottom w:val="nil"/>
              <w:right w:val="nil"/>
            </w:tcBorders>
            <w:shd w:val="clear" w:color="auto" w:fill="auto"/>
            <w:noWrap/>
            <w:vAlign w:val="bottom"/>
            <w:hideMark/>
          </w:tcPr>
          <w:p w14:paraId="1188B375"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22.9</w:t>
            </w:r>
          </w:p>
        </w:tc>
        <w:tc>
          <w:tcPr>
            <w:tcW w:w="1923" w:type="dxa"/>
            <w:tcBorders>
              <w:top w:val="nil"/>
              <w:left w:val="nil"/>
              <w:bottom w:val="nil"/>
              <w:right w:val="nil"/>
            </w:tcBorders>
            <w:shd w:val="clear" w:color="auto" w:fill="auto"/>
            <w:noWrap/>
            <w:vAlign w:val="bottom"/>
            <w:hideMark/>
          </w:tcPr>
          <w:p w14:paraId="44595004"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14926116</w:t>
            </w:r>
          </w:p>
        </w:tc>
      </w:tr>
      <w:tr w:rsidR="00552407" w:rsidRPr="00552407" w14:paraId="6CE70BF4" w14:textId="77777777" w:rsidTr="00552407">
        <w:trPr>
          <w:trHeight w:val="256"/>
        </w:trPr>
        <w:tc>
          <w:tcPr>
            <w:tcW w:w="1432" w:type="dxa"/>
            <w:tcBorders>
              <w:top w:val="nil"/>
              <w:left w:val="nil"/>
              <w:bottom w:val="nil"/>
              <w:right w:val="nil"/>
            </w:tcBorders>
            <w:shd w:val="clear" w:color="auto" w:fill="auto"/>
            <w:noWrap/>
            <w:vAlign w:val="bottom"/>
            <w:hideMark/>
          </w:tcPr>
          <w:p w14:paraId="3A7E6BED"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01/11/2018</w:t>
            </w:r>
          </w:p>
        </w:tc>
        <w:tc>
          <w:tcPr>
            <w:tcW w:w="981" w:type="dxa"/>
            <w:tcBorders>
              <w:top w:val="nil"/>
              <w:left w:val="nil"/>
              <w:bottom w:val="nil"/>
              <w:right w:val="nil"/>
            </w:tcBorders>
            <w:shd w:val="clear" w:color="auto" w:fill="auto"/>
            <w:noWrap/>
            <w:vAlign w:val="bottom"/>
            <w:hideMark/>
          </w:tcPr>
          <w:p w14:paraId="1EFF25C9"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25.7</w:t>
            </w:r>
          </w:p>
        </w:tc>
        <w:tc>
          <w:tcPr>
            <w:tcW w:w="981" w:type="dxa"/>
            <w:tcBorders>
              <w:top w:val="nil"/>
              <w:left w:val="nil"/>
              <w:bottom w:val="nil"/>
              <w:right w:val="nil"/>
            </w:tcBorders>
            <w:shd w:val="clear" w:color="auto" w:fill="auto"/>
            <w:noWrap/>
            <w:vAlign w:val="bottom"/>
            <w:hideMark/>
          </w:tcPr>
          <w:p w14:paraId="3D595CD2"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27.3</w:t>
            </w:r>
          </w:p>
        </w:tc>
        <w:tc>
          <w:tcPr>
            <w:tcW w:w="981" w:type="dxa"/>
            <w:tcBorders>
              <w:top w:val="nil"/>
              <w:left w:val="nil"/>
              <w:bottom w:val="nil"/>
              <w:right w:val="nil"/>
            </w:tcBorders>
            <w:shd w:val="clear" w:color="auto" w:fill="auto"/>
            <w:noWrap/>
            <w:vAlign w:val="bottom"/>
            <w:hideMark/>
          </w:tcPr>
          <w:p w14:paraId="284AC519"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22.5</w:t>
            </w:r>
          </w:p>
        </w:tc>
        <w:tc>
          <w:tcPr>
            <w:tcW w:w="1145" w:type="dxa"/>
            <w:tcBorders>
              <w:top w:val="nil"/>
              <w:left w:val="nil"/>
              <w:bottom w:val="nil"/>
              <w:right w:val="nil"/>
            </w:tcBorders>
            <w:shd w:val="clear" w:color="auto" w:fill="auto"/>
            <w:noWrap/>
            <w:vAlign w:val="bottom"/>
            <w:hideMark/>
          </w:tcPr>
          <w:p w14:paraId="57781DA2"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22.9</w:t>
            </w:r>
          </w:p>
        </w:tc>
        <w:tc>
          <w:tcPr>
            <w:tcW w:w="1452" w:type="dxa"/>
            <w:tcBorders>
              <w:top w:val="nil"/>
              <w:left w:val="nil"/>
              <w:bottom w:val="nil"/>
              <w:right w:val="nil"/>
            </w:tcBorders>
            <w:shd w:val="clear" w:color="auto" w:fill="auto"/>
            <w:noWrap/>
            <w:vAlign w:val="bottom"/>
            <w:hideMark/>
          </w:tcPr>
          <w:p w14:paraId="3615A99E"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20.2</w:t>
            </w:r>
          </w:p>
        </w:tc>
        <w:tc>
          <w:tcPr>
            <w:tcW w:w="1923" w:type="dxa"/>
            <w:tcBorders>
              <w:top w:val="nil"/>
              <w:left w:val="nil"/>
              <w:bottom w:val="nil"/>
              <w:right w:val="nil"/>
            </w:tcBorders>
            <w:shd w:val="clear" w:color="auto" w:fill="auto"/>
            <w:noWrap/>
            <w:vAlign w:val="bottom"/>
            <w:hideMark/>
          </w:tcPr>
          <w:p w14:paraId="7818DD19"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16452180</w:t>
            </w:r>
          </w:p>
        </w:tc>
      </w:tr>
      <w:tr w:rsidR="00552407" w:rsidRPr="00552407" w14:paraId="7FF8917C" w14:textId="77777777" w:rsidTr="00552407">
        <w:trPr>
          <w:trHeight w:val="256"/>
        </w:trPr>
        <w:tc>
          <w:tcPr>
            <w:tcW w:w="1432" w:type="dxa"/>
            <w:tcBorders>
              <w:top w:val="nil"/>
              <w:left w:val="nil"/>
              <w:bottom w:val="nil"/>
              <w:right w:val="nil"/>
            </w:tcBorders>
            <w:shd w:val="clear" w:color="auto" w:fill="auto"/>
            <w:noWrap/>
            <w:vAlign w:val="bottom"/>
            <w:hideMark/>
          </w:tcPr>
          <w:p w14:paraId="76C283DA"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01/12/2018</w:t>
            </w:r>
          </w:p>
        </w:tc>
        <w:tc>
          <w:tcPr>
            <w:tcW w:w="981" w:type="dxa"/>
            <w:tcBorders>
              <w:top w:val="nil"/>
              <w:left w:val="nil"/>
              <w:bottom w:val="nil"/>
              <w:right w:val="nil"/>
            </w:tcBorders>
            <w:shd w:val="clear" w:color="auto" w:fill="auto"/>
            <w:noWrap/>
            <w:vAlign w:val="bottom"/>
            <w:hideMark/>
          </w:tcPr>
          <w:p w14:paraId="1F4937E9"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23.1</w:t>
            </w:r>
          </w:p>
        </w:tc>
        <w:tc>
          <w:tcPr>
            <w:tcW w:w="981" w:type="dxa"/>
            <w:tcBorders>
              <w:top w:val="nil"/>
              <w:left w:val="nil"/>
              <w:bottom w:val="nil"/>
              <w:right w:val="nil"/>
            </w:tcBorders>
            <w:shd w:val="clear" w:color="auto" w:fill="auto"/>
            <w:noWrap/>
            <w:vAlign w:val="bottom"/>
            <w:hideMark/>
          </w:tcPr>
          <w:p w14:paraId="56F2A6E8"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23.95</w:t>
            </w:r>
          </w:p>
        </w:tc>
        <w:tc>
          <w:tcPr>
            <w:tcW w:w="981" w:type="dxa"/>
            <w:tcBorders>
              <w:top w:val="nil"/>
              <w:left w:val="nil"/>
              <w:bottom w:val="nil"/>
              <w:right w:val="nil"/>
            </w:tcBorders>
            <w:shd w:val="clear" w:color="auto" w:fill="auto"/>
            <w:noWrap/>
            <w:vAlign w:val="bottom"/>
            <w:hideMark/>
          </w:tcPr>
          <w:p w14:paraId="35F9F423"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20.9</w:t>
            </w:r>
          </w:p>
        </w:tc>
        <w:tc>
          <w:tcPr>
            <w:tcW w:w="1145" w:type="dxa"/>
            <w:tcBorders>
              <w:top w:val="nil"/>
              <w:left w:val="nil"/>
              <w:bottom w:val="nil"/>
              <w:right w:val="nil"/>
            </w:tcBorders>
            <w:shd w:val="clear" w:color="auto" w:fill="auto"/>
            <w:noWrap/>
            <w:vAlign w:val="bottom"/>
            <w:hideMark/>
          </w:tcPr>
          <w:p w14:paraId="5117C518"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22.4</w:t>
            </w:r>
          </w:p>
        </w:tc>
        <w:tc>
          <w:tcPr>
            <w:tcW w:w="1452" w:type="dxa"/>
            <w:tcBorders>
              <w:top w:val="nil"/>
              <w:left w:val="nil"/>
              <w:bottom w:val="nil"/>
              <w:right w:val="nil"/>
            </w:tcBorders>
            <w:shd w:val="clear" w:color="auto" w:fill="auto"/>
            <w:noWrap/>
            <w:vAlign w:val="bottom"/>
            <w:hideMark/>
          </w:tcPr>
          <w:p w14:paraId="17F11684"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19.8</w:t>
            </w:r>
          </w:p>
        </w:tc>
        <w:tc>
          <w:tcPr>
            <w:tcW w:w="1923" w:type="dxa"/>
            <w:tcBorders>
              <w:top w:val="nil"/>
              <w:left w:val="nil"/>
              <w:bottom w:val="nil"/>
              <w:right w:val="nil"/>
            </w:tcBorders>
            <w:shd w:val="clear" w:color="auto" w:fill="auto"/>
            <w:noWrap/>
            <w:vAlign w:val="bottom"/>
            <w:hideMark/>
          </w:tcPr>
          <w:p w14:paraId="16F995E8"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22195220</w:t>
            </w:r>
          </w:p>
        </w:tc>
      </w:tr>
      <w:tr w:rsidR="00552407" w:rsidRPr="00552407" w14:paraId="4C0636D9" w14:textId="77777777" w:rsidTr="00552407">
        <w:trPr>
          <w:trHeight w:val="256"/>
        </w:trPr>
        <w:tc>
          <w:tcPr>
            <w:tcW w:w="1432" w:type="dxa"/>
            <w:tcBorders>
              <w:top w:val="nil"/>
              <w:left w:val="nil"/>
              <w:bottom w:val="nil"/>
              <w:right w:val="nil"/>
            </w:tcBorders>
            <w:shd w:val="clear" w:color="auto" w:fill="auto"/>
            <w:noWrap/>
            <w:vAlign w:val="bottom"/>
            <w:hideMark/>
          </w:tcPr>
          <w:p w14:paraId="7DF248B1"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01/01/2019</w:t>
            </w:r>
          </w:p>
        </w:tc>
        <w:tc>
          <w:tcPr>
            <w:tcW w:w="981" w:type="dxa"/>
            <w:tcBorders>
              <w:top w:val="nil"/>
              <w:left w:val="nil"/>
              <w:bottom w:val="nil"/>
              <w:right w:val="nil"/>
            </w:tcBorders>
            <w:shd w:val="clear" w:color="auto" w:fill="auto"/>
            <w:noWrap/>
            <w:vAlign w:val="bottom"/>
            <w:hideMark/>
          </w:tcPr>
          <w:p w14:paraId="52DB97E0"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22.35</w:t>
            </w:r>
          </w:p>
        </w:tc>
        <w:tc>
          <w:tcPr>
            <w:tcW w:w="981" w:type="dxa"/>
            <w:tcBorders>
              <w:top w:val="nil"/>
              <w:left w:val="nil"/>
              <w:bottom w:val="nil"/>
              <w:right w:val="nil"/>
            </w:tcBorders>
            <w:shd w:val="clear" w:color="auto" w:fill="auto"/>
            <w:noWrap/>
            <w:vAlign w:val="bottom"/>
            <w:hideMark/>
          </w:tcPr>
          <w:p w14:paraId="4D5E43AA"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22.9</w:t>
            </w:r>
          </w:p>
        </w:tc>
        <w:tc>
          <w:tcPr>
            <w:tcW w:w="981" w:type="dxa"/>
            <w:tcBorders>
              <w:top w:val="nil"/>
              <w:left w:val="nil"/>
              <w:bottom w:val="nil"/>
              <w:right w:val="nil"/>
            </w:tcBorders>
            <w:shd w:val="clear" w:color="auto" w:fill="auto"/>
            <w:noWrap/>
            <w:vAlign w:val="bottom"/>
            <w:hideMark/>
          </w:tcPr>
          <w:p w14:paraId="3456C20D"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21.5</w:t>
            </w:r>
          </w:p>
        </w:tc>
        <w:tc>
          <w:tcPr>
            <w:tcW w:w="1145" w:type="dxa"/>
            <w:tcBorders>
              <w:top w:val="nil"/>
              <w:left w:val="nil"/>
              <w:bottom w:val="nil"/>
              <w:right w:val="nil"/>
            </w:tcBorders>
            <w:shd w:val="clear" w:color="auto" w:fill="auto"/>
            <w:noWrap/>
            <w:vAlign w:val="bottom"/>
            <w:hideMark/>
          </w:tcPr>
          <w:p w14:paraId="7F5F38C5"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22.8</w:t>
            </w:r>
          </w:p>
        </w:tc>
        <w:tc>
          <w:tcPr>
            <w:tcW w:w="1452" w:type="dxa"/>
            <w:tcBorders>
              <w:top w:val="nil"/>
              <w:left w:val="nil"/>
              <w:bottom w:val="nil"/>
              <w:right w:val="nil"/>
            </w:tcBorders>
            <w:shd w:val="clear" w:color="auto" w:fill="auto"/>
            <w:noWrap/>
            <w:vAlign w:val="bottom"/>
            <w:hideMark/>
          </w:tcPr>
          <w:p w14:paraId="0311EBC9"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20.6</w:t>
            </w:r>
          </w:p>
        </w:tc>
        <w:tc>
          <w:tcPr>
            <w:tcW w:w="1923" w:type="dxa"/>
            <w:tcBorders>
              <w:top w:val="nil"/>
              <w:left w:val="nil"/>
              <w:bottom w:val="nil"/>
              <w:right w:val="nil"/>
            </w:tcBorders>
            <w:shd w:val="clear" w:color="auto" w:fill="auto"/>
            <w:noWrap/>
            <w:vAlign w:val="bottom"/>
            <w:hideMark/>
          </w:tcPr>
          <w:p w14:paraId="618F2834"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20481413</w:t>
            </w:r>
          </w:p>
        </w:tc>
      </w:tr>
      <w:tr w:rsidR="00552407" w:rsidRPr="00552407" w14:paraId="02773C22" w14:textId="77777777" w:rsidTr="00552407">
        <w:trPr>
          <w:trHeight w:val="256"/>
        </w:trPr>
        <w:tc>
          <w:tcPr>
            <w:tcW w:w="1432" w:type="dxa"/>
            <w:tcBorders>
              <w:top w:val="nil"/>
              <w:left w:val="nil"/>
              <w:bottom w:val="nil"/>
              <w:right w:val="nil"/>
            </w:tcBorders>
            <w:shd w:val="clear" w:color="auto" w:fill="auto"/>
            <w:noWrap/>
            <w:vAlign w:val="bottom"/>
            <w:hideMark/>
          </w:tcPr>
          <w:p w14:paraId="2572F927"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01/02/2019</w:t>
            </w:r>
          </w:p>
        </w:tc>
        <w:tc>
          <w:tcPr>
            <w:tcW w:w="981" w:type="dxa"/>
            <w:tcBorders>
              <w:top w:val="nil"/>
              <w:left w:val="nil"/>
              <w:bottom w:val="nil"/>
              <w:right w:val="nil"/>
            </w:tcBorders>
            <w:shd w:val="clear" w:color="auto" w:fill="auto"/>
            <w:noWrap/>
            <w:vAlign w:val="bottom"/>
            <w:hideMark/>
          </w:tcPr>
          <w:p w14:paraId="46CD0A3C"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23.25</w:t>
            </w:r>
          </w:p>
        </w:tc>
        <w:tc>
          <w:tcPr>
            <w:tcW w:w="981" w:type="dxa"/>
            <w:tcBorders>
              <w:top w:val="nil"/>
              <w:left w:val="nil"/>
              <w:bottom w:val="nil"/>
              <w:right w:val="nil"/>
            </w:tcBorders>
            <w:shd w:val="clear" w:color="auto" w:fill="auto"/>
            <w:noWrap/>
            <w:vAlign w:val="bottom"/>
            <w:hideMark/>
          </w:tcPr>
          <w:p w14:paraId="430E7B0F"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26.35</w:t>
            </w:r>
          </w:p>
        </w:tc>
        <w:tc>
          <w:tcPr>
            <w:tcW w:w="981" w:type="dxa"/>
            <w:tcBorders>
              <w:top w:val="nil"/>
              <w:left w:val="nil"/>
              <w:bottom w:val="nil"/>
              <w:right w:val="nil"/>
            </w:tcBorders>
            <w:shd w:val="clear" w:color="auto" w:fill="auto"/>
            <w:noWrap/>
            <w:vAlign w:val="bottom"/>
            <w:hideMark/>
          </w:tcPr>
          <w:p w14:paraId="1D93D16F"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22.75</w:t>
            </w:r>
          </w:p>
        </w:tc>
        <w:tc>
          <w:tcPr>
            <w:tcW w:w="1145" w:type="dxa"/>
            <w:tcBorders>
              <w:top w:val="nil"/>
              <w:left w:val="nil"/>
              <w:bottom w:val="nil"/>
              <w:right w:val="nil"/>
            </w:tcBorders>
            <w:shd w:val="clear" w:color="auto" w:fill="auto"/>
            <w:noWrap/>
            <w:vAlign w:val="bottom"/>
            <w:hideMark/>
          </w:tcPr>
          <w:p w14:paraId="4AD640C7"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26.4</w:t>
            </w:r>
          </w:p>
        </w:tc>
        <w:tc>
          <w:tcPr>
            <w:tcW w:w="1452" w:type="dxa"/>
            <w:tcBorders>
              <w:top w:val="nil"/>
              <w:left w:val="nil"/>
              <w:bottom w:val="nil"/>
              <w:right w:val="nil"/>
            </w:tcBorders>
            <w:shd w:val="clear" w:color="auto" w:fill="auto"/>
            <w:noWrap/>
            <w:vAlign w:val="bottom"/>
            <w:hideMark/>
          </w:tcPr>
          <w:p w14:paraId="187FE7A4"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23.9</w:t>
            </w:r>
          </w:p>
        </w:tc>
        <w:tc>
          <w:tcPr>
            <w:tcW w:w="1923" w:type="dxa"/>
            <w:tcBorders>
              <w:top w:val="nil"/>
              <w:left w:val="nil"/>
              <w:bottom w:val="nil"/>
              <w:right w:val="nil"/>
            </w:tcBorders>
            <w:shd w:val="clear" w:color="auto" w:fill="auto"/>
            <w:noWrap/>
            <w:vAlign w:val="bottom"/>
            <w:hideMark/>
          </w:tcPr>
          <w:p w14:paraId="7DE62DC8"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12377536</w:t>
            </w:r>
          </w:p>
        </w:tc>
      </w:tr>
      <w:tr w:rsidR="00552407" w:rsidRPr="00552407" w14:paraId="4618779E" w14:textId="77777777" w:rsidTr="00552407">
        <w:trPr>
          <w:trHeight w:val="256"/>
        </w:trPr>
        <w:tc>
          <w:tcPr>
            <w:tcW w:w="1432" w:type="dxa"/>
            <w:tcBorders>
              <w:top w:val="nil"/>
              <w:left w:val="nil"/>
              <w:bottom w:val="nil"/>
              <w:right w:val="nil"/>
            </w:tcBorders>
            <w:shd w:val="clear" w:color="auto" w:fill="auto"/>
            <w:noWrap/>
            <w:vAlign w:val="bottom"/>
            <w:hideMark/>
          </w:tcPr>
          <w:p w14:paraId="334A9C2D"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01/03/2019</w:t>
            </w:r>
          </w:p>
        </w:tc>
        <w:tc>
          <w:tcPr>
            <w:tcW w:w="981" w:type="dxa"/>
            <w:tcBorders>
              <w:top w:val="nil"/>
              <w:left w:val="nil"/>
              <w:bottom w:val="nil"/>
              <w:right w:val="nil"/>
            </w:tcBorders>
            <w:shd w:val="clear" w:color="auto" w:fill="auto"/>
            <w:noWrap/>
            <w:vAlign w:val="bottom"/>
            <w:hideMark/>
          </w:tcPr>
          <w:p w14:paraId="50562A30"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26.4</w:t>
            </w:r>
          </w:p>
        </w:tc>
        <w:tc>
          <w:tcPr>
            <w:tcW w:w="981" w:type="dxa"/>
            <w:tcBorders>
              <w:top w:val="nil"/>
              <w:left w:val="nil"/>
              <w:bottom w:val="nil"/>
              <w:right w:val="nil"/>
            </w:tcBorders>
            <w:shd w:val="clear" w:color="auto" w:fill="auto"/>
            <w:noWrap/>
            <w:vAlign w:val="bottom"/>
            <w:hideMark/>
          </w:tcPr>
          <w:p w14:paraId="149D5AFE"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27.3</w:t>
            </w:r>
          </w:p>
        </w:tc>
        <w:tc>
          <w:tcPr>
            <w:tcW w:w="981" w:type="dxa"/>
            <w:tcBorders>
              <w:top w:val="nil"/>
              <w:left w:val="nil"/>
              <w:bottom w:val="nil"/>
              <w:right w:val="nil"/>
            </w:tcBorders>
            <w:shd w:val="clear" w:color="auto" w:fill="auto"/>
            <w:noWrap/>
            <w:vAlign w:val="bottom"/>
            <w:hideMark/>
          </w:tcPr>
          <w:p w14:paraId="73B876CC"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25.15</w:t>
            </w:r>
          </w:p>
        </w:tc>
        <w:tc>
          <w:tcPr>
            <w:tcW w:w="1145" w:type="dxa"/>
            <w:tcBorders>
              <w:top w:val="nil"/>
              <w:left w:val="nil"/>
              <w:bottom w:val="nil"/>
              <w:right w:val="nil"/>
            </w:tcBorders>
            <w:shd w:val="clear" w:color="auto" w:fill="auto"/>
            <w:noWrap/>
            <w:vAlign w:val="bottom"/>
            <w:hideMark/>
          </w:tcPr>
          <w:p w14:paraId="06B2569D"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26.5</w:t>
            </w:r>
          </w:p>
        </w:tc>
        <w:tc>
          <w:tcPr>
            <w:tcW w:w="1452" w:type="dxa"/>
            <w:tcBorders>
              <w:top w:val="nil"/>
              <w:left w:val="nil"/>
              <w:bottom w:val="nil"/>
              <w:right w:val="nil"/>
            </w:tcBorders>
            <w:shd w:val="clear" w:color="auto" w:fill="auto"/>
            <w:noWrap/>
            <w:vAlign w:val="bottom"/>
            <w:hideMark/>
          </w:tcPr>
          <w:p w14:paraId="02B18B19"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24.0</w:t>
            </w:r>
          </w:p>
        </w:tc>
        <w:tc>
          <w:tcPr>
            <w:tcW w:w="1923" w:type="dxa"/>
            <w:tcBorders>
              <w:top w:val="nil"/>
              <w:left w:val="nil"/>
              <w:bottom w:val="nil"/>
              <w:right w:val="nil"/>
            </w:tcBorders>
            <w:shd w:val="clear" w:color="auto" w:fill="auto"/>
            <w:noWrap/>
            <w:vAlign w:val="bottom"/>
            <w:hideMark/>
          </w:tcPr>
          <w:p w14:paraId="7031EB30"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8243099</w:t>
            </w:r>
          </w:p>
        </w:tc>
      </w:tr>
      <w:tr w:rsidR="00552407" w:rsidRPr="00552407" w14:paraId="1D24AA7C" w14:textId="77777777" w:rsidTr="00552407">
        <w:trPr>
          <w:trHeight w:val="256"/>
        </w:trPr>
        <w:tc>
          <w:tcPr>
            <w:tcW w:w="1432" w:type="dxa"/>
            <w:tcBorders>
              <w:top w:val="nil"/>
              <w:left w:val="nil"/>
              <w:bottom w:val="nil"/>
              <w:right w:val="nil"/>
            </w:tcBorders>
            <w:shd w:val="clear" w:color="auto" w:fill="auto"/>
            <w:noWrap/>
            <w:vAlign w:val="bottom"/>
            <w:hideMark/>
          </w:tcPr>
          <w:p w14:paraId="33B1B773"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01/04/2019</w:t>
            </w:r>
          </w:p>
        </w:tc>
        <w:tc>
          <w:tcPr>
            <w:tcW w:w="981" w:type="dxa"/>
            <w:tcBorders>
              <w:top w:val="nil"/>
              <w:left w:val="nil"/>
              <w:bottom w:val="nil"/>
              <w:right w:val="nil"/>
            </w:tcBorders>
            <w:shd w:val="clear" w:color="auto" w:fill="auto"/>
            <w:noWrap/>
            <w:vAlign w:val="bottom"/>
            <w:hideMark/>
          </w:tcPr>
          <w:p w14:paraId="43D78274"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26.6</w:t>
            </w:r>
          </w:p>
        </w:tc>
        <w:tc>
          <w:tcPr>
            <w:tcW w:w="981" w:type="dxa"/>
            <w:tcBorders>
              <w:top w:val="nil"/>
              <w:left w:val="nil"/>
              <w:bottom w:val="nil"/>
              <w:right w:val="nil"/>
            </w:tcBorders>
            <w:shd w:val="clear" w:color="auto" w:fill="auto"/>
            <w:noWrap/>
            <w:vAlign w:val="bottom"/>
            <w:hideMark/>
          </w:tcPr>
          <w:p w14:paraId="3DB48783"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29.65</w:t>
            </w:r>
          </w:p>
        </w:tc>
        <w:tc>
          <w:tcPr>
            <w:tcW w:w="981" w:type="dxa"/>
            <w:tcBorders>
              <w:top w:val="nil"/>
              <w:left w:val="nil"/>
              <w:bottom w:val="nil"/>
              <w:right w:val="nil"/>
            </w:tcBorders>
            <w:shd w:val="clear" w:color="auto" w:fill="auto"/>
            <w:noWrap/>
            <w:vAlign w:val="bottom"/>
            <w:hideMark/>
          </w:tcPr>
          <w:p w14:paraId="51BF9198"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26.4</w:t>
            </w:r>
          </w:p>
        </w:tc>
        <w:tc>
          <w:tcPr>
            <w:tcW w:w="1145" w:type="dxa"/>
            <w:tcBorders>
              <w:top w:val="nil"/>
              <w:left w:val="nil"/>
              <w:bottom w:val="nil"/>
              <w:right w:val="nil"/>
            </w:tcBorders>
            <w:shd w:val="clear" w:color="auto" w:fill="auto"/>
            <w:noWrap/>
            <w:vAlign w:val="bottom"/>
            <w:hideMark/>
          </w:tcPr>
          <w:p w14:paraId="3D41485D"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28.1</w:t>
            </w:r>
          </w:p>
        </w:tc>
        <w:tc>
          <w:tcPr>
            <w:tcW w:w="1452" w:type="dxa"/>
            <w:tcBorders>
              <w:top w:val="nil"/>
              <w:left w:val="nil"/>
              <w:bottom w:val="nil"/>
              <w:right w:val="nil"/>
            </w:tcBorders>
            <w:shd w:val="clear" w:color="auto" w:fill="auto"/>
            <w:noWrap/>
            <w:vAlign w:val="bottom"/>
            <w:hideMark/>
          </w:tcPr>
          <w:p w14:paraId="0C81F0F4"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25.5</w:t>
            </w:r>
          </w:p>
        </w:tc>
        <w:tc>
          <w:tcPr>
            <w:tcW w:w="1923" w:type="dxa"/>
            <w:tcBorders>
              <w:top w:val="nil"/>
              <w:left w:val="nil"/>
              <w:bottom w:val="nil"/>
              <w:right w:val="nil"/>
            </w:tcBorders>
            <w:shd w:val="clear" w:color="auto" w:fill="auto"/>
            <w:noWrap/>
            <w:vAlign w:val="bottom"/>
            <w:hideMark/>
          </w:tcPr>
          <w:p w14:paraId="700579F5"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12181443</w:t>
            </w:r>
          </w:p>
        </w:tc>
      </w:tr>
      <w:tr w:rsidR="00552407" w:rsidRPr="00552407" w14:paraId="4C7C247B" w14:textId="77777777" w:rsidTr="00552407">
        <w:trPr>
          <w:trHeight w:val="256"/>
        </w:trPr>
        <w:tc>
          <w:tcPr>
            <w:tcW w:w="1432" w:type="dxa"/>
            <w:tcBorders>
              <w:top w:val="nil"/>
              <w:left w:val="nil"/>
              <w:bottom w:val="nil"/>
              <w:right w:val="nil"/>
            </w:tcBorders>
            <w:shd w:val="clear" w:color="auto" w:fill="auto"/>
            <w:noWrap/>
            <w:vAlign w:val="bottom"/>
            <w:hideMark/>
          </w:tcPr>
          <w:p w14:paraId="22AD21E7"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01/05/2019</w:t>
            </w:r>
          </w:p>
        </w:tc>
        <w:tc>
          <w:tcPr>
            <w:tcW w:w="981" w:type="dxa"/>
            <w:tcBorders>
              <w:top w:val="nil"/>
              <w:left w:val="nil"/>
              <w:bottom w:val="nil"/>
              <w:right w:val="nil"/>
            </w:tcBorders>
            <w:shd w:val="clear" w:color="auto" w:fill="auto"/>
            <w:noWrap/>
            <w:vAlign w:val="bottom"/>
            <w:hideMark/>
          </w:tcPr>
          <w:p w14:paraId="66FA6000"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28.1</w:t>
            </w:r>
          </w:p>
        </w:tc>
        <w:tc>
          <w:tcPr>
            <w:tcW w:w="981" w:type="dxa"/>
            <w:tcBorders>
              <w:top w:val="nil"/>
              <w:left w:val="nil"/>
              <w:bottom w:val="nil"/>
              <w:right w:val="nil"/>
            </w:tcBorders>
            <w:shd w:val="clear" w:color="auto" w:fill="auto"/>
            <w:noWrap/>
            <w:vAlign w:val="bottom"/>
            <w:hideMark/>
          </w:tcPr>
          <w:p w14:paraId="2E41CBF9"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28.5</w:t>
            </w:r>
          </w:p>
        </w:tc>
        <w:tc>
          <w:tcPr>
            <w:tcW w:w="981" w:type="dxa"/>
            <w:tcBorders>
              <w:top w:val="nil"/>
              <w:left w:val="nil"/>
              <w:bottom w:val="nil"/>
              <w:right w:val="nil"/>
            </w:tcBorders>
            <w:shd w:val="clear" w:color="auto" w:fill="auto"/>
            <w:noWrap/>
            <w:vAlign w:val="bottom"/>
            <w:hideMark/>
          </w:tcPr>
          <w:p w14:paraId="2D3ADF7B"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24.95</w:t>
            </w:r>
          </w:p>
        </w:tc>
        <w:tc>
          <w:tcPr>
            <w:tcW w:w="1145" w:type="dxa"/>
            <w:tcBorders>
              <w:top w:val="nil"/>
              <w:left w:val="nil"/>
              <w:bottom w:val="nil"/>
              <w:right w:val="nil"/>
            </w:tcBorders>
            <w:shd w:val="clear" w:color="auto" w:fill="auto"/>
            <w:noWrap/>
            <w:vAlign w:val="bottom"/>
            <w:hideMark/>
          </w:tcPr>
          <w:p w14:paraId="469C4B39"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25.2</w:t>
            </w:r>
          </w:p>
        </w:tc>
        <w:tc>
          <w:tcPr>
            <w:tcW w:w="1452" w:type="dxa"/>
            <w:tcBorders>
              <w:top w:val="nil"/>
              <w:left w:val="nil"/>
              <w:bottom w:val="nil"/>
              <w:right w:val="nil"/>
            </w:tcBorders>
            <w:shd w:val="clear" w:color="auto" w:fill="auto"/>
            <w:noWrap/>
            <w:vAlign w:val="bottom"/>
            <w:hideMark/>
          </w:tcPr>
          <w:p w14:paraId="74FEA5DE"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22.8</w:t>
            </w:r>
          </w:p>
        </w:tc>
        <w:tc>
          <w:tcPr>
            <w:tcW w:w="1923" w:type="dxa"/>
            <w:tcBorders>
              <w:top w:val="nil"/>
              <w:left w:val="nil"/>
              <w:bottom w:val="nil"/>
              <w:right w:val="nil"/>
            </w:tcBorders>
            <w:shd w:val="clear" w:color="auto" w:fill="auto"/>
            <w:noWrap/>
            <w:vAlign w:val="bottom"/>
            <w:hideMark/>
          </w:tcPr>
          <w:p w14:paraId="682E1F85"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7475431</w:t>
            </w:r>
          </w:p>
        </w:tc>
      </w:tr>
      <w:tr w:rsidR="00552407" w:rsidRPr="00552407" w14:paraId="1506F040" w14:textId="77777777" w:rsidTr="00552407">
        <w:trPr>
          <w:trHeight w:val="256"/>
        </w:trPr>
        <w:tc>
          <w:tcPr>
            <w:tcW w:w="1432" w:type="dxa"/>
            <w:tcBorders>
              <w:top w:val="nil"/>
              <w:left w:val="nil"/>
              <w:bottom w:val="nil"/>
              <w:right w:val="nil"/>
            </w:tcBorders>
            <w:shd w:val="clear" w:color="auto" w:fill="auto"/>
            <w:noWrap/>
            <w:vAlign w:val="bottom"/>
            <w:hideMark/>
          </w:tcPr>
          <w:p w14:paraId="5190637D"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01/06/2019</w:t>
            </w:r>
          </w:p>
        </w:tc>
        <w:tc>
          <w:tcPr>
            <w:tcW w:w="981" w:type="dxa"/>
            <w:tcBorders>
              <w:top w:val="nil"/>
              <w:left w:val="nil"/>
              <w:bottom w:val="nil"/>
              <w:right w:val="nil"/>
            </w:tcBorders>
            <w:shd w:val="clear" w:color="auto" w:fill="auto"/>
            <w:noWrap/>
            <w:vAlign w:val="bottom"/>
            <w:hideMark/>
          </w:tcPr>
          <w:p w14:paraId="2B45A653"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25.2</w:t>
            </w:r>
          </w:p>
        </w:tc>
        <w:tc>
          <w:tcPr>
            <w:tcW w:w="981" w:type="dxa"/>
            <w:tcBorders>
              <w:top w:val="nil"/>
              <w:left w:val="nil"/>
              <w:bottom w:val="nil"/>
              <w:right w:val="nil"/>
            </w:tcBorders>
            <w:shd w:val="clear" w:color="auto" w:fill="auto"/>
            <w:noWrap/>
            <w:vAlign w:val="bottom"/>
            <w:hideMark/>
          </w:tcPr>
          <w:p w14:paraId="2A0A97EB"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25.9</w:t>
            </w:r>
          </w:p>
        </w:tc>
        <w:tc>
          <w:tcPr>
            <w:tcW w:w="981" w:type="dxa"/>
            <w:tcBorders>
              <w:top w:val="nil"/>
              <w:left w:val="nil"/>
              <w:bottom w:val="nil"/>
              <w:right w:val="nil"/>
            </w:tcBorders>
            <w:shd w:val="clear" w:color="auto" w:fill="auto"/>
            <w:noWrap/>
            <w:vAlign w:val="bottom"/>
            <w:hideMark/>
          </w:tcPr>
          <w:p w14:paraId="7372DD12"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23.35</w:t>
            </w:r>
          </w:p>
        </w:tc>
        <w:tc>
          <w:tcPr>
            <w:tcW w:w="1145" w:type="dxa"/>
            <w:tcBorders>
              <w:top w:val="nil"/>
              <w:left w:val="nil"/>
              <w:bottom w:val="nil"/>
              <w:right w:val="nil"/>
            </w:tcBorders>
            <w:shd w:val="clear" w:color="auto" w:fill="auto"/>
            <w:noWrap/>
            <w:vAlign w:val="bottom"/>
            <w:hideMark/>
          </w:tcPr>
          <w:p w14:paraId="1897FF6A"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24.5</w:t>
            </w:r>
          </w:p>
        </w:tc>
        <w:tc>
          <w:tcPr>
            <w:tcW w:w="1452" w:type="dxa"/>
            <w:tcBorders>
              <w:top w:val="nil"/>
              <w:left w:val="nil"/>
              <w:bottom w:val="nil"/>
              <w:right w:val="nil"/>
            </w:tcBorders>
            <w:shd w:val="clear" w:color="auto" w:fill="auto"/>
            <w:noWrap/>
            <w:vAlign w:val="bottom"/>
            <w:hideMark/>
          </w:tcPr>
          <w:p w14:paraId="1A2E535C"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22.2</w:t>
            </w:r>
          </w:p>
        </w:tc>
        <w:tc>
          <w:tcPr>
            <w:tcW w:w="1923" w:type="dxa"/>
            <w:tcBorders>
              <w:top w:val="nil"/>
              <w:left w:val="nil"/>
              <w:bottom w:val="nil"/>
              <w:right w:val="nil"/>
            </w:tcBorders>
            <w:shd w:val="clear" w:color="auto" w:fill="auto"/>
            <w:noWrap/>
            <w:vAlign w:val="bottom"/>
            <w:hideMark/>
          </w:tcPr>
          <w:p w14:paraId="7E40BFB1"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7135938</w:t>
            </w:r>
          </w:p>
        </w:tc>
      </w:tr>
      <w:tr w:rsidR="00552407" w:rsidRPr="00552407" w14:paraId="08279896" w14:textId="77777777" w:rsidTr="00552407">
        <w:trPr>
          <w:trHeight w:val="256"/>
        </w:trPr>
        <w:tc>
          <w:tcPr>
            <w:tcW w:w="1432" w:type="dxa"/>
            <w:tcBorders>
              <w:top w:val="nil"/>
              <w:left w:val="nil"/>
              <w:bottom w:val="nil"/>
              <w:right w:val="nil"/>
            </w:tcBorders>
            <w:shd w:val="clear" w:color="auto" w:fill="auto"/>
            <w:noWrap/>
            <w:vAlign w:val="bottom"/>
            <w:hideMark/>
          </w:tcPr>
          <w:p w14:paraId="463B7FF8"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01/07/2019</w:t>
            </w:r>
          </w:p>
        </w:tc>
        <w:tc>
          <w:tcPr>
            <w:tcW w:w="981" w:type="dxa"/>
            <w:tcBorders>
              <w:top w:val="nil"/>
              <w:left w:val="nil"/>
              <w:bottom w:val="nil"/>
              <w:right w:val="nil"/>
            </w:tcBorders>
            <w:shd w:val="clear" w:color="auto" w:fill="auto"/>
            <w:noWrap/>
            <w:vAlign w:val="bottom"/>
            <w:hideMark/>
          </w:tcPr>
          <w:p w14:paraId="73A93A30"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24.5</w:t>
            </w:r>
          </w:p>
        </w:tc>
        <w:tc>
          <w:tcPr>
            <w:tcW w:w="981" w:type="dxa"/>
            <w:tcBorders>
              <w:top w:val="nil"/>
              <w:left w:val="nil"/>
              <w:bottom w:val="nil"/>
              <w:right w:val="nil"/>
            </w:tcBorders>
            <w:shd w:val="clear" w:color="auto" w:fill="auto"/>
            <w:noWrap/>
            <w:vAlign w:val="bottom"/>
            <w:hideMark/>
          </w:tcPr>
          <w:p w14:paraId="3E2A2F42"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25.2</w:t>
            </w:r>
          </w:p>
        </w:tc>
        <w:tc>
          <w:tcPr>
            <w:tcW w:w="981" w:type="dxa"/>
            <w:tcBorders>
              <w:top w:val="nil"/>
              <w:left w:val="nil"/>
              <w:bottom w:val="nil"/>
              <w:right w:val="nil"/>
            </w:tcBorders>
            <w:shd w:val="clear" w:color="auto" w:fill="auto"/>
            <w:noWrap/>
            <w:vAlign w:val="bottom"/>
            <w:hideMark/>
          </w:tcPr>
          <w:p w14:paraId="7363DF80"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22.65</w:t>
            </w:r>
          </w:p>
        </w:tc>
        <w:tc>
          <w:tcPr>
            <w:tcW w:w="1145" w:type="dxa"/>
            <w:tcBorders>
              <w:top w:val="nil"/>
              <w:left w:val="nil"/>
              <w:bottom w:val="nil"/>
              <w:right w:val="nil"/>
            </w:tcBorders>
            <w:shd w:val="clear" w:color="auto" w:fill="auto"/>
            <w:noWrap/>
            <w:vAlign w:val="bottom"/>
            <w:hideMark/>
          </w:tcPr>
          <w:p w14:paraId="59821A40"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23.7</w:t>
            </w:r>
          </w:p>
        </w:tc>
        <w:tc>
          <w:tcPr>
            <w:tcW w:w="1452" w:type="dxa"/>
            <w:tcBorders>
              <w:top w:val="nil"/>
              <w:left w:val="nil"/>
              <w:bottom w:val="nil"/>
              <w:right w:val="nil"/>
            </w:tcBorders>
            <w:shd w:val="clear" w:color="auto" w:fill="auto"/>
            <w:noWrap/>
            <w:vAlign w:val="bottom"/>
            <w:hideMark/>
          </w:tcPr>
          <w:p w14:paraId="6F35E0B0"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21.5</w:t>
            </w:r>
          </w:p>
        </w:tc>
        <w:tc>
          <w:tcPr>
            <w:tcW w:w="1923" w:type="dxa"/>
            <w:tcBorders>
              <w:top w:val="nil"/>
              <w:left w:val="nil"/>
              <w:bottom w:val="nil"/>
              <w:right w:val="nil"/>
            </w:tcBorders>
            <w:shd w:val="clear" w:color="auto" w:fill="auto"/>
            <w:noWrap/>
            <w:vAlign w:val="bottom"/>
            <w:hideMark/>
          </w:tcPr>
          <w:p w14:paraId="00F9BF2C"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10616064</w:t>
            </w:r>
          </w:p>
        </w:tc>
      </w:tr>
      <w:tr w:rsidR="00552407" w:rsidRPr="00552407" w14:paraId="6ACD8BBC" w14:textId="77777777" w:rsidTr="00552407">
        <w:trPr>
          <w:trHeight w:val="256"/>
        </w:trPr>
        <w:tc>
          <w:tcPr>
            <w:tcW w:w="1432" w:type="dxa"/>
            <w:tcBorders>
              <w:top w:val="nil"/>
              <w:left w:val="nil"/>
              <w:bottom w:val="nil"/>
              <w:right w:val="nil"/>
            </w:tcBorders>
            <w:shd w:val="clear" w:color="auto" w:fill="auto"/>
            <w:noWrap/>
            <w:vAlign w:val="bottom"/>
            <w:hideMark/>
          </w:tcPr>
          <w:p w14:paraId="72155C4D"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01/08/2019</w:t>
            </w:r>
          </w:p>
        </w:tc>
        <w:tc>
          <w:tcPr>
            <w:tcW w:w="981" w:type="dxa"/>
            <w:tcBorders>
              <w:top w:val="nil"/>
              <w:left w:val="nil"/>
              <w:bottom w:val="nil"/>
              <w:right w:val="nil"/>
            </w:tcBorders>
            <w:shd w:val="clear" w:color="auto" w:fill="auto"/>
            <w:noWrap/>
            <w:vAlign w:val="bottom"/>
            <w:hideMark/>
          </w:tcPr>
          <w:p w14:paraId="3882E8F3"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24.55</w:t>
            </w:r>
          </w:p>
        </w:tc>
        <w:tc>
          <w:tcPr>
            <w:tcW w:w="981" w:type="dxa"/>
            <w:tcBorders>
              <w:top w:val="nil"/>
              <w:left w:val="nil"/>
              <w:bottom w:val="nil"/>
              <w:right w:val="nil"/>
            </w:tcBorders>
            <w:shd w:val="clear" w:color="auto" w:fill="auto"/>
            <w:noWrap/>
            <w:vAlign w:val="bottom"/>
            <w:hideMark/>
          </w:tcPr>
          <w:p w14:paraId="112F94F6"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24.55</w:t>
            </w:r>
          </w:p>
        </w:tc>
        <w:tc>
          <w:tcPr>
            <w:tcW w:w="981" w:type="dxa"/>
            <w:tcBorders>
              <w:top w:val="nil"/>
              <w:left w:val="nil"/>
              <w:bottom w:val="nil"/>
              <w:right w:val="nil"/>
            </w:tcBorders>
            <w:shd w:val="clear" w:color="auto" w:fill="auto"/>
            <w:noWrap/>
            <w:vAlign w:val="bottom"/>
            <w:hideMark/>
          </w:tcPr>
          <w:p w14:paraId="69725D4F"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18.58</w:t>
            </w:r>
          </w:p>
        </w:tc>
        <w:tc>
          <w:tcPr>
            <w:tcW w:w="1145" w:type="dxa"/>
            <w:tcBorders>
              <w:top w:val="nil"/>
              <w:left w:val="nil"/>
              <w:bottom w:val="nil"/>
              <w:right w:val="nil"/>
            </w:tcBorders>
            <w:shd w:val="clear" w:color="auto" w:fill="auto"/>
            <w:noWrap/>
            <w:vAlign w:val="bottom"/>
            <w:hideMark/>
          </w:tcPr>
          <w:p w14:paraId="63728586"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19.6</w:t>
            </w:r>
          </w:p>
        </w:tc>
        <w:tc>
          <w:tcPr>
            <w:tcW w:w="1452" w:type="dxa"/>
            <w:tcBorders>
              <w:top w:val="nil"/>
              <w:left w:val="nil"/>
              <w:bottom w:val="nil"/>
              <w:right w:val="nil"/>
            </w:tcBorders>
            <w:shd w:val="clear" w:color="auto" w:fill="auto"/>
            <w:noWrap/>
            <w:vAlign w:val="bottom"/>
            <w:hideMark/>
          </w:tcPr>
          <w:p w14:paraId="3B79601D"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17.8</w:t>
            </w:r>
          </w:p>
        </w:tc>
        <w:tc>
          <w:tcPr>
            <w:tcW w:w="1923" w:type="dxa"/>
            <w:tcBorders>
              <w:top w:val="nil"/>
              <w:left w:val="nil"/>
              <w:bottom w:val="nil"/>
              <w:right w:val="nil"/>
            </w:tcBorders>
            <w:shd w:val="clear" w:color="auto" w:fill="auto"/>
            <w:noWrap/>
            <w:vAlign w:val="bottom"/>
            <w:hideMark/>
          </w:tcPr>
          <w:p w14:paraId="3A690ABB"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19241296</w:t>
            </w:r>
          </w:p>
        </w:tc>
      </w:tr>
      <w:tr w:rsidR="00552407" w:rsidRPr="00552407" w14:paraId="3D42E56B" w14:textId="77777777" w:rsidTr="00552407">
        <w:trPr>
          <w:trHeight w:val="256"/>
        </w:trPr>
        <w:tc>
          <w:tcPr>
            <w:tcW w:w="1432" w:type="dxa"/>
            <w:tcBorders>
              <w:top w:val="nil"/>
              <w:left w:val="nil"/>
              <w:bottom w:val="nil"/>
              <w:right w:val="nil"/>
            </w:tcBorders>
            <w:shd w:val="clear" w:color="auto" w:fill="auto"/>
            <w:noWrap/>
            <w:vAlign w:val="bottom"/>
            <w:hideMark/>
          </w:tcPr>
          <w:p w14:paraId="6A76A966"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01/09/2019</w:t>
            </w:r>
          </w:p>
        </w:tc>
        <w:tc>
          <w:tcPr>
            <w:tcW w:w="981" w:type="dxa"/>
            <w:tcBorders>
              <w:top w:val="nil"/>
              <w:left w:val="nil"/>
              <w:bottom w:val="nil"/>
              <w:right w:val="nil"/>
            </w:tcBorders>
            <w:shd w:val="clear" w:color="auto" w:fill="auto"/>
            <w:noWrap/>
            <w:vAlign w:val="bottom"/>
            <w:hideMark/>
          </w:tcPr>
          <w:p w14:paraId="654DA2DE"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19.52</w:t>
            </w:r>
          </w:p>
        </w:tc>
        <w:tc>
          <w:tcPr>
            <w:tcW w:w="981" w:type="dxa"/>
            <w:tcBorders>
              <w:top w:val="nil"/>
              <w:left w:val="nil"/>
              <w:bottom w:val="nil"/>
              <w:right w:val="nil"/>
            </w:tcBorders>
            <w:shd w:val="clear" w:color="auto" w:fill="auto"/>
            <w:noWrap/>
            <w:vAlign w:val="bottom"/>
            <w:hideMark/>
          </w:tcPr>
          <w:p w14:paraId="6E6DFF4E"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23.15</w:t>
            </w:r>
          </w:p>
        </w:tc>
        <w:tc>
          <w:tcPr>
            <w:tcW w:w="981" w:type="dxa"/>
            <w:tcBorders>
              <w:top w:val="nil"/>
              <w:left w:val="nil"/>
              <w:bottom w:val="nil"/>
              <w:right w:val="nil"/>
            </w:tcBorders>
            <w:shd w:val="clear" w:color="auto" w:fill="auto"/>
            <w:noWrap/>
            <w:vAlign w:val="bottom"/>
            <w:hideMark/>
          </w:tcPr>
          <w:p w14:paraId="0CE83951"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19.1</w:t>
            </w:r>
          </w:p>
        </w:tc>
        <w:tc>
          <w:tcPr>
            <w:tcW w:w="1145" w:type="dxa"/>
            <w:tcBorders>
              <w:top w:val="nil"/>
              <w:left w:val="nil"/>
              <w:bottom w:val="nil"/>
              <w:right w:val="nil"/>
            </w:tcBorders>
            <w:shd w:val="clear" w:color="auto" w:fill="auto"/>
            <w:noWrap/>
            <w:vAlign w:val="bottom"/>
            <w:hideMark/>
          </w:tcPr>
          <w:p w14:paraId="43EB9425"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19.7</w:t>
            </w:r>
          </w:p>
        </w:tc>
        <w:tc>
          <w:tcPr>
            <w:tcW w:w="1452" w:type="dxa"/>
            <w:tcBorders>
              <w:top w:val="nil"/>
              <w:left w:val="nil"/>
              <w:bottom w:val="nil"/>
              <w:right w:val="nil"/>
            </w:tcBorders>
            <w:shd w:val="clear" w:color="auto" w:fill="auto"/>
            <w:noWrap/>
            <w:vAlign w:val="bottom"/>
            <w:hideMark/>
          </w:tcPr>
          <w:p w14:paraId="3F9F205D"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18.4</w:t>
            </w:r>
          </w:p>
        </w:tc>
        <w:tc>
          <w:tcPr>
            <w:tcW w:w="1923" w:type="dxa"/>
            <w:tcBorders>
              <w:top w:val="nil"/>
              <w:left w:val="nil"/>
              <w:bottom w:val="nil"/>
              <w:right w:val="nil"/>
            </w:tcBorders>
            <w:shd w:val="clear" w:color="auto" w:fill="auto"/>
            <w:noWrap/>
            <w:vAlign w:val="bottom"/>
            <w:hideMark/>
          </w:tcPr>
          <w:p w14:paraId="56A97038"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12364065</w:t>
            </w:r>
          </w:p>
        </w:tc>
      </w:tr>
      <w:tr w:rsidR="00552407" w:rsidRPr="00552407" w14:paraId="4AFC31B6" w14:textId="77777777" w:rsidTr="00552407">
        <w:trPr>
          <w:trHeight w:val="256"/>
        </w:trPr>
        <w:tc>
          <w:tcPr>
            <w:tcW w:w="1432" w:type="dxa"/>
            <w:tcBorders>
              <w:top w:val="nil"/>
              <w:left w:val="nil"/>
              <w:bottom w:val="nil"/>
              <w:right w:val="nil"/>
            </w:tcBorders>
            <w:shd w:val="clear" w:color="auto" w:fill="auto"/>
            <w:noWrap/>
            <w:vAlign w:val="bottom"/>
            <w:hideMark/>
          </w:tcPr>
          <w:p w14:paraId="4A6801E0"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01/10/2019</w:t>
            </w:r>
          </w:p>
        </w:tc>
        <w:tc>
          <w:tcPr>
            <w:tcW w:w="981" w:type="dxa"/>
            <w:tcBorders>
              <w:top w:val="nil"/>
              <w:left w:val="nil"/>
              <w:bottom w:val="nil"/>
              <w:right w:val="nil"/>
            </w:tcBorders>
            <w:shd w:val="clear" w:color="auto" w:fill="auto"/>
            <w:noWrap/>
            <w:vAlign w:val="bottom"/>
            <w:hideMark/>
          </w:tcPr>
          <w:p w14:paraId="131CDD92"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19.68</w:t>
            </w:r>
          </w:p>
        </w:tc>
        <w:tc>
          <w:tcPr>
            <w:tcW w:w="981" w:type="dxa"/>
            <w:tcBorders>
              <w:top w:val="nil"/>
              <w:left w:val="nil"/>
              <w:bottom w:val="nil"/>
              <w:right w:val="nil"/>
            </w:tcBorders>
            <w:shd w:val="clear" w:color="auto" w:fill="auto"/>
            <w:noWrap/>
            <w:vAlign w:val="bottom"/>
            <w:hideMark/>
          </w:tcPr>
          <w:p w14:paraId="556CF2CB"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21.5</w:t>
            </w:r>
          </w:p>
        </w:tc>
        <w:tc>
          <w:tcPr>
            <w:tcW w:w="981" w:type="dxa"/>
            <w:tcBorders>
              <w:top w:val="nil"/>
              <w:left w:val="nil"/>
              <w:bottom w:val="nil"/>
              <w:right w:val="nil"/>
            </w:tcBorders>
            <w:shd w:val="clear" w:color="auto" w:fill="auto"/>
            <w:noWrap/>
            <w:vAlign w:val="bottom"/>
            <w:hideMark/>
          </w:tcPr>
          <w:p w14:paraId="4FAB3DE5"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19.1</w:t>
            </w:r>
          </w:p>
        </w:tc>
        <w:tc>
          <w:tcPr>
            <w:tcW w:w="1145" w:type="dxa"/>
            <w:tcBorders>
              <w:top w:val="nil"/>
              <w:left w:val="nil"/>
              <w:bottom w:val="nil"/>
              <w:right w:val="nil"/>
            </w:tcBorders>
            <w:shd w:val="clear" w:color="auto" w:fill="auto"/>
            <w:noWrap/>
            <w:vAlign w:val="bottom"/>
            <w:hideMark/>
          </w:tcPr>
          <w:p w14:paraId="77726676"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20.9</w:t>
            </w:r>
          </w:p>
        </w:tc>
        <w:tc>
          <w:tcPr>
            <w:tcW w:w="1452" w:type="dxa"/>
            <w:tcBorders>
              <w:top w:val="nil"/>
              <w:left w:val="nil"/>
              <w:bottom w:val="nil"/>
              <w:right w:val="nil"/>
            </w:tcBorders>
            <w:shd w:val="clear" w:color="auto" w:fill="auto"/>
            <w:noWrap/>
            <w:vAlign w:val="bottom"/>
            <w:hideMark/>
          </w:tcPr>
          <w:p w14:paraId="7AD1A8C3"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19.5</w:t>
            </w:r>
          </w:p>
        </w:tc>
        <w:tc>
          <w:tcPr>
            <w:tcW w:w="1923" w:type="dxa"/>
            <w:tcBorders>
              <w:top w:val="nil"/>
              <w:left w:val="nil"/>
              <w:bottom w:val="nil"/>
              <w:right w:val="nil"/>
            </w:tcBorders>
            <w:shd w:val="clear" w:color="auto" w:fill="auto"/>
            <w:noWrap/>
            <w:vAlign w:val="bottom"/>
            <w:hideMark/>
          </w:tcPr>
          <w:p w14:paraId="58443042"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12478182</w:t>
            </w:r>
          </w:p>
        </w:tc>
      </w:tr>
      <w:tr w:rsidR="00552407" w:rsidRPr="00552407" w14:paraId="0CD39A5B" w14:textId="77777777" w:rsidTr="00552407">
        <w:trPr>
          <w:trHeight w:val="256"/>
        </w:trPr>
        <w:tc>
          <w:tcPr>
            <w:tcW w:w="1432" w:type="dxa"/>
            <w:tcBorders>
              <w:top w:val="nil"/>
              <w:left w:val="nil"/>
              <w:bottom w:val="nil"/>
              <w:right w:val="nil"/>
            </w:tcBorders>
            <w:shd w:val="clear" w:color="auto" w:fill="auto"/>
            <w:noWrap/>
            <w:vAlign w:val="bottom"/>
            <w:hideMark/>
          </w:tcPr>
          <w:p w14:paraId="480BF5DF"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01/11/2019</w:t>
            </w:r>
          </w:p>
        </w:tc>
        <w:tc>
          <w:tcPr>
            <w:tcW w:w="981" w:type="dxa"/>
            <w:tcBorders>
              <w:top w:val="nil"/>
              <w:left w:val="nil"/>
              <w:bottom w:val="nil"/>
              <w:right w:val="nil"/>
            </w:tcBorders>
            <w:shd w:val="clear" w:color="auto" w:fill="auto"/>
            <w:noWrap/>
            <w:vAlign w:val="bottom"/>
            <w:hideMark/>
          </w:tcPr>
          <w:p w14:paraId="0DE4554A"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20.75</w:t>
            </w:r>
          </w:p>
        </w:tc>
        <w:tc>
          <w:tcPr>
            <w:tcW w:w="981" w:type="dxa"/>
            <w:tcBorders>
              <w:top w:val="nil"/>
              <w:left w:val="nil"/>
              <w:bottom w:val="nil"/>
              <w:right w:val="nil"/>
            </w:tcBorders>
            <w:shd w:val="clear" w:color="auto" w:fill="auto"/>
            <w:noWrap/>
            <w:vAlign w:val="bottom"/>
            <w:hideMark/>
          </w:tcPr>
          <w:p w14:paraId="0BA8B33B"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22.6</w:t>
            </w:r>
          </w:p>
        </w:tc>
        <w:tc>
          <w:tcPr>
            <w:tcW w:w="981" w:type="dxa"/>
            <w:tcBorders>
              <w:top w:val="nil"/>
              <w:left w:val="nil"/>
              <w:bottom w:val="nil"/>
              <w:right w:val="nil"/>
            </w:tcBorders>
            <w:shd w:val="clear" w:color="auto" w:fill="auto"/>
            <w:noWrap/>
            <w:vAlign w:val="bottom"/>
            <w:hideMark/>
          </w:tcPr>
          <w:p w14:paraId="61F08C83"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20.2</w:t>
            </w:r>
          </w:p>
        </w:tc>
        <w:tc>
          <w:tcPr>
            <w:tcW w:w="1145" w:type="dxa"/>
            <w:tcBorders>
              <w:top w:val="nil"/>
              <w:left w:val="nil"/>
              <w:bottom w:val="nil"/>
              <w:right w:val="nil"/>
            </w:tcBorders>
            <w:shd w:val="clear" w:color="auto" w:fill="auto"/>
            <w:noWrap/>
            <w:vAlign w:val="bottom"/>
            <w:hideMark/>
          </w:tcPr>
          <w:p w14:paraId="644B72A0"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21.8</w:t>
            </w:r>
          </w:p>
        </w:tc>
        <w:tc>
          <w:tcPr>
            <w:tcW w:w="1452" w:type="dxa"/>
            <w:tcBorders>
              <w:top w:val="nil"/>
              <w:left w:val="nil"/>
              <w:bottom w:val="nil"/>
              <w:right w:val="nil"/>
            </w:tcBorders>
            <w:shd w:val="clear" w:color="auto" w:fill="auto"/>
            <w:noWrap/>
            <w:vAlign w:val="bottom"/>
            <w:hideMark/>
          </w:tcPr>
          <w:p w14:paraId="3D7959B0"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20.4</w:t>
            </w:r>
          </w:p>
        </w:tc>
        <w:tc>
          <w:tcPr>
            <w:tcW w:w="1923" w:type="dxa"/>
            <w:tcBorders>
              <w:top w:val="nil"/>
              <w:left w:val="nil"/>
              <w:bottom w:val="nil"/>
              <w:right w:val="nil"/>
            </w:tcBorders>
            <w:shd w:val="clear" w:color="auto" w:fill="auto"/>
            <w:noWrap/>
            <w:vAlign w:val="bottom"/>
            <w:hideMark/>
          </w:tcPr>
          <w:p w14:paraId="73728E8D"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7600868</w:t>
            </w:r>
          </w:p>
        </w:tc>
      </w:tr>
      <w:tr w:rsidR="00552407" w:rsidRPr="00552407" w14:paraId="781D7B56" w14:textId="77777777" w:rsidTr="00552407">
        <w:trPr>
          <w:trHeight w:val="256"/>
        </w:trPr>
        <w:tc>
          <w:tcPr>
            <w:tcW w:w="1432" w:type="dxa"/>
            <w:tcBorders>
              <w:top w:val="nil"/>
              <w:left w:val="nil"/>
              <w:bottom w:val="nil"/>
              <w:right w:val="nil"/>
            </w:tcBorders>
            <w:shd w:val="clear" w:color="auto" w:fill="auto"/>
            <w:noWrap/>
            <w:vAlign w:val="bottom"/>
            <w:hideMark/>
          </w:tcPr>
          <w:p w14:paraId="2CD55486"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01/12/2019</w:t>
            </w:r>
          </w:p>
        </w:tc>
        <w:tc>
          <w:tcPr>
            <w:tcW w:w="981" w:type="dxa"/>
            <w:tcBorders>
              <w:top w:val="nil"/>
              <w:left w:val="nil"/>
              <w:bottom w:val="nil"/>
              <w:right w:val="nil"/>
            </w:tcBorders>
            <w:shd w:val="clear" w:color="auto" w:fill="auto"/>
            <w:noWrap/>
            <w:vAlign w:val="bottom"/>
            <w:hideMark/>
          </w:tcPr>
          <w:p w14:paraId="0F186CC1"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21.7</w:t>
            </w:r>
          </w:p>
        </w:tc>
        <w:tc>
          <w:tcPr>
            <w:tcW w:w="981" w:type="dxa"/>
            <w:tcBorders>
              <w:top w:val="nil"/>
              <w:left w:val="nil"/>
              <w:bottom w:val="nil"/>
              <w:right w:val="nil"/>
            </w:tcBorders>
            <w:shd w:val="clear" w:color="auto" w:fill="auto"/>
            <w:noWrap/>
            <w:vAlign w:val="bottom"/>
            <w:hideMark/>
          </w:tcPr>
          <w:p w14:paraId="3710D3F2"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22.7</w:t>
            </w:r>
          </w:p>
        </w:tc>
        <w:tc>
          <w:tcPr>
            <w:tcW w:w="981" w:type="dxa"/>
            <w:tcBorders>
              <w:top w:val="nil"/>
              <w:left w:val="nil"/>
              <w:bottom w:val="nil"/>
              <w:right w:val="nil"/>
            </w:tcBorders>
            <w:shd w:val="clear" w:color="auto" w:fill="auto"/>
            <w:noWrap/>
            <w:vAlign w:val="bottom"/>
            <w:hideMark/>
          </w:tcPr>
          <w:p w14:paraId="1B9FCEB9"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19.94</w:t>
            </w:r>
          </w:p>
        </w:tc>
        <w:tc>
          <w:tcPr>
            <w:tcW w:w="1145" w:type="dxa"/>
            <w:tcBorders>
              <w:top w:val="nil"/>
              <w:left w:val="nil"/>
              <w:bottom w:val="nil"/>
              <w:right w:val="nil"/>
            </w:tcBorders>
            <w:shd w:val="clear" w:color="auto" w:fill="auto"/>
            <w:noWrap/>
            <w:vAlign w:val="bottom"/>
            <w:hideMark/>
          </w:tcPr>
          <w:p w14:paraId="5CCA4095"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22.5</w:t>
            </w:r>
          </w:p>
        </w:tc>
        <w:tc>
          <w:tcPr>
            <w:tcW w:w="1452" w:type="dxa"/>
            <w:tcBorders>
              <w:top w:val="nil"/>
              <w:left w:val="nil"/>
              <w:bottom w:val="nil"/>
              <w:right w:val="nil"/>
            </w:tcBorders>
            <w:shd w:val="clear" w:color="auto" w:fill="auto"/>
            <w:noWrap/>
            <w:vAlign w:val="bottom"/>
            <w:hideMark/>
          </w:tcPr>
          <w:p w14:paraId="561C88DE"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21.0</w:t>
            </w:r>
          </w:p>
        </w:tc>
        <w:tc>
          <w:tcPr>
            <w:tcW w:w="1923" w:type="dxa"/>
            <w:tcBorders>
              <w:top w:val="nil"/>
              <w:left w:val="nil"/>
              <w:bottom w:val="nil"/>
              <w:right w:val="nil"/>
            </w:tcBorders>
            <w:shd w:val="clear" w:color="auto" w:fill="auto"/>
            <w:noWrap/>
            <w:vAlign w:val="bottom"/>
            <w:hideMark/>
          </w:tcPr>
          <w:p w14:paraId="1FBB8657"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14599309</w:t>
            </w:r>
          </w:p>
        </w:tc>
      </w:tr>
      <w:tr w:rsidR="00552407" w:rsidRPr="00552407" w14:paraId="32055EEA" w14:textId="77777777" w:rsidTr="00552407">
        <w:trPr>
          <w:trHeight w:val="256"/>
        </w:trPr>
        <w:tc>
          <w:tcPr>
            <w:tcW w:w="1432" w:type="dxa"/>
            <w:tcBorders>
              <w:top w:val="nil"/>
              <w:left w:val="nil"/>
              <w:bottom w:val="nil"/>
              <w:right w:val="nil"/>
            </w:tcBorders>
            <w:shd w:val="clear" w:color="auto" w:fill="auto"/>
            <w:noWrap/>
            <w:vAlign w:val="bottom"/>
            <w:hideMark/>
          </w:tcPr>
          <w:p w14:paraId="1E119A3D"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01/01/2020</w:t>
            </w:r>
          </w:p>
        </w:tc>
        <w:tc>
          <w:tcPr>
            <w:tcW w:w="981" w:type="dxa"/>
            <w:tcBorders>
              <w:top w:val="nil"/>
              <w:left w:val="nil"/>
              <w:bottom w:val="nil"/>
              <w:right w:val="nil"/>
            </w:tcBorders>
            <w:shd w:val="clear" w:color="auto" w:fill="auto"/>
            <w:noWrap/>
            <w:vAlign w:val="bottom"/>
            <w:hideMark/>
          </w:tcPr>
          <w:p w14:paraId="2456E3B7"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22.45</w:t>
            </w:r>
          </w:p>
        </w:tc>
        <w:tc>
          <w:tcPr>
            <w:tcW w:w="981" w:type="dxa"/>
            <w:tcBorders>
              <w:top w:val="nil"/>
              <w:left w:val="nil"/>
              <w:bottom w:val="nil"/>
              <w:right w:val="nil"/>
            </w:tcBorders>
            <w:shd w:val="clear" w:color="auto" w:fill="auto"/>
            <w:noWrap/>
            <w:vAlign w:val="bottom"/>
            <w:hideMark/>
          </w:tcPr>
          <w:p w14:paraId="346A96E2"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24.3</w:t>
            </w:r>
          </w:p>
        </w:tc>
        <w:tc>
          <w:tcPr>
            <w:tcW w:w="981" w:type="dxa"/>
            <w:tcBorders>
              <w:top w:val="nil"/>
              <w:left w:val="nil"/>
              <w:bottom w:val="nil"/>
              <w:right w:val="nil"/>
            </w:tcBorders>
            <w:shd w:val="clear" w:color="auto" w:fill="auto"/>
            <w:noWrap/>
            <w:vAlign w:val="bottom"/>
            <w:hideMark/>
          </w:tcPr>
          <w:p w14:paraId="782B26CD"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20.95</w:t>
            </w:r>
          </w:p>
        </w:tc>
        <w:tc>
          <w:tcPr>
            <w:tcW w:w="1145" w:type="dxa"/>
            <w:tcBorders>
              <w:top w:val="nil"/>
              <w:left w:val="nil"/>
              <w:bottom w:val="nil"/>
              <w:right w:val="nil"/>
            </w:tcBorders>
            <w:shd w:val="clear" w:color="auto" w:fill="auto"/>
            <w:noWrap/>
            <w:vAlign w:val="bottom"/>
            <w:hideMark/>
          </w:tcPr>
          <w:p w14:paraId="2A7C8A59"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21.2</w:t>
            </w:r>
          </w:p>
        </w:tc>
        <w:tc>
          <w:tcPr>
            <w:tcW w:w="1452" w:type="dxa"/>
            <w:tcBorders>
              <w:top w:val="nil"/>
              <w:left w:val="nil"/>
              <w:bottom w:val="nil"/>
              <w:right w:val="nil"/>
            </w:tcBorders>
            <w:shd w:val="clear" w:color="auto" w:fill="auto"/>
            <w:noWrap/>
            <w:vAlign w:val="bottom"/>
            <w:hideMark/>
          </w:tcPr>
          <w:p w14:paraId="06D44630"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20.3</w:t>
            </w:r>
          </w:p>
        </w:tc>
        <w:tc>
          <w:tcPr>
            <w:tcW w:w="1923" w:type="dxa"/>
            <w:tcBorders>
              <w:top w:val="nil"/>
              <w:left w:val="nil"/>
              <w:bottom w:val="nil"/>
              <w:right w:val="nil"/>
            </w:tcBorders>
            <w:shd w:val="clear" w:color="auto" w:fill="auto"/>
            <w:noWrap/>
            <w:vAlign w:val="bottom"/>
            <w:hideMark/>
          </w:tcPr>
          <w:p w14:paraId="1895485A"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9608038</w:t>
            </w:r>
          </w:p>
        </w:tc>
      </w:tr>
      <w:tr w:rsidR="00552407" w:rsidRPr="00552407" w14:paraId="7F02D0A3" w14:textId="77777777" w:rsidTr="00552407">
        <w:trPr>
          <w:trHeight w:val="256"/>
        </w:trPr>
        <w:tc>
          <w:tcPr>
            <w:tcW w:w="1432" w:type="dxa"/>
            <w:tcBorders>
              <w:top w:val="nil"/>
              <w:left w:val="nil"/>
              <w:bottom w:val="nil"/>
              <w:right w:val="nil"/>
            </w:tcBorders>
            <w:shd w:val="clear" w:color="auto" w:fill="auto"/>
            <w:noWrap/>
            <w:vAlign w:val="bottom"/>
            <w:hideMark/>
          </w:tcPr>
          <w:p w14:paraId="13171605"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01/02/2020</w:t>
            </w:r>
          </w:p>
        </w:tc>
        <w:tc>
          <w:tcPr>
            <w:tcW w:w="981" w:type="dxa"/>
            <w:tcBorders>
              <w:top w:val="nil"/>
              <w:left w:val="nil"/>
              <w:bottom w:val="nil"/>
              <w:right w:val="nil"/>
            </w:tcBorders>
            <w:shd w:val="clear" w:color="auto" w:fill="auto"/>
            <w:noWrap/>
            <w:vAlign w:val="bottom"/>
            <w:hideMark/>
          </w:tcPr>
          <w:p w14:paraId="77B47D94"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20.9</w:t>
            </w:r>
          </w:p>
        </w:tc>
        <w:tc>
          <w:tcPr>
            <w:tcW w:w="981" w:type="dxa"/>
            <w:tcBorders>
              <w:top w:val="nil"/>
              <w:left w:val="nil"/>
              <w:bottom w:val="nil"/>
              <w:right w:val="nil"/>
            </w:tcBorders>
            <w:shd w:val="clear" w:color="auto" w:fill="auto"/>
            <w:noWrap/>
            <w:vAlign w:val="bottom"/>
            <w:hideMark/>
          </w:tcPr>
          <w:p w14:paraId="624286B5"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21.85</w:t>
            </w:r>
          </w:p>
        </w:tc>
        <w:tc>
          <w:tcPr>
            <w:tcW w:w="981" w:type="dxa"/>
            <w:tcBorders>
              <w:top w:val="nil"/>
              <w:left w:val="nil"/>
              <w:bottom w:val="nil"/>
              <w:right w:val="nil"/>
            </w:tcBorders>
            <w:shd w:val="clear" w:color="auto" w:fill="auto"/>
            <w:noWrap/>
            <w:vAlign w:val="bottom"/>
            <w:hideMark/>
          </w:tcPr>
          <w:p w14:paraId="2D36B5FB"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18.96</w:t>
            </w:r>
          </w:p>
        </w:tc>
        <w:tc>
          <w:tcPr>
            <w:tcW w:w="1145" w:type="dxa"/>
            <w:tcBorders>
              <w:top w:val="nil"/>
              <w:left w:val="nil"/>
              <w:bottom w:val="nil"/>
              <w:right w:val="nil"/>
            </w:tcBorders>
            <w:shd w:val="clear" w:color="auto" w:fill="auto"/>
            <w:noWrap/>
            <w:vAlign w:val="bottom"/>
            <w:hideMark/>
          </w:tcPr>
          <w:p w14:paraId="26F02B10"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19.0</w:t>
            </w:r>
          </w:p>
        </w:tc>
        <w:tc>
          <w:tcPr>
            <w:tcW w:w="1452" w:type="dxa"/>
            <w:tcBorders>
              <w:top w:val="nil"/>
              <w:left w:val="nil"/>
              <w:bottom w:val="nil"/>
              <w:right w:val="nil"/>
            </w:tcBorders>
            <w:shd w:val="clear" w:color="auto" w:fill="auto"/>
            <w:noWrap/>
            <w:vAlign w:val="bottom"/>
            <w:hideMark/>
          </w:tcPr>
          <w:p w14:paraId="66B0C639"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18.2</w:t>
            </w:r>
          </w:p>
        </w:tc>
        <w:tc>
          <w:tcPr>
            <w:tcW w:w="1923" w:type="dxa"/>
            <w:tcBorders>
              <w:top w:val="nil"/>
              <w:left w:val="nil"/>
              <w:bottom w:val="nil"/>
              <w:right w:val="nil"/>
            </w:tcBorders>
            <w:shd w:val="clear" w:color="auto" w:fill="auto"/>
            <w:noWrap/>
            <w:vAlign w:val="bottom"/>
            <w:hideMark/>
          </w:tcPr>
          <w:p w14:paraId="26B16880"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9884947</w:t>
            </w:r>
          </w:p>
        </w:tc>
      </w:tr>
      <w:tr w:rsidR="00552407" w:rsidRPr="00552407" w14:paraId="0AB6F962" w14:textId="77777777" w:rsidTr="00552407">
        <w:trPr>
          <w:trHeight w:val="256"/>
        </w:trPr>
        <w:tc>
          <w:tcPr>
            <w:tcW w:w="1432" w:type="dxa"/>
            <w:tcBorders>
              <w:top w:val="nil"/>
              <w:left w:val="nil"/>
              <w:bottom w:val="nil"/>
              <w:right w:val="nil"/>
            </w:tcBorders>
            <w:shd w:val="clear" w:color="auto" w:fill="auto"/>
            <w:noWrap/>
            <w:vAlign w:val="bottom"/>
            <w:hideMark/>
          </w:tcPr>
          <w:p w14:paraId="2A0AEAC3"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01/03/2020</w:t>
            </w:r>
          </w:p>
        </w:tc>
        <w:tc>
          <w:tcPr>
            <w:tcW w:w="981" w:type="dxa"/>
            <w:tcBorders>
              <w:top w:val="nil"/>
              <w:left w:val="nil"/>
              <w:bottom w:val="nil"/>
              <w:right w:val="nil"/>
            </w:tcBorders>
            <w:shd w:val="clear" w:color="auto" w:fill="auto"/>
            <w:noWrap/>
            <w:vAlign w:val="bottom"/>
            <w:hideMark/>
          </w:tcPr>
          <w:p w14:paraId="7FDD03E4"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19</w:t>
            </w:r>
          </w:p>
        </w:tc>
        <w:tc>
          <w:tcPr>
            <w:tcW w:w="981" w:type="dxa"/>
            <w:tcBorders>
              <w:top w:val="nil"/>
              <w:left w:val="nil"/>
              <w:bottom w:val="nil"/>
              <w:right w:val="nil"/>
            </w:tcBorders>
            <w:shd w:val="clear" w:color="auto" w:fill="auto"/>
            <w:noWrap/>
            <w:vAlign w:val="bottom"/>
            <w:hideMark/>
          </w:tcPr>
          <w:p w14:paraId="5CEB45DA"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19.5</w:t>
            </w:r>
          </w:p>
        </w:tc>
        <w:tc>
          <w:tcPr>
            <w:tcW w:w="981" w:type="dxa"/>
            <w:tcBorders>
              <w:top w:val="nil"/>
              <w:left w:val="nil"/>
              <w:bottom w:val="nil"/>
              <w:right w:val="nil"/>
            </w:tcBorders>
            <w:shd w:val="clear" w:color="auto" w:fill="auto"/>
            <w:noWrap/>
            <w:vAlign w:val="bottom"/>
            <w:hideMark/>
          </w:tcPr>
          <w:p w14:paraId="48E39822"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12.06</w:t>
            </w:r>
          </w:p>
        </w:tc>
        <w:tc>
          <w:tcPr>
            <w:tcW w:w="1145" w:type="dxa"/>
            <w:tcBorders>
              <w:top w:val="nil"/>
              <w:left w:val="nil"/>
              <w:bottom w:val="nil"/>
              <w:right w:val="nil"/>
            </w:tcBorders>
            <w:shd w:val="clear" w:color="auto" w:fill="auto"/>
            <w:noWrap/>
            <w:vAlign w:val="bottom"/>
            <w:hideMark/>
          </w:tcPr>
          <w:p w14:paraId="5E502552"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15.6</w:t>
            </w:r>
          </w:p>
        </w:tc>
        <w:tc>
          <w:tcPr>
            <w:tcW w:w="1452" w:type="dxa"/>
            <w:tcBorders>
              <w:top w:val="nil"/>
              <w:left w:val="nil"/>
              <w:bottom w:val="nil"/>
              <w:right w:val="nil"/>
            </w:tcBorders>
            <w:shd w:val="clear" w:color="auto" w:fill="auto"/>
            <w:noWrap/>
            <w:vAlign w:val="bottom"/>
            <w:hideMark/>
          </w:tcPr>
          <w:p w14:paraId="43B493E1"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15.0</w:t>
            </w:r>
          </w:p>
        </w:tc>
        <w:tc>
          <w:tcPr>
            <w:tcW w:w="1923" w:type="dxa"/>
            <w:tcBorders>
              <w:top w:val="nil"/>
              <w:left w:val="nil"/>
              <w:bottom w:val="nil"/>
              <w:right w:val="nil"/>
            </w:tcBorders>
            <w:shd w:val="clear" w:color="auto" w:fill="auto"/>
            <w:noWrap/>
            <w:vAlign w:val="bottom"/>
            <w:hideMark/>
          </w:tcPr>
          <w:p w14:paraId="0199F775"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16756588</w:t>
            </w:r>
          </w:p>
        </w:tc>
      </w:tr>
      <w:tr w:rsidR="00552407" w:rsidRPr="00552407" w14:paraId="230065D6" w14:textId="77777777" w:rsidTr="00552407">
        <w:trPr>
          <w:trHeight w:val="256"/>
        </w:trPr>
        <w:tc>
          <w:tcPr>
            <w:tcW w:w="1432" w:type="dxa"/>
            <w:tcBorders>
              <w:top w:val="nil"/>
              <w:left w:val="nil"/>
              <w:bottom w:val="nil"/>
              <w:right w:val="nil"/>
            </w:tcBorders>
            <w:shd w:val="clear" w:color="auto" w:fill="auto"/>
            <w:noWrap/>
            <w:vAlign w:val="bottom"/>
            <w:hideMark/>
          </w:tcPr>
          <w:p w14:paraId="2889C8B8"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01/04/2020</w:t>
            </w:r>
          </w:p>
        </w:tc>
        <w:tc>
          <w:tcPr>
            <w:tcW w:w="981" w:type="dxa"/>
            <w:tcBorders>
              <w:top w:val="nil"/>
              <w:left w:val="nil"/>
              <w:bottom w:val="nil"/>
              <w:right w:val="nil"/>
            </w:tcBorders>
            <w:shd w:val="clear" w:color="auto" w:fill="auto"/>
            <w:noWrap/>
            <w:vAlign w:val="bottom"/>
            <w:hideMark/>
          </w:tcPr>
          <w:p w14:paraId="48E60EF3"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15.7</w:t>
            </w:r>
          </w:p>
        </w:tc>
        <w:tc>
          <w:tcPr>
            <w:tcW w:w="981" w:type="dxa"/>
            <w:tcBorders>
              <w:top w:val="nil"/>
              <w:left w:val="nil"/>
              <w:bottom w:val="nil"/>
              <w:right w:val="nil"/>
            </w:tcBorders>
            <w:shd w:val="clear" w:color="auto" w:fill="auto"/>
            <w:noWrap/>
            <w:vAlign w:val="bottom"/>
            <w:hideMark/>
          </w:tcPr>
          <w:p w14:paraId="3CD86924"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17.26</w:t>
            </w:r>
          </w:p>
        </w:tc>
        <w:tc>
          <w:tcPr>
            <w:tcW w:w="981" w:type="dxa"/>
            <w:tcBorders>
              <w:top w:val="nil"/>
              <w:left w:val="nil"/>
              <w:bottom w:val="nil"/>
              <w:right w:val="nil"/>
            </w:tcBorders>
            <w:shd w:val="clear" w:color="auto" w:fill="auto"/>
            <w:noWrap/>
            <w:vAlign w:val="bottom"/>
            <w:hideMark/>
          </w:tcPr>
          <w:p w14:paraId="5546589A"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14.6</w:t>
            </w:r>
          </w:p>
        </w:tc>
        <w:tc>
          <w:tcPr>
            <w:tcW w:w="1145" w:type="dxa"/>
            <w:tcBorders>
              <w:top w:val="nil"/>
              <w:left w:val="nil"/>
              <w:bottom w:val="nil"/>
              <w:right w:val="nil"/>
            </w:tcBorders>
            <w:shd w:val="clear" w:color="auto" w:fill="auto"/>
            <w:noWrap/>
            <w:vAlign w:val="bottom"/>
            <w:hideMark/>
          </w:tcPr>
          <w:p w14:paraId="06C1F393"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16.6</w:t>
            </w:r>
          </w:p>
        </w:tc>
        <w:tc>
          <w:tcPr>
            <w:tcW w:w="1452" w:type="dxa"/>
            <w:tcBorders>
              <w:top w:val="nil"/>
              <w:left w:val="nil"/>
              <w:bottom w:val="nil"/>
              <w:right w:val="nil"/>
            </w:tcBorders>
            <w:shd w:val="clear" w:color="auto" w:fill="auto"/>
            <w:noWrap/>
            <w:vAlign w:val="bottom"/>
            <w:hideMark/>
          </w:tcPr>
          <w:p w14:paraId="59AA09E5"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15.9</w:t>
            </w:r>
          </w:p>
        </w:tc>
        <w:tc>
          <w:tcPr>
            <w:tcW w:w="1923" w:type="dxa"/>
            <w:tcBorders>
              <w:top w:val="nil"/>
              <w:left w:val="nil"/>
              <w:bottom w:val="nil"/>
              <w:right w:val="nil"/>
            </w:tcBorders>
            <w:shd w:val="clear" w:color="auto" w:fill="auto"/>
            <w:noWrap/>
            <w:vAlign w:val="bottom"/>
            <w:hideMark/>
          </w:tcPr>
          <w:p w14:paraId="6B4A7892"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12054870</w:t>
            </w:r>
          </w:p>
        </w:tc>
      </w:tr>
      <w:tr w:rsidR="00552407" w:rsidRPr="00552407" w14:paraId="5A34D6C7" w14:textId="77777777" w:rsidTr="00552407">
        <w:trPr>
          <w:trHeight w:val="256"/>
        </w:trPr>
        <w:tc>
          <w:tcPr>
            <w:tcW w:w="1432" w:type="dxa"/>
            <w:tcBorders>
              <w:top w:val="nil"/>
              <w:left w:val="nil"/>
              <w:bottom w:val="nil"/>
              <w:right w:val="nil"/>
            </w:tcBorders>
            <w:shd w:val="clear" w:color="auto" w:fill="auto"/>
            <w:noWrap/>
            <w:vAlign w:val="bottom"/>
            <w:hideMark/>
          </w:tcPr>
          <w:p w14:paraId="614F92B0"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01/05/2020</w:t>
            </w:r>
          </w:p>
        </w:tc>
        <w:tc>
          <w:tcPr>
            <w:tcW w:w="981" w:type="dxa"/>
            <w:tcBorders>
              <w:top w:val="nil"/>
              <w:left w:val="nil"/>
              <w:bottom w:val="nil"/>
              <w:right w:val="nil"/>
            </w:tcBorders>
            <w:shd w:val="clear" w:color="auto" w:fill="auto"/>
            <w:noWrap/>
            <w:vAlign w:val="bottom"/>
            <w:hideMark/>
          </w:tcPr>
          <w:p w14:paraId="44BB62DF"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16.56</w:t>
            </w:r>
          </w:p>
        </w:tc>
        <w:tc>
          <w:tcPr>
            <w:tcW w:w="981" w:type="dxa"/>
            <w:tcBorders>
              <w:top w:val="nil"/>
              <w:left w:val="nil"/>
              <w:bottom w:val="nil"/>
              <w:right w:val="nil"/>
            </w:tcBorders>
            <w:shd w:val="clear" w:color="auto" w:fill="auto"/>
            <w:noWrap/>
            <w:vAlign w:val="bottom"/>
            <w:hideMark/>
          </w:tcPr>
          <w:p w14:paraId="63CCE54B"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16.9</w:t>
            </w:r>
          </w:p>
        </w:tc>
        <w:tc>
          <w:tcPr>
            <w:tcW w:w="981" w:type="dxa"/>
            <w:tcBorders>
              <w:top w:val="nil"/>
              <w:left w:val="nil"/>
              <w:bottom w:val="nil"/>
              <w:right w:val="nil"/>
            </w:tcBorders>
            <w:shd w:val="clear" w:color="auto" w:fill="auto"/>
            <w:noWrap/>
            <w:vAlign w:val="bottom"/>
            <w:hideMark/>
          </w:tcPr>
          <w:p w14:paraId="468557BF"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13.2</w:t>
            </w:r>
          </w:p>
        </w:tc>
        <w:tc>
          <w:tcPr>
            <w:tcW w:w="1145" w:type="dxa"/>
            <w:tcBorders>
              <w:top w:val="nil"/>
              <w:left w:val="nil"/>
              <w:bottom w:val="nil"/>
              <w:right w:val="nil"/>
            </w:tcBorders>
            <w:shd w:val="clear" w:color="auto" w:fill="auto"/>
            <w:noWrap/>
            <w:vAlign w:val="bottom"/>
            <w:hideMark/>
          </w:tcPr>
          <w:p w14:paraId="04840AA4"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13.6</w:t>
            </w:r>
          </w:p>
        </w:tc>
        <w:tc>
          <w:tcPr>
            <w:tcW w:w="1452" w:type="dxa"/>
            <w:tcBorders>
              <w:top w:val="nil"/>
              <w:left w:val="nil"/>
              <w:bottom w:val="nil"/>
              <w:right w:val="nil"/>
            </w:tcBorders>
            <w:shd w:val="clear" w:color="auto" w:fill="auto"/>
            <w:noWrap/>
            <w:vAlign w:val="bottom"/>
            <w:hideMark/>
          </w:tcPr>
          <w:p w14:paraId="5898D74B"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13.0</w:t>
            </w:r>
          </w:p>
        </w:tc>
        <w:tc>
          <w:tcPr>
            <w:tcW w:w="1923" w:type="dxa"/>
            <w:tcBorders>
              <w:top w:val="nil"/>
              <w:left w:val="nil"/>
              <w:bottom w:val="nil"/>
              <w:right w:val="nil"/>
            </w:tcBorders>
            <w:shd w:val="clear" w:color="auto" w:fill="auto"/>
            <w:noWrap/>
            <w:vAlign w:val="bottom"/>
            <w:hideMark/>
          </w:tcPr>
          <w:p w14:paraId="7A884E68"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11595958</w:t>
            </w:r>
          </w:p>
        </w:tc>
      </w:tr>
      <w:tr w:rsidR="00552407" w:rsidRPr="00552407" w14:paraId="7059C51F" w14:textId="77777777" w:rsidTr="00552407">
        <w:trPr>
          <w:trHeight w:val="256"/>
        </w:trPr>
        <w:tc>
          <w:tcPr>
            <w:tcW w:w="1432" w:type="dxa"/>
            <w:tcBorders>
              <w:top w:val="nil"/>
              <w:left w:val="nil"/>
              <w:bottom w:val="nil"/>
              <w:right w:val="nil"/>
            </w:tcBorders>
            <w:shd w:val="clear" w:color="auto" w:fill="auto"/>
            <w:noWrap/>
            <w:vAlign w:val="bottom"/>
            <w:hideMark/>
          </w:tcPr>
          <w:p w14:paraId="382078D2"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01/06/2020</w:t>
            </w:r>
          </w:p>
        </w:tc>
        <w:tc>
          <w:tcPr>
            <w:tcW w:w="981" w:type="dxa"/>
            <w:tcBorders>
              <w:top w:val="nil"/>
              <w:left w:val="nil"/>
              <w:bottom w:val="nil"/>
              <w:right w:val="nil"/>
            </w:tcBorders>
            <w:shd w:val="clear" w:color="auto" w:fill="auto"/>
            <w:noWrap/>
            <w:vAlign w:val="bottom"/>
            <w:hideMark/>
          </w:tcPr>
          <w:p w14:paraId="50C7D2AD"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13.62</w:t>
            </w:r>
          </w:p>
        </w:tc>
        <w:tc>
          <w:tcPr>
            <w:tcW w:w="981" w:type="dxa"/>
            <w:tcBorders>
              <w:top w:val="nil"/>
              <w:left w:val="nil"/>
              <w:bottom w:val="nil"/>
              <w:right w:val="nil"/>
            </w:tcBorders>
            <w:shd w:val="clear" w:color="auto" w:fill="auto"/>
            <w:noWrap/>
            <w:vAlign w:val="bottom"/>
            <w:hideMark/>
          </w:tcPr>
          <w:p w14:paraId="1CEA0E24"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17.18</w:t>
            </w:r>
          </w:p>
        </w:tc>
        <w:tc>
          <w:tcPr>
            <w:tcW w:w="981" w:type="dxa"/>
            <w:tcBorders>
              <w:top w:val="nil"/>
              <w:left w:val="nil"/>
              <w:bottom w:val="nil"/>
              <w:right w:val="nil"/>
            </w:tcBorders>
            <w:shd w:val="clear" w:color="auto" w:fill="auto"/>
            <w:noWrap/>
            <w:vAlign w:val="bottom"/>
            <w:hideMark/>
          </w:tcPr>
          <w:p w14:paraId="5A2D4601"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13.42</w:t>
            </w:r>
          </w:p>
        </w:tc>
        <w:tc>
          <w:tcPr>
            <w:tcW w:w="1145" w:type="dxa"/>
            <w:tcBorders>
              <w:top w:val="nil"/>
              <w:left w:val="nil"/>
              <w:bottom w:val="nil"/>
              <w:right w:val="nil"/>
            </w:tcBorders>
            <w:shd w:val="clear" w:color="auto" w:fill="auto"/>
            <w:noWrap/>
            <w:vAlign w:val="bottom"/>
            <w:hideMark/>
          </w:tcPr>
          <w:p w14:paraId="15E386C8"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16.8</w:t>
            </w:r>
          </w:p>
        </w:tc>
        <w:tc>
          <w:tcPr>
            <w:tcW w:w="1452" w:type="dxa"/>
            <w:tcBorders>
              <w:top w:val="nil"/>
              <w:left w:val="nil"/>
              <w:bottom w:val="nil"/>
              <w:right w:val="nil"/>
            </w:tcBorders>
            <w:shd w:val="clear" w:color="auto" w:fill="auto"/>
            <w:noWrap/>
            <w:vAlign w:val="bottom"/>
            <w:hideMark/>
          </w:tcPr>
          <w:p w14:paraId="54B66825"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16.1</w:t>
            </w:r>
          </w:p>
        </w:tc>
        <w:tc>
          <w:tcPr>
            <w:tcW w:w="1923" w:type="dxa"/>
            <w:tcBorders>
              <w:top w:val="nil"/>
              <w:left w:val="nil"/>
              <w:bottom w:val="nil"/>
              <w:right w:val="nil"/>
            </w:tcBorders>
            <w:shd w:val="clear" w:color="auto" w:fill="auto"/>
            <w:noWrap/>
            <w:vAlign w:val="bottom"/>
            <w:hideMark/>
          </w:tcPr>
          <w:p w14:paraId="74C623D6"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20870207</w:t>
            </w:r>
          </w:p>
        </w:tc>
      </w:tr>
      <w:tr w:rsidR="00552407" w:rsidRPr="00552407" w14:paraId="260F9D4A" w14:textId="77777777" w:rsidTr="00552407">
        <w:trPr>
          <w:trHeight w:val="256"/>
        </w:trPr>
        <w:tc>
          <w:tcPr>
            <w:tcW w:w="1432" w:type="dxa"/>
            <w:tcBorders>
              <w:top w:val="nil"/>
              <w:left w:val="nil"/>
              <w:bottom w:val="nil"/>
              <w:right w:val="nil"/>
            </w:tcBorders>
            <w:shd w:val="clear" w:color="auto" w:fill="auto"/>
            <w:noWrap/>
            <w:vAlign w:val="bottom"/>
            <w:hideMark/>
          </w:tcPr>
          <w:p w14:paraId="3EEC242F"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01/07/2020</w:t>
            </w:r>
          </w:p>
        </w:tc>
        <w:tc>
          <w:tcPr>
            <w:tcW w:w="981" w:type="dxa"/>
            <w:tcBorders>
              <w:top w:val="nil"/>
              <w:left w:val="nil"/>
              <w:bottom w:val="nil"/>
              <w:right w:val="nil"/>
            </w:tcBorders>
            <w:shd w:val="clear" w:color="auto" w:fill="auto"/>
            <w:noWrap/>
            <w:vAlign w:val="bottom"/>
            <w:hideMark/>
          </w:tcPr>
          <w:p w14:paraId="0434E489"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16.78</w:t>
            </w:r>
          </w:p>
        </w:tc>
        <w:tc>
          <w:tcPr>
            <w:tcW w:w="981" w:type="dxa"/>
            <w:tcBorders>
              <w:top w:val="nil"/>
              <w:left w:val="nil"/>
              <w:bottom w:val="nil"/>
              <w:right w:val="nil"/>
            </w:tcBorders>
            <w:shd w:val="clear" w:color="auto" w:fill="auto"/>
            <w:noWrap/>
            <w:vAlign w:val="bottom"/>
            <w:hideMark/>
          </w:tcPr>
          <w:p w14:paraId="7C301DDA"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17.26</w:t>
            </w:r>
          </w:p>
        </w:tc>
        <w:tc>
          <w:tcPr>
            <w:tcW w:w="981" w:type="dxa"/>
            <w:tcBorders>
              <w:top w:val="nil"/>
              <w:left w:val="nil"/>
              <w:bottom w:val="nil"/>
              <w:right w:val="nil"/>
            </w:tcBorders>
            <w:shd w:val="clear" w:color="auto" w:fill="auto"/>
            <w:noWrap/>
            <w:vAlign w:val="bottom"/>
            <w:hideMark/>
          </w:tcPr>
          <w:p w14:paraId="5CF63C57"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15.4</w:t>
            </w:r>
          </w:p>
        </w:tc>
        <w:tc>
          <w:tcPr>
            <w:tcW w:w="1145" w:type="dxa"/>
            <w:tcBorders>
              <w:top w:val="nil"/>
              <w:left w:val="nil"/>
              <w:bottom w:val="nil"/>
              <w:right w:val="nil"/>
            </w:tcBorders>
            <w:shd w:val="clear" w:color="auto" w:fill="auto"/>
            <w:noWrap/>
            <w:vAlign w:val="bottom"/>
            <w:hideMark/>
          </w:tcPr>
          <w:p w14:paraId="6D75B117"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16.6</w:t>
            </w:r>
          </w:p>
        </w:tc>
        <w:tc>
          <w:tcPr>
            <w:tcW w:w="1452" w:type="dxa"/>
            <w:tcBorders>
              <w:top w:val="nil"/>
              <w:left w:val="nil"/>
              <w:bottom w:val="nil"/>
              <w:right w:val="nil"/>
            </w:tcBorders>
            <w:shd w:val="clear" w:color="auto" w:fill="auto"/>
            <w:noWrap/>
            <w:vAlign w:val="bottom"/>
            <w:hideMark/>
          </w:tcPr>
          <w:p w14:paraId="5717B73D"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15.9</w:t>
            </w:r>
          </w:p>
        </w:tc>
        <w:tc>
          <w:tcPr>
            <w:tcW w:w="1923" w:type="dxa"/>
            <w:tcBorders>
              <w:top w:val="nil"/>
              <w:left w:val="nil"/>
              <w:bottom w:val="nil"/>
              <w:right w:val="nil"/>
            </w:tcBorders>
            <w:shd w:val="clear" w:color="auto" w:fill="auto"/>
            <w:noWrap/>
            <w:vAlign w:val="bottom"/>
            <w:hideMark/>
          </w:tcPr>
          <w:p w14:paraId="43DD90FA"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20691575</w:t>
            </w:r>
          </w:p>
        </w:tc>
      </w:tr>
      <w:tr w:rsidR="00552407" w:rsidRPr="00552407" w14:paraId="16DA01CF" w14:textId="77777777" w:rsidTr="00552407">
        <w:trPr>
          <w:trHeight w:val="256"/>
        </w:trPr>
        <w:tc>
          <w:tcPr>
            <w:tcW w:w="1432" w:type="dxa"/>
            <w:tcBorders>
              <w:top w:val="nil"/>
              <w:left w:val="nil"/>
              <w:bottom w:val="nil"/>
              <w:right w:val="nil"/>
            </w:tcBorders>
            <w:shd w:val="clear" w:color="auto" w:fill="auto"/>
            <w:noWrap/>
            <w:vAlign w:val="bottom"/>
            <w:hideMark/>
          </w:tcPr>
          <w:p w14:paraId="4011EAE3"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01/08/2020</w:t>
            </w:r>
          </w:p>
        </w:tc>
        <w:tc>
          <w:tcPr>
            <w:tcW w:w="981" w:type="dxa"/>
            <w:tcBorders>
              <w:top w:val="nil"/>
              <w:left w:val="nil"/>
              <w:bottom w:val="nil"/>
              <w:right w:val="nil"/>
            </w:tcBorders>
            <w:shd w:val="clear" w:color="auto" w:fill="auto"/>
            <w:noWrap/>
            <w:vAlign w:val="bottom"/>
            <w:hideMark/>
          </w:tcPr>
          <w:p w14:paraId="0A6CD97D"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16.6</w:t>
            </w:r>
          </w:p>
        </w:tc>
        <w:tc>
          <w:tcPr>
            <w:tcW w:w="981" w:type="dxa"/>
            <w:tcBorders>
              <w:top w:val="nil"/>
              <w:left w:val="nil"/>
              <w:bottom w:val="nil"/>
              <w:right w:val="nil"/>
            </w:tcBorders>
            <w:shd w:val="clear" w:color="auto" w:fill="auto"/>
            <w:noWrap/>
            <w:vAlign w:val="bottom"/>
            <w:hideMark/>
          </w:tcPr>
          <w:p w14:paraId="0CE04DC8"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18.56</w:t>
            </w:r>
          </w:p>
        </w:tc>
        <w:tc>
          <w:tcPr>
            <w:tcW w:w="981" w:type="dxa"/>
            <w:tcBorders>
              <w:top w:val="nil"/>
              <w:left w:val="nil"/>
              <w:bottom w:val="nil"/>
              <w:right w:val="nil"/>
            </w:tcBorders>
            <w:shd w:val="clear" w:color="auto" w:fill="auto"/>
            <w:noWrap/>
            <w:vAlign w:val="bottom"/>
            <w:hideMark/>
          </w:tcPr>
          <w:p w14:paraId="14149C12"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16.28</w:t>
            </w:r>
          </w:p>
        </w:tc>
        <w:tc>
          <w:tcPr>
            <w:tcW w:w="1145" w:type="dxa"/>
            <w:tcBorders>
              <w:top w:val="nil"/>
              <w:left w:val="nil"/>
              <w:bottom w:val="nil"/>
              <w:right w:val="nil"/>
            </w:tcBorders>
            <w:shd w:val="clear" w:color="auto" w:fill="auto"/>
            <w:noWrap/>
            <w:vAlign w:val="bottom"/>
            <w:hideMark/>
          </w:tcPr>
          <w:p w14:paraId="75B40AAB"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17.3</w:t>
            </w:r>
          </w:p>
        </w:tc>
        <w:tc>
          <w:tcPr>
            <w:tcW w:w="1452" w:type="dxa"/>
            <w:tcBorders>
              <w:top w:val="nil"/>
              <w:left w:val="nil"/>
              <w:bottom w:val="nil"/>
              <w:right w:val="nil"/>
            </w:tcBorders>
            <w:shd w:val="clear" w:color="auto" w:fill="auto"/>
            <w:noWrap/>
            <w:vAlign w:val="bottom"/>
            <w:hideMark/>
          </w:tcPr>
          <w:p w14:paraId="170A41CD"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16.6</w:t>
            </w:r>
          </w:p>
        </w:tc>
        <w:tc>
          <w:tcPr>
            <w:tcW w:w="1923" w:type="dxa"/>
            <w:tcBorders>
              <w:top w:val="nil"/>
              <w:left w:val="nil"/>
              <w:bottom w:val="nil"/>
              <w:right w:val="nil"/>
            </w:tcBorders>
            <w:shd w:val="clear" w:color="auto" w:fill="auto"/>
            <w:noWrap/>
            <w:vAlign w:val="bottom"/>
            <w:hideMark/>
          </w:tcPr>
          <w:p w14:paraId="7F8B1CBA"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12431565</w:t>
            </w:r>
          </w:p>
        </w:tc>
      </w:tr>
      <w:tr w:rsidR="00552407" w:rsidRPr="00552407" w14:paraId="46CD32AF" w14:textId="77777777" w:rsidTr="00552407">
        <w:trPr>
          <w:trHeight w:val="256"/>
        </w:trPr>
        <w:tc>
          <w:tcPr>
            <w:tcW w:w="1432" w:type="dxa"/>
            <w:tcBorders>
              <w:top w:val="nil"/>
              <w:left w:val="nil"/>
              <w:bottom w:val="nil"/>
              <w:right w:val="nil"/>
            </w:tcBorders>
            <w:shd w:val="clear" w:color="auto" w:fill="auto"/>
            <w:noWrap/>
            <w:vAlign w:val="bottom"/>
            <w:hideMark/>
          </w:tcPr>
          <w:p w14:paraId="44842DF4"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01/09/2020</w:t>
            </w:r>
          </w:p>
        </w:tc>
        <w:tc>
          <w:tcPr>
            <w:tcW w:w="981" w:type="dxa"/>
            <w:tcBorders>
              <w:top w:val="nil"/>
              <w:left w:val="nil"/>
              <w:bottom w:val="nil"/>
              <w:right w:val="nil"/>
            </w:tcBorders>
            <w:shd w:val="clear" w:color="auto" w:fill="auto"/>
            <w:noWrap/>
            <w:vAlign w:val="bottom"/>
            <w:hideMark/>
          </w:tcPr>
          <w:p w14:paraId="1DE3B59F"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17.26</w:t>
            </w:r>
          </w:p>
        </w:tc>
        <w:tc>
          <w:tcPr>
            <w:tcW w:w="981" w:type="dxa"/>
            <w:tcBorders>
              <w:top w:val="nil"/>
              <w:left w:val="nil"/>
              <w:bottom w:val="nil"/>
              <w:right w:val="nil"/>
            </w:tcBorders>
            <w:shd w:val="clear" w:color="auto" w:fill="auto"/>
            <w:noWrap/>
            <w:vAlign w:val="bottom"/>
            <w:hideMark/>
          </w:tcPr>
          <w:p w14:paraId="43BB4F48"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20.8</w:t>
            </w:r>
          </w:p>
        </w:tc>
        <w:tc>
          <w:tcPr>
            <w:tcW w:w="981" w:type="dxa"/>
            <w:tcBorders>
              <w:top w:val="nil"/>
              <w:left w:val="nil"/>
              <w:bottom w:val="nil"/>
              <w:right w:val="nil"/>
            </w:tcBorders>
            <w:shd w:val="clear" w:color="auto" w:fill="auto"/>
            <w:noWrap/>
            <w:vAlign w:val="bottom"/>
            <w:hideMark/>
          </w:tcPr>
          <w:p w14:paraId="03DD51AE"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17.16</w:t>
            </w:r>
          </w:p>
        </w:tc>
        <w:tc>
          <w:tcPr>
            <w:tcW w:w="1145" w:type="dxa"/>
            <w:tcBorders>
              <w:top w:val="nil"/>
              <w:left w:val="nil"/>
              <w:bottom w:val="nil"/>
              <w:right w:val="nil"/>
            </w:tcBorders>
            <w:shd w:val="clear" w:color="auto" w:fill="auto"/>
            <w:noWrap/>
            <w:vAlign w:val="bottom"/>
            <w:hideMark/>
          </w:tcPr>
          <w:p w14:paraId="5C932F7D"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18.7</w:t>
            </w:r>
          </w:p>
        </w:tc>
        <w:tc>
          <w:tcPr>
            <w:tcW w:w="1452" w:type="dxa"/>
            <w:tcBorders>
              <w:top w:val="nil"/>
              <w:left w:val="nil"/>
              <w:bottom w:val="nil"/>
              <w:right w:val="nil"/>
            </w:tcBorders>
            <w:shd w:val="clear" w:color="auto" w:fill="auto"/>
            <w:noWrap/>
            <w:vAlign w:val="bottom"/>
            <w:hideMark/>
          </w:tcPr>
          <w:p w14:paraId="1591BFDB"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18.5</w:t>
            </w:r>
          </w:p>
        </w:tc>
        <w:tc>
          <w:tcPr>
            <w:tcW w:w="1923" w:type="dxa"/>
            <w:tcBorders>
              <w:top w:val="nil"/>
              <w:left w:val="nil"/>
              <w:bottom w:val="nil"/>
              <w:right w:val="nil"/>
            </w:tcBorders>
            <w:shd w:val="clear" w:color="auto" w:fill="auto"/>
            <w:noWrap/>
            <w:vAlign w:val="bottom"/>
            <w:hideMark/>
          </w:tcPr>
          <w:p w14:paraId="1379E830"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12175133</w:t>
            </w:r>
          </w:p>
        </w:tc>
      </w:tr>
      <w:tr w:rsidR="00552407" w:rsidRPr="00552407" w14:paraId="488AFBE9" w14:textId="77777777" w:rsidTr="00552407">
        <w:trPr>
          <w:trHeight w:val="256"/>
        </w:trPr>
        <w:tc>
          <w:tcPr>
            <w:tcW w:w="1432" w:type="dxa"/>
            <w:tcBorders>
              <w:top w:val="nil"/>
              <w:left w:val="nil"/>
              <w:bottom w:val="nil"/>
              <w:right w:val="nil"/>
            </w:tcBorders>
            <w:shd w:val="clear" w:color="auto" w:fill="auto"/>
            <w:noWrap/>
            <w:vAlign w:val="bottom"/>
            <w:hideMark/>
          </w:tcPr>
          <w:p w14:paraId="491E34B9"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01/10/2020</w:t>
            </w:r>
          </w:p>
        </w:tc>
        <w:tc>
          <w:tcPr>
            <w:tcW w:w="981" w:type="dxa"/>
            <w:tcBorders>
              <w:top w:val="nil"/>
              <w:left w:val="nil"/>
              <w:bottom w:val="nil"/>
              <w:right w:val="nil"/>
            </w:tcBorders>
            <w:shd w:val="clear" w:color="auto" w:fill="auto"/>
            <w:noWrap/>
            <w:vAlign w:val="bottom"/>
            <w:hideMark/>
          </w:tcPr>
          <w:p w14:paraId="26D96C2F"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18.74</w:t>
            </w:r>
          </w:p>
        </w:tc>
        <w:tc>
          <w:tcPr>
            <w:tcW w:w="981" w:type="dxa"/>
            <w:tcBorders>
              <w:top w:val="nil"/>
              <w:left w:val="nil"/>
              <w:bottom w:val="nil"/>
              <w:right w:val="nil"/>
            </w:tcBorders>
            <w:shd w:val="clear" w:color="auto" w:fill="auto"/>
            <w:noWrap/>
            <w:vAlign w:val="bottom"/>
            <w:hideMark/>
          </w:tcPr>
          <w:p w14:paraId="7E180BC8"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20.5</w:t>
            </w:r>
          </w:p>
        </w:tc>
        <w:tc>
          <w:tcPr>
            <w:tcW w:w="981" w:type="dxa"/>
            <w:tcBorders>
              <w:top w:val="nil"/>
              <w:left w:val="nil"/>
              <w:bottom w:val="nil"/>
              <w:right w:val="nil"/>
            </w:tcBorders>
            <w:shd w:val="clear" w:color="auto" w:fill="auto"/>
            <w:noWrap/>
            <w:vAlign w:val="bottom"/>
            <w:hideMark/>
          </w:tcPr>
          <w:p w14:paraId="7B88E725"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18</w:t>
            </w:r>
          </w:p>
        </w:tc>
        <w:tc>
          <w:tcPr>
            <w:tcW w:w="1145" w:type="dxa"/>
            <w:tcBorders>
              <w:top w:val="nil"/>
              <w:left w:val="nil"/>
              <w:bottom w:val="nil"/>
              <w:right w:val="nil"/>
            </w:tcBorders>
            <w:shd w:val="clear" w:color="auto" w:fill="auto"/>
            <w:noWrap/>
            <w:vAlign w:val="bottom"/>
            <w:hideMark/>
          </w:tcPr>
          <w:p w14:paraId="4E18816F"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18.9</w:t>
            </w:r>
          </w:p>
        </w:tc>
        <w:tc>
          <w:tcPr>
            <w:tcW w:w="1452" w:type="dxa"/>
            <w:tcBorders>
              <w:top w:val="nil"/>
              <w:left w:val="nil"/>
              <w:bottom w:val="nil"/>
              <w:right w:val="nil"/>
            </w:tcBorders>
            <w:shd w:val="clear" w:color="auto" w:fill="auto"/>
            <w:noWrap/>
            <w:vAlign w:val="bottom"/>
            <w:hideMark/>
          </w:tcPr>
          <w:p w14:paraId="1D2A5711"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18.7</w:t>
            </w:r>
          </w:p>
        </w:tc>
        <w:tc>
          <w:tcPr>
            <w:tcW w:w="1923" w:type="dxa"/>
            <w:tcBorders>
              <w:top w:val="nil"/>
              <w:left w:val="nil"/>
              <w:bottom w:val="nil"/>
              <w:right w:val="nil"/>
            </w:tcBorders>
            <w:shd w:val="clear" w:color="auto" w:fill="auto"/>
            <w:noWrap/>
            <w:vAlign w:val="bottom"/>
            <w:hideMark/>
          </w:tcPr>
          <w:p w14:paraId="7C5AF58C"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9475579</w:t>
            </w:r>
          </w:p>
        </w:tc>
      </w:tr>
      <w:tr w:rsidR="00552407" w:rsidRPr="00552407" w14:paraId="7E06ABD0" w14:textId="77777777" w:rsidTr="00552407">
        <w:trPr>
          <w:trHeight w:val="256"/>
        </w:trPr>
        <w:tc>
          <w:tcPr>
            <w:tcW w:w="1432" w:type="dxa"/>
            <w:tcBorders>
              <w:top w:val="nil"/>
              <w:left w:val="nil"/>
              <w:bottom w:val="nil"/>
              <w:right w:val="nil"/>
            </w:tcBorders>
            <w:shd w:val="clear" w:color="auto" w:fill="auto"/>
            <w:noWrap/>
            <w:vAlign w:val="bottom"/>
            <w:hideMark/>
          </w:tcPr>
          <w:p w14:paraId="16EF03D2"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01/11/2020</w:t>
            </w:r>
          </w:p>
        </w:tc>
        <w:tc>
          <w:tcPr>
            <w:tcW w:w="981" w:type="dxa"/>
            <w:tcBorders>
              <w:top w:val="nil"/>
              <w:left w:val="nil"/>
              <w:bottom w:val="nil"/>
              <w:right w:val="nil"/>
            </w:tcBorders>
            <w:shd w:val="clear" w:color="auto" w:fill="auto"/>
            <w:noWrap/>
            <w:vAlign w:val="bottom"/>
            <w:hideMark/>
          </w:tcPr>
          <w:p w14:paraId="6A725186"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19</w:t>
            </w:r>
          </w:p>
        </w:tc>
        <w:tc>
          <w:tcPr>
            <w:tcW w:w="981" w:type="dxa"/>
            <w:tcBorders>
              <w:top w:val="nil"/>
              <w:left w:val="nil"/>
              <w:bottom w:val="nil"/>
              <w:right w:val="nil"/>
            </w:tcBorders>
            <w:shd w:val="clear" w:color="auto" w:fill="auto"/>
            <w:noWrap/>
            <w:vAlign w:val="bottom"/>
            <w:hideMark/>
          </w:tcPr>
          <w:p w14:paraId="3EAE7166"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21.15</w:t>
            </w:r>
          </w:p>
        </w:tc>
        <w:tc>
          <w:tcPr>
            <w:tcW w:w="981" w:type="dxa"/>
            <w:tcBorders>
              <w:top w:val="nil"/>
              <w:left w:val="nil"/>
              <w:bottom w:val="nil"/>
              <w:right w:val="nil"/>
            </w:tcBorders>
            <w:shd w:val="clear" w:color="auto" w:fill="auto"/>
            <w:noWrap/>
            <w:vAlign w:val="bottom"/>
            <w:hideMark/>
          </w:tcPr>
          <w:p w14:paraId="4541293A"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18.5</w:t>
            </w:r>
          </w:p>
        </w:tc>
        <w:tc>
          <w:tcPr>
            <w:tcW w:w="1145" w:type="dxa"/>
            <w:tcBorders>
              <w:top w:val="nil"/>
              <w:left w:val="nil"/>
              <w:bottom w:val="nil"/>
              <w:right w:val="nil"/>
            </w:tcBorders>
            <w:shd w:val="clear" w:color="auto" w:fill="auto"/>
            <w:noWrap/>
            <w:vAlign w:val="bottom"/>
            <w:hideMark/>
          </w:tcPr>
          <w:p w14:paraId="6FD7615F"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19.6</w:t>
            </w:r>
          </w:p>
        </w:tc>
        <w:tc>
          <w:tcPr>
            <w:tcW w:w="1452" w:type="dxa"/>
            <w:tcBorders>
              <w:top w:val="nil"/>
              <w:left w:val="nil"/>
              <w:bottom w:val="nil"/>
              <w:right w:val="nil"/>
            </w:tcBorders>
            <w:shd w:val="clear" w:color="auto" w:fill="auto"/>
            <w:noWrap/>
            <w:vAlign w:val="bottom"/>
            <w:hideMark/>
          </w:tcPr>
          <w:p w14:paraId="34BF6868"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19.3</w:t>
            </w:r>
          </w:p>
        </w:tc>
        <w:tc>
          <w:tcPr>
            <w:tcW w:w="1923" w:type="dxa"/>
            <w:tcBorders>
              <w:top w:val="nil"/>
              <w:left w:val="nil"/>
              <w:bottom w:val="nil"/>
              <w:right w:val="nil"/>
            </w:tcBorders>
            <w:shd w:val="clear" w:color="auto" w:fill="auto"/>
            <w:noWrap/>
            <w:vAlign w:val="bottom"/>
            <w:hideMark/>
          </w:tcPr>
          <w:p w14:paraId="2E153107"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12268025</w:t>
            </w:r>
          </w:p>
        </w:tc>
      </w:tr>
      <w:tr w:rsidR="00552407" w:rsidRPr="00552407" w14:paraId="711C5BA1" w14:textId="77777777" w:rsidTr="00552407">
        <w:trPr>
          <w:trHeight w:val="256"/>
        </w:trPr>
        <w:tc>
          <w:tcPr>
            <w:tcW w:w="1432" w:type="dxa"/>
            <w:tcBorders>
              <w:top w:val="nil"/>
              <w:left w:val="nil"/>
              <w:bottom w:val="nil"/>
              <w:right w:val="nil"/>
            </w:tcBorders>
            <w:shd w:val="clear" w:color="auto" w:fill="auto"/>
            <w:noWrap/>
            <w:vAlign w:val="bottom"/>
            <w:hideMark/>
          </w:tcPr>
          <w:p w14:paraId="60FA3555"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01/12/2020</w:t>
            </w:r>
          </w:p>
        </w:tc>
        <w:tc>
          <w:tcPr>
            <w:tcW w:w="981" w:type="dxa"/>
            <w:tcBorders>
              <w:top w:val="nil"/>
              <w:left w:val="nil"/>
              <w:bottom w:val="nil"/>
              <w:right w:val="nil"/>
            </w:tcBorders>
            <w:shd w:val="clear" w:color="auto" w:fill="auto"/>
            <w:noWrap/>
            <w:vAlign w:val="bottom"/>
            <w:hideMark/>
          </w:tcPr>
          <w:p w14:paraId="79DCF7EF"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19.5</w:t>
            </w:r>
          </w:p>
        </w:tc>
        <w:tc>
          <w:tcPr>
            <w:tcW w:w="981" w:type="dxa"/>
            <w:tcBorders>
              <w:top w:val="nil"/>
              <w:left w:val="nil"/>
              <w:bottom w:val="nil"/>
              <w:right w:val="nil"/>
            </w:tcBorders>
            <w:shd w:val="clear" w:color="auto" w:fill="auto"/>
            <w:noWrap/>
            <w:vAlign w:val="bottom"/>
            <w:hideMark/>
          </w:tcPr>
          <w:p w14:paraId="2D2087E8"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19.8</w:t>
            </w:r>
          </w:p>
        </w:tc>
        <w:tc>
          <w:tcPr>
            <w:tcW w:w="981" w:type="dxa"/>
            <w:tcBorders>
              <w:top w:val="nil"/>
              <w:left w:val="nil"/>
              <w:bottom w:val="nil"/>
              <w:right w:val="nil"/>
            </w:tcBorders>
            <w:shd w:val="clear" w:color="auto" w:fill="auto"/>
            <w:noWrap/>
            <w:vAlign w:val="bottom"/>
            <w:hideMark/>
          </w:tcPr>
          <w:p w14:paraId="540AA154"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18</w:t>
            </w:r>
          </w:p>
        </w:tc>
        <w:tc>
          <w:tcPr>
            <w:tcW w:w="1145" w:type="dxa"/>
            <w:tcBorders>
              <w:top w:val="nil"/>
              <w:left w:val="nil"/>
              <w:bottom w:val="nil"/>
              <w:right w:val="nil"/>
            </w:tcBorders>
            <w:shd w:val="clear" w:color="auto" w:fill="auto"/>
            <w:noWrap/>
            <w:vAlign w:val="bottom"/>
            <w:hideMark/>
          </w:tcPr>
          <w:p w14:paraId="36DBE962"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18.6</w:t>
            </w:r>
          </w:p>
        </w:tc>
        <w:tc>
          <w:tcPr>
            <w:tcW w:w="1452" w:type="dxa"/>
            <w:tcBorders>
              <w:top w:val="nil"/>
              <w:left w:val="nil"/>
              <w:bottom w:val="nil"/>
              <w:right w:val="nil"/>
            </w:tcBorders>
            <w:shd w:val="clear" w:color="auto" w:fill="auto"/>
            <w:noWrap/>
            <w:vAlign w:val="bottom"/>
            <w:hideMark/>
          </w:tcPr>
          <w:p w14:paraId="2D953496"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18.3</w:t>
            </w:r>
          </w:p>
        </w:tc>
        <w:tc>
          <w:tcPr>
            <w:tcW w:w="1923" w:type="dxa"/>
            <w:tcBorders>
              <w:top w:val="nil"/>
              <w:left w:val="nil"/>
              <w:bottom w:val="nil"/>
              <w:right w:val="nil"/>
            </w:tcBorders>
            <w:shd w:val="clear" w:color="auto" w:fill="auto"/>
            <w:noWrap/>
            <w:vAlign w:val="bottom"/>
            <w:hideMark/>
          </w:tcPr>
          <w:p w14:paraId="500F2C1E"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8093281</w:t>
            </w:r>
          </w:p>
        </w:tc>
      </w:tr>
      <w:tr w:rsidR="00552407" w:rsidRPr="00552407" w14:paraId="089C9D00" w14:textId="77777777" w:rsidTr="00552407">
        <w:trPr>
          <w:trHeight w:val="256"/>
        </w:trPr>
        <w:tc>
          <w:tcPr>
            <w:tcW w:w="1432" w:type="dxa"/>
            <w:tcBorders>
              <w:top w:val="nil"/>
              <w:left w:val="nil"/>
              <w:bottom w:val="nil"/>
              <w:right w:val="nil"/>
            </w:tcBorders>
            <w:shd w:val="clear" w:color="auto" w:fill="auto"/>
            <w:noWrap/>
            <w:vAlign w:val="bottom"/>
            <w:hideMark/>
          </w:tcPr>
          <w:p w14:paraId="67F41C6F"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01/01/2021</w:t>
            </w:r>
          </w:p>
        </w:tc>
        <w:tc>
          <w:tcPr>
            <w:tcW w:w="981" w:type="dxa"/>
            <w:tcBorders>
              <w:top w:val="nil"/>
              <w:left w:val="nil"/>
              <w:bottom w:val="nil"/>
              <w:right w:val="nil"/>
            </w:tcBorders>
            <w:shd w:val="clear" w:color="auto" w:fill="auto"/>
            <w:noWrap/>
            <w:vAlign w:val="bottom"/>
            <w:hideMark/>
          </w:tcPr>
          <w:p w14:paraId="1AF3AC5D"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18.56</w:t>
            </w:r>
          </w:p>
        </w:tc>
        <w:tc>
          <w:tcPr>
            <w:tcW w:w="981" w:type="dxa"/>
            <w:tcBorders>
              <w:top w:val="nil"/>
              <w:left w:val="nil"/>
              <w:bottom w:val="nil"/>
              <w:right w:val="nil"/>
            </w:tcBorders>
            <w:shd w:val="clear" w:color="auto" w:fill="auto"/>
            <w:noWrap/>
            <w:vAlign w:val="bottom"/>
            <w:hideMark/>
          </w:tcPr>
          <w:p w14:paraId="11281DB1"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18.76</w:t>
            </w:r>
          </w:p>
        </w:tc>
        <w:tc>
          <w:tcPr>
            <w:tcW w:w="981" w:type="dxa"/>
            <w:tcBorders>
              <w:top w:val="nil"/>
              <w:left w:val="nil"/>
              <w:bottom w:val="nil"/>
              <w:right w:val="nil"/>
            </w:tcBorders>
            <w:shd w:val="clear" w:color="auto" w:fill="auto"/>
            <w:noWrap/>
            <w:vAlign w:val="bottom"/>
            <w:hideMark/>
          </w:tcPr>
          <w:p w14:paraId="4B07C1BA"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16.7</w:t>
            </w:r>
          </w:p>
        </w:tc>
        <w:tc>
          <w:tcPr>
            <w:tcW w:w="1145" w:type="dxa"/>
            <w:tcBorders>
              <w:top w:val="nil"/>
              <w:left w:val="nil"/>
              <w:bottom w:val="nil"/>
              <w:right w:val="nil"/>
            </w:tcBorders>
            <w:shd w:val="clear" w:color="auto" w:fill="auto"/>
            <w:noWrap/>
            <w:vAlign w:val="bottom"/>
            <w:hideMark/>
          </w:tcPr>
          <w:p w14:paraId="039FDFC8"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16.8</w:t>
            </w:r>
          </w:p>
        </w:tc>
        <w:tc>
          <w:tcPr>
            <w:tcW w:w="1452" w:type="dxa"/>
            <w:tcBorders>
              <w:top w:val="nil"/>
              <w:left w:val="nil"/>
              <w:bottom w:val="nil"/>
              <w:right w:val="nil"/>
            </w:tcBorders>
            <w:shd w:val="clear" w:color="auto" w:fill="auto"/>
            <w:noWrap/>
            <w:vAlign w:val="bottom"/>
            <w:hideMark/>
          </w:tcPr>
          <w:p w14:paraId="27589BA7"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16.8</w:t>
            </w:r>
          </w:p>
        </w:tc>
        <w:tc>
          <w:tcPr>
            <w:tcW w:w="1923" w:type="dxa"/>
            <w:tcBorders>
              <w:top w:val="nil"/>
              <w:left w:val="nil"/>
              <w:bottom w:val="nil"/>
              <w:right w:val="nil"/>
            </w:tcBorders>
            <w:shd w:val="clear" w:color="auto" w:fill="auto"/>
            <w:noWrap/>
            <w:vAlign w:val="bottom"/>
            <w:hideMark/>
          </w:tcPr>
          <w:p w14:paraId="0D581EA7"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9074146</w:t>
            </w:r>
          </w:p>
        </w:tc>
      </w:tr>
      <w:tr w:rsidR="00552407" w:rsidRPr="00552407" w14:paraId="70B04317" w14:textId="77777777" w:rsidTr="00552407">
        <w:trPr>
          <w:trHeight w:val="256"/>
        </w:trPr>
        <w:tc>
          <w:tcPr>
            <w:tcW w:w="1432" w:type="dxa"/>
            <w:tcBorders>
              <w:top w:val="nil"/>
              <w:left w:val="nil"/>
              <w:bottom w:val="nil"/>
              <w:right w:val="nil"/>
            </w:tcBorders>
            <w:shd w:val="clear" w:color="auto" w:fill="auto"/>
            <w:noWrap/>
            <w:vAlign w:val="bottom"/>
            <w:hideMark/>
          </w:tcPr>
          <w:p w14:paraId="7B3FC28B"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01/02/2021</w:t>
            </w:r>
          </w:p>
        </w:tc>
        <w:tc>
          <w:tcPr>
            <w:tcW w:w="981" w:type="dxa"/>
            <w:tcBorders>
              <w:top w:val="nil"/>
              <w:left w:val="nil"/>
              <w:bottom w:val="nil"/>
              <w:right w:val="nil"/>
            </w:tcBorders>
            <w:shd w:val="clear" w:color="auto" w:fill="auto"/>
            <w:noWrap/>
            <w:vAlign w:val="bottom"/>
            <w:hideMark/>
          </w:tcPr>
          <w:p w14:paraId="58173B84"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16.88</w:t>
            </w:r>
          </w:p>
        </w:tc>
        <w:tc>
          <w:tcPr>
            <w:tcW w:w="981" w:type="dxa"/>
            <w:tcBorders>
              <w:top w:val="nil"/>
              <w:left w:val="nil"/>
              <w:bottom w:val="nil"/>
              <w:right w:val="nil"/>
            </w:tcBorders>
            <w:shd w:val="clear" w:color="auto" w:fill="auto"/>
            <w:noWrap/>
            <w:vAlign w:val="bottom"/>
            <w:hideMark/>
          </w:tcPr>
          <w:p w14:paraId="0E531BE3"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22.1</w:t>
            </w:r>
          </w:p>
        </w:tc>
        <w:tc>
          <w:tcPr>
            <w:tcW w:w="981" w:type="dxa"/>
            <w:tcBorders>
              <w:top w:val="nil"/>
              <w:left w:val="nil"/>
              <w:bottom w:val="nil"/>
              <w:right w:val="nil"/>
            </w:tcBorders>
            <w:shd w:val="clear" w:color="auto" w:fill="auto"/>
            <w:noWrap/>
            <w:vAlign w:val="bottom"/>
            <w:hideMark/>
          </w:tcPr>
          <w:p w14:paraId="25617A48"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16.74</w:t>
            </w:r>
          </w:p>
        </w:tc>
        <w:tc>
          <w:tcPr>
            <w:tcW w:w="1145" w:type="dxa"/>
            <w:tcBorders>
              <w:top w:val="nil"/>
              <w:left w:val="nil"/>
              <w:bottom w:val="nil"/>
              <w:right w:val="nil"/>
            </w:tcBorders>
            <w:shd w:val="clear" w:color="auto" w:fill="auto"/>
            <w:noWrap/>
            <w:vAlign w:val="bottom"/>
            <w:hideMark/>
          </w:tcPr>
          <w:p w14:paraId="279CD315"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19.7</w:t>
            </w:r>
          </w:p>
        </w:tc>
        <w:tc>
          <w:tcPr>
            <w:tcW w:w="1452" w:type="dxa"/>
            <w:tcBorders>
              <w:top w:val="nil"/>
              <w:left w:val="nil"/>
              <w:bottom w:val="nil"/>
              <w:right w:val="nil"/>
            </w:tcBorders>
            <w:shd w:val="clear" w:color="auto" w:fill="auto"/>
            <w:noWrap/>
            <w:vAlign w:val="bottom"/>
            <w:hideMark/>
          </w:tcPr>
          <w:p w14:paraId="465A8593"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19.7</w:t>
            </w:r>
          </w:p>
        </w:tc>
        <w:tc>
          <w:tcPr>
            <w:tcW w:w="1923" w:type="dxa"/>
            <w:tcBorders>
              <w:top w:val="nil"/>
              <w:left w:val="nil"/>
              <w:bottom w:val="nil"/>
              <w:right w:val="nil"/>
            </w:tcBorders>
            <w:shd w:val="clear" w:color="auto" w:fill="auto"/>
            <w:noWrap/>
            <w:vAlign w:val="bottom"/>
            <w:hideMark/>
          </w:tcPr>
          <w:p w14:paraId="19C3340B"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15940662</w:t>
            </w:r>
          </w:p>
        </w:tc>
      </w:tr>
      <w:tr w:rsidR="00552407" w:rsidRPr="00552407" w14:paraId="251C9884" w14:textId="77777777" w:rsidTr="00552407">
        <w:trPr>
          <w:trHeight w:val="256"/>
        </w:trPr>
        <w:tc>
          <w:tcPr>
            <w:tcW w:w="1432" w:type="dxa"/>
            <w:tcBorders>
              <w:top w:val="nil"/>
              <w:left w:val="nil"/>
              <w:bottom w:val="single" w:sz="4" w:space="0" w:color="auto"/>
              <w:right w:val="nil"/>
            </w:tcBorders>
            <w:shd w:val="clear" w:color="auto" w:fill="auto"/>
            <w:noWrap/>
            <w:vAlign w:val="bottom"/>
            <w:hideMark/>
          </w:tcPr>
          <w:p w14:paraId="350AB2EE"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01/03/2021</w:t>
            </w:r>
          </w:p>
        </w:tc>
        <w:tc>
          <w:tcPr>
            <w:tcW w:w="981" w:type="dxa"/>
            <w:tcBorders>
              <w:top w:val="nil"/>
              <w:left w:val="nil"/>
              <w:bottom w:val="single" w:sz="4" w:space="0" w:color="auto"/>
              <w:right w:val="nil"/>
            </w:tcBorders>
            <w:shd w:val="clear" w:color="auto" w:fill="auto"/>
            <w:noWrap/>
            <w:vAlign w:val="bottom"/>
            <w:hideMark/>
          </w:tcPr>
          <w:p w14:paraId="767F2BC0"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19.8</w:t>
            </w:r>
          </w:p>
        </w:tc>
        <w:tc>
          <w:tcPr>
            <w:tcW w:w="981" w:type="dxa"/>
            <w:tcBorders>
              <w:top w:val="nil"/>
              <w:left w:val="nil"/>
              <w:bottom w:val="single" w:sz="4" w:space="0" w:color="auto"/>
              <w:right w:val="nil"/>
            </w:tcBorders>
            <w:shd w:val="clear" w:color="auto" w:fill="auto"/>
            <w:noWrap/>
            <w:vAlign w:val="bottom"/>
            <w:hideMark/>
          </w:tcPr>
          <w:p w14:paraId="07BE560C"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22.3</w:t>
            </w:r>
          </w:p>
        </w:tc>
        <w:tc>
          <w:tcPr>
            <w:tcW w:w="981" w:type="dxa"/>
            <w:tcBorders>
              <w:top w:val="nil"/>
              <w:left w:val="nil"/>
              <w:bottom w:val="single" w:sz="4" w:space="0" w:color="auto"/>
              <w:right w:val="nil"/>
            </w:tcBorders>
            <w:shd w:val="clear" w:color="auto" w:fill="auto"/>
            <w:noWrap/>
            <w:vAlign w:val="bottom"/>
            <w:hideMark/>
          </w:tcPr>
          <w:p w14:paraId="2BF7B00D"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18.96</w:t>
            </w:r>
          </w:p>
        </w:tc>
        <w:tc>
          <w:tcPr>
            <w:tcW w:w="1145" w:type="dxa"/>
            <w:tcBorders>
              <w:top w:val="nil"/>
              <w:left w:val="nil"/>
              <w:bottom w:val="single" w:sz="4" w:space="0" w:color="auto"/>
              <w:right w:val="nil"/>
            </w:tcBorders>
            <w:shd w:val="clear" w:color="auto" w:fill="auto"/>
            <w:noWrap/>
            <w:vAlign w:val="bottom"/>
            <w:hideMark/>
          </w:tcPr>
          <w:p w14:paraId="5829A435"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21.4</w:t>
            </w:r>
          </w:p>
        </w:tc>
        <w:tc>
          <w:tcPr>
            <w:tcW w:w="1452" w:type="dxa"/>
            <w:tcBorders>
              <w:top w:val="nil"/>
              <w:left w:val="nil"/>
              <w:bottom w:val="single" w:sz="4" w:space="0" w:color="auto"/>
              <w:right w:val="nil"/>
            </w:tcBorders>
            <w:shd w:val="clear" w:color="auto" w:fill="auto"/>
            <w:noWrap/>
            <w:vAlign w:val="bottom"/>
            <w:hideMark/>
          </w:tcPr>
          <w:p w14:paraId="508D7C04"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21.4</w:t>
            </w:r>
          </w:p>
        </w:tc>
        <w:tc>
          <w:tcPr>
            <w:tcW w:w="1923" w:type="dxa"/>
            <w:tcBorders>
              <w:top w:val="nil"/>
              <w:left w:val="nil"/>
              <w:bottom w:val="single" w:sz="4" w:space="0" w:color="auto"/>
              <w:right w:val="nil"/>
            </w:tcBorders>
            <w:shd w:val="clear" w:color="auto" w:fill="auto"/>
            <w:noWrap/>
            <w:vAlign w:val="bottom"/>
            <w:hideMark/>
          </w:tcPr>
          <w:p w14:paraId="5EDB7B78" w14:textId="77777777" w:rsidR="00552407" w:rsidRPr="00552407" w:rsidRDefault="00552407" w:rsidP="00552407">
            <w:pPr>
              <w:widowControl/>
              <w:spacing w:before="100" w:beforeAutospacing="1" w:after="100" w:afterAutospacing="1"/>
              <w:contextualSpacing/>
              <w:jc w:val="center"/>
              <w:rPr>
                <w:rFonts w:ascii="Calibri" w:eastAsia="Times New Roman" w:hAnsi="Calibri" w:cs="Times New Roman"/>
                <w:color w:val="000000"/>
                <w:kern w:val="0"/>
                <w:sz w:val="16"/>
                <w:szCs w:val="16"/>
                <w:lang w:val="en-GB"/>
              </w:rPr>
            </w:pPr>
            <w:r w:rsidRPr="00552407">
              <w:rPr>
                <w:rFonts w:ascii="Calibri" w:eastAsia="Times New Roman" w:hAnsi="Calibri" w:cs="Times New Roman"/>
                <w:color w:val="000000"/>
                <w:kern w:val="0"/>
                <w:sz w:val="16"/>
                <w:szCs w:val="16"/>
                <w:lang w:val="en-GB"/>
              </w:rPr>
              <w:t>14188269</w:t>
            </w:r>
          </w:p>
        </w:tc>
      </w:tr>
    </w:tbl>
    <w:p w14:paraId="451243A4" w14:textId="1F5E3425" w:rsidR="007419F3" w:rsidRPr="00552407" w:rsidRDefault="008E0437" w:rsidP="00552407">
      <w:pPr>
        <w:widowControl/>
        <w:spacing w:line="360" w:lineRule="auto"/>
        <w:rPr>
          <w:rFonts w:ascii="Arial" w:hAnsi="Arial" w:cs="Arial"/>
          <w:b/>
          <w:bCs/>
          <w:szCs w:val="24"/>
        </w:rPr>
      </w:pPr>
      <w:r w:rsidRPr="008E0437">
        <w:rPr>
          <w:rFonts w:ascii="Arial" w:hAnsi="Arial" w:cs="Arial"/>
          <w:b/>
          <w:bCs/>
          <w:szCs w:val="24"/>
        </w:rPr>
        <w:lastRenderedPageBreak/>
        <w:t xml:space="preserve">Appendix </w:t>
      </w:r>
      <w:r>
        <w:rPr>
          <w:rFonts w:ascii="Arial" w:hAnsi="Arial" w:cs="Arial"/>
          <w:b/>
          <w:bCs/>
          <w:szCs w:val="24"/>
        </w:rPr>
        <w:t>2</w:t>
      </w:r>
      <w:r w:rsidR="00552407">
        <w:rPr>
          <w:rFonts w:ascii="Arial" w:hAnsi="Arial" w:cs="Arial"/>
          <w:b/>
          <w:bCs/>
          <w:szCs w:val="24"/>
        </w:rPr>
        <w:t xml:space="preserve"> - </w:t>
      </w:r>
      <w:r w:rsidRPr="00552407">
        <w:rPr>
          <w:rFonts w:ascii="Arial" w:hAnsi="Arial" w:cs="Arial"/>
          <w:b/>
          <w:bCs/>
          <w:szCs w:val="24"/>
        </w:rPr>
        <w:t>Cashflow calculation for Investment Project Appraisal</w:t>
      </w:r>
    </w:p>
    <w:tbl>
      <w:tblPr>
        <w:tblW w:w="8221" w:type="dxa"/>
        <w:tblLook w:val="04A0" w:firstRow="1" w:lastRow="0" w:firstColumn="1" w:lastColumn="0" w:noHBand="0" w:noVBand="1"/>
      </w:tblPr>
      <w:tblGrid>
        <w:gridCol w:w="3394"/>
        <w:gridCol w:w="1093"/>
        <w:gridCol w:w="1014"/>
        <w:gridCol w:w="1024"/>
        <w:gridCol w:w="847"/>
        <w:gridCol w:w="849"/>
      </w:tblGrid>
      <w:tr w:rsidR="008E0437" w:rsidRPr="008E0437" w14:paraId="59CFE446" w14:textId="77777777" w:rsidTr="00552407">
        <w:trPr>
          <w:trHeight w:val="316"/>
        </w:trPr>
        <w:tc>
          <w:tcPr>
            <w:tcW w:w="33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7550D2" w14:textId="77777777" w:rsidR="008E0437" w:rsidRPr="008E0437" w:rsidRDefault="008E0437" w:rsidP="008E0437">
            <w:pPr>
              <w:widowControl/>
              <w:rPr>
                <w:rFonts w:ascii="Calibri" w:eastAsia="Times New Roman" w:hAnsi="Calibri" w:cs="Times New Roman"/>
                <w:b/>
                <w:bCs/>
                <w:color w:val="000000"/>
                <w:kern w:val="0"/>
                <w:sz w:val="22"/>
                <w:lang w:val="en-GB"/>
              </w:rPr>
            </w:pPr>
            <w:r w:rsidRPr="008E0437">
              <w:rPr>
                <w:rFonts w:ascii="Calibri" w:eastAsia="Times New Roman" w:hAnsi="Calibri" w:cs="Times New Roman"/>
                <w:b/>
                <w:bCs/>
                <w:color w:val="000000"/>
                <w:kern w:val="0"/>
                <w:sz w:val="22"/>
                <w:lang w:val="en-GB"/>
              </w:rPr>
              <w:t>Cashflow calculation</w:t>
            </w:r>
          </w:p>
        </w:tc>
        <w:tc>
          <w:tcPr>
            <w:tcW w:w="4827" w:type="dxa"/>
            <w:gridSpan w:val="5"/>
            <w:tcBorders>
              <w:top w:val="single" w:sz="4" w:space="0" w:color="auto"/>
              <w:left w:val="nil"/>
              <w:bottom w:val="single" w:sz="4" w:space="0" w:color="auto"/>
              <w:right w:val="single" w:sz="4" w:space="0" w:color="auto"/>
            </w:tcBorders>
            <w:shd w:val="clear" w:color="auto" w:fill="auto"/>
            <w:noWrap/>
            <w:vAlign w:val="bottom"/>
            <w:hideMark/>
          </w:tcPr>
          <w:p w14:paraId="1CED61DC" w14:textId="77777777" w:rsidR="008E0437" w:rsidRPr="008E0437" w:rsidRDefault="008E0437" w:rsidP="008E043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Year</w:t>
            </w:r>
          </w:p>
        </w:tc>
      </w:tr>
      <w:tr w:rsidR="008E0437" w:rsidRPr="008E0437" w14:paraId="2DABE788" w14:textId="77777777" w:rsidTr="00552407">
        <w:trPr>
          <w:trHeight w:val="316"/>
        </w:trPr>
        <w:tc>
          <w:tcPr>
            <w:tcW w:w="3394" w:type="dxa"/>
            <w:tcBorders>
              <w:top w:val="nil"/>
              <w:left w:val="single" w:sz="4" w:space="0" w:color="auto"/>
              <w:bottom w:val="single" w:sz="4" w:space="0" w:color="auto"/>
              <w:right w:val="single" w:sz="4" w:space="0" w:color="auto"/>
            </w:tcBorders>
            <w:shd w:val="clear" w:color="auto" w:fill="auto"/>
            <w:noWrap/>
            <w:vAlign w:val="bottom"/>
            <w:hideMark/>
          </w:tcPr>
          <w:p w14:paraId="177549D8" w14:textId="77777777" w:rsidR="008E0437" w:rsidRPr="008E0437" w:rsidRDefault="008E0437" w:rsidP="008E0437">
            <w:pPr>
              <w:widowControl/>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Items (HK$'000)</w:t>
            </w:r>
          </w:p>
        </w:tc>
        <w:tc>
          <w:tcPr>
            <w:tcW w:w="1093" w:type="dxa"/>
            <w:tcBorders>
              <w:top w:val="nil"/>
              <w:left w:val="nil"/>
              <w:bottom w:val="single" w:sz="4" w:space="0" w:color="auto"/>
              <w:right w:val="single" w:sz="4" w:space="0" w:color="auto"/>
            </w:tcBorders>
            <w:shd w:val="clear" w:color="auto" w:fill="auto"/>
            <w:noWrap/>
            <w:vAlign w:val="bottom"/>
            <w:hideMark/>
          </w:tcPr>
          <w:p w14:paraId="23793A71" w14:textId="77777777" w:rsidR="008E0437" w:rsidRPr="008E0437" w:rsidRDefault="008E0437" w:rsidP="008E043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1</w:t>
            </w:r>
          </w:p>
        </w:tc>
        <w:tc>
          <w:tcPr>
            <w:tcW w:w="1014" w:type="dxa"/>
            <w:tcBorders>
              <w:top w:val="nil"/>
              <w:left w:val="nil"/>
              <w:bottom w:val="single" w:sz="4" w:space="0" w:color="auto"/>
              <w:right w:val="single" w:sz="4" w:space="0" w:color="auto"/>
            </w:tcBorders>
            <w:shd w:val="clear" w:color="auto" w:fill="auto"/>
            <w:noWrap/>
            <w:vAlign w:val="bottom"/>
            <w:hideMark/>
          </w:tcPr>
          <w:p w14:paraId="7CC3CEAC" w14:textId="77777777" w:rsidR="008E0437" w:rsidRPr="008E0437" w:rsidRDefault="008E0437" w:rsidP="008E043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2</w:t>
            </w:r>
          </w:p>
        </w:tc>
        <w:tc>
          <w:tcPr>
            <w:tcW w:w="1024" w:type="dxa"/>
            <w:tcBorders>
              <w:top w:val="nil"/>
              <w:left w:val="nil"/>
              <w:bottom w:val="single" w:sz="4" w:space="0" w:color="auto"/>
              <w:right w:val="single" w:sz="4" w:space="0" w:color="auto"/>
            </w:tcBorders>
            <w:shd w:val="clear" w:color="auto" w:fill="auto"/>
            <w:noWrap/>
            <w:vAlign w:val="bottom"/>
            <w:hideMark/>
          </w:tcPr>
          <w:p w14:paraId="7EDCA394" w14:textId="77777777" w:rsidR="008E0437" w:rsidRPr="008E0437" w:rsidRDefault="008E0437" w:rsidP="008E043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3</w:t>
            </w:r>
          </w:p>
        </w:tc>
        <w:tc>
          <w:tcPr>
            <w:tcW w:w="847" w:type="dxa"/>
            <w:tcBorders>
              <w:top w:val="nil"/>
              <w:left w:val="nil"/>
              <w:bottom w:val="single" w:sz="4" w:space="0" w:color="auto"/>
              <w:right w:val="single" w:sz="4" w:space="0" w:color="auto"/>
            </w:tcBorders>
            <w:shd w:val="clear" w:color="auto" w:fill="auto"/>
            <w:noWrap/>
            <w:vAlign w:val="bottom"/>
            <w:hideMark/>
          </w:tcPr>
          <w:p w14:paraId="717C51C9" w14:textId="77777777" w:rsidR="008E0437" w:rsidRPr="008E0437" w:rsidRDefault="008E0437" w:rsidP="008E043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4</w:t>
            </w:r>
          </w:p>
        </w:tc>
        <w:tc>
          <w:tcPr>
            <w:tcW w:w="847" w:type="dxa"/>
            <w:tcBorders>
              <w:top w:val="nil"/>
              <w:left w:val="nil"/>
              <w:bottom w:val="single" w:sz="4" w:space="0" w:color="auto"/>
              <w:right w:val="single" w:sz="4" w:space="0" w:color="auto"/>
            </w:tcBorders>
            <w:shd w:val="clear" w:color="auto" w:fill="auto"/>
            <w:noWrap/>
            <w:vAlign w:val="bottom"/>
            <w:hideMark/>
          </w:tcPr>
          <w:p w14:paraId="495A70F3" w14:textId="77777777" w:rsidR="008E0437" w:rsidRPr="008E0437" w:rsidRDefault="008E0437" w:rsidP="008E043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5</w:t>
            </w:r>
          </w:p>
        </w:tc>
      </w:tr>
      <w:tr w:rsidR="008E0437" w:rsidRPr="008E0437" w14:paraId="40A2AD21" w14:textId="77777777" w:rsidTr="00552407">
        <w:trPr>
          <w:trHeight w:val="316"/>
        </w:trPr>
        <w:tc>
          <w:tcPr>
            <w:tcW w:w="3394" w:type="dxa"/>
            <w:tcBorders>
              <w:top w:val="nil"/>
              <w:left w:val="single" w:sz="4" w:space="0" w:color="auto"/>
              <w:bottom w:val="single" w:sz="4" w:space="0" w:color="auto"/>
              <w:right w:val="single" w:sz="4" w:space="0" w:color="auto"/>
            </w:tcBorders>
            <w:shd w:val="clear" w:color="auto" w:fill="auto"/>
            <w:noWrap/>
            <w:vAlign w:val="bottom"/>
            <w:hideMark/>
          </w:tcPr>
          <w:p w14:paraId="36DE0A4C" w14:textId="77777777" w:rsidR="008E0437" w:rsidRPr="008E0437" w:rsidRDefault="008E0437" w:rsidP="008E0437">
            <w:pPr>
              <w:widowControl/>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EBITDA</w:t>
            </w:r>
          </w:p>
        </w:tc>
        <w:tc>
          <w:tcPr>
            <w:tcW w:w="1093" w:type="dxa"/>
            <w:tcBorders>
              <w:top w:val="nil"/>
              <w:left w:val="nil"/>
              <w:bottom w:val="single" w:sz="4" w:space="0" w:color="auto"/>
              <w:right w:val="single" w:sz="4" w:space="0" w:color="auto"/>
            </w:tcBorders>
            <w:shd w:val="clear" w:color="auto" w:fill="auto"/>
            <w:noWrap/>
            <w:vAlign w:val="bottom"/>
            <w:hideMark/>
          </w:tcPr>
          <w:p w14:paraId="03E5CE20" w14:textId="258941D3" w:rsidR="008E0437" w:rsidRPr="008E0437" w:rsidRDefault="008E0437" w:rsidP="008E043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57,407</w:t>
            </w:r>
          </w:p>
        </w:tc>
        <w:tc>
          <w:tcPr>
            <w:tcW w:w="1014" w:type="dxa"/>
            <w:tcBorders>
              <w:top w:val="nil"/>
              <w:left w:val="nil"/>
              <w:bottom w:val="single" w:sz="4" w:space="0" w:color="auto"/>
              <w:right w:val="single" w:sz="4" w:space="0" w:color="auto"/>
            </w:tcBorders>
            <w:shd w:val="clear" w:color="auto" w:fill="auto"/>
            <w:noWrap/>
            <w:vAlign w:val="bottom"/>
            <w:hideMark/>
          </w:tcPr>
          <w:p w14:paraId="22215733" w14:textId="5CE1A219" w:rsidR="008E0437" w:rsidRPr="008E0437" w:rsidRDefault="008E0437" w:rsidP="008E043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62,114</w:t>
            </w:r>
          </w:p>
        </w:tc>
        <w:tc>
          <w:tcPr>
            <w:tcW w:w="1024" w:type="dxa"/>
            <w:tcBorders>
              <w:top w:val="nil"/>
              <w:left w:val="nil"/>
              <w:bottom w:val="single" w:sz="4" w:space="0" w:color="auto"/>
              <w:right w:val="single" w:sz="4" w:space="0" w:color="auto"/>
            </w:tcBorders>
            <w:shd w:val="clear" w:color="auto" w:fill="auto"/>
            <w:noWrap/>
            <w:vAlign w:val="bottom"/>
            <w:hideMark/>
          </w:tcPr>
          <w:p w14:paraId="741B147E" w14:textId="46027F7C" w:rsidR="008E0437" w:rsidRPr="008E0437" w:rsidRDefault="008E0437" w:rsidP="008E043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67,207</w:t>
            </w:r>
          </w:p>
        </w:tc>
        <w:tc>
          <w:tcPr>
            <w:tcW w:w="847" w:type="dxa"/>
            <w:tcBorders>
              <w:top w:val="nil"/>
              <w:left w:val="nil"/>
              <w:bottom w:val="single" w:sz="4" w:space="0" w:color="auto"/>
              <w:right w:val="single" w:sz="4" w:space="0" w:color="auto"/>
            </w:tcBorders>
            <w:shd w:val="clear" w:color="auto" w:fill="auto"/>
            <w:noWrap/>
            <w:vAlign w:val="bottom"/>
            <w:hideMark/>
          </w:tcPr>
          <w:p w14:paraId="4DEE253A" w14:textId="30DD20AE" w:rsidR="008E0437" w:rsidRPr="008E0437" w:rsidRDefault="008E0437" w:rsidP="008E043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72,718</w:t>
            </w:r>
          </w:p>
        </w:tc>
        <w:tc>
          <w:tcPr>
            <w:tcW w:w="847" w:type="dxa"/>
            <w:tcBorders>
              <w:top w:val="nil"/>
              <w:left w:val="nil"/>
              <w:bottom w:val="single" w:sz="4" w:space="0" w:color="auto"/>
              <w:right w:val="single" w:sz="4" w:space="0" w:color="auto"/>
            </w:tcBorders>
            <w:shd w:val="clear" w:color="auto" w:fill="auto"/>
            <w:noWrap/>
            <w:vAlign w:val="bottom"/>
            <w:hideMark/>
          </w:tcPr>
          <w:p w14:paraId="4416FADC" w14:textId="3D5160E3" w:rsidR="008E0437" w:rsidRPr="008E0437" w:rsidRDefault="008E0437" w:rsidP="008E043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78,681</w:t>
            </w:r>
          </w:p>
        </w:tc>
      </w:tr>
      <w:tr w:rsidR="008E0437" w:rsidRPr="008E0437" w14:paraId="46485629" w14:textId="77777777" w:rsidTr="00552407">
        <w:trPr>
          <w:trHeight w:val="357"/>
        </w:trPr>
        <w:tc>
          <w:tcPr>
            <w:tcW w:w="3394" w:type="dxa"/>
            <w:tcBorders>
              <w:top w:val="nil"/>
              <w:left w:val="single" w:sz="4" w:space="0" w:color="auto"/>
              <w:bottom w:val="single" w:sz="4" w:space="0" w:color="auto"/>
              <w:right w:val="single" w:sz="4" w:space="0" w:color="auto"/>
            </w:tcBorders>
            <w:shd w:val="clear" w:color="auto" w:fill="auto"/>
            <w:noWrap/>
            <w:vAlign w:val="bottom"/>
            <w:hideMark/>
          </w:tcPr>
          <w:p w14:paraId="3BD89159" w14:textId="77777777" w:rsidR="008E0437" w:rsidRPr="008E0437" w:rsidRDefault="008E0437" w:rsidP="008E0437">
            <w:pPr>
              <w:widowControl/>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 xml:space="preserve">Expenditure </w:t>
            </w:r>
            <w:r w:rsidRPr="008E0437">
              <w:rPr>
                <w:rFonts w:ascii="Calibri" w:eastAsia="Times New Roman" w:hAnsi="Calibri" w:cs="Times New Roman"/>
                <w:color w:val="000000"/>
                <w:kern w:val="0"/>
                <w:sz w:val="22"/>
                <w:vertAlign w:val="superscript"/>
                <w:lang w:val="en-GB"/>
              </w:rPr>
              <w:t>1</w:t>
            </w:r>
            <w:r w:rsidRPr="008E0437">
              <w:rPr>
                <w:rFonts w:ascii="Calibri" w:eastAsia="Times New Roman" w:hAnsi="Calibri" w:cs="Times New Roman"/>
                <w:color w:val="000000"/>
                <w:kern w:val="0"/>
                <w:sz w:val="22"/>
                <w:lang w:val="en-GB"/>
              </w:rPr>
              <w:t xml:space="preserve"> (predicting growth rate as sales growth rate 8.2%)</w:t>
            </w:r>
          </w:p>
        </w:tc>
        <w:tc>
          <w:tcPr>
            <w:tcW w:w="1093" w:type="dxa"/>
            <w:tcBorders>
              <w:top w:val="nil"/>
              <w:left w:val="nil"/>
              <w:bottom w:val="single" w:sz="4" w:space="0" w:color="auto"/>
              <w:right w:val="single" w:sz="4" w:space="0" w:color="auto"/>
            </w:tcBorders>
            <w:shd w:val="clear" w:color="auto" w:fill="auto"/>
            <w:noWrap/>
            <w:vAlign w:val="bottom"/>
            <w:hideMark/>
          </w:tcPr>
          <w:p w14:paraId="6346EFC1" w14:textId="4833AF61" w:rsidR="008E0437" w:rsidRPr="008E0437" w:rsidRDefault="008E0437" w:rsidP="008E043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28,241</w:t>
            </w:r>
          </w:p>
        </w:tc>
        <w:tc>
          <w:tcPr>
            <w:tcW w:w="1014" w:type="dxa"/>
            <w:tcBorders>
              <w:top w:val="nil"/>
              <w:left w:val="nil"/>
              <w:bottom w:val="single" w:sz="4" w:space="0" w:color="auto"/>
              <w:right w:val="single" w:sz="4" w:space="0" w:color="auto"/>
            </w:tcBorders>
            <w:shd w:val="clear" w:color="auto" w:fill="auto"/>
            <w:noWrap/>
            <w:vAlign w:val="bottom"/>
            <w:hideMark/>
          </w:tcPr>
          <w:p w14:paraId="33689F19" w14:textId="6F22E76F" w:rsidR="008E0437" w:rsidRPr="008E0437" w:rsidRDefault="008E0437" w:rsidP="008E043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30,557</w:t>
            </w:r>
          </w:p>
        </w:tc>
        <w:tc>
          <w:tcPr>
            <w:tcW w:w="1024" w:type="dxa"/>
            <w:tcBorders>
              <w:top w:val="nil"/>
              <w:left w:val="nil"/>
              <w:bottom w:val="single" w:sz="4" w:space="0" w:color="auto"/>
              <w:right w:val="single" w:sz="4" w:space="0" w:color="auto"/>
            </w:tcBorders>
            <w:shd w:val="clear" w:color="auto" w:fill="auto"/>
            <w:noWrap/>
            <w:vAlign w:val="bottom"/>
            <w:hideMark/>
          </w:tcPr>
          <w:p w14:paraId="4FAC4FB5" w14:textId="397EECC1" w:rsidR="008E0437" w:rsidRPr="008E0437" w:rsidRDefault="008E0437" w:rsidP="008E043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33,062</w:t>
            </w:r>
          </w:p>
        </w:tc>
        <w:tc>
          <w:tcPr>
            <w:tcW w:w="847" w:type="dxa"/>
            <w:tcBorders>
              <w:top w:val="nil"/>
              <w:left w:val="nil"/>
              <w:bottom w:val="single" w:sz="4" w:space="0" w:color="auto"/>
              <w:right w:val="single" w:sz="4" w:space="0" w:color="auto"/>
            </w:tcBorders>
            <w:shd w:val="clear" w:color="auto" w:fill="auto"/>
            <w:noWrap/>
            <w:vAlign w:val="bottom"/>
            <w:hideMark/>
          </w:tcPr>
          <w:p w14:paraId="207AB37D" w14:textId="19E99A88" w:rsidR="008E0437" w:rsidRPr="008E0437" w:rsidRDefault="008E0437" w:rsidP="008E043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35,774</w:t>
            </w:r>
          </w:p>
        </w:tc>
        <w:tc>
          <w:tcPr>
            <w:tcW w:w="847" w:type="dxa"/>
            <w:tcBorders>
              <w:top w:val="nil"/>
              <w:left w:val="nil"/>
              <w:bottom w:val="single" w:sz="4" w:space="0" w:color="auto"/>
              <w:right w:val="single" w:sz="4" w:space="0" w:color="auto"/>
            </w:tcBorders>
            <w:shd w:val="clear" w:color="auto" w:fill="auto"/>
            <w:noWrap/>
            <w:vAlign w:val="bottom"/>
            <w:hideMark/>
          </w:tcPr>
          <w:p w14:paraId="1E4488FF" w14:textId="145AFCDF" w:rsidR="008E0437" w:rsidRPr="008E0437" w:rsidRDefault="008E0437" w:rsidP="008E043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38,707</w:t>
            </w:r>
          </w:p>
        </w:tc>
      </w:tr>
      <w:tr w:rsidR="008E0437" w:rsidRPr="008E0437" w14:paraId="58B6A8EA" w14:textId="77777777" w:rsidTr="00552407">
        <w:trPr>
          <w:trHeight w:val="316"/>
        </w:trPr>
        <w:tc>
          <w:tcPr>
            <w:tcW w:w="3394" w:type="dxa"/>
            <w:tcBorders>
              <w:top w:val="nil"/>
              <w:left w:val="single" w:sz="4" w:space="0" w:color="auto"/>
              <w:bottom w:val="single" w:sz="4" w:space="0" w:color="auto"/>
              <w:right w:val="single" w:sz="4" w:space="0" w:color="auto"/>
            </w:tcBorders>
            <w:shd w:val="clear" w:color="auto" w:fill="auto"/>
            <w:noWrap/>
            <w:vAlign w:val="bottom"/>
            <w:hideMark/>
          </w:tcPr>
          <w:p w14:paraId="601E2D39" w14:textId="77777777" w:rsidR="008E0437" w:rsidRPr="008E0437" w:rsidRDefault="008E0437" w:rsidP="008E0437">
            <w:pPr>
              <w:widowControl/>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Tax expense</w:t>
            </w:r>
          </w:p>
        </w:tc>
        <w:tc>
          <w:tcPr>
            <w:tcW w:w="1093" w:type="dxa"/>
            <w:tcBorders>
              <w:top w:val="nil"/>
              <w:left w:val="nil"/>
              <w:bottom w:val="single" w:sz="4" w:space="0" w:color="auto"/>
              <w:right w:val="single" w:sz="4" w:space="0" w:color="auto"/>
            </w:tcBorders>
            <w:shd w:val="clear" w:color="auto" w:fill="auto"/>
            <w:noWrap/>
            <w:vAlign w:val="bottom"/>
            <w:hideMark/>
          </w:tcPr>
          <w:p w14:paraId="71BD691D" w14:textId="002C1F70" w:rsidR="008E0437" w:rsidRPr="008E0437" w:rsidRDefault="008E0437" w:rsidP="008E043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9,722</w:t>
            </w:r>
          </w:p>
        </w:tc>
        <w:tc>
          <w:tcPr>
            <w:tcW w:w="1014" w:type="dxa"/>
            <w:tcBorders>
              <w:top w:val="nil"/>
              <w:left w:val="nil"/>
              <w:bottom w:val="single" w:sz="4" w:space="0" w:color="auto"/>
              <w:right w:val="single" w:sz="4" w:space="0" w:color="auto"/>
            </w:tcBorders>
            <w:shd w:val="clear" w:color="auto" w:fill="auto"/>
            <w:noWrap/>
            <w:vAlign w:val="bottom"/>
            <w:hideMark/>
          </w:tcPr>
          <w:p w14:paraId="0A76714E" w14:textId="2BAA2C14" w:rsidR="008E0437" w:rsidRPr="008E0437" w:rsidRDefault="008E0437" w:rsidP="008E043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10,899</w:t>
            </w:r>
          </w:p>
        </w:tc>
        <w:tc>
          <w:tcPr>
            <w:tcW w:w="1024" w:type="dxa"/>
            <w:tcBorders>
              <w:top w:val="nil"/>
              <w:left w:val="nil"/>
              <w:bottom w:val="single" w:sz="4" w:space="0" w:color="auto"/>
              <w:right w:val="single" w:sz="4" w:space="0" w:color="auto"/>
            </w:tcBorders>
            <w:shd w:val="clear" w:color="auto" w:fill="auto"/>
            <w:noWrap/>
            <w:vAlign w:val="bottom"/>
            <w:hideMark/>
          </w:tcPr>
          <w:p w14:paraId="7CE56E69" w14:textId="0594E75A" w:rsidR="008E0437" w:rsidRPr="008E0437" w:rsidRDefault="008E0437" w:rsidP="008E043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12,172</w:t>
            </w:r>
          </w:p>
        </w:tc>
        <w:tc>
          <w:tcPr>
            <w:tcW w:w="847" w:type="dxa"/>
            <w:tcBorders>
              <w:top w:val="nil"/>
              <w:left w:val="nil"/>
              <w:bottom w:val="single" w:sz="4" w:space="0" w:color="auto"/>
              <w:right w:val="single" w:sz="4" w:space="0" w:color="auto"/>
            </w:tcBorders>
            <w:shd w:val="clear" w:color="auto" w:fill="auto"/>
            <w:noWrap/>
            <w:vAlign w:val="bottom"/>
            <w:hideMark/>
          </w:tcPr>
          <w:p w14:paraId="08C9B160" w14:textId="7FC97D0D" w:rsidR="008E0437" w:rsidRPr="008E0437" w:rsidRDefault="008E0437" w:rsidP="008E043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13,550</w:t>
            </w:r>
          </w:p>
        </w:tc>
        <w:tc>
          <w:tcPr>
            <w:tcW w:w="847" w:type="dxa"/>
            <w:tcBorders>
              <w:top w:val="nil"/>
              <w:left w:val="nil"/>
              <w:bottom w:val="single" w:sz="4" w:space="0" w:color="auto"/>
              <w:right w:val="single" w:sz="4" w:space="0" w:color="auto"/>
            </w:tcBorders>
            <w:shd w:val="clear" w:color="auto" w:fill="auto"/>
            <w:noWrap/>
            <w:vAlign w:val="bottom"/>
            <w:hideMark/>
          </w:tcPr>
          <w:p w14:paraId="3CA673D6" w14:textId="7EF57CA3" w:rsidR="008E0437" w:rsidRPr="008E0437" w:rsidRDefault="008E0437" w:rsidP="008E043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15,041</w:t>
            </w:r>
          </w:p>
        </w:tc>
      </w:tr>
      <w:tr w:rsidR="008E0437" w:rsidRPr="008E0437" w14:paraId="403CD795" w14:textId="77777777" w:rsidTr="00552407">
        <w:trPr>
          <w:trHeight w:val="316"/>
        </w:trPr>
        <w:tc>
          <w:tcPr>
            <w:tcW w:w="3394" w:type="dxa"/>
            <w:tcBorders>
              <w:top w:val="nil"/>
              <w:left w:val="single" w:sz="4" w:space="0" w:color="auto"/>
              <w:bottom w:val="single" w:sz="4" w:space="0" w:color="auto"/>
              <w:right w:val="single" w:sz="4" w:space="0" w:color="auto"/>
            </w:tcBorders>
            <w:shd w:val="clear" w:color="auto" w:fill="auto"/>
            <w:noWrap/>
            <w:vAlign w:val="bottom"/>
            <w:hideMark/>
          </w:tcPr>
          <w:p w14:paraId="727B007B" w14:textId="77777777" w:rsidR="008E0437" w:rsidRPr="008E0437" w:rsidRDefault="008E0437" w:rsidP="008E0437">
            <w:pPr>
              <w:widowControl/>
              <w:jc w:val="right"/>
              <w:rPr>
                <w:rFonts w:ascii="Calibri" w:eastAsia="Times New Roman" w:hAnsi="Calibri" w:cs="Times New Roman"/>
                <w:b/>
                <w:bCs/>
                <w:color w:val="000000"/>
                <w:kern w:val="0"/>
                <w:sz w:val="22"/>
                <w:lang w:val="en-GB"/>
              </w:rPr>
            </w:pPr>
            <w:r w:rsidRPr="008E0437">
              <w:rPr>
                <w:rFonts w:ascii="Calibri" w:eastAsia="Times New Roman" w:hAnsi="Calibri" w:cs="Times New Roman"/>
                <w:b/>
                <w:bCs/>
                <w:color w:val="000000"/>
                <w:kern w:val="0"/>
                <w:sz w:val="22"/>
                <w:lang w:val="en-GB"/>
              </w:rPr>
              <w:t>Cashflow</w:t>
            </w:r>
          </w:p>
        </w:tc>
        <w:tc>
          <w:tcPr>
            <w:tcW w:w="1093" w:type="dxa"/>
            <w:tcBorders>
              <w:top w:val="nil"/>
              <w:left w:val="nil"/>
              <w:bottom w:val="single" w:sz="4" w:space="0" w:color="auto"/>
              <w:right w:val="single" w:sz="4" w:space="0" w:color="auto"/>
            </w:tcBorders>
            <w:shd w:val="clear" w:color="auto" w:fill="auto"/>
            <w:noWrap/>
            <w:vAlign w:val="bottom"/>
            <w:hideMark/>
          </w:tcPr>
          <w:p w14:paraId="509DB65A" w14:textId="74D1D3C1" w:rsidR="008E0437" w:rsidRPr="008E0437" w:rsidRDefault="008E0437" w:rsidP="008E043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19,444</w:t>
            </w:r>
          </w:p>
        </w:tc>
        <w:tc>
          <w:tcPr>
            <w:tcW w:w="1014" w:type="dxa"/>
            <w:tcBorders>
              <w:top w:val="nil"/>
              <w:left w:val="nil"/>
              <w:bottom w:val="single" w:sz="4" w:space="0" w:color="auto"/>
              <w:right w:val="single" w:sz="4" w:space="0" w:color="auto"/>
            </w:tcBorders>
            <w:shd w:val="clear" w:color="auto" w:fill="auto"/>
            <w:noWrap/>
            <w:vAlign w:val="bottom"/>
            <w:hideMark/>
          </w:tcPr>
          <w:p w14:paraId="4D6986D1" w14:textId="3E9F963E" w:rsidR="008E0437" w:rsidRPr="008E0437" w:rsidRDefault="008E0437" w:rsidP="008E043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20,658</w:t>
            </w:r>
          </w:p>
        </w:tc>
        <w:tc>
          <w:tcPr>
            <w:tcW w:w="1024" w:type="dxa"/>
            <w:tcBorders>
              <w:top w:val="nil"/>
              <w:left w:val="nil"/>
              <w:bottom w:val="single" w:sz="4" w:space="0" w:color="auto"/>
              <w:right w:val="single" w:sz="4" w:space="0" w:color="auto"/>
            </w:tcBorders>
            <w:shd w:val="clear" w:color="auto" w:fill="auto"/>
            <w:noWrap/>
            <w:vAlign w:val="bottom"/>
            <w:hideMark/>
          </w:tcPr>
          <w:p w14:paraId="6465DDE2" w14:textId="22353F36" w:rsidR="008E0437" w:rsidRPr="008E0437" w:rsidRDefault="008E0437" w:rsidP="008E043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21,973</w:t>
            </w:r>
          </w:p>
        </w:tc>
        <w:tc>
          <w:tcPr>
            <w:tcW w:w="847" w:type="dxa"/>
            <w:tcBorders>
              <w:top w:val="nil"/>
              <w:left w:val="nil"/>
              <w:bottom w:val="single" w:sz="4" w:space="0" w:color="auto"/>
              <w:right w:val="single" w:sz="4" w:space="0" w:color="auto"/>
            </w:tcBorders>
            <w:shd w:val="clear" w:color="auto" w:fill="auto"/>
            <w:noWrap/>
            <w:vAlign w:val="bottom"/>
            <w:hideMark/>
          </w:tcPr>
          <w:p w14:paraId="32FE1EC3" w14:textId="34A9F98A" w:rsidR="008E0437" w:rsidRPr="008E0437" w:rsidRDefault="008E0437" w:rsidP="008E043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23,395</w:t>
            </w:r>
          </w:p>
        </w:tc>
        <w:tc>
          <w:tcPr>
            <w:tcW w:w="847" w:type="dxa"/>
            <w:tcBorders>
              <w:top w:val="nil"/>
              <w:left w:val="nil"/>
              <w:bottom w:val="single" w:sz="4" w:space="0" w:color="auto"/>
              <w:right w:val="single" w:sz="4" w:space="0" w:color="auto"/>
            </w:tcBorders>
            <w:shd w:val="clear" w:color="auto" w:fill="auto"/>
            <w:noWrap/>
            <w:vAlign w:val="bottom"/>
            <w:hideMark/>
          </w:tcPr>
          <w:p w14:paraId="59EEFBC0" w14:textId="09A8DCB1" w:rsidR="008E0437" w:rsidRPr="008E0437" w:rsidRDefault="008E0437" w:rsidP="008E043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24,934</w:t>
            </w:r>
          </w:p>
        </w:tc>
      </w:tr>
    </w:tbl>
    <w:p w14:paraId="15DC5DB3" w14:textId="2E2718E4" w:rsidR="008E0437" w:rsidRDefault="008E0437" w:rsidP="0026201B">
      <w:pPr>
        <w:widowControl/>
        <w:spacing w:line="360" w:lineRule="auto"/>
        <w:rPr>
          <w:rFonts w:ascii="Arial" w:hAnsi="Arial" w:cs="Arial"/>
          <w:szCs w:val="24"/>
        </w:rPr>
      </w:pPr>
    </w:p>
    <w:tbl>
      <w:tblPr>
        <w:tblW w:w="8042" w:type="dxa"/>
        <w:tblLook w:val="04A0" w:firstRow="1" w:lastRow="0" w:firstColumn="1" w:lastColumn="0" w:noHBand="0" w:noVBand="1"/>
      </w:tblPr>
      <w:tblGrid>
        <w:gridCol w:w="3320"/>
        <w:gridCol w:w="1070"/>
        <w:gridCol w:w="992"/>
        <w:gridCol w:w="1002"/>
        <w:gridCol w:w="940"/>
        <w:gridCol w:w="940"/>
      </w:tblGrid>
      <w:tr w:rsidR="008E0437" w:rsidRPr="008E0437" w14:paraId="2859AE91" w14:textId="77777777" w:rsidTr="00552407">
        <w:trPr>
          <w:trHeight w:val="307"/>
        </w:trPr>
        <w:tc>
          <w:tcPr>
            <w:tcW w:w="33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D99197" w14:textId="77777777" w:rsidR="008E0437" w:rsidRPr="008E0437" w:rsidRDefault="008E0437" w:rsidP="00552407">
            <w:pPr>
              <w:widowControl/>
              <w:rPr>
                <w:rFonts w:ascii="Calibri" w:eastAsia="Times New Roman" w:hAnsi="Calibri" w:cs="Times New Roman"/>
                <w:b/>
                <w:bCs/>
                <w:color w:val="000000"/>
                <w:kern w:val="0"/>
                <w:sz w:val="22"/>
                <w:lang w:val="en-GB"/>
              </w:rPr>
            </w:pPr>
            <w:r w:rsidRPr="008E0437">
              <w:rPr>
                <w:rFonts w:ascii="Calibri" w:eastAsia="Times New Roman" w:hAnsi="Calibri" w:cs="Times New Roman"/>
                <w:b/>
                <w:bCs/>
                <w:color w:val="000000"/>
                <w:kern w:val="0"/>
                <w:sz w:val="22"/>
                <w:lang w:val="en-GB"/>
              </w:rPr>
              <w:t>Cashflow calculation</w:t>
            </w:r>
          </w:p>
        </w:tc>
        <w:tc>
          <w:tcPr>
            <w:tcW w:w="4722" w:type="dxa"/>
            <w:gridSpan w:val="5"/>
            <w:tcBorders>
              <w:top w:val="single" w:sz="4" w:space="0" w:color="auto"/>
              <w:left w:val="nil"/>
              <w:bottom w:val="single" w:sz="4" w:space="0" w:color="auto"/>
              <w:right w:val="single" w:sz="4" w:space="0" w:color="auto"/>
            </w:tcBorders>
            <w:shd w:val="clear" w:color="auto" w:fill="auto"/>
            <w:noWrap/>
            <w:vAlign w:val="bottom"/>
            <w:hideMark/>
          </w:tcPr>
          <w:p w14:paraId="5AB33734" w14:textId="77777777" w:rsidR="008E0437" w:rsidRPr="008E0437" w:rsidRDefault="008E0437" w:rsidP="0055240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Year</w:t>
            </w:r>
          </w:p>
        </w:tc>
      </w:tr>
      <w:tr w:rsidR="008E0437" w:rsidRPr="008E0437" w14:paraId="3034BB85" w14:textId="77777777" w:rsidTr="00552407">
        <w:trPr>
          <w:trHeight w:val="307"/>
        </w:trPr>
        <w:tc>
          <w:tcPr>
            <w:tcW w:w="3320" w:type="dxa"/>
            <w:tcBorders>
              <w:top w:val="nil"/>
              <w:left w:val="single" w:sz="4" w:space="0" w:color="auto"/>
              <w:bottom w:val="single" w:sz="4" w:space="0" w:color="auto"/>
              <w:right w:val="single" w:sz="4" w:space="0" w:color="auto"/>
            </w:tcBorders>
            <w:shd w:val="clear" w:color="auto" w:fill="auto"/>
            <w:noWrap/>
            <w:vAlign w:val="bottom"/>
            <w:hideMark/>
          </w:tcPr>
          <w:p w14:paraId="138AC100" w14:textId="77777777" w:rsidR="008E0437" w:rsidRPr="008E0437" w:rsidRDefault="008E0437" w:rsidP="008E0437">
            <w:pPr>
              <w:widowControl/>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Items (HK$'000)</w:t>
            </w:r>
          </w:p>
        </w:tc>
        <w:tc>
          <w:tcPr>
            <w:tcW w:w="1070" w:type="dxa"/>
            <w:tcBorders>
              <w:top w:val="nil"/>
              <w:left w:val="nil"/>
              <w:bottom w:val="single" w:sz="4" w:space="0" w:color="auto"/>
              <w:right w:val="single" w:sz="4" w:space="0" w:color="auto"/>
            </w:tcBorders>
            <w:shd w:val="clear" w:color="auto" w:fill="auto"/>
            <w:noWrap/>
            <w:vAlign w:val="bottom"/>
            <w:hideMark/>
          </w:tcPr>
          <w:p w14:paraId="4D1AEC0D" w14:textId="7AE8E787"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6</w:t>
            </w:r>
          </w:p>
        </w:tc>
        <w:tc>
          <w:tcPr>
            <w:tcW w:w="992" w:type="dxa"/>
            <w:tcBorders>
              <w:top w:val="nil"/>
              <w:left w:val="nil"/>
              <w:bottom w:val="single" w:sz="4" w:space="0" w:color="auto"/>
              <w:right w:val="single" w:sz="4" w:space="0" w:color="auto"/>
            </w:tcBorders>
            <w:shd w:val="clear" w:color="auto" w:fill="auto"/>
            <w:noWrap/>
            <w:vAlign w:val="bottom"/>
            <w:hideMark/>
          </w:tcPr>
          <w:p w14:paraId="1CDE7A67" w14:textId="2F142A80"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7</w:t>
            </w:r>
          </w:p>
        </w:tc>
        <w:tc>
          <w:tcPr>
            <w:tcW w:w="1002" w:type="dxa"/>
            <w:tcBorders>
              <w:top w:val="nil"/>
              <w:left w:val="nil"/>
              <w:bottom w:val="single" w:sz="4" w:space="0" w:color="auto"/>
              <w:right w:val="single" w:sz="4" w:space="0" w:color="auto"/>
            </w:tcBorders>
            <w:shd w:val="clear" w:color="auto" w:fill="auto"/>
            <w:noWrap/>
            <w:vAlign w:val="bottom"/>
            <w:hideMark/>
          </w:tcPr>
          <w:p w14:paraId="1E0A866E" w14:textId="64C6F42B"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8</w:t>
            </w:r>
          </w:p>
        </w:tc>
        <w:tc>
          <w:tcPr>
            <w:tcW w:w="829" w:type="dxa"/>
            <w:tcBorders>
              <w:top w:val="nil"/>
              <w:left w:val="nil"/>
              <w:bottom w:val="single" w:sz="4" w:space="0" w:color="auto"/>
              <w:right w:val="single" w:sz="4" w:space="0" w:color="auto"/>
            </w:tcBorders>
            <w:shd w:val="clear" w:color="auto" w:fill="auto"/>
            <w:noWrap/>
            <w:vAlign w:val="bottom"/>
            <w:hideMark/>
          </w:tcPr>
          <w:p w14:paraId="14D3E89B" w14:textId="5C9F3369"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9</w:t>
            </w:r>
          </w:p>
        </w:tc>
        <w:tc>
          <w:tcPr>
            <w:tcW w:w="829" w:type="dxa"/>
            <w:tcBorders>
              <w:top w:val="nil"/>
              <w:left w:val="nil"/>
              <w:bottom w:val="single" w:sz="4" w:space="0" w:color="auto"/>
              <w:right w:val="single" w:sz="4" w:space="0" w:color="auto"/>
            </w:tcBorders>
            <w:shd w:val="clear" w:color="auto" w:fill="auto"/>
            <w:noWrap/>
            <w:vAlign w:val="bottom"/>
            <w:hideMark/>
          </w:tcPr>
          <w:p w14:paraId="208F3018" w14:textId="00A9691D"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10</w:t>
            </w:r>
          </w:p>
        </w:tc>
      </w:tr>
      <w:tr w:rsidR="008E0437" w:rsidRPr="008E0437" w14:paraId="0BC9F734" w14:textId="77777777" w:rsidTr="00552407">
        <w:trPr>
          <w:trHeight w:val="307"/>
        </w:trPr>
        <w:tc>
          <w:tcPr>
            <w:tcW w:w="3320" w:type="dxa"/>
            <w:tcBorders>
              <w:top w:val="nil"/>
              <w:left w:val="single" w:sz="4" w:space="0" w:color="auto"/>
              <w:bottom w:val="single" w:sz="4" w:space="0" w:color="auto"/>
              <w:right w:val="single" w:sz="4" w:space="0" w:color="auto"/>
            </w:tcBorders>
            <w:shd w:val="clear" w:color="auto" w:fill="auto"/>
            <w:noWrap/>
            <w:vAlign w:val="bottom"/>
            <w:hideMark/>
          </w:tcPr>
          <w:p w14:paraId="720ABCFF" w14:textId="77777777" w:rsidR="008E0437" w:rsidRPr="008E0437" w:rsidRDefault="008E0437" w:rsidP="008E0437">
            <w:pPr>
              <w:widowControl/>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EBITDA</w:t>
            </w:r>
          </w:p>
        </w:tc>
        <w:tc>
          <w:tcPr>
            <w:tcW w:w="1070" w:type="dxa"/>
            <w:tcBorders>
              <w:top w:val="nil"/>
              <w:left w:val="nil"/>
              <w:bottom w:val="single" w:sz="4" w:space="0" w:color="auto"/>
              <w:right w:val="single" w:sz="4" w:space="0" w:color="auto"/>
            </w:tcBorders>
            <w:shd w:val="clear" w:color="auto" w:fill="auto"/>
            <w:noWrap/>
            <w:vAlign w:val="bottom"/>
            <w:hideMark/>
          </w:tcPr>
          <w:p w14:paraId="2101811E" w14:textId="614E85FB"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85,133                </w:t>
            </w:r>
          </w:p>
        </w:tc>
        <w:tc>
          <w:tcPr>
            <w:tcW w:w="992" w:type="dxa"/>
            <w:tcBorders>
              <w:top w:val="nil"/>
              <w:left w:val="nil"/>
              <w:bottom w:val="single" w:sz="4" w:space="0" w:color="auto"/>
              <w:right w:val="single" w:sz="4" w:space="0" w:color="auto"/>
            </w:tcBorders>
            <w:shd w:val="clear" w:color="auto" w:fill="auto"/>
            <w:noWrap/>
            <w:vAlign w:val="bottom"/>
            <w:hideMark/>
          </w:tcPr>
          <w:p w14:paraId="51C326C0" w14:textId="29B08A97"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92,114                </w:t>
            </w:r>
          </w:p>
        </w:tc>
        <w:tc>
          <w:tcPr>
            <w:tcW w:w="1002" w:type="dxa"/>
            <w:tcBorders>
              <w:top w:val="nil"/>
              <w:left w:val="nil"/>
              <w:bottom w:val="single" w:sz="4" w:space="0" w:color="auto"/>
              <w:right w:val="single" w:sz="4" w:space="0" w:color="auto"/>
            </w:tcBorders>
            <w:shd w:val="clear" w:color="auto" w:fill="auto"/>
            <w:noWrap/>
            <w:vAlign w:val="bottom"/>
            <w:hideMark/>
          </w:tcPr>
          <w:p w14:paraId="46B27F32" w14:textId="31220D26"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99,667                </w:t>
            </w:r>
          </w:p>
        </w:tc>
        <w:tc>
          <w:tcPr>
            <w:tcW w:w="829" w:type="dxa"/>
            <w:tcBorders>
              <w:top w:val="nil"/>
              <w:left w:val="nil"/>
              <w:bottom w:val="single" w:sz="4" w:space="0" w:color="auto"/>
              <w:right w:val="single" w:sz="4" w:space="0" w:color="auto"/>
            </w:tcBorders>
            <w:shd w:val="clear" w:color="auto" w:fill="auto"/>
            <w:noWrap/>
            <w:vAlign w:val="bottom"/>
            <w:hideMark/>
          </w:tcPr>
          <w:p w14:paraId="48C68D23" w14:textId="58D8282C"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107,840                  </w:t>
            </w:r>
          </w:p>
        </w:tc>
        <w:tc>
          <w:tcPr>
            <w:tcW w:w="829" w:type="dxa"/>
            <w:tcBorders>
              <w:top w:val="nil"/>
              <w:left w:val="nil"/>
              <w:bottom w:val="single" w:sz="4" w:space="0" w:color="auto"/>
              <w:right w:val="single" w:sz="4" w:space="0" w:color="auto"/>
            </w:tcBorders>
            <w:shd w:val="clear" w:color="auto" w:fill="auto"/>
            <w:noWrap/>
            <w:vAlign w:val="bottom"/>
            <w:hideMark/>
          </w:tcPr>
          <w:p w14:paraId="042147BE" w14:textId="4F0516E5"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116,683                  </w:t>
            </w:r>
          </w:p>
        </w:tc>
      </w:tr>
      <w:tr w:rsidR="008E0437" w:rsidRPr="008E0437" w14:paraId="38A34737" w14:textId="77777777" w:rsidTr="00552407">
        <w:trPr>
          <w:trHeight w:val="346"/>
        </w:trPr>
        <w:tc>
          <w:tcPr>
            <w:tcW w:w="3320" w:type="dxa"/>
            <w:tcBorders>
              <w:top w:val="nil"/>
              <w:left w:val="single" w:sz="4" w:space="0" w:color="auto"/>
              <w:bottom w:val="single" w:sz="4" w:space="0" w:color="auto"/>
              <w:right w:val="single" w:sz="4" w:space="0" w:color="auto"/>
            </w:tcBorders>
            <w:shd w:val="clear" w:color="auto" w:fill="auto"/>
            <w:noWrap/>
            <w:vAlign w:val="bottom"/>
            <w:hideMark/>
          </w:tcPr>
          <w:p w14:paraId="5E1D3BB0" w14:textId="77777777" w:rsidR="008E0437" w:rsidRPr="008E0437" w:rsidRDefault="008E0437" w:rsidP="008E0437">
            <w:pPr>
              <w:widowControl/>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 xml:space="preserve">Expenditure </w:t>
            </w:r>
            <w:r w:rsidRPr="008E0437">
              <w:rPr>
                <w:rFonts w:ascii="Calibri" w:eastAsia="Times New Roman" w:hAnsi="Calibri" w:cs="Times New Roman"/>
                <w:color w:val="000000"/>
                <w:kern w:val="0"/>
                <w:sz w:val="22"/>
                <w:vertAlign w:val="superscript"/>
                <w:lang w:val="en-GB"/>
              </w:rPr>
              <w:t>1</w:t>
            </w:r>
            <w:r w:rsidRPr="008E0437">
              <w:rPr>
                <w:rFonts w:ascii="Calibri" w:eastAsia="Times New Roman" w:hAnsi="Calibri" w:cs="Times New Roman"/>
                <w:color w:val="000000"/>
                <w:kern w:val="0"/>
                <w:sz w:val="22"/>
                <w:lang w:val="en-GB"/>
              </w:rPr>
              <w:t xml:space="preserve"> (predicting growth rate as sales growth rate 8.2%)</w:t>
            </w:r>
          </w:p>
        </w:tc>
        <w:tc>
          <w:tcPr>
            <w:tcW w:w="1070" w:type="dxa"/>
            <w:tcBorders>
              <w:top w:val="nil"/>
              <w:left w:val="nil"/>
              <w:bottom w:val="single" w:sz="4" w:space="0" w:color="auto"/>
              <w:right w:val="single" w:sz="4" w:space="0" w:color="auto"/>
            </w:tcBorders>
            <w:shd w:val="clear" w:color="auto" w:fill="auto"/>
            <w:noWrap/>
            <w:vAlign w:val="bottom"/>
            <w:hideMark/>
          </w:tcPr>
          <w:p w14:paraId="2287B8D0" w14:textId="20E1DFBB"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               41,881 </w:t>
            </w:r>
          </w:p>
        </w:tc>
        <w:tc>
          <w:tcPr>
            <w:tcW w:w="992" w:type="dxa"/>
            <w:tcBorders>
              <w:top w:val="nil"/>
              <w:left w:val="nil"/>
              <w:bottom w:val="single" w:sz="4" w:space="0" w:color="auto"/>
              <w:right w:val="single" w:sz="4" w:space="0" w:color="auto"/>
            </w:tcBorders>
            <w:shd w:val="clear" w:color="auto" w:fill="auto"/>
            <w:noWrap/>
            <w:vAlign w:val="bottom"/>
            <w:hideMark/>
          </w:tcPr>
          <w:p w14:paraId="4BC9D04A" w14:textId="7A08066A"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               45,315 </w:t>
            </w:r>
          </w:p>
        </w:tc>
        <w:tc>
          <w:tcPr>
            <w:tcW w:w="1002" w:type="dxa"/>
            <w:tcBorders>
              <w:top w:val="nil"/>
              <w:left w:val="nil"/>
              <w:bottom w:val="single" w:sz="4" w:space="0" w:color="auto"/>
              <w:right w:val="single" w:sz="4" w:space="0" w:color="auto"/>
            </w:tcBorders>
            <w:shd w:val="clear" w:color="auto" w:fill="auto"/>
            <w:noWrap/>
            <w:vAlign w:val="bottom"/>
            <w:hideMark/>
          </w:tcPr>
          <w:p w14:paraId="184880B9" w14:textId="7434F023"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               49,031 </w:t>
            </w:r>
          </w:p>
        </w:tc>
        <w:tc>
          <w:tcPr>
            <w:tcW w:w="829" w:type="dxa"/>
            <w:tcBorders>
              <w:top w:val="nil"/>
              <w:left w:val="nil"/>
              <w:bottom w:val="single" w:sz="4" w:space="0" w:color="auto"/>
              <w:right w:val="single" w:sz="4" w:space="0" w:color="auto"/>
            </w:tcBorders>
            <w:shd w:val="clear" w:color="auto" w:fill="auto"/>
            <w:noWrap/>
            <w:vAlign w:val="bottom"/>
            <w:hideMark/>
          </w:tcPr>
          <w:p w14:paraId="307F0AE1" w14:textId="09071C39"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                    53,052 </w:t>
            </w:r>
          </w:p>
        </w:tc>
        <w:tc>
          <w:tcPr>
            <w:tcW w:w="829" w:type="dxa"/>
            <w:tcBorders>
              <w:top w:val="nil"/>
              <w:left w:val="nil"/>
              <w:bottom w:val="single" w:sz="4" w:space="0" w:color="auto"/>
              <w:right w:val="single" w:sz="4" w:space="0" w:color="auto"/>
            </w:tcBorders>
            <w:shd w:val="clear" w:color="auto" w:fill="auto"/>
            <w:noWrap/>
            <w:vAlign w:val="bottom"/>
            <w:hideMark/>
          </w:tcPr>
          <w:p w14:paraId="14D13321" w14:textId="529106A2"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                    57,402 </w:t>
            </w:r>
          </w:p>
        </w:tc>
      </w:tr>
      <w:tr w:rsidR="008E0437" w:rsidRPr="008E0437" w14:paraId="5EA96074" w14:textId="77777777" w:rsidTr="00552407">
        <w:trPr>
          <w:trHeight w:val="307"/>
        </w:trPr>
        <w:tc>
          <w:tcPr>
            <w:tcW w:w="3320" w:type="dxa"/>
            <w:tcBorders>
              <w:top w:val="nil"/>
              <w:left w:val="single" w:sz="4" w:space="0" w:color="auto"/>
              <w:bottom w:val="single" w:sz="4" w:space="0" w:color="auto"/>
              <w:right w:val="single" w:sz="4" w:space="0" w:color="auto"/>
            </w:tcBorders>
            <w:shd w:val="clear" w:color="auto" w:fill="auto"/>
            <w:noWrap/>
            <w:vAlign w:val="bottom"/>
            <w:hideMark/>
          </w:tcPr>
          <w:p w14:paraId="6AEFD4BB" w14:textId="77777777" w:rsidR="008E0437" w:rsidRPr="008E0437" w:rsidRDefault="008E0437" w:rsidP="008E0437">
            <w:pPr>
              <w:widowControl/>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Tax expense</w:t>
            </w:r>
          </w:p>
        </w:tc>
        <w:tc>
          <w:tcPr>
            <w:tcW w:w="1070" w:type="dxa"/>
            <w:tcBorders>
              <w:top w:val="nil"/>
              <w:left w:val="nil"/>
              <w:bottom w:val="single" w:sz="4" w:space="0" w:color="auto"/>
              <w:right w:val="single" w:sz="4" w:space="0" w:color="auto"/>
            </w:tcBorders>
            <w:shd w:val="clear" w:color="auto" w:fill="auto"/>
            <w:noWrap/>
            <w:vAlign w:val="bottom"/>
            <w:hideMark/>
          </w:tcPr>
          <w:p w14:paraId="0DC0FC47" w14:textId="54AA583E"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16,653                </w:t>
            </w:r>
          </w:p>
        </w:tc>
        <w:tc>
          <w:tcPr>
            <w:tcW w:w="992" w:type="dxa"/>
            <w:tcBorders>
              <w:top w:val="nil"/>
              <w:left w:val="nil"/>
              <w:bottom w:val="single" w:sz="4" w:space="0" w:color="auto"/>
              <w:right w:val="single" w:sz="4" w:space="0" w:color="auto"/>
            </w:tcBorders>
            <w:shd w:val="clear" w:color="auto" w:fill="auto"/>
            <w:noWrap/>
            <w:vAlign w:val="bottom"/>
            <w:hideMark/>
          </w:tcPr>
          <w:p w14:paraId="3F9AEA76" w14:textId="1814E655"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18,399                </w:t>
            </w:r>
          </w:p>
        </w:tc>
        <w:tc>
          <w:tcPr>
            <w:tcW w:w="1002" w:type="dxa"/>
            <w:tcBorders>
              <w:top w:val="nil"/>
              <w:left w:val="nil"/>
              <w:bottom w:val="single" w:sz="4" w:space="0" w:color="auto"/>
              <w:right w:val="single" w:sz="4" w:space="0" w:color="auto"/>
            </w:tcBorders>
            <w:shd w:val="clear" w:color="auto" w:fill="auto"/>
            <w:noWrap/>
            <w:vAlign w:val="bottom"/>
            <w:hideMark/>
          </w:tcPr>
          <w:p w14:paraId="35219353" w14:textId="734638D1"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20,287                </w:t>
            </w:r>
          </w:p>
        </w:tc>
        <w:tc>
          <w:tcPr>
            <w:tcW w:w="829" w:type="dxa"/>
            <w:tcBorders>
              <w:top w:val="nil"/>
              <w:left w:val="nil"/>
              <w:bottom w:val="single" w:sz="4" w:space="0" w:color="auto"/>
              <w:right w:val="single" w:sz="4" w:space="0" w:color="auto"/>
            </w:tcBorders>
            <w:shd w:val="clear" w:color="auto" w:fill="auto"/>
            <w:noWrap/>
            <w:vAlign w:val="bottom"/>
            <w:hideMark/>
          </w:tcPr>
          <w:p w14:paraId="641DA48D" w14:textId="1E34021B"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22,330                     </w:t>
            </w:r>
          </w:p>
        </w:tc>
        <w:tc>
          <w:tcPr>
            <w:tcW w:w="829" w:type="dxa"/>
            <w:tcBorders>
              <w:top w:val="nil"/>
              <w:left w:val="nil"/>
              <w:bottom w:val="single" w:sz="4" w:space="0" w:color="auto"/>
              <w:right w:val="single" w:sz="4" w:space="0" w:color="auto"/>
            </w:tcBorders>
            <w:shd w:val="clear" w:color="auto" w:fill="auto"/>
            <w:noWrap/>
            <w:vAlign w:val="bottom"/>
            <w:hideMark/>
          </w:tcPr>
          <w:p w14:paraId="603EA769" w14:textId="727F1E04"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24,541                     </w:t>
            </w:r>
          </w:p>
        </w:tc>
      </w:tr>
      <w:tr w:rsidR="008E0437" w:rsidRPr="008E0437" w14:paraId="5897F9C8" w14:textId="77777777" w:rsidTr="00552407">
        <w:trPr>
          <w:trHeight w:val="307"/>
        </w:trPr>
        <w:tc>
          <w:tcPr>
            <w:tcW w:w="3320" w:type="dxa"/>
            <w:tcBorders>
              <w:top w:val="nil"/>
              <w:left w:val="single" w:sz="4" w:space="0" w:color="auto"/>
              <w:bottom w:val="single" w:sz="4" w:space="0" w:color="auto"/>
              <w:right w:val="single" w:sz="4" w:space="0" w:color="auto"/>
            </w:tcBorders>
            <w:shd w:val="clear" w:color="auto" w:fill="auto"/>
            <w:noWrap/>
            <w:vAlign w:val="bottom"/>
            <w:hideMark/>
          </w:tcPr>
          <w:p w14:paraId="22E61EE7" w14:textId="77777777" w:rsidR="008E0437" w:rsidRPr="008E0437" w:rsidRDefault="008E0437" w:rsidP="008E0437">
            <w:pPr>
              <w:widowControl/>
              <w:jc w:val="right"/>
              <w:rPr>
                <w:rFonts w:ascii="Calibri" w:eastAsia="Times New Roman" w:hAnsi="Calibri" w:cs="Times New Roman"/>
                <w:b/>
                <w:bCs/>
                <w:color w:val="000000"/>
                <w:kern w:val="0"/>
                <w:sz w:val="22"/>
                <w:lang w:val="en-GB"/>
              </w:rPr>
            </w:pPr>
            <w:r w:rsidRPr="008E0437">
              <w:rPr>
                <w:rFonts w:ascii="Calibri" w:eastAsia="Times New Roman" w:hAnsi="Calibri" w:cs="Times New Roman"/>
                <w:b/>
                <w:bCs/>
                <w:color w:val="000000"/>
                <w:kern w:val="0"/>
                <w:sz w:val="22"/>
                <w:lang w:val="en-GB"/>
              </w:rPr>
              <w:t>Cashflow</w:t>
            </w:r>
          </w:p>
        </w:tc>
        <w:tc>
          <w:tcPr>
            <w:tcW w:w="1070" w:type="dxa"/>
            <w:tcBorders>
              <w:top w:val="nil"/>
              <w:left w:val="nil"/>
              <w:bottom w:val="single" w:sz="4" w:space="0" w:color="auto"/>
              <w:right w:val="single" w:sz="4" w:space="0" w:color="auto"/>
            </w:tcBorders>
            <w:shd w:val="clear" w:color="auto" w:fill="auto"/>
            <w:noWrap/>
            <w:vAlign w:val="bottom"/>
            <w:hideMark/>
          </w:tcPr>
          <w:p w14:paraId="713C58CF" w14:textId="22D9BF45"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26,599                </w:t>
            </w:r>
          </w:p>
        </w:tc>
        <w:tc>
          <w:tcPr>
            <w:tcW w:w="992" w:type="dxa"/>
            <w:tcBorders>
              <w:top w:val="nil"/>
              <w:left w:val="nil"/>
              <w:bottom w:val="single" w:sz="4" w:space="0" w:color="auto"/>
              <w:right w:val="single" w:sz="4" w:space="0" w:color="auto"/>
            </w:tcBorders>
            <w:shd w:val="clear" w:color="auto" w:fill="auto"/>
            <w:noWrap/>
            <w:vAlign w:val="bottom"/>
            <w:hideMark/>
          </w:tcPr>
          <w:p w14:paraId="3327F5AF" w14:textId="60333B7C"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28,400                </w:t>
            </w:r>
          </w:p>
        </w:tc>
        <w:tc>
          <w:tcPr>
            <w:tcW w:w="1002" w:type="dxa"/>
            <w:tcBorders>
              <w:top w:val="nil"/>
              <w:left w:val="nil"/>
              <w:bottom w:val="single" w:sz="4" w:space="0" w:color="auto"/>
              <w:right w:val="single" w:sz="4" w:space="0" w:color="auto"/>
            </w:tcBorders>
            <w:shd w:val="clear" w:color="auto" w:fill="auto"/>
            <w:noWrap/>
            <w:vAlign w:val="bottom"/>
            <w:hideMark/>
          </w:tcPr>
          <w:p w14:paraId="1F09176A" w14:textId="47B5F654"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30,349                </w:t>
            </w:r>
          </w:p>
        </w:tc>
        <w:tc>
          <w:tcPr>
            <w:tcW w:w="829" w:type="dxa"/>
            <w:tcBorders>
              <w:top w:val="nil"/>
              <w:left w:val="nil"/>
              <w:bottom w:val="single" w:sz="4" w:space="0" w:color="auto"/>
              <w:right w:val="single" w:sz="4" w:space="0" w:color="auto"/>
            </w:tcBorders>
            <w:shd w:val="clear" w:color="auto" w:fill="auto"/>
            <w:noWrap/>
            <w:vAlign w:val="bottom"/>
            <w:hideMark/>
          </w:tcPr>
          <w:p w14:paraId="3AD3F302" w14:textId="7DEA5F99"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32,458                    </w:t>
            </w:r>
          </w:p>
        </w:tc>
        <w:tc>
          <w:tcPr>
            <w:tcW w:w="829" w:type="dxa"/>
            <w:tcBorders>
              <w:top w:val="nil"/>
              <w:left w:val="nil"/>
              <w:bottom w:val="single" w:sz="4" w:space="0" w:color="auto"/>
              <w:right w:val="single" w:sz="4" w:space="0" w:color="auto"/>
            </w:tcBorders>
            <w:shd w:val="clear" w:color="auto" w:fill="auto"/>
            <w:noWrap/>
            <w:vAlign w:val="bottom"/>
            <w:hideMark/>
          </w:tcPr>
          <w:p w14:paraId="701E61B9" w14:textId="1B10BBDA"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34,740                     </w:t>
            </w:r>
          </w:p>
        </w:tc>
      </w:tr>
    </w:tbl>
    <w:p w14:paraId="2CF2AB36" w14:textId="7613BA3B" w:rsidR="008E0437" w:rsidRDefault="008E0437" w:rsidP="0026201B">
      <w:pPr>
        <w:widowControl/>
        <w:spacing w:line="360" w:lineRule="auto"/>
        <w:rPr>
          <w:rFonts w:ascii="Arial" w:hAnsi="Arial" w:cs="Arial"/>
          <w:szCs w:val="24"/>
        </w:rPr>
      </w:pPr>
    </w:p>
    <w:tbl>
      <w:tblPr>
        <w:tblW w:w="8042" w:type="dxa"/>
        <w:tblLook w:val="04A0" w:firstRow="1" w:lastRow="0" w:firstColumn="1" w:lastColumn="0" w:noHBand="0" w:noVBand="1"/>
      </w:tblPr>
      <w:tblGrid>
        <w:gridCol w:w="3320"/>
        <w:gridCol w:w="1070"/>
        <w:gridCol w:w="992"/>
        <w:gridCol w:w="1002"/>
        <w:gridCol w:w="940"/>
        <w:gridCol w:w="940"/>
      </w:tblGrid>
      <w:tr w:rsidR="008E0437" w:rsidRPr="008E0437" w14:paraId="5F310A67" w14:textId="77777777" w:rsidTr="00552407">
        <w:trPr>
          <w:trHeight w:val="307"/>
        </w:trPr>
        <w:tc>
          <w:tcPr>
            <w:tcW w:w="33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6C2AF7" w14:textId="77777777" w:rsidR="008E0437" w:rsidRPr="008E0437" w:rsidRDefault="008E0437" w:rsidP="00552407">
            <w:pPr>
              <w:widowControl/>
              <w:rPr>
                <w:rFonts w:ascii="Calibri" w:eastAsia="Times New Roman" w:hAnsi="Calibri" w:cs="Times New Roman"/>
                <w:b/>
                <w:bCs/>
                <w:color w:val="000000"/>
                <w:kern w:val="0"/>
                <w:sz w:val="22"/>
                <w:lang w:val="en-GB"/>
              </w:rPr>
            </w:pPr>
            <w:r w:rsidRPr="008E0437">
              <w:rPr>
                <w:rFonts w:ascii="Calibri" w:eastAsia="Times New Roman" w:hAnsi="Calibri" w:cs="Times New Roman"/>
                <w:b/>
                <w:bCs/>
                <w:color w:val="000000"/>
                <w:kern w:val="0"/>
                <w:sz w:val="22"/>
                <w:lang w:val="en-GB"/>
              </w:rPr>
              <w:t>Cashflow calculation</w:t>
            </w:r>
          </w:p>
        </w:tc>
        <w:tc>
          <w:tcPr>
            <w:tcW w:w="4722" w:type="dxa"/>
            <w:gridSpan w:val="5"/>
            <w:tcBorders>
              <w:top w:val="single" w:sz="4" w:space="0" w:color="auto"/>
              <w:left w:val="nil"/>
              <w:bottom w:val="single" w:sz="4" w:space="0" w:color="auto"/>
              <w:right w:val="single" w:sz="4" w:space="0" w:color="auto"/>
            </w:tcBorders>
            <w:shd w:val="clear" w:color="auto" w:fill="auto"/>
            <w:noWrap/>
            <w:vAlign w:val="bottom"/>
            <w:hideMark/>
          </w:tcPr>
          <w:p w14:paraId="28B91395" w14:textId="77777777" w:rsidR="008E0437" w:rsidRPr="008E0437" w:rsidRDefault="008E0437" w:rsidP="0055240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Year</w:t>
            </w:r>
          </w:p>
        </w:tc>
      </w:tr>
      <w:tr w:rsidR="008E0437" w:rsidRPr="008E0437" w14:paraId="2ACD2F98" w14:textId="77777777" w:rsidTr="00552407">
        <w:trPr>
          <w:trHeight w:val="307"/>
        </w:trPr>
        <w:tc>
          <w:tcPr>
            <w:tcW w:w="3320" w:type="dxa"/>
            <w:tcBorders>
              <w:top w:val="nil"/>
              <w:left w:val="single" w:sz="4" w:space="0" w:color="auto"/>
              <w:bottom w:val="single" w:sz="4" w:space="0" w:color="auto"/>
              <w:right w:val="single" w:sz="4" w:space="0" w:color="auto"/>
            </w:tcBorders>
            <w:shd w:val="clear" w:color="auto" w:fill="auto"/>
            <w:noWrap/>
            <w:vAlign w:val="bottom"/>
            <w:hideMark/>
          </w:tcPr>
          <w:p w14:paraId="7768F1FF" w14:textId="77777777" w:rsidR="008E0437" w:rsidRPr="008E0437" w:rsidRDefault="008E0437" w:rsidP="008E0437">
            <w:pPr>
              <w:widowControl/>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Items (HK$'000)</w:t>
            </w:r>
          </w:p>
        </w:tc>
        <w:tc>
          <w:tcPr>
            <w:tcW w:w="1070" w:type="dxa"/>
            <w:tcBorders>
              <w:top w:val="nil"/>
              <w:left w:val="nil"/>
              <w:bottom w:val="single" w:sz="4" w:space="0" w:color="auto"/>
              <w:right w:val="single" w:sz="4" w:space="0" w:color="auto"/>
            </w:tcBorders>
            <w:shd w:val="clear" w:color="auto" w:fill="auto"/>
            <w:noWrap/>
            <w:vAlign w:val="bottom"/>
            <w:hideMark/>
          </w:tcPr>
          <w:p w14:paraId="1018C903" w14:textId="6705260E"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11</w:t>
            </w:r>
          </w:p>
        </w:tc>
        <w:tc>
          <w:tcPr>
            <w:tcW w:w="992" w:type="dxa"/>
            <w:tcBorders>
              <w:top w:val="nil"/>
              <w:left w:val="nil"/>
              <w:bottom w:val="single" w:sz="4" w:space="0" w:color="auto"/>
              <w:right w:val="single" w:sz="4" w:space="0" w:color="auto"/>
            </w:tcBorders>
            <w:shd w:val="clear" w:color="auto" w:fill="auto"/>
            <w:noWrap/>
            <w:vAlign w:val="bottom"/>
            <w:hideMark/>
          </w:tcPr>
          <w:p w14:paraId="21E437DB" w14:textId="35E484C2"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12</w:t>
            </w:r>
          </w:p>
        </w:tc>
        <w:tc>
          <w:tcPr>
            <w:tcW w:w="1002" w:type="dxa"/>
            <w:tcBorders>
              <w:top w:val="nil"/>
              <w:left w:val="nil"/>
              <w:bottom w:val="single" w:sz="4" w:space="0" w:color="auto"/>
              <w:right w:val="single" w:sz="4" w:space="0" w:color="auto"/>
            </w:tcBorders>
            <w:shd w:val="clear" w:color="auto" w:fill="auto"/>
            <w:noWrap/>
            <w:vAlign w:val="bottom"/>
            <w:hideMark/>
          </w:tcPr>
          <w:p w14:paraId="4B3F9623" w14:textId="3010E514"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13</w:t>
            </w:r>
          </w:p>
        </w:tc>
        <w:tc>
          <w:tcPr>
            <w:tcW w:w="829" w:type="dxa"/>
            <w:tcBorders>
              <w:top w:val="nil"/>
              <w:left w:val="nil"/>
              <w:bottom w:val="single" w:sz="4" w:space="0" w:color="auto"/>
              <w:right w:val="single" w:sz="4" w:space="0" w:color="auto"/>
            </w:tcBorders>
            <w:shd w:val="clear" w:color="auto" w:fill="auto"/>
            <w:noWrap/>
            <w:vAlign w:val="bottom"/>
            <w:hideMark/>
          </w:tcPr>
          <w:p w14:paraId="616FA4CA" w14:textId="5A74A9F4"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14</w:t>
            </w:r>
          </w:p>
        </w:tc>
        <w:tc>
          <w:tcPr>
            <w:tcW w:w="829" w:type="dxa"/>
            <w:tcBorders>
              <w:top w:val="nil"/>
              <w:left w:val="nil"/>
              <w:bottom w:val="single" w:sz="4" w:space="0" w:color="auto"/>
              <w:right w:val="single" w:sz="4" w:space="0" w:color="auto"/>
            </w:tcBorders>
            <w:shd w:val="clear" w:color="auto" w:fill="auto"/>
            <w:noWrap/>
            <w:vAlign w:val="bottom"/>
            <w:hideMark/>
          </w:tcPr>
          <w:p w14:paraId="1311BEB0" w14:textId="132325B5"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15</w:t>
            </w:r>
          </w:p>
        </w:tc>
      </w:tr>
      <w:tr w:rsidR="008E0437" w:rsidRPr="008E0437" w14:paraId="20BAEA58" w14:textId="77777777" w:rsidTr="00552407">
        <w:trPr>
          <w:trHeight w:val="307"/>
        </w:trPr>
        <w:tc>
          <w:tcPr>
            <w:tcW w:w="3320" w:type="dxa"/>
            <w:tcBorders>
              <w:top w:val="nil"/>
              <w:left w:val="single" w:sz="4" w:space="0" w:color="auto"/>
              <w:bottom w:val="single" w:sz="4" w:space="0" w:color="auto"/>
              <w:right w:val="single" w:sz="4" w:space="0" w:color="auto"/>
            </w:tcBorders>
            <w:shd w:val="clear" w:color="auto" w:fill="auto"/>
            <w:noWrap/>
            <w:vAlign w:val="bottom"/>
            <w:hideMark/>
          </w:tcPr>
          <w:p w14:paraId="1CA7A2E7" w14:textId="77777777" w:rsidR="008E0437" w:rsidRPr="008E0437" w:rsidRDefault="008E0437" w:rsidP="008E0437">
            <w:pPr>
              <w:widowControl/>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EBITDA</w:t>
            </w:r>
          </w:p>
        </w:tc>
        <w:tc>
          <w:tcPr>
            <w:tcW w:w="1070" w:type="dxa"/>
            <w:tcBorders>
              <w:top w:val="nil"/>
              <w:left w:val="nil"/>
              <w:bottom w:val="single" w:sz="4" w:space="0" w:color="auto"/>
              <w:right w:val="single" w:sz="4" w:space="0" w:color="auto"/>
            </w:tcBorders>
            <w:shd w:val="clear" w:color="auto" w:fill="auto"/>
            <w:noWrap/>
            <w:vAlign w:val="bottom"/>
            <w:hideMark/>
          </w:tcPr>
          <w:p w14:paraId="662132BC" w14:textId="549034C1" w:rsidR="008E0437" w:rsidRPr="008E0437" w:rsidRDefault="008E0437" w:rsidP="008E0437">
            <w:pPr>
              <w:widowControl/>
              <w:rPr>
                <w:rFonts w:ascii="Calibri" w:eastAsia="Times New Roman" w:hAnsi="Calibri" w:cs="Times New Roman"/>
                <w:color w:val="000000"/>
                <w:kern w:val="0"/>
                <w:sz w:val="22"/>
                <w:lang w:val="en-GB"/>
              </w:rPr>
            </w:pPr>
            <w:r>
              <w:rPr>
                <w:rFonts w:ascii="Calibri" w:hAnsi="Calibri"/>
                <w:color w:val="000000"/>
                <w:sz w:val="22"/>
              </w:rPr>
              <w:t xml:space="preserve">126,251              </w:t>
            </w:r>
          </w:p>
        </w:tc>
        <w:tc>
          <w:tcPr>
            <w:tcW w:w="992" w:type="dxa"/>
            <w:tcBorders>
              <w:top w:val="nil"/>
              <w:left w:val="nil"/>
              <w:bottom w:val="single" w:sz="4" w:space="0" w:color="auto"/>
              <w:right w:val="single" w:sz="4" w:space="0" w:color="auto"/>
            </w:tcBorders>
            <w:shd w:val="clear" w:color="auto" w:fill="auto"/>
            <w:noWrap/>
            <w:vAlign w:val="bottom"/>
            <w:hideMark/>
          </w:tcPr>
          <w:p w14:paraId="22A446B1" w14:textId="2F9E9FDA"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         136,604 </w:t>
            </w:r>
          </w:p>
        </w:tc>
        <w:tc>
          <w:tcPr>
            <w:tcW w:w="1002" w:type="dxa"/>
            <w:tcBorders>
              <w:top w:val="nil"/>
              <w:left w:val="nil"/>
              <w:bottom w:val="single" w:sz="4" w:space="0" w:color="auto"/>
              <w:right w:val="single" w:sz="4" w:space="0" w:color="auto"/>
            </w:tcBorders>
            <w:shd w:val="clear" w:color="auto" w:fill="auto"/>
            <w:noWrap/>
            <w:vAlign w:val="bottom"/>
            <w:hideMark/>
          </w:tcPr>
          <w:p w14:paraId="1338B976" w14:textId="58ED995A"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     147,805 </w:t>
            </w:r>
          </w:p>
        </w:tc>
        <w:tc>
          <w:tcPr>
            <w:tcW w:w="829" w:type="dxa"/>
            <w:tcBorders>
              <w:top w:val="nil"/>
              <w:left w:val="nil"/>
              <w:bottom w:val="single" w:sz="4" w:space="0" w:color="auto"/>
              <w:right w:val="single" w:sz="4" w:space="0" w:color="auto"/>
            </w:tcBorders>
            <w:shd w:val="clear" w:color="auto" w:fill="auto"/>
            <w:noWrap/>
            <w:vAlign w:val="bottom"/>
            <w:hideMark/>
          </w:tcPr>
          <w:p w14:paraId="022FB073" w14:textId="3F5D7F6D"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    159,925 </w:t>
            </w:r>
          </w:p>
        </w:tc>
        <w:tc>
          <w:tcPr>
            <w:tcW w:w="829" w:type="dxa"/>
            <w:tcBorders>
              <w:top w:val="nil"/>
              <w:left w:val="nil"/>
              <w:bottom w:val="single" w:sz="4" w:space="0" w:color="auto"/>
              <w:right w:val="single" w:sz="4" w:space="0" w:color="auto"/>
            </w:tcBorders>
            <w:shd w:val="clear" w:color="auto" w:fill="auto"/>
            <w:noWrap/>
            <w:vAlign w:val="bottom"/>
            <w:hideMark/>
          </w:tcPr>
          <w:p w14:paraId="7A90D150" w14:textId="50A6F253"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          173,039 </w:t>
            </w:r>
          </w:p>
        </w:tc>
      </w:tr>
      <w:tr w:rsidR="008E0437" w:rsidRPr="008E0437" w14:paraId="1D973D7B" w14:textId="77777777" w:rsidTr="00552407">
        <w:trPr>
          <w:trHeight w:val="346"/>
        </w:trPr>
        <w:tc>
          <w:tcPr>
            <w:tcW w:w="3320" w:type="dxa"/>
            <w:tcBorders>
              <w:top w:val="nil"/>
              <w:left w:val="single" w:sz="4" w:space="0" w:color="auto"/>
              <w:bottom w:val="single" w:sz="4" w:space="0" w:color="auto"/>
              <w:right w:val="single" w:sz="4" w:space="0" w:color="auto"/>
            </w:tcBorders>
            <w:shd w:val="clear" w:color="auto" w:fill="auto"/>
            <w:noWrap/>
            <w:vAlign w:val="bottom"/>
            <w:hideMark/>
          </w:tcPr>
          <w:p w14:paraId="3DBCFB53" w14:textId="77777777" w:rsidR="008E0437" w:rsidRPr="008E0437" w:rsidRDefault="008E0437" w:rsidP="008E0437">
            <w:pPr>
              <w:widowControl/>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 xml:space="preserve">Expenditure </w:t>
            </w:r>
            <w:r w:rsidRPr="008E0437">
              <w:rPr>
                <w:rFonts w:ascii="Calibri" w:eastAsia="Times New Roman" w:hAnsi="Calibri" w:cs="Times New Roman"/>
                <w:color w:val="000000"/>
                <w:kern w:val="0"/>
                <w:sz w:val="22"/>
                <w:vertAlign w:val="superscript"/>
                <w:lang w:val="en-GB"/>
              </w:rPr>
              <w:t>1</w:t>
            </w:r>
            <w:r w:rsidRPr="008E0437">
              <w:rPr>
                <w:rFonts w:ascii="Calibri" w:eastAsia="Times New Roman" w:hAnsi="Calibri" w:cs="Times New Roman"/>
                <w:color w:val="000000"/>
                <w:kern w:val="0"/>
                <w:sz w:val="22"/>
                <w:lang w:val="en-GB"/>
              </w:rPr>
              <w:t xml:space="preserve"> (predicting growth rate as sales growth rate 8.2%)</w:t>
            </w:r>
          </w:p>
        </w:tc>
        <w:tc>
          <w:tcPr>
            <w:tcW w:w="1070" w:type="dxa"/>
            <w:tcBorders>
              <w:top w:val="nil"/>
              <w:left w:val="nil"/>
              <w:bottom w:val="single" w:sz="4" w:space="0" w:color="auto"/>
              <w:right w:val="single" w:sz="4" w:space="0" w:color="auto"/>
            </w:tcBorders>
            <w:shd w:val="clear" w:color="auto" w:fill="auto"/>
            <w:noWrap/>
            <w:vAlign w:val="bottom"/>
            <w:hideMark/>
          </w:tcPr>
          <w:p w14:paraId="16027253" w14:textId="595A8D5A"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               62,109 </w:t>
            </w:r>
          </w:p>
        </w:tc>
        <w:tc>
          <w:tcPr>
            <w:tcW w:w="992" w:type="dxa"/>
            <w:tcBorders>
              <w:top w:val="nil"/>
              <w:left w:val="nil"/>
              <w:bottom w:val="single" w:sz="4" w:space="0" w:color="auto"/>
              <w:right w:val="single" w:sz="4" w:space="0" w:color="auto"/>
            </w:tcBorders>
            <w:shd w:val="clear" w:color="auto" w:fill="auto"/>
            <w:noWrap/>
            <w:vAlign w:val="bottom"/>
            <w:hideMark/>
          </w:tcPr>
          <w:p w14:paraId="76E8A574" w14:textId="13999612"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           67,202 </w:t>
            </w:r>
          </w:p>
        </w:tc>
        <w:tc>
          <w:tcPr>
            <w:tcW w:w="1002" w:type="dxa"/>
            <w:tcBorders>
              <w:top w:val="nil"/>
              <w:left w:val="nil"/>
              <w:bottom w:val="single" w:sz="4" w:space="0" w:color="auto"/>
              <w:right w:val="single" w:sz="4" w:space="0" w:color="auto"/>
            </w:tcBorders>
            <w:shd w:val="clear" w:color="auto" w:fill="auto"/>
            <w:noWrap/>
            <w:vAlign w:val="bottom"/>
            <w:hideMark/>
          </w:tcPr>
          <w:p w14:paraId="56204209" w14:textId="6C715B5B"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       72,712 </w:t>
            </w:r>
          </w:p>
        </w:tc>
        <w:tc>
          <w:tcPr>
            <w:tcW w:w="829" w:type="dxa"/>
            <w:tcBorders>
              <w:top w:val="nil"/>
              <w:left w:val="nil"/>
              <w:bottom w:val="single" w:sz="4" w:space="0" w:color="auto"/>
              <w:right w:val="single" w:sz="4" w:space="0" w:color="auto"/>
            </w:tcBorders>
            <w:shd w:val="clear" w:color="auto" w:fill="auto"/>
            <w:noWrap/>
            <w:vAlign w:val="bottom"/>
            <w:hideMark/>
          </w:tcPr>
          <w:p w14:paraId="2E922684" w14:textId="1F5CA629"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       78,675 </w:t>
            </w:r>
          </w:p>
        </w:tc>
        <w:tc>
          <w:tcPr>
            <w:tcW w:w="829" w:type="dxa"/>
            <w:tcBorders>
              <w:top w:val="nil"/>
              <w:left w:val="nil"/>
              <w:bottom w:val="single" w:sz="4" w:space="0" w:color="auto"/>
              <w:right w:val="single" w:sz="4" w:space="0" w:color="auto"/>
            </w:tcBorders>
            <w:shd w:val="clear" w:color="auto" w:fill="auto"/>
            <w:noWrap/>
            <w:vAlign w:val="bottom"/>
            <w:hideMark/>
          </w:tcPr>
          <w:p w14:paraId="37DC683A" w14:textId="21F8C684"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            85,126 </w:t>
            </w:r>
          </w:p>
        </w:tc>
      </w:tr>
      <w:tr w:rsidR="008E0437" w:rsidRPr="008E0437" w14:paraId="4A01B95A" w14:textId="77777777" w:rsidTr="00552407">
        <w:trPr>
          <w:trHeight w:val="307"/>
        </w:trPr>
        <w:tc>
          <w:tcPr>
            <w:tcW w:w="3320" w:type="dxa"/>
            <w:tcBorders>
              <w:top w:val="nil"/>
              <w:left w:val="single" w:sz="4" w:space="0" w:color="auto"/>
              <w:bottom w:val="single" w:sz="4" w:space="0" w:color="auto"/>
              <w:right w:val="single" w:sz="4" w:space="0" w:color="auto"/>
            </w:tcBorders>
            <w:shd w:val="clear" w:color="auto" w:fill="auto"/>
            <w:noWrap/>
            <w:vAlign w:val="bottom"/>
            <w:hideMark/>
          </w:tcPr>
          <w:p w14:paraId="4E1E6B4E" w14:textId="77777777" w:rsidR="008E0437" w:rsidRPr="008E0437" w:rsidRDefault="008E0437" w:rsidP="008E0437">
            <w:pPr>
              <w:widowControl/>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Tax expense</w:t>
            </w:r>
          </w:p>
        </w:tc>
        <w:tc>
          <w:tcPr>
            <w:tcW w:w="1070" w:type="dxa"/>
            <w:tcBorders>
              <w:top w:val="nil"/>
              <w:left w:val="nil"/>
              <w:bottom w:val="single" w:sz="4" w:space="0" w:color="auto"/>
              <w:right w:val="single" w:sz="4" w:space="0" w:color="auto"/>
            </w:tcBorders>
            <w:shd w:val="clear" w:color="auto" w:fill="auto"/>
            <w:noWrap/>
            <w:vAlign w:val="bottom"/>
            <w:hideMark/>
          </w:tcPr>
          <w:p w14:paraId="00075E17" w14:textId="32533D39" w:rsidR="008E0437" w:rsidRPr="008E0437" w:rsidRDefault="0055240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26,933 </w:t>
            </w:r>
            <w:r w:rsidR="008E0437">
              <w:rPr>
                <w:rFonts w:ascii="Calibri" w:hAnsi="Calibri"/>
                <w:color w:val="000000"/>
                <w:sz w:val="22"/>
              </w:rPr>
              <w:t xml:space="preserve">               </w:t>
            </w:r>
          </w:p>
        </w:tc>
        <w:tc>
          <w:tcPr>
            <w:tcW w:w="992" w:type="dxa"/>
            <w:tcBorders>
              <w:top w:val="nil"/>
              <w:left w:val="nil"/>
              <w:bottom w:val="single" w:sz="4" w:space="0" w:color="auto"/>
              <w:right w:val="single" w:sz="4" w:space="0" w:color="auto"/>
            </w:tcBorders>
            <w:shd w:val="clear" w:color="auto" w:fill="auto"/>
            <w:noWrap/>
            <w:vAlign w:val="bottom"/>
            <w:hideMark/>
          </w:tcPr>
          <w:p w14:paraId="35B14829" w14:textId="7C94275C" w:rsidR="008E0437" w:rsidRPr="008E0437" w:rsidRDefault="0055240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29,521 </w:t>
            </w:r>
            <w:r w:rsidR="008E0437">
              <w:rPr>
                <w:rFonts w:ascii="Calibri" w:hAnsi="Calibri"/>
                <w:color w:val="000000"/>
                <w:sz w:val="22"/>
              </w:rPr>
              <w:t xml:space="preserve">           </w:t>
            </w:r>
          </w:p>
        </w:tc>
        <w:tc>
          <w:tcPr>
            <w:tcW w:w="1002" w:type="dxa"/>
            <w:tcBorders>
              <w:top w:val="nil"/>
              <w:left w:val="nil"/>
              <w:bottom w:val="single" w:sz="4" w:space="0" w:color="auto"/>
              <w:right w:val="single" w:sz="4" w:space="0" w:color="auto"/>
            </w:tcBorders>
            <w:shd w:val="clear" w:color="auto" w:fill="auto"/>
            <w:noWrap/>
            <w:vAlign w:val="bottom"/>
            <w:hideMark/>
          </w:tcPr>
          <w:p w14:paraId="6D2A2263" w14:textId="3F3D677B" w:rsidR="008E0437" w:rsidRPr="008E0437" w:rsidRDefault="0055240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32,321 </w:t>
            </w:r>
            <w:r w:rsidR="008E0437">
              <w:rPr>
                <w:rFonts w:ascii="Calibri" w:hAnsi="Calibri"/>
                <w:color w:val="000000"/>
                <w:sz w:val="22"/>
              </w:rPr>
              <w:t xml:space="preserve">       </w:t>
            </w:r>
          </w:p>
        </w:tc>
        <w:tc>
          <w:tcPr>
            <w:tcW w:w="829" w:type="dxa"/>
            <w:tcBorders>
              <w:top w:val="nil"/>
              <w:left w:val="nil"/>
              <w:bottom w:val="single" w:sz="4" w:space="0" w:color="auto"/>
              <w:right w:val="single" w:sz="4" w:space="0" w:color="auto"/>
            </w:tcBorders>
            <w:shd w:val="clear" w:color="auto" w:fill="auto"/>
            <w:noWrap/>
            <w:vAlign w:val="bottom"/>
            <w:hideMark/>
          </w:tcPr>
          <w:p w14:paraId="0476211C" w14:textId="33A81F0A" w:rsidR="008E0437" w:rsidRPr="008E0437" w:rsidRDefault="0055240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35,351 </w:t>
            </w:r>
            <w:r w:rsidR="008E0437">
              <w:rPr>
                <w:rFonts w:ascii="Calibri" w:hAnsi="Calibri"/>
                <w:color w:val="000000"/>
                <w:sz w:val="22"/>
              </w:rPr>
              <w:t xml:space="preserve">       </w:t>
            </w:r>
          </w:p>
        </w:tc>
        <w:tc>
          <w:tcPr>
            <w:tcW w:w="829" w:type="dxa"/>
            <w:tcBorders>
              <w:top w:val="nil"/>
              <w:left w:val="nil"/>
              <w:bottom w:val="single" w:sz="4" w:space="0" w:color="auto"/>
              <w:right w:val="single" w:sz="4" w:space="0" w:color="auto"/>
            </w:tcBorders>
            <w:shd w:val="clear" w:color="auto" w:fill="auto"/>
            <w:noWrap/>
            <w:vAlign w:val="bottom"/>
            <w:hideMark/>
          </w:tcPr>
          <w:p w14:paraId="42E0ED70" w14:textId="44A4D5CC" w:rsidR="008E0437" w:rsidRPr="008E0437" w:rsidRDefault="0055240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38,630 </w:t>
            </w:r>
            <w:r w:rsidR="008E0437">
              <w:rPr>
                <w:rFonts w:ascii="Calibri" w:hAnsi="Calibri"/>
                <w:color w:val="000000"/>
                <w:sz w:val="22"/>
              </w:rPr>
              <w:t xml:space="preserve">            </w:t>
            </w:r>
          </w:p>
        </w:tc>
      </w:tr>
      <w:tr w:rsidR="008E0437" w:rsidRPr="008E0437" w14:paraId="56ACA1B6" w14:textId="77777777" w:rsidTr="00552407">
        <w:trPr>
          <w:trHeight w:val="307"/>
        </w:trPr>
        <w:tc>
          <w:tcPr>
            <w:tcW w:w="3320" w:type="dxa"/>
            <w:tcBorders>
              <w:top w:val="nil"/>
              <w:left w:val="single" w:sz="4" w:space="0" w:color="auto"/>
              <w:bottom w:val="single" w:sz="4" w:space="0" w:color="auto"/>
              <w:right w:val="single" w:sz="4" w:space="0" w:color="auto"/>
            </w:tcBorders>
            <w:shd w:val="clear" w:color="auto" w:fill="auto"/>
            <w:noWrap/>
            <w:vAlign w:val="bottom"/>
            <w:hideMark/>
          </w:tcPr>
          <w:p w14:paraId="3F309F77" w14:textId="77777777" w:rsidR="008E0437" w:rsidRPr="008E0437" w:rsidRDefault="008E0437" w:rsidP="008E0437">
            <w:pPr>
              <w:widowControl/>
              <w:jc w:val="right"/>
              <w:rPr>
                <w:rFonts w:ascii="Calibri" w:eastAsia="Times New Roman" w:hAnsi="Calibri" w:cs="Times New Roman"/>
                <w:b/>
                <w:bCs/>
                <w:color w:val="000000"/>
                <w:kern w:val="0"/>
                <w:sz w:val="22"/>
                <w:lang w:val="en-GB"/>
              </w:rPr>
            </w:pPr>
            <w:r w:rsidRPr="008E0437">
              <w:rPr>
                <w:rFonts w:ascii="Calibri" w:eastAsia="Times New Roman" w:hAnsi="Calibri" w:cs="Times New Roman"/>
                <w:b/>
                <w:bCs/>
                <w:color w:val="000000"/>
                <w:kern w:val="0"/>
                <w:sz w:val="22"/>
                <w:lang w:val="en-GB"/>
              </w:rPr>
              <w:t>Cashflow</w:t>
            </w:r>
          </w:p>
        </w:tc>
        <w:tc>
          <w:tcPr>
            <w:tcW w:w="1070" w:type="dxa"/>
            <w:tcBorders>
              <w:top w:val="nil"/>
              <w:left w:val="nil"/>
              <w:bottom w:val="single" w:sz="4" w:space="0" w:color="auto"/>
              <w:right w:val="single" w:sz="4" w:space="0" w:color="auto"/>
            </w:tcBorders>
            <w:shd w:val="clear" w:color="auto" w:fill="auto"/>
            <w:noWrap/>
            <w:vAlign w:val="bottom"/>
            <w:hideMark/>
          </w:tcPr>
          <w:p w14:paraId="4762760A" w14:textId="44804077"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11</w:t>
            </w:r>
          </w:p>
        </w:tc>
        <w:tc>
          <w:tcPr>
            <w:tcW w:w="992" w:type="dxa"/>
            <w:tcBorders>
              <w:top w:val="nil"/>
              <w:left w:val="nil"/>
              <w:bottom w:val="single" w:sz="4" w:space="0" w:color="auto"/>
              <w:right w:val="single" w:sz="4" w:space="0" w:color="auto"/>
            </w:tcBorders>
            <w:shd w:val="clear" w:color="auto" w:fill="auto"/>
            <w:noWrap/>
            <w:vAlign w:val="bottom"/>
            <w:hideMark/>
          </w:tcPr>
          <w:p w14:paraId="2757475C" w14:textId="3C8E66C9"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12</w:t>
            </w:r>
          </w:p>
        </w:tc>
        <w:tc>
          <w:tcPr>
            <w:tcW w:w="1002" w:type="dxa"/>
            <w:tcBorders>
              <w:top w:val="nil"/>
              <w:left w:val="nil"/>
              <w:bottom w:val="single" w:sz="4" w:space="0" w:color="auto"/>
              <w:right w:val="single" w:sz="4" w:space="0" w:color="auto"/>
            </w:tcBorders>
            <w:shd w:val="clear" w:color="auto" w:fill="auto"/>
            <w:noWrap/>
            <w:vAlign w:val="bottom"/>
            <w:hideMark/>
          </w:tcPr>
          <w:p w14:paraId="5A595336" w14:textId="23B2C0B5"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13</w:t>
            </w:r>
          </w:p>
        </w:tc>
        <w:tc>
          <w:tcPr>
            <w:tcW w:w="829" w:type="dxa"/>
            <w:tcBorders>
              <w:top w:val="nil"/>
              <w:left w:val="nil"/>
              <w:bottom w:val="single" w:sz="4" w:space="0" w:color="auto"/>
              <w:right w:val="single" w:sz="4" w:space="0" w:color="auto"/>
            </w:tcBorders>
            <w:shd w:val="clear" w:color="auto" w:fill="auto"/>
            <w:noWrap/>
            <w:vAlign w:val="bottom"/>
            <w:hideMark/>
          </w:tcPr>
          <w:p w14:paraId="2FDA20B3" w14:textId="20D2B1CA"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14</w:t>
            </w:r>
          </w:p>
        </w:tc>
        <w:tc>
          <w:tcPr>
            <w:tcW w:w="829" w:type="dxa"/>
            <w:tcBorders>
              <w:top w:val="nil"/>
              <w:left w:val="nil"/>
              <w:bottom w:val="single" w:sz="4" w:space="0" w:color="auto"/>
              <w:right w:val="single" w:sz="4" w:space="0" w:color="auto"/>
            </w:tcBorders>
            <w:shd w:val="clear" w:color="auto" w:fill="auto"/>
            <w:noWrap/>
            <w:vAlign w:val="bottom"/>
            <w:hideMark/>
          </w:tcPr>
          <w:p w14:paraId="5E2543F3" w14:textId="3DEA211E"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15</w:t>
            </w:r>
          </w:p>
        </w:tc>
      </w:tr>
    </w:tbl>
    <w:p w14:paraId="6DDC5314" w14:textId="37C49431" w:rsidR="008E0437" w:rsidRDefault="008E0437" w:rsidP="0026201B">
      <w:pPr>
        <w:widowControl/>
        <w:spacing w:line="360" w:lineRule="auto"/>
        <w:rPr>
          <w:rFonts w:ascii="Arial" w:hAnsi="Arial" w:cs="Arial"/>
          <w:szCs w:val="24"/>
        </w:rPr>
      </w:pPr>
    </w:p>
    <w:tbl>
      <w:tblPr>
        <w:tblW w:w="8042" w:type="dxa"/>
        <w:tblLook w:val="04A0" w:firstRow="1" w:lastRow="0" w:firstColumn="1" w:lastColumn="0" w:noHBand="0" w:noVBand="1"/>
      </w:tblPr>
      <w:tblGrid>
        <w:gridCol w:w="3320"/>
        <w:gridCol w:w="1070"/>
        <w:gridCol w:w="992"/>
        <w:gridCol w:w="1002"/>
        <w:gridCol w:w="940"/>
        <w:gridCol w:w="940"/>
      </w:tblGrid>
      <w:tr w:rsidR="008E0437" w:rsidRPr="008E0437" w14:paraId="4C9C978B" w14:textId="77777777" w:rsidTr="00552407">
        <w:trPr>
          <w:trHeight w:val="307"/>
        </w:trPr>
        <w:tc>
          <w:tcPr>
            <w:tcW w:w="33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B14508" w14:textId="77777777" w:rsidR="008E0437" w:rsidRPr="008E0437" w:rsidRDefault="008E0437" w:rsidP="00552407">
            <w:pPr>
              <w:widowControl/>
              <w:rPr>
                <w:rFonts w:ascii="Calibri" w:eastAsia="Times New Roman" w:hAnsi="Calibri" w:cs="Times New Roman"/>
                <w:b/>
                <w:bCs/>
                <w:color w:val="000000"/>
                <w:kern w:val="0"/>
                <w:sz w:val="22"/>
                <w:lang w:val="en-GB"/>
              </w:rPr>
            </w:pPr>
            <w:r w:rsidRPr="008E0437">
              <w:rPr>
                <w:rFonts w:ascii="Calibri" w:eastAsia="Times New Roman" w:hAnsi="Calibri" w:cs="Times New Roman"/>
                <w:b/>
                <w:bCs/>
                <w:color w:val="000000"/>
                <w:kern w:val="0"/>
                <w:sz w:val="22"/>
                <w:lang w:val="en-GB"/>
              </w:rPr>
              <w:t>Cashflow calculation</w:t>
            </w:r>
          </w:p>
        </w:tc>
        <w:tc>
          <w:tcPr>
            <w:tcW w:w="4722" w:type="dxa"/>
            <w:gridSpan w:val="5"/>
            <w:tcBorders>
              <w:top w:val="single" w:sz="4" w:space="0" w:color="auto"/>
              <w:left w:val="nil"/>
              <w:bottom w:val="single" w:sz="4" w:space="0" w:color="auto"/>
              <w:right w:val="single" w:sz="4" w:space="0" w:color="auto"/>
            </w:tcBorders>
            <w:shd w:val="clear" w:color="auto" w:fill="auto"/>
            <w:noWrap/>
            <w:vAlign w:val="bottom"/>
            <w:hideMark/>
          </w:tcPr>
          <w:p w14:paraId="5FB20CA9" w14:textId="77777777" w:rsidR="008E0437" w:rsidRPr="008E0437" w:rsidRDefault="008E0437" w:rsidP="0055240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Year</w:t>
            </w:r>
          </w:p>
        </w:tc>
      </w:tr>
      <w:tr w:rsidR="008E0437" w:rsidRPr="008E0437" w14:paraId="2F456FF0" w14:textId="77777777" w:rsidTr="00552407">
        <w:trPr>
          <w:trHeight w:val="307"/>
        </w:trPr>
        <w:tc>
          <w:tcPr>
            <w:tcW w:w="3320" w:type="dxa"/>
            <w:tcBorders>
              <w:top w:val="nil"/>
              <w:left w:val="single" w:sz="4" w:space="0" w:color="auto"/>
              <w:bottom w:val="single" w:sz="4" w:space="0" w:color="auto"/>
              <w:right w:val="single" w:sz="4" w:space="0" w:color="auto"/>
            </w:tcBorders>
            <w:shd w:val="clear" w:color="auto" w:fill="auto"/>
            <w:noWrap/>
            <w:vAlign w:val="bottom"/>
            <w:hideMark/>
          </w:tcPr>
          <w:p w14:paraId="2E6E9BC5" w14:textId="77777777" w:rsidR="008E0437" w:rsidRPr="008E0437" w:rsidRDefault="008E0437" w:rsidP="008E0437">
            <w:pPr>
              <w:widowControl/>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Items (HK$'000)</w:t>
            </w:r>
          </w:p>
        </w:tc>
        <w:tc>
          <w:tcPr>
            <w:tcW w:w="1070" w:type="dxa"/>
            <w:tcBorders>
              <w:top w:val="nil"/>
              <w:left w:val="nil"/>
              <w:bottom w:val="single" w:sz="4" w:space="0" w:color="auto"/>
              <w:right w:val="single" w:sz="4" w:space="0" w:color="auto"/>
            </w:tcBorders>
            <w:shd w:val="clear" w:color="auto" w:fill="auto"/>
            <w:noWrap/>
            <w:vAlign w:val="bottom"/>
            <w:hideMark/>
          </w:tcPr>
          <w:p w14:paraId="645A9A19" w14:textId="036F2F1B"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16</w:t>
            </w:r>
          </w:p>
        </w:tc>
        <w:tc>
          <w:tcPr>
            <w:tcW w:w="992" w:type="dxa"/>
            <w:tcBorders>
              <w:top w:val="nil"/>
              <w:left w:val="nil"/>
              <w:bottom w:val="single" w:sz="4" w:space="0" w:color="auto"/>
              <w:right w:val="single" w:sz="4" w:space="0" w:color="auto"/>
            </w:tcBorders>
            <w:shd w:val="clear" w:color="auto" w:fill="auto"/>
            <w:noWrap/>
            <w:vAlign w:val="bottom"/>
            <w:hideMark/>
          </w:tcPr>
          <w:p w14:paraId="02D6A081" w14:textId="4432DB74"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17</w:t>
            </w:r>
          </w:p>
        </w:tc>
        <w:tc>
          <w:tcPr>
            <w:tcW w:w="1002" w:type="dxa"/>
            <w:tcBorders>
              <w:top w:val="nil"/>
              <w:left w:val="nil"/>
              <w:bottom w:val="single" w:sz="4" w:space="0" w:color="auto"/>
              <w:right w:val="single" w:sz="4" w:space="0" w:color="auto"/>
            </w:tcBorders>
            <w:shd w:val="clear" w:color="auto" w:fill="auto"/>
            <w:noWrap/>
            <w:vAlign w:val="bottom"/>
            <w:hideMark/>
          </w:tcPr>
          <w:p w14:paraId="7ED82C28" w14:textId="6C9E6719"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18</w:t>
            </w:r>
          </w:p>
        </w:tc>
        <w:tc>
          <w:tcPr>
            <w:tcW w:w="829" w:type="dxa"/>
            <w:tcBorders>
              <w:top w:val="nil"/>
              <w:left w:val="nil"/>
              <w:bottom w:val="single" w:sz="4" w:space="0" w:color="auto"/>
              <w:right w:val="single" w:sz="4" w:space="0" w:color="auto"/>
            </w:tcBorders>
            <w:shd w:val="clear" w:color="auto" w:fill="auto"/>
            <w:noWrap/>
            <w:vAlign w:val="bottom"/>
            <w:hideMark/>
          </w:tcPr>
          <w:p w14:paraId="4622FCAF" w14:textId="7CE32771"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19</w:t>
            </w:r>
          </w:p>
        </w:tc>
        <w:tc>
          <w:tcPr>
            <w:tcW w:w="829" w:type="dxa"/>
            <w:tcBorders>
              <w:top w:val="nil"/>
              <w:left w:val="nil"/>
              <w:bottom w:val="single" w:sz="4" w:space="0" w:color="auto"/>
              <w:right w:val="single" w:sz="4" w:space="0" w:color="auto"/>
            </w:tcBorders>
            <w:shd w:val="clear" w:color="auto" w:fill="auto"/>
            <w:noWrap/>
            <w:vAlign w:val="bottom"/>
            <w:hideMark/>
          </w:tcPr>
          <w:p w14:paraId="4744A39C" w14:textId="3E1149EA"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20</w:t>
            </w:r>
          </w:p>
        </w:tc>
      </w:tr>
      <w:tr w:rsidR="008E0437" w:rsidRPr="008E0437" w14:paraId="2E7374DD" w14:textId="77777777" w:rsidTr="00552407">
        <w:trPr>
          <w:trHeight w:val="307"/>
        </w:trPr>
        <w:tc>
          <w:tcPr>
            <w:tcW w:w="3320" w:type="dxa"/>
            <w:tcBorders>
              <w:top w:val="nil"/>
              <w:left w:val="single" w:sz="4" w:space="0" w:color="auto"/>
              <w:bottom w:val="single" w:sz="4" w:space="0" w:color="auto"/>
              <w:right w:val="single" w:sz="4" w:space="0" w:color="auto"/>
            </w:tcBorders>
            <w:shd w:val="clear" w:color="auto" w:fill="auto"/>
            <w:noWrap/>
            <w:vAlign w:val="bottom"/>
            <w:hideMark/>
          </w:tcPr>
          <w:p w14:paraId="15E422FB" w14:textId="77777777" w:rsidR="008E0437" w:rsidRPr="008E0437" w:rsidRDefault="008E0437" w:rsidP="008E0437">
            <w:pPr>
              <w:widowControl/>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EBITDA</w:t>
            </w:r>
          </w:p>
        </w:tc>
        <w:tc>
          <w:tcPr>
            <w:tcW w:w="1070" w:type="dxa"/>
            <w:tcBorders>
              <w:top w:val="nil"/>
              <w:left w:val="nil"/>
              <w:bottom w:val="single" w:sz="4" w:space="0" w:color="auto"/>
              <w:right w:val="single" w:sz="4" w:space="0" w:color="auto"/>
            </w:tcBorders>
            <w:shd w:val="clear" w:color="auto" w:fill="auto"/>
            <w:noWrap/>
            <w:vAlign w:val="bottom"/>
            <w:hideMark/>
          </w:tcPr>
          <w:p w14:paraId="6C1EB406" w14:textId="0DA34B30"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      187,228 </w:t>
            </w:r>
          </w:p>
        </w:tc>
        <w:tc>
          <w:tcPr>
            <w:tcW w:w="992" w:type="dxa"/>
            <w:tcBorders>
              <w:top w:val="nil"/>
              <w:left w:val="nil"/>
              <w:bottom w:val="single" w:sz="4" w:space="0" w:color="auto"/>
              <w:right w:val="single" w:sz="4" w:space="0" w:color="auto"/>
            </w:tcBorders>
            <w:shd w:val="clear" w:color="auto" w:fill="auto"/>
            <w:noWrap/>
            <w:vAlign w:val="bottom"/>
            <w:hideMark/>
          </w:tcPr>
          <w:p w14:paraId="70ED36E6" w14:textId="200CE034"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     202,581 </w:t>
            </w:r>
          </w:p>
        </w:tc>
        <w:tc>
          <w:tcPr>
            <w:tcW w:w="1002" w:type="dxa"/>
            <w:tcBorders>
              <w:top w:val="nil"/>
              <w:left w:val="nil"/>
              <w:bottom w:val="single" w:sz="4" w:space="0" w:color="auto"/>
              <w:right w:val="single" w:sz="4" w:space="0" w:color="auto"/>
            </w:tcBorders>
            <w:shd w:val="clear" w:color="auto" w:fill="auto"/>
            <w:noWrap/>
            <w:vAlign w:val="bottom"/>
            <w:hideMark/>
          </w:tcPr>
          <w:p w14:paraId="576004F9" w14:textId="4C7C771D"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     219,192 </w:t>
            </w:r>
          </w:p>
        </w:tc>
        <w:tc>
          <w:tcPr>
            <w:tcW w:w="829" w:type="dxa"/>
            <w:tcBorders>
              <w:top w:val="nil"/>
              <w:left w:val="nil"/>
              <w:bottom w:val="single" w:sz="4" w:space="0" w:color="auto"/>
              <w:right w:val="single" w:sz="4" w:space="0" w:color="auto"/>
            </w:tcBorders>
            <w:shd w:val="clear" w:color="auto" w:fill="auto"/>
            <w:noWrap/>
            <w:vAlign w:val="bottom"/>
            <w:hideMark/>
          </w:tcPr>
          <w:p w14:paraId="19ABA232" w14:textId="3B828935"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     237,166 </w:t>
            </w:r>
          </w:p>
        </w:tc>
        <w:tc>
          <w:tcPr>
            <w:tcW w:w="829" w:type="dxa"/>
            <w:tcBorders>
              <w:top w:val="nil"/>
              <w:left w:val="nil"/>
              <w:bottom w:val="single" w:sz="4" w:space="0" w:color="auto"/>
              <w:right w:val="single" w:sz="4" w:space="0" w:color="auto"/>
            </w:tcBorders>
            <w:shd w:val="clear" w:color="auto" w:fill="auto"/>
            <w:noWrap/>
            <w:vAlign w:val="bottom"/>
            <w:hideMark/>
          </w:tcPr>
          <w:p w14:paraId="687A148E" w14:textId="56406774"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     256,614 </w:t>
            </w:r>
          </w:p>
        </w:tc>
      </w:tr>
      <w:tr w:rsidR="008E0437" w:rsidRPr="008E0437" w14:paraId="57D14895" w14:textId="77777777" w:rsidTr="00552407">
        <w:trPr>
          <w:trHeight w:val="346"/>
        </w:trPr>
        <w:tc>
          <w:tcPr>
            <w:tcW w:w="3320" w:type="dxa"/>
            <w:tcBorders>
              <w:top w:val="nil"/>
              <w:left w:val="single" w:sz="4" w:space="0" w:color="auto"/>
              <w:bottom w:val="single" w:sz="4" w:space="0" w:color="auto"/>
              <w:right w:val="single" w:sz="4" w:space="0" w:color="auto"/>
            </w:tcBorders>
            <w:shd w:val="clear" w:color="auto" w:fill="auto"/>
            <w:noWrap/>
            <w:vAlign w:val="bottom"/>
            <w:hideMark/>
          </w:tcPr>
          <w:p w14:paraId="1E56FDA1" w14:textId="77777777" w:rsidR="008E0437" w:rsidRPr="008E0437" w:rsidRDefault="008E0437" w:rsidP="008E0437">
            <w:pPr>
              <w:widowControl/>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 xml:space="preserve">Expenditure </w:t>
            </w:r>
            <w:r w:rsidRPr="008E0437">
              <w:rPr>
                <w:rFonts w:ascii="Calibri" w:eastAsia="Times New Roman" w:hAnsi="Calibri" w:cs="Times New Roman"/>
                <w:color w:val="000000"/>
                <w:kern w:val="0"/>
                <w:sz w:val="22"/>
                <w:vertAlign w:val="superscript"/>
                <w:lang w:val="en-GB"/>
              </w:rPr>
              <w:t>1</w:t>
            </w:r>
            <w:r w:rsidRPr="008E0437">
              <w:rPr>
                <w:rFonts w:ascii="Calibri" w:eastAsia="Times New Roman" w:hAnsi="Calibri" w:cs="Times New Roman"/>
                <w:color w:val="000000"/>
                <w:kern w:val="0"/>
                <w:sz w:val="22"/>
                <w:lang w:val="en-GB"/>
              </w:rPr>
              <w:t xml:space="preserve"> (predicting growth rate as sales growth rate 8.2%)</w:t>
            </w:r>
          </w:p>
        </w:tc>
        <w:tc>
          <w:tcPr>
            <w:tcW w:w="1070" w:type="dxa"/>
            <w:tcBorders>
              <w:top w:val="nil"/>
              <w:left w:val="nil"/>
              <w:bottom w:val="single" w:sz="4" w:space="0" w:color="auto"/>
              <w:right w:val="single" w:sz="4" w:space="0" w:color="auto"/>
            </w:tcBorders>
            <w:shd w:val="clear" w:color="auto" w:fill="auto"/>
            <w:noWrap/>
            <w:vAlign w:val="bottom"/>
            <w:hideMark/>
          </w:tcPr>
          <w:p w14:paraId="0A4CDDF0" w14:textId="0E9D2798"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        92,106 </w:t>
            </w:r>
          </w:p>
        </w:tc>
        <w:tc>
          <w:tcPr>
            <w:tcW w:w="992" w:type="dxa"/>
            <w:tcBorders>
              <w:top w:val="nil"/>
              <w:left w:val="nil"/>
              <w:bottom w:val="single" w:sz="4" w:space="0" w:color="auto"/>
              <w:right w:val="single" w:sz="4" w:space="0" w:color="auto"/>
            </w:tcBorders>
            <w:shd w:val="clear" w:color="auto" w:fill="auto"/>
            <w:noWrap/>
            <w:vAlign w:val="bottom"/>
            <w:hideMark/>
          </w:tcPr>
          <w:p w14:paraId="41EAE880" w14:textId="52CB758B"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       99,659 </w:t>
            </w:r>
          </w:p>
        </w:tc>
        <w:tc>
          <w:tcPr>
            <w:tcW w:w="1002" w:type="dxa"/>
            <w:tcBorders>
              <w:top w:val="nil"/>
              <w:left w:val="nil"/>
              <w:bottom w:val="single" w:sz="4" w:space="0" w:color="auto"/>
              <w:right w:val="single" w:sz="4" w:space="0" w:color="auto"/>
            </w:tcBorders>
            <w:shd w:val="clear" w:color="auto" w:fill="auto"/>
            <w:noWrap/>
            <w:vAlign w:val="bottom"/>
            <w:hideMark/>
          </w:tcPr>
          <w:p w14:paraId="6BE645B2" w14:textId="791E7E57"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     107,831 </w:t>
            </w:r>
          </w:p>
        </w:tc>
        <w:tc>
          <w:tcPr>
            <w:tcW w:w="829" w:type="dxa"/>
            <w:tcBorders>
              <w:top w:val="nil"/>
              <w:left w:val="nil"/>
              <w:bottom w:val="single" w:sz="4" w:space="0" w:color="auto"/>
              <w:right w:val="single" w:sz="4" w:space="0" w:color="auto"/>
            </w:tcBorders>
            <w:shd w:val="clear" w:color="auto" w:fill="auto"/>
            <w:noWrap/>
            <w:vAlign w:val="bottom"/>
            <w:hideMark/>
          </w:tcPr>
          <w:p w14:paraId="7C0CBDA3" w14:textId="6F27875B"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     116,673 </w:t>
            </w:r>
          </w:p>
        </w:tc>
        <w:tc>
          <w:tcPr>
            <w:tcW w:w="829" w:type="dxa"/>
            <w:tcBorders>
              <w:top w:val="nil"/>
              <w:left w:val="nil"/>
              <w:bottom w:val="single" w:sz="4" w:space="0" w:color="auto"/>
              <w:right w:val="single" w:sz="4" w:space="0" w:color="auto"/>
            </w:tcBorders>
            <w:shd w:val="clear" w:color="auto" w:fill="auto"/>
            <w:noWrap/>
            <w:vAlign w:val="bottom"/>
            <w:hideMark/>
          </w:tcPr>
          <w:p w14:paraId="0FD41FB6" w14:textId="15C9B0BE" w:rsidR="008E0437" w:rsidRPr="008E0437" w:rsidRDefault="008E0437" w:rsidP="008E0437">
            <w:pPr>
              <w:widowControl/>
              <w:jc w:val="center"/>
              <w:rPr>
                <w:rFonts w:ascii="Calibri" w:eastAsia="Times New Roman" w:hAnsi="Calibri" w:cs="Times New Roman"/>
                <w:color w:val="000000"/>
                <w:kern w:val="0"/>
                <w:sz w:val="22"/>
                <w:lang w:val="en-GB"/>
              </w:rPr>
            </w:pPr>
            <w:r>
              <w:rPr>
                <w:rFonts w:ascii="Calibri" w:hAnsi="Calibri"/>
                <w:color w:val="000000"/>
                <w:sz w:val="22"/>
              </w:rPr>
              <w:t xml:space="preserve">     126,241 </w:t>
            </w:r>
          </w:p>
        </w:tc>
      </w:tr>
      <w:tr w:rsidR="008E0437" w:rsidRPr="008E0437" w14:paraId="2D992193" w14:textId="77777777" w:rsidTr="00552407">
        <w:trPr>
          <w:trHeight w:val="307"/>
        </w:trPr>
        <w:tc>
          <w:tcPr>
            <w:tcW w:w="3320" w:type="dxa"/>
            <w:tcBorders>
              <w:top w:val="nil"/>
              <w:left w:val="single" w:sz="4" w:space="0" w:color="auto"/>
              <w:bottom w:val="single" w:sz="4" w:space="0" w:color="auto"/>
              <w:right w:val="single" w:sz="4" w:space="0" w:color="auto"/>
            </w:tcBorders>
            <w:shd w:val="clear" w:color="auto" w:fill="auto"/>
            <w:noWrap/>
            <w:vAlign w:val="bottom"/>
            <w:hideMark/>
          </w:tcPr>
          <w:p w14:paraId="12DA5034" w14:textId="77777777" w:rsidR="008E0437" w:rsidRPr="008E0437" w:rsidRDefault="008E0437" w:rsidP="00552407">
            <w:pPr>
              <w:widowControl/>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Tax expense</w:t>
            </w:r>
          </w:p>
        </w:tc>
        <w:tc>
          <w:tcPr>
            <w:tcW w:w="1070" w:type="dxa"/>
            <w:tcBorders>
              <w:top w:val="nil"/>
              <w:left w:val="nil"/>
              <w:bottom w:val="single" w:sz="4" w:space="0" w:color="auto"/>
              <w:right w:val="single" w:sz="4" w:space="0" w:color="auto"/>
            </w:tcBorders>
            <w:shd w:val="clear" w:color="auto" w:fill="auto"/>
            <w:noWrap/>
            <w:vAlign w:val="bottom"/>
            <w:hideMark/>
          </w:tcPr>
          <w:p w14:paraId="5C4386B9" w14:textId="77777777" w:rsidR="008E0437" w:rsidRPr="008E0437" w:rsidRDefault="008E0437" w:rsidP="0055240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9,722</w:t>
            </w:r>
          </w:p>
        </w:tc>
        <w:tc>
          <w:tcPr>
            <w:tcW w:w="992" w:type="dxa"/>
            <w:tcBorders>
              <w:top w:val="nil"/>
              <w:left w:val="nil"/>
              <w:bottom w:val="single" w:sz="4" w:space="0" w:color="auto"/>
              <w:right w:val="single" w:sz="4" w:space="0" w:color="auto"/>
            </w:tcBorders>
            <w:shd w:val="clear" w:color="auto" w:fill="auto"/>
            <w:noWrap/>
            <w:vAlign w:val="bottom"/>
            <w:hideMark/>
          </w:tcPr>
          <w:p w14:paraId="25944B03" w14:textId="77777777" w:rsidR="008E0437" w:rsidRPr="008E0437" w:rsidRDefault="008E0437" w:rsidP="0055240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10,899</w:t>
            </w:r>
          </w:p>
        </w:tc>
        <w:tc>
          <w:tcPr>
            <w:tcW w:w="1002" w:type="dxa"/>
            <w:tcBorders>
              <w:top w:val="nil"/>
              <w:left w:val="nil"/>
              <w:bottom w:val="single" w:sz="4" w:space="0" w:color="auto"/>
              <w:right w:val="single" w:sz="4" w:space="0" w:color="auto"/>
            </w:tcBorders>
            <w:shd w:val="clear" w:color="auto" w:fill="auto"/>
            <w:noWrap/>
            <w:vAlign w:val="bottom"/>
            <w:hideMark/>
          </w:tcPr>
          <w:p w14:paraId="450E89D5" w14:textId="77777777" w:rsidR="008E0437" w:rsidRPr="008E0437" w:rsidRDefault="008E0437" w:rsidP="0055240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12,172</w:t>
            </w:r>
          </w:p>
        </w:tc>
        <w:tc>
          <w:tcPr>
            <w:tcW w:w="829" w:type="dxa"/>
            <w:tcBorders>
              <w:top w:val="nil"/>
              <w:left w:val="nil"/>
              <w:bottom w:val="single" w:sz="4" w:space="0" w:color="auto"/>
              <w:right w:val="single" w:sz="4" w:space="0" w:color="auto"/>
            </w:tcBorders>
            <w:shd w:val="clear" w:color="auto" w:fill="auto"/>
            <w:noWrap/>
            <w:vAlign w:val="bottom"/>
            <w:hideMark/>
          </w:tcPr>
          <w:p w14:paraId="59CA7EC1" w14:textId="77777777" w:rsidR="008E0437" w:rsidRPr="008E0437" w:rsidRDefault="008E0437" w:rsidP="0055240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13,550</w:t>
            </w:r>
          </w:p>
        </w:tc>
        <w:tc>
          <w:tcPr>
            <w:tcW w:w="829" w:type="dxa"/>
            <w:tcBorders>
              <w:top w:val="nil"/>
              <w:left w:val="nil"/>
              <w:bottom w:val="single" w:sz="4" w:space="0" w:color="auto"/>
              <w:right w:val="single" w:sz="4" w:space="0" w:color="auto"/>
            </w:tcBorders>
            <w:shd w:val="clear" w:color="auto" w:fill="auto"/>
            <w:noWrap/>
            <w:vAlign w:val="bottom"/>
            <w:hideMark/>
          </w:tcPr>
          <w:p w14:paraId="486D8BCD" w14:textId="77777777" w:rsidR="008E0437" w:rsidRPr="008E0437" w:rsidRDefault="008E0437" w:rsidP="0055240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15,041</w:t>
            </w:r>
          </w:p>
        </w:tc>
      </w:tr>
      <w:tr w:rsidR="008E0437" w:rsidRPr="008E0437" w14:paraId="6C1FDD6E" w14:textId="77777777" w:rsidTr="00552407">
        <w:trPr>
          <w:trHeight w:val="307"/>
        </w:trPr>
        <w:tc>
          <w:tcPr>
            <w:tcW w:w="3320" w:type="dxa"/>
            <w:tcBorders>
              <w:top w:val="nil"/>
              <w:left w:val="single" w:sz="4" w:space="0" w:color="auto"/>
              <w:bottom w:val="single" w:sz="4" w:space="0" w:color="auto"/>
              <w:right w:val="single" w:sz="4" w:space="0" w:color="auto"/>
            </w:tcBorders>
            <w:shd w:val="clear" w:color="auto" w:fill="auto"/>
            <w:noWrap/>
            <w:vAlign w:val="bottom"/>
            <w:hideMark/>
          </w:tcPr>
          <w:p w14:paraId="66A9BFAB" w14:textId="77777777" w:rsidR="008E0437" w:rsidRPr="008E0437" w:rsidRDefault="008E0437" w:rsidP="00552407">
            <w:pPr>
              <w:widowControl/>
              <w:jc w:val="right"/>
              <w:rPr>
                <w:rFonts w:ascii="Calibri" w:eastAsia="Times New Roman" w:hAnsi="Calibri" w:cs="Times New Roman"/>
                <w:b/>
                <w:bCs/>
                <w:color w:val="000000"/>
                <w:kern w:val="0"/>
                <w:sz w:val="22"/>
                <w:lang w:val="en-GB"/>
              </w:rPr>
            </w:pPr>
            <w:r w:rsidRPr="008E0437">
              <w:rPr>
                <w:rFonts w:ascii="Calibri" w:eastAsia="Times New Roman" w:hAnsi="Calibri" w:cs="Times New Roman"/>
                <w:b/>
                <w:bCs/>
                <w:color w:val="000000"/>
                <w:kern w:val="0"/>
                <w:sz w:val="22"/>
                <w:lang w:val="en-GB"/>
              </w:rPr>
              <w:t>Cashflow</w:t>
            </w:r>
          </w:p>
        </w:tc>
        <w:tc>
          <w:tcPr>
            <w:tcW w:w="1070" w:type="dxa"/>
            <w:tcBorders>
              <w:top w:val="nil"/>
              <w:left w:val="nil"/>
              <w:bottom w:val="single" w:sz="4" w:space="0" w:color="auto"/>
              <w:right w:val="single" w:sz="4" w:space="0" w:color="auto"/>
            </w:tcBorders>
            <w:shd w:val="clear" w:color="auto" w:fill="auto"/>
            <w:noWrap/>
            <w:vAlign w:val="bottom"/>
            <w:hideMark/>
          </w:tcPr>
          <w:p w14:paraId="192AF6F7" w14:textId="77777777" w:rsidR="008E0437" w:rsidRPr="008E0437" w:rsidRDefault="008E0437" w:rsidP="0055240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19,444</w:t>
            </w:r>
          </w:p>
        </w:tc>
        <w:tc>
          <w:tcPr>
            <w:tcW w:w="992" w:type="dxa"/>
            <w:tcBorders>
              <w:top w:val="nil"/>
              <w:left w:val="nil"/>
              <w:bottom w:val="single" w:sz="4" w:space="0" w:color="auto"/>
              <w:right w:val="single" w:sz="4" w:space="0" w:color="auto"/>
            </w:tcBorders>
            <w:shd w:val="clear" w:color="auto" w:fill="auto"/>
            <w:noWrap/>
            <w:vAlign w:val="bottom"/>
            <w:hideMark/>
          </w:tcPr>
          <w:p w14:paraId="20510E2A" w14:textId="77777777" w:rsidR="008E0437" w:rsidRPr="008E0437" w:rsidRDefault="008E0437" w:rsidP="0055240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20,658</w:t>
            </w:r>
          </w:p>
        </w:tc>
        <w:tc>
          <w:tcPr>
            <w:tcW w:w="1002" w:type="dxa"/>
            <w:tcBorders>
              <w:top w:val="nil"/>
              <w:left w:val="nil"/>
              <w:bottom w:val="single" w:sz="4" w:space="0" w:color="auto"/>
              <w:right w:val="single" w:sz="4" w:space="0" w:color="auto"/>
            </w:tcBorders>
            <w:shd w:val="clear" w:color="auto" w:fill="auto"/>
            <w:noWrap/>
            <w:vAlign w:val="bottom"/>
            <w:hideMark/>
          </w:tcPr>
          <w:p w14:paraId="60993015" w14:textId="77777777" w:rsidR="008E0437" w:rsidRPr="008E0437" w:rsidRDefault="008E0437" w:rsidP="0055240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21,973</w:t>
            </w:r>
          </w:p>
        </w:tc>
        <w:tc>
          <w:tcPr>
            <w:tcW w:w="829" w:type="dxa"/>
            <w:tcBorders>
              <w:top w:val="nil"/>
              <w:left w:val="nil"/>
              <w:bottom w:val="single" w:sz="4" w:space="0" w:color="auto"/>
              <w:right w:val="single" w:sz="4" w:space="0" w:color="auto"/>
            </w:tcBorders>
            <w:shd w:val="clear" w:color="auto" w:fill="auto"/>
            <w:noWrap/>
            <w:vAlign w:val="bottom"/>
            <w:hideMark/>
          </w:tcPr>
          <w:p w14:paraId="6FD672C3" w14:textId="77777777" w:rsidR="008E0437" w:rsidRPr="008E0437" w:rsidRDefault="008E0437" w:rsidP="0055240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23,395</w:t>
            </w:r>
          </w:p>
        </w:tc>
        <w:tc>
          <w:tcPr>
            <w:tcW w:w="829" w:type="dxa"/>
            <w:tcBorders>
              <w:top w:val="nil"/>
              <w:left w:val="nil"/>
              <w:bottom w:val="single" w:sz="4" w:space="0" w:color="auto"/>
              <w:right w:val="single" w:sz="4" w:space="0" w:color="auto"/>
            </w:tcBorders>
            <w:shd w:val="clear" w:color="auto" w:fill="auto"/>
            <w:noWrap/>
            <w:vAlign w:val="bottom"/>
            <w:hideMark/>
          </w:tcPr>
          <w:p w14:paraId="10FD9A94" w14:textId="77777777" w:rsidR="008E0437" w:rsidRPr="008E0437" w:rsidRDefault="008E0437" w:rsidP="00552407">
            <w:pPr>
              <w:widowControl/>
              <w:jc w:val="center"/>
              <w:rPr>
                <w:rFonts w:ascii="Calibri" w:eastAsia="Times New Roman" w:hAnsi="Calibri" w:cs="Times New Roman"/>
                <w:color w:val="000000"/>
                <w:kern w:val="0"/>
                <w:sz w:val="22"/>
                <w:lang w:val="en-GB"/>
              </w:rPr>
            </w:pPr>
            <w:r w:rsidRPr="008E0437">
              <w:rPr>
                <w:rFonts w:ascii="Calibri" w:eastAsia="Times New Roman" w:hAnsi="Calibri" w:cs="Times New Roman"/>
                <w:color w:val="000000"/>
                <w:kern w:val="0"/>
                <w:sz w:val="22"/>
                <w:lang w:val="en-GB"/>
              </w:rPr>
              <w:t>24,934</w:t>
            </w:r>
          </w:p>
        </w:tc>
      </w:tr>
    </w:tbl>
    <w:p w14:paraId="0B75E3CF" w14:textId="3FEDAC49" w:rsidR="005B211B" w:rsidRDefault="005B211B" w:rsidP="0026201B">
      <w:pPr>
        <w:widowControl/>
        <w:spacing w:line="360" w:lineRule="auto"/>
        <w:rPr>
          <w:rFonts w:ascii="Arial" w:hAnsi="Arial" w:cs="Arial"/>
          <w:szCs w:val="24"/>
        </w:rPr>
      </w:pPr>
    </w:p>
    <w:p w14:paraId="7D718ABF" w14:textId="7AB0662E" w:rsidR="005B211B" w:rsidRPr="002C5376" w:rsidRDefault="005B211B" w:rsidP="002C5376">
      <w:pPr>
        <w:widowControl/>
        <w:jc w:val="center"/>
        <w:rPr>
          <w:rFonts w:ascii="Arial" w:hAnsi="Arial" w:cs="Arial"/>
          <w:szCs w:val="24"/>
        </w:rPr>
      </w:pPr>
      <w:r>
        <w:rPr>
          <w:rFonts w:ascii="Arial" w:hAnsi="Arial" w:cs="Arial"/>
          <w:szCs w:val="24"/>
        </w:rPr>
        <w:br w:type="page"/>
      </w:r>
      <w:r w:rsidRPr="005B211B">
        <w:rPr>
          <w:rFonts w:ascii="Arial" w:hAnsi="Arial" w:cs="Arial"/>
          <w:b/>
          <w:bCs/>
          <w:szCs w:val="24"/>
          <w:u w:val="single"/>
        </w:rPr>
        <w:lastRenderedPageBreak/>
        <w:t>Reference</w:t>
      </w:r>
      <w:r>
        <w:rPr>
          <w:rFonts w:ascii="Arial" w:hAnsi="Arial" w:cs="Arial"/>
          <w:b/>
          <w:bCs/>
          <w:szCs w:val="24"/>
          <w:u w:val="single"/>
        </w:rPr>
        <w:t>s</w:t>
      </w:r>
    </w:p>
    <w:p w14:paraId="639505CD" w14:textId="77777777" w:rsidR="00BA1BB3" w:rsidRPr="00656FB6" w:rsidRDefault="00BA1BB3" w:rsidP="00BA1BB3">
      <w:pPr>
        <w:autoSpaceDE w:val="0"/>
        <w:autoSpaceDN w:val="0"/>
        <w:adjustRightInd w:val="0"/>
        <w:spacing w:after="240" w:line="360" w:lineRule="auto"/>
        <w:rPr>
          <w:rFonts w:ascii="Arial" w:hAnsi="Arial" w:cs="Arial"/>
          <w:szCs w:val="24"/>
        </w:rPr>
      </w:pPr>
      <w:r w:rsidRPr="00656FB6">
        <w:rPr>
          <w:rFonts w:ascii="Arial" w:hAnsi="Arial" w:cs="Arial"/>
          <w:szCs w:val="24"/>
        </w:rPr>
        <w:t xml:space="preserve">Batchelor, T. (2018). </w:t>
      </w:r>
      <w:r w:rsidRPr="00656FB6">
        <w:rPr>
          <w:rFonts w:ascii="Arial" w:hAnsi="Arial" w:cs="Arial"/>
          <w:i/>
          <w:iCs/>
          <w:szCs w:val="24"/>
        </w:rPr>
        <w:t>Corporate Bankruptcy: Testing the Efficacy of the Altman Z-Score - ProQuest</w:t>
      </w:r>
      <w:r w:rsidRPr="00656FB6">
        <w:rPr>
          <w:rFonts w:ascii="Arial" w:hAnsi="Arial" w:cs="Arial"/>
          <w:szCs w:val="24"/>
        </w:rPr>
        <w:t xml:space="preserve">. [online] www.proquest.com. Available at: </w:t>
      </w:r>
      <w:r w:rsidRPr="00656FB6">
        <w:rPr>
          <w:rFonts w:ascii="Arial" w:hAnsi="Arial" w:cs="Arial"/>
          <w:szCs w:val="24"/>
        </w:rPr>
        <w:fldChar w:fldCharType="begin"/>
      </w:r>
      <w:r w:rsidRPr="00656FB6">
        <w:rPr>
          <w:rFonts w:ascii="Arial" w:hAnsi="Arial" w:cs="Arial"/>
          <w:szCs w:val="24"/>
        </w:rPr>
        <w:instrText>HYPERLINK "</w:instrText>
      </w:r>
      <w:r w:rsidRPr="00656FB6">
        <w:rPr>
          <w:rFonts w:ascii="Arial" w:hAnsi="Arial" w:cs="Arial"/>
          <w:szCs w:val="24"/>
        </w:rPr>
        <w:fldChar w:fldCharType="separate"/>
      </w:r>
      <w:r w:rsidRPr="00656FB6">
        <w:rPr>
          <w:rFonts w:ascii="Arial" w:hAnsi="Arial" w:cs="Arial"/>
          <w:b/>
          <w:bCs/>
          <w:szCs w:val="24"/>
        </w:rPr>
        <w:t>Error! Hyperlink reference not valid.</w:t>
      </w:r>
      <w:r w:rsidRPr="00656FB6">
        <w:rPr>
          <w:rFonts w:ascii="Arial" w:hAnsi="Arial" w:cs="Arial"/>
          <w:szCs w:val="24"/>
        </w:rPr>
        <w:fldChar w:fldCharType="end"/>
      </w:r>
      <w:r w:rsidRPr="00656FB6">
        <w:rPr>
          <w:rFonts w:ascii="Arial" w:hAnsi="Arial" w:cs="Arial"/>
          <w:szCs w:val="24"/>
        </w:rPr>
        <w:t xml:space="preserve"> [Accessed 24 Jul. 2021].</w:t>
      </w:r>
    </w:p>
    <w:p w14:paraId="670C6A5A" w14:textId="77777777" w:rsidR="00BA1BB3" w:rsidRPr="00656FB6" w:rsidRDefault="00BA1BB3" w:rsidP="00BA1BB3">
      <w:pPr>
        <w:autoSpaceDE w:val="0"/>
        <w:autoSpaceDN w:val="0"/>
        <w:adjustRightInd w:val="0"/>
        <w:spacing w:after="240" w:line="360" w:lineRule="auto"/>
        <w:rPr>
          <w:rFonts w:ascii="Arial" w:hAnsi="Arial" w:cs="Arial"/>
          <w:szCs w:val="24"/>
        </w:rPr>
      </w:pPr>
      <w:r w:rsidRPr="00656FB6">
        <w:rPr>
          <w:rFonts w:ascii="Arial" w:hAnsi="Arial" w:cs="Arial"/>
          <w:szCs w:val="24"/>
        </w:rPr>
        <w:t xml:space="preserve">Birken, E.G. (2021). </w:t>
      </w:r>
      <w:r w:rsidRPr="00656FB6">
        <w:rPr>
          <w:rFonts w:ascii="Arial" w:hAnsi="Arial" w:cs="Arial"/>
          <w:i/>
          <w:iCs/>
          <w:szCs w:val="24"/>
        </w:rPr>
        <w:t xml:space="preserve">Understanding Return </w:t>
      </w:r>
      <w:proofErr w:type="gramStart"/>
      <w:r w:rsidRPr="00656FB6">
        <w:rPr>
          <w:rFonts w:ascii="Arial" w:hAnsi="Arial" w:cs="Arial"/>
          <w:i/>
          <w:iCs/>
          <w:szCs w:val="24"/>
        </w:rPr>
        <w:t>On</w:t>
      </w:r>
      <w:proofErr w:type="gramEnd"/>
      <w:r w:rsidRPr="00656FB6">
        <w:rPr>
          <w:rFonts w:ascii="Arial" w:hAnsi="Arial" w:cs="Arial"/>
          <w:i/>
          <w:iCs/>
          <w:szCs w:val="24"/>
        </w:rPr>
        <w:t xml:space="preserve"> Assets (ROA)</w:t>
      </w:r>
      <w:r w:rsidRPr="00656FB6">
        <w:rPr>
          <w:rFonts w:ascii="Arial" w:hAnsi="Arial" w:cs="Arial"/>
          <w:szCs w:val="24"/>
        </w:rPr>
        <w:t xml:space="preserve">. [online] Forbes Advisor. Available at: </w:t>
      </w:r>
      <w:hyperlink r:id="rId25" w:history="1">
        <w:r w:rsidRPr="00656FB6">
          <w:rPr>
            <w:rFonts w:ascii="Arial" w:hAnsi="Arial" w:cs="Arial"/>
            <w:szCs w:val="24"/>
          </w:rPr>
          <w:t>https://www.forbes.com/advisor/investing/roa-return-on-assets/</w:t>
        </w:r>
      </w:hyperlink>
      <w:r w:rsidRPr="00656FB6">
        <w:rPr>
          <w:rFonts w:ascii="Arial" w:hAnsi="Arial" w:cs="Arial"/>
          <w:szCs w:val="24"/>
        </w:rPr>
        <w:t>.</w:t>
      </w:r>
    </w:p>
    <w:p w14:paraId="6258F993" w14:textId="77777777" w:rsidR="00BA1BB3" w:rsidRPr="00656FB6" w:rsidRDefault="00BA1BB3" w:rsidP="00BA1BB3">
      <w:pPr>
        <w:autoSpaceDE w:val="0"/>
        <w:autoSpaceDN w:val="0"/>
        <w:adjustRightInd w:val="0"/>
        <w:spacing w:after="240" w:line="360" w:lineRule="auto"/>
        <w:rPr>
          <w:rFonts w:ascii="Arial" w:hAnsi="Arial" w:cs="Arial"/>
          <w:szCs w:val="24"/>
        </w:rPr>
      </w:pPr>
      <w:r w:rsidRPr="00656FB6">
        <w:rPr>
          <w:rFonts w:ascii="Arial" w:hAnsi="Arial" w:cs="Arial"/>
          <w:szCs w:val="24"/>
        </w:rPr>
        <w:t xml:space="preserve">Chow Sang </w:t>
      </w:r>
      <w:proofErr w:type="spellStart"/>
      <w:r w:rsidRPr="00656FB6">
        <w:rPr>
          <w:rFonts w:ascii="Arial" w:hAnsi="Arial" w:cs="Arial"/>
          <w:szCs w:val="24"/>
        </w:rPr>
        <w:t>Sang</w:t>
      </w:r>
      <w:proofErr w:type="spellEnd"/>
      <w:r w:rsidRPr="00656FB6">
        <w:rPr>
          <w:rFonts w:ascii="Arial" w:hAnsi="Arial" w:cs="Arial"/>
          <w:szCs w:val="24"/>
        </w:rPr>
        <w:t xml:space="preserve"> Holdings International Limited (2019). </w:t>
      </w:r>
      <w:r w:rsidRPr="00656FB6">
        <w:rPr>
          <w:rFonts w:ascii="Arial" w:hAnsi="Arial" w:cs="Arial"/>
          <w:i/>
          <w:iCs/>
          <w:szCs w:val="24"/>
        </w:rPr>
        <w:t>Annual Report 2018</w:t>
      </w:r>
      <w:r w:rsidRPr="00656FB6">
        <w:rPr>
          <w:rFonts w:ascii="Arial" w:hAnsi="Arial" w:cs="Arial"/>
          <w:szCs w:val="24"/>
        </w:rPr>
        <w:t>.</w:t>
      </w:r>
    </w:p>
    <w:p w14:paraId="0A6B786A" w14:textId="77777777" w:rsidR="00BA1BB3" w:rsidRPr="00656FB6" w:rsidRDefault="00BA1BB3" w:rsidP="00BA1BB3">
      <w:pPr>
        <w:autoSpaceDE w:val="0"/>
        <w:autoSpaceDN w:val="0"/>
        <w:adjustRightInd w:val="0"/>
        <w:spacing w:after="240" w:line="360" w:lineRule="auto"/>
        <w:rPr>
          <w:rFonts w:ascii="Arial" w:hAnsi="Arial" w:cs="Arial"/>
          <w:szCs w:val="24"/>
        </w:rPr>
      </w:pPr>
      <w:r w:rsidRPr="00656FB6">
        <w:rPr>
          <w:rFonts w:ascii="Arial" w:hAnsi="Arial" w:cs="Arial"/>
          <w:szCs w:val="24"/>
        </w:rPr>
        <w:t xml:space="preserve">Chow Sang </w:t>
      </w:r>
      <w:proofErr w:type="spellStart"/>
      <w:r w:rsidRPr="00656FB6">
        <w:rPr>
          <w:rFonts w:ascii="Arial" w:hAnsi="Arial" w:cs="Arial"/>
          <w:szCs w:val="24"/>
        </w:rPr>
        <w:t>Sang</w:t>
      </w:r>
      <w:proofErr w:type="spellEnd"/>
      <w:r w:rsidRPr="00656FB6">
        <w:rPr>
          <w:rFonts w:ascii="Arial" w:hAnsi="Arial" w:cs="Arial"/>
          <w:szCs w:val="24"/>
        </w:rPr>
        <w:t xml:space="preserve"> Holdings International Limited (2020). </w:t>
      </w:r>
      <w:r w:rsidRPr="00656FB6">
        <w:rPr>
          <w:rFonts w:ascii="Arial" w:hAnsi="Arial" w:cs="Arial"/>
          <w:i/>
          <w:iCs/>
          <w:szCs w:val="24"/>
        </w:rPr>
        <w:t>Annual Report 2019</w:t>
      </w:r>
      <w:r w:rsidRPr="00656FB6">
        <w:rPr>
          <w:rFonts w:ascii="Arial" w:hAnsi="Arial" w:cs="Arial"/>
          <w:szCs w:val="24"/>
        </w:rPr>
        <w:t>.</w:t>
      </w:r>
    </w:p>
    <w:p w14:paraId="57F71F39" w14:textId="77777777" w:rsidR="00BA1BB3" w:rsidRPr="00656FB6" w:rsidRDefault="00BA1BB3" w:rsidP="00BA1BB3">
      <w:pPr>
        <w:autoSpaceDE w:val="0"/>
        <w:autoSpaceDN w:val="0"/>
        <w:adjustRightInd w:val="0"/>
        <w:spacing w:after="240" w:line="360" w:lineRule="auto"/>
        <w:rPr>
          <w:rFonts w:ascii="Arial" w:hAnsi="Arial" w:cs="Arial"/>
          <w:szCs w:val="24"/>
        </w:rPr>
      </w:pPr>
      <w:r w:rsidRPr="00656FB6">
        <w:rPr>
          <w:rFonts w:ascii="Arial" w:hAnsi="Arial" w:cs="Arial"/>
          <w:szCs w:val="24"/>
        </w:rPr>
        <w:t xml:space="preserve">Chow Sang </w:t>
      </w:r>
      <w:proofErr w:type="spellStart"/>
      <w:r w:rsidRPr="00656FB6">
        <w:rPr>
          <w:rFonts w:ascii="Arial" w:hAnsi="Arial" w:cs="Arial"/>
          <w:szCs w:val="24"/>
        </w:rPr>
        <w:t>Sang</w:t>
      </w:r>
      <w:proofErr w:type="spellEnd"/>
      <w:r w:rsidRPr="00656FB6">
        <w:rPr>
          <w:rFonts w:ascii="Arial" w:hAnsi="Arial" w:cs="Arial"/>
          <w:szCs w:val="24"/>
        </w:rPr>
        <w:t xml:space="preserve"> International Holdings Limited (2021). </w:t>
      </w:r>
      <w:r w:rsidRPr="00656FB6">
        <w:rPr>
          <w:rFonts w:ascii="Arial" w:hAnsi="Arial" w:cs="Arial"/>
          <w:i/>
          <w:iCs/>
          <w:szCs w:val="24"/>
        </w:rPr>
        <w:t>Annual Report 2020</w:t>
      </w:r>
      <w:r w:rsidRPr="00656FB6">
        <w:rPr>
          <w:rFonts w:ascii="Arial" w:hAnsi="Arial" w:cs="Arial"/>
          <w:szCs w:val="24"/>
        </w:rPr>
        <w:t>.</w:t>
      </w:r>
    </w:p>
    <w:p w14:paraId="3E75A7B2" w14:textId="77777777" w:rsidR="00BA1BB3" w:rsidRPr="00656FB6" w:rsidRDefault="00BA1BB3" w:rsidP="00BA1BB3">
      <w:pPr>
        <w:autoSpaceDE w:val="0"/>
        <w:autoSpaceDN w:val="0"/>
        <w:adjustRightInd w:val="0"/>
        <w:spacing w:after="240" w:line="360" w:lineRule="auto"/>
        <w:rPr>
          <w:rFonts w:ascii="Arial" w:hAnsi="Arial" w:cs="Arial"/>
          <w:szCs w:val="24"/>
        </w:rPr>
      </w:pPr>
      <w:r w:rsidRPr="00656FB6">
        <w:rPr>
          <w:rFonts w:ascii="Arial" w:hAnsi="Arial" w:cs="Arial"/>
          <w:szCs w:val="24"/>
        </w:rPr>
        <w:t xml:space="preserve">Duru, A., Iyengar, R.J. and Zampelli, E.M. (2016). The dynamic relationship between CEO duality and firm performance: The moderating role of board independence. </w:t>
      </w:r>
      <w:r w:rsidRPr="00656FB6">
        <w:rPr>
          <w:rFonts w:ascii="Arial" w:hAnsi="Arial" w:cs="Arial"/>
          <w:i/>
          <w:iCs/>
          <w:szCs w:val="24"/>
        </w:rPr>
        <w:t>Journal of Business Research</w:t>
      </w:r>
      <w:r w:rsidRPr="00656FB6">
        <w:rPr>
          <w:rFonts w:ascii="Arial" w:hAnsi="Arial" w:cs="Arial"/>
          <w:szCs w:val="24"/>
        </w:rPr>
        <w:t xml:space="preserve">, [online] 69(10), pp.4269–4277. Available at: </w:t>
      </w:r>
      <w:hyperlink r:id="rId26" w:history="1">
        <w:r w:rsidRPr="00656FB6">
          <w:rPr>
            <w:rFonts w:ascii="Arial" w:hAnsi="Arial" w:cs="Arial"/>
            <w:szCs w:val="24"/>
          </w:rPr>
          <w:t>https://www.sciencedirect.com/science/article/abs/pii/S0148296316300698</w:t>
        </w:r>
      </w:hyperlink>
      <w:r w:rsidRPr="00656FB6">
        <w:rPr>
          <w:rFonts w:ascii="Arial" w:hAnsi="Arial" w:cs="Arial"/>
          <w:szCs w:val="24"/>
        </w:rPr>
        <w:t>.</w:t>
      </w:r>
    </w:p>
    <w:p w14:paraId="42AF3746" w14:textId="77777777" w:rsidR="00BA1BB3" w:rsidRPr="00656FB6" w:rsidRDefault="00BA1BB3" w:rsidP="00BA1BB3">
      <w:pPr>
        <w:autoSpaceDE w:val="0"/>
        <w:autoSpaceDN w:val="0"/>
        <w:adjustRightInd w:val="0"/>
        <w:spacing w:after="240" w:line="360" w:lineRule="auto"/>
        <w:rPr>
          <w:rFonts w:ascii="Arial" w:hAnsi="Arial" w:cs="Arial"/>
          <w:szCs w:val="24"/>
        </w:rPr>
      </w:pPr>
      <w:r w:rsidRPr="00656FB6">
        <w:rPr>
          <w:rFonts w:ascii="Arial" w:hAnsi="Arial" w:cs="Arial"/>
          <w:szCs w:val="24"/>
        </w:rPr>
        <w:t xml:space="preserve">Fernando, J. (2021). </w:t>
      </w:r>
      <w:r w:rsidRPr="00656FB6">
        <w:rPr>
          <w:rFonts w:ascii="Arial" w:hAnsi="Arial" w:cs="Arial"/>
          <w:i/>
          <w:iCs/>
          <w:szCs w:val="24"/>
        </w:rPr>
        <w:t>Net Present Value (NPV)</w:t>
      </w:r>
      <w:r w:rsidRPr="00656FB6">
        <w:rPr>
          <w:rFonts w:ascii="Arial" w:hAnsi="Arial" w:cs="Arial"/>
          <w:szCs w:val="24"/>
        </w:rPr>
        <w:t xml:space="preserve">. [online] Investopedia. Available at: </w:t>
      </w:r>
      <w:hyperlink r:id="rId27" w:history="1">
        <w:r w:rsidRPr="00656FB6">
          <w:rPr>
            <w:rFonts w:ascii="Arial" w:hAnsi="Arial" w:cs="Arial"/>
            <w:szCs w:val="24"/>
          </w:rPr>
          <w:t>https://www.investopedia.com/terms/n/npv.asp</w:t>
        </w:r>
      </w:hyperlink>
      <w:r w:rsidRPr="00656FB6">
        <w:rPr>
          <w:rFonts w:ascii="Arial" w:hAnsi="Arial" w:cs="Arial"/>
          <w:szCs w:val="24"/>
        </w:rPr>
        <w:t>.</w:t>
      </w:r>
    </w:p>
    <w:p w14:paraId="56E84993" w14:textId="77777777" w:rsidR="00BA1BB3" w:rsidRPr="00656FB6" w:rsidRDefault="00BA1BB3" w:rsidP="00BA1BB3">
      <w:pPr>
        <w:autoSpaceDE w:val="0"/>
        <w:autoSpaceDN w:val="0"/>
        <w:adjustRightInd w:val="0"/>
        <w:spacing w:after="240" w:line="360" w:lineRule="auto"/>
        <w:rPr>
          <w:rFonts w:ascii="Arial" w:hAnsi="Arial" w:cs="Arial"/>
          <w:szCs w:val="24"/>
        </w:rPr>
      </w:pPr>
      <w:r w:rsidRPr="00656FB6">
        <w:rPr>
          <w:rFonts w:ascii="Arial" w:hAnsi="Arial" w:cs="Arial"/>
          <w:szCs w:val="24"/>
        </w:rPr>
        <w:t xml:space="preserve">Ghosh, A., Karuna, C. and Tian, F. (2015). Causes and Consequences of the CEO Also Being the Chair of the Board. </w:t>
      </w:r>
      <w:r w:rsidRPr="00656FB6">
        <w:rPr>
          <w:rFonts w:ascii="Arial" w:hAnsi="Arial" w:cs="Arial"/>
          <w:i/>
          <w:iCs/>
          <w:szCs w:val="24"/>
        </w:rPr>
        <w:t>Journal of Management Accounting Research</w:t>
      </w:r>
      <w:r w:rsidRPr="00656FB6">
        <w:rPr>
          <w:rFonts w:ascii="Arial" w:hAnsi="Arial" w:cs="Arial"/>
          <w:szCs w:val="24"/>
        </w:rPr>
        <w:t>, 27(2), pp.197–223.</w:t>
      </w:r>
    </w:p>
    <w:p w14:paraId="285B81BE" w14:textId="77777777" w:rsidR="00BA1BB3" w:rsidRPr="00656FB6" w:rsidRDefault="00BA1BB3" w:rsidP="00BA1BB3">
      <w:pPr>
        <w:autoSpaceDE w:val="0"/>
        <w:autoSpaceDN w:val="0"/>
        <w:adjustRightInd w:val="0"/>
        <w:spacing w:after="240" w:line="360" w:lineRule="auto"/>
        <w:rPr>
          <w:rFonts w:ascii="Arial" w:hAnsi="Arial" w:cs="Arial"/>
          <w:szCs w:val="24"/>
        </w:rPr>
      </w:pPr>
      <w:r w:rsidRPr="00656FB6">
        <w:rPr>
          <w:rFonts w:ascii="Arial" w:hAnsi="Arial" w:cs="Arial"/>
          <w:szCs w:val="24"/>
        </w:rPr>
        <w:t xml:space="preserve">Hernández, M. (2016). China city tiers. </w:t>
      </w:r>
      <w:r w:rsidRPr="00656FB6">
        <w:rPr>
          <w:rFonts w:ascii="Arial" w:hAnsi="Arial" w:cs="Arial"/>
          <w:i/>
          <w:iCs/>
          <w:szCs w:val="24"/>
        </w:rPr>
        <w:t>South China Morning Post</w:t>
      </w:r>
      <w:r w:rsidRPr="00656FB6">
        <w:rPr>
          <w:rFonts w:ascii="Arial" w:hAnsi="Arial" w:cs="Arial"/>
          <w:szCs w:val="24"/>
        </w:rPr>
        <w:t xml:space="preserve">. [online] Available at: </w:t>
      </w:r>
      <w:hyperlink r:id="rId28" w:history="1">
        <w:r w:rsidRPr="00656FB6">
          <w:rPr>
            <w:rFonts w:ascii="Arial" w:hAnsi="Arial" w:cs="Arial"/>
            <w:szCs w:val="24"/>
          </w:rPr>
          <w:t>https://multimedia.scmp.com/2016/cities/</w:t>
        </w:r>
      </w:hyperlink>
      <w:r w:rsidRPr="00656FB6">
        <w:rPr>
          <w:rFonts w:ascii="Arial" w:hAnsi="Arial" w:cs="Arial"/>
          <w:szCs w:val="24"/>
        </w:rPr>
        <w:t>.</w:t>
      </w:r>
    </w:p>
    <w:p w14:paraId="598D1ABB" w14:textId="77777777" w:rsidR="00BA1BB3" w:rsidRPr="00656FB6" w:rsidRDefault="00BA1BB3" w:rsidP="00BA1BB3">
      <w:pPr>
        <w:autoSpaceDE w:val="0"/>
        <w:autoSpaceDN w:val="0"/>
        <w:adjustRightInd w:val="0"/>
        <w:spacing w:after="240" w:line="360" w:lineRule="auto"/>
        <w:rPr>
          <w:rFonts w:ascii="Arial" w:hAnsi="Arial" w:cs="Arial"/>
          <w:szCs w:val="24"/>
        </w:rPr>
      </w:pPr>
      <w:r w:rsidRPr="00656FB6">
        <w:rPr>
          <w:rFonts w:ascii="Arial" w:hAnsi="Arial" w:cs="Arial"/>
          <w:szCs w:val="24"/>
        </w:rPr>
        <w:t xml:space="preserve">Hong Kong Exchanges and Clearing Limited (n.d.). </w:t>
      </w:r>
      <w:r w:rsidRPr="00656FB6">
        <w:rPr>
          <w:rFonts w:ascii="Arial" w:hAnsi="Arial" w:cs="Arial"/>
          <w:i/>
          <w:iCs/>
          <w:szCs w:val="24"/>
        </w:rPr>
        <w:t>Appendix 14 Code on Corporate Governance Practices</w:t>
      </w:r>
      <w:r w:rsidRPr="00656FB6">
        <w:rPr>
          <w:rFonts w:ascii="Arial" w:hAnsi="Arial" w:cs="Arial"/>
          <w:szCs w:val="24"/>
        </w:rPr>
        <w:t>. [online</w:t>
      </w:r>
      <w:proofErr w:type="gramStart"/>
      <w:r w:rsidRPr="00656FB6">
        <w:rPr>
          <w:rFonts w:ascii="Arial" w:hAnsi="Arial" w:cs="Arial"/>
          <w:szCs w:val="24"/>
        </w:rPr>
        <w:t>] .</w:t>
      </w:r>
      <w:proofErr w:type="gramEnd"/>
      <w:r w:rsidRPr="00656FB6">
        <w:rPr>
          <w:rFonts w:ascii="Arial" w:hAnsi="Arial" w:cs="Arial"/>
          <w:szCs w:val="24"/>
        </w:rPr>
        <w:t xml:space="preserve"> Available at: </w:t>
      </w:r>
      <w:hyperlink r:id="rId29" w:history="1">
        <w:r w:rsidRPr="00656FB6">
          <w:rPr>
            <w:rFonts w:ascii="Arial" w:hAnsi="Arial" w:cs="Arial"/>
            <w:szCs w:val="24"/>
          </w:rPr>
          <w:t>https://www.hkex.com.hk/-/media/hkex-</w:t>
        </w:r>
        <w:r w:rsidRPr="00656FB6">
          <w:rPr>
            <w:rFonts w:ascii="Arial" w:hAnsi="Arial" w:cs="Arial"/>
            <w:szCs w:val="24"/>
          </w:rPr>
          <w:lastRenderedPageBreak/>
          <w:t>market/listing/rules-and-guidance/listing-rules-contingency/amendments-to-main-board-listing-rules/2004/update-no-82/amendment-to-main-board-listing-rules/main-board_app14(code)</w:t>
        </w:r>
      </w:hyperlink>
      <w:r w:rsidRPr="00656FB6">
        <w:rPr>
          <w:rFonts w:ascii="Arial" w:hAnsi="Arial" w:cs="Arial"/>
          <w:szCs w:val="24"/>
        </w:rPr>
        <w:t xml:space="preserve"> [Accessed 28 Jul. 2021].</w:t>
      </w:r>
    </w:p>
    <w:p w14:paraId="1547676E" w14:textId="77777777" w:rsidR="00BA1BB3" w:rsidRPr="00656FB6" w:rsidRDefault="00BA1BB3" w:rsidP="00BA1BB3">
      <w:pPr>
        <w:autoSpaceDE w:val="0"/>
        <w:autoSpaceDN w:val="0"/>
        <w:adjustRightInd w:val="0"/>
        <w:spacing w:after="240" w:line="360" w:lineRule="auto"/>
        <w:rPr>
          <w:rFonts w:ascii="Arial" w:hAnsi="Arial" w:cs="Arial"/>
          <w:szCs w:val="24"/>
        </w:rPr>
      </w:pPr>
      <w:r w:rsidRPr="00656FB6">
        <w:rPr>
          <w:rFonts w:ascii="Arial" w:hAnsi="Arial" w:cs="Arial"/>
          <w:szCs w:val="24"/>
        </w:rPr>
        <w:t xml:space="preserve">Hong Kong Exchanges and Clearing Limited (2020). </w:t>
      </w:r>
      <w:r w:rsidRPr="00656FB6">
        <w:rPr>
          <w:rFonts w:ascii="Arial" w:hAnsi="Arial" w:cs="Arial"/>
          <w:i/>
          <w:iCs/>
          <w:szCs w:val="24"/>
        </w:rPr>
        <w:t>Perspectives from industry practitioners Making inroads into good Corporate Governance and ESG management</w:t>
      </w:r>
      <w:r w:rsidRPr="00656FB6">
        <w:rPr>
          <w:rFonts w:ascii="Arial" w:hAnsi="Arial" w:cs="Arial"/>
          <w:szCs w:val="24"/>
        </w:rPr>
        <w:t>. [online</w:t>
      </w:r>
      <w:proofErr w:type="gramStart"/>
      <w:r w:rsidRPr="00656FB6">
        <w:rPr>
          <w:rFonts w:ascii="Arial" w:hAnsi="Arial" w:cs="Arial"/>
          <w:szCs w:val="24"/>
        </w:rPr>
        <w:t>] .</w:t>
      </w:r>
      <w:proofErr w:type="gramEnd"/>
      <w:r w:rsidRPr="00656FB6">
        <w:rPr>
          <w:rFonts w:ascii="Arial" w:hAnsi="Arial" w:cs="Arial"/>
          <w:szCs w:val="24"/>
        </w:rPr>
        <w:t xml:space="preserve"> Available at: </w:t>
      </w:r>
      <w:hyperlink r:id="rId30" w:history="1">
        <w:r w:rsidRPr="00656FB6">
          <w:rPr>
            <w:rFonts w:ascii="Arial" w:hAnsi="Arial" w:cs="Arial"/>
            <w:szCs w:val="24"/>
          </w:rPr>
          <w:t>https://www.hkex.com.hk/-/media/HKEX-Market/Listing/Rules-and-Guidance/Corporate-Governance-Practices/Practitioners_insights.pdf?la=en</w:t>
        </w:r>
      </w:hyperlink>
      <w:r w:rsidRPr="00656FB6">
        <w:rPr>
          <w:rFonts w:ascii="Arial" w:hAnsi="Arial" w:cs="Arial"/>
          <w:szCs w:val="24"/>
        </w:rPr>
        <w:t>.</w:t>
      </w:r>
    </w:p>
    <w:p w14:paraId="6F57A539" w14:textId="77777777" w:rsidR="00BA1BB3" w:rsidRPr="00656FB6" w:rsidRDefault="00BA1BB3" w:rsidP="00BA1BB3">
      <w:pPr>
        <w:autoSpaceDE w:val="0"/>
        <w:autoSpaceDN w:val="0"/>
        <w:adjustRightInd w:val="0"/>
        <w:spacing w:after="240" w:line="360" w:lineRule="auto"/>
        <w:rPr>
          <w:rFonts w:ascii="Arial" w:hAnsi="Arial" w:cs="Arial"/>
          <w:szCs w:val="24"/>
        </w:rPr>
      </w:pPr>
      <w:r w:rsidRPr="00656FB6">
        <w:rPr>
          <w:rFonts w:ascii="Arial" w:hAnsi="Arial" w:cs="Arial"/>
          <w:szCs w:val="24"/>
        </w:rPr>
        <w:t xml:space="preserve">Hong Kong Tourism Board (2021). </w:t>
      </w:r>
      <w:r w:rsidRPr="00656FB6">
        <w:rPr>
          <w:rFonts w:ascii="Arial" w:hAnsi="Arial" w:cs="Arial"/>
          <w:i/>
          <w:iCs/>
          <w:szCs w:val="24"/>
        </w:rPr>
        <w:t xml:space="preserve">PRESS RELEASE </w:t>
      </w:r>
      <w:r w:rsidRPr="00656FB6">
        <w:rPr>
          <w:rFonts w:ascii="Arial" w:hAnsi="Arial" w:cs="Arial"/>
          <w:i/>
          <w:iCs/>
          <w:szCs w:val="24"/>
        </w:rPr>
        <w:t>新聞稿</w:t>
      </w:r>
      <w:r w:rsidRPr="00656FB6">
        <w:rPr>
          <w:rFonts w:ascii="Arial" w:hAnsi="Arial" w:cs="Arial"/>
          <w:szCs w:val="24"/>
        </w:rPr>
        <w:t>. [online</w:t>
      </w:r>
      <w:proofErr w:type="gramStart"/>
      <w:r w:rsidRPr="00656FB6">
        <w:rPr>
          <w:rFonts w:ascii="Arial" w:hAnsi="Arial" w:cs="Arial"/>
          <w:szCs w:val="24"/>
        </w:rPr>
        <w:t>] .</w:t>
      </w:r>
      <w:proofErr w:type="gramEnd"/>
      <w:r w:rsidRPr="00656FB6">
        <w:rPr>
          <w:rFonts w:ascii="Arial" w:hAnsi="Arial" w:cs="Arial"/>
          <w:szCs w:val="24"/>
        </w:rPr>
        <w:t xml:space="preserve"> Available at: </w:t>
      </w:r>
      <w:hyperlink r:id="rId31" w:history="1">
        <w:r w:rsidRPr="00656FB6">
          <w:rPr>
            <w:rFonts w:ascii="Arial" w:hAnsi="Arial" w:cs="Arial"/>
            <w:szCs w:val="24"/>
          </w:rPr>
          <w:t>https://www.discoverhongkong.com/content/dam/dhk/intl/corporate/newsroom/press-release/hktb/2021/07-june-arrivals-E.pdf</w:t>
        </w:r>
      </w:hyperlink>
      <w:r w:rsidRPr="00656FB6">
        <w:rPr>
          <w:rFonts w:ascii="Arial" w:hAnsi="Arial" w:cs="Arial"/>
          <w:szCs w:val="24"/>
        </w:rPr>
        <w:t xml:space="preserve"> [Accessed 13 Aug. 2021].</w:t>
      </w:r>
    </w:p>
    <w:p w14:paraId="106A79BD" w14:textId="77777777" w:rsidR="00BA1BB3" w:rsidRPr="00656FB6" w:rsidRDefault="00BA1BB3" w:rsidP="00BA1BB3">
      <w:pPr>
        <w:autoSpaceDE w:val="0"/>
        <w:autoSpaceDN w:val="0"/>
        <w:adjustRightInd w:val="0"/>
        <w:spacing w:after="240" w:line="360" w:lineRule="auto"/>
        <w:rPr>
          <w:rFonts w:ascii="Arial" w:hAnsi="Arial" w:cs="Arial"/>
          <w:szCs w:val="24"/>
        </w:rPr>
      </w:pPr>
      <w:r w:rsidRPr="00656FB6">
        <w:rPr>
          <w:rFonts w:ascii="Arial" w:hAnsi="Arial" w:cs="Arial"/>
          <w:szCs w:val="24"/>
        </w:rPr>
        <w:t xml:space="preserve">Kenton, W. (2019). </w:t>
      </w:r>
      <w:r w:rsidRPr="00656FB6">
        <w:rPr>
          <w:rFonts w:ascii="Arial" w:hAnsi="Arial" w:cs="Arial"/>
          <w:i/>
          <w:iCs/>
          <w:szCs w:val="24"/>
        </w:rPr>
        <w:t>Understanding the Book-to-Market Ratio</w:t>
      </w:r>
      <w:r w:rsidRPr="00656FB6">
        <w:rPr>
          <w:rFonts w:ascii="Arial" w:hAnsi="Arial" w:cs="Arial"/>
          <w:szCs w:val="24"/>
        </w:rPr>
        <w:t xml:space="preserve">. [online] Investopedia. Available at: </w:t>
      </w:r>
      <w:hyperlink r:id="rId32" w:history="1">
        <w:r w:rsidRPr="00656FB6">
          <w:rPr>
            <w:rFonts w:ascii="Arial" w:hAnsi="Arial" w:cs="Arial"/>
            <w:szCs w:val="24"/>
          </w:rPr>
          <w:t>https://www.investopedia.com/terms/b/booktomarketratio.asp</w:t>
        </w:r>
      </w:hyperlink>
      <w:r w:rsidRPr="00656FB6">
        <w:rPr>
          <w:rFonts w:ascii="Arial" w:hAnsi="Arial" w:cs="Arial"/>
          <w:szCs w:val="24"/>
        </w:rPr>
        <w:t>.</w:t>
      </w:r>
    </w:p>
    <w:p w14:paraId="5FCD0F37" w14:textId="77777777" w:rsidR="00BA1BB3" w:rsidRPr="00656FB6" w:rsidRDefault="00BA1BB3" w:rsidP="00BA1BB3">
      <w:pPr>
        <w:autoSpaceDE w:val="0"/>
        <w:autoSpaceDN w:val="0"/>
        <w:adjustRightInd w:val="0"/>
        <w:spacing w:after="240" w:line="360" w:lineRule="auto"/>
        <w:rPr>
          <w:rFonts w:ascii="Arial" w:hAnsi="Arial" w:cs="Arial"/>
          <w:szCs w:val="24"/>
        </w:rPr>
      </w:pPr>
      <w:proofErr w:type="spellStart"/>
      <w:r w:rsidRPr="00656FB6">
        <w:rPr>
          <w:rFonts w:ascii="Arial" w:hAnsi="Arial" w:cs="Arial"/>
          <w:szCs w:val="24"/>
        </w:rPr>
        <w:t>Luk</w:t>
      </w:r>
      <w:proofErr w:type="spellEnd"/>
      <w:r w:rsidRPr="00656FB6">
        <w:rPr>
          <w:rFonts w:ascii="Arial" w:hAnsi="Arial" w:cs="Arial"/>
          <w:szCs w:val="24"/>
        </w:rPr>
        <w:t xml:space="preserve"> Fook Holdings (International) Limited (2019). </w:t>
      </w:r>
      <w:r w:rsidRPr="00656FB6">
        <w:rPr>
          <w:rFonts w:ascii="Arial" w:hAnsi="Arial" w:cs="Arial"/>
          <w:i/>
          <w:iCs/>
          <w:szCs w:val="24"/>
        </w:rPr>
        <w:t>Annual Report 2018/2019</w:t>
      </w:r>
      <w:r w:rsidRPr="00656FB6">
        <w:rPr>
          <w:rFonts w:ascii="Arial" w:hAnsi="Arial" w:cs="Arial"/>
          <w:szCs w:val="24"/>
        </w:rPr>
        <w:t>.</w:t>
      </w:r>
    </w:p>
    <w:p w14:paraId="58CD9CBA" w14:textId="77777777" w:rsidR="00BA1BB3" w:rsidRPr="00656FB6" w:rsidRDefault="00BA1BB3" w:rsidP="00BA1BB3">
      <w:pPr>
        <w:autoSpaceDE w:val="0"/>
        <w:autoSpaceDN w:val="0"/>
        <w:adjustRightInd w:val="0"/>
        <w:spacing w:after="240" w:line="360" w:lineRule="auto"/>
        <w:rPr>
          <w:rFonts w:ascii="Arial" w:hAnsi="Arial" w:cs="Arial"/>
          <w:szCs w:val="24"/>
        </w:rPr>
      </w:pPr>
      <w:proofErr w:type="spellStart"/>
      <w:r w:rsidRPr="00656FB6">
        <w:rPr>
          <w:rFonts w:ascii="Arial" w:hAnsi="Arial" w:cs="Arial"/>
          <w:szCs w:val="24"/>
        </w:rPr>
        <w:t>Luk</w:t>
      </w:r>
      <w:proofErr w:type="spellEnd"/>
      <w:r w:rsidRPr="00656FB6">
        <w:rPr>
          <w:rFonts w:ascii="Arial" w:hAnsi="Arial" w:cs="Arial"/>
          <w:szCs w:val="24"/>
        </w:rPr>
        <w:t xml:space="preserve"> Fook Holdings (International) Limited (2020). </w:t>
      </w:r>
      <w:r w:rsidRPr="00656FB6">
        <w:rPr>
          <w:rFonts w:ascii="Arial" w:hAnsi="Arial" w:cs="Arial"/>
          <w:i/>
          <w:iCs/>
          <w:szCs w:val="24"/>
        </w:rPr>
        <w:t>Annual Report 2019/20</w:t>
      </w:r>
      <w:r w:rsidRPr="00656FB6">
        <w:rPr>
          <w:rFonts w:ascii="Arial" w:hAnsi="Arial" w:cs="Arial"/>
          <w:szCs w:val="24"/>
        </w:rPr>
        <w:t>.</w:t>
      </w:r>
    </w:p>
    <w:p w14:paraId="63026D0D" w14:textId="77777777" w:rsidR="00BA1BB3" w:rsidRPr="00656FB6" w:rsidRDefault="00BA1BB3" w:rsidP="00BA1BB3">
      <w:pPr>
        <w:autoSpaceDE w:val="0"/>
        <w:autoSpaceDN w:val="0"/>
        <w:adjustRightInd w:val="0"/>
        <w:spacing w:after="240" w:line="360" w:lineRule="auto"/>
        <w:rPr>
          <w:rFonts w:ascii="Arial" w:hAnsi="Arial" w:cs="Arial"/>
          <w:szCs w:val="24"/>
        </w:rPr>
      </w:pPr>
      <w:proofErr w:type="spellStart"/>
      <w:r w:rsidRPr="00656FB6">
        <w:rPr>
          <w:rFonts w:ascii="Arial" w:hAnsi="Arial" w:cs="Arial"/>
          <w:szCs w:val="24"/>
        </w:rPr>
        <w:t>Luk</w:t>
      </w:r>
      <w:proofErr w:type="spellEnd"/>
      <w:r w:rsidRPr="00656FB6">
        <w:rPr>
          <w:rFonts w:ascii="Arial" w:hAnsi="Arial" w:cs="Arial"/>
          <w:szCs w:val="24"/>
        </w:rPr>
        <w:t xml:space="preserve"> Fook Holdings (International) Limited (2021). </w:t>
      </w:r>
      <w:r w:rsidRPr="00656FB6">
        <w:rPr>
          <w:rFonts w:ascii="Arial" w:hAnsi="Arial" w:cs="Arial"/>
          <w:i/>
          <w:iCs/>
          <w:szCs w:val="24"/>
        </w:rPr>
        <w:t>Annual Report 2020/21</w:t>
      </w:r>
      <w:r w:rsidRPr="00656FB6">
        <w:rPr>
          <w:rFonts w:ascii="Arial" w:hAnsi="Arial" w:cs="Arial"/>
          <w:szCs w:val="24"/>
        </w:rPr>
        <w:t>.</w:t>
      </w:r>
    </w:p>
    <w:p w14:paraId="6F1E719F" w14:textId="77777777" w:rsidR="00BA1BB3" w:rsidRPr="00656FB6" w:rsidRDefault="00BA1BB3" w:rsidP="00BA1BB3">
      <w:pPr>
        <w:autoSpaceDE w:val="0"/>
        <w:autoSpaceDN w:val="0"/>
        <w:adjustRightInd w:val="0"/>
        <w:spacing w:after="240" w:line="360" w:lineRule="auto"/>
        <w:rPr>
          <w:rFonts w:ascii="Arial" w:hAnsi="Arial" w:cs="Arial"/>
          <w:szCs w:val="24"/>
        </w:rPr>
      </w:pPr>
      <w:r w:rsidRPr="00656FB6">
        <w:rPr>
          <w:rFonts w:ascii="Arial" w:hAnsi="Arial" w:cs="Arial"/>
          <w:szCs w:val="24"/>
        </w:rPr>
        <w:t xml:space="preserve">Man, C. (2019). </w:t>
      </w:r>
      <w:r w:rsidRPr="00656FB6">
        <w:rPr>
          <w:rFonts w:ascii="Arial" w:hAnsi="Arial" w:cs="Arial"/>
          <w:i/>
          <w:iCs/>
          <w:szCs w:val="24"/>
        </w:rPr>
        <w:t>HKTDC Research</w:t>
      </w:r>
      <w:r w:rsidRPr="00656FB6">
        <w:rPr>
          <w:rFonts w:ascii="Arial" w:hAnsi="Arial" w:cs="Arial"/>
          <w:szCs w:val="24"/>
        </w:rPr>
        <w:t xml:space="preserve">. [online] research.hktdc.com. Available at: </w:t>
      </w:r>
      <w:hyperlink r:id="rId33" w:history="1">
        <w:r w:rsidRPr="00656FB6">
          <w:rPr>
            <w:rFonts w:ascii="Arial" w:hAnsi="Arial" w:cs="Arial"/>
            <w:szCs w:val="24"/>
          </w:rPr>
          <w:t>https://research.hktdc.com/en/article/MzYyOTk5NzU5</w:t>
        </w:r>
      </w:hyperlink>
      <w:r w:rsidRPr="00656FB6">
        <w:rPr>
          <w:rFonts w:ascii="Arial" w:hAnsi="Arial" w:cs="Arial"/>
          <w:szCs w:val="24"/>
        </w:rPr>
        <w:t xml:space="preserve"> [Accessed 13 Aug. 2021].</w:t>
      </w:r>
    </w:p>
    <w:p w14:paraId="7DF9E229" w14:textId="77777777" w:rsidR="00BA1BB3" w:rsidRPr="00656FB6" w:rsidRDefault="00BA1BB3" w:rsidP="00BA1BB3">
      <w:pPr>
        <w:autoSpaceDE w:val="0"/>
        <w:autoSpaceDN w:val="0"/>
        <w:adjustRightInd w:val="0"/>
        <w:spacing w:after="240" w:line="360" w:lineRule="auto"/>
        <w:rPr>
          <w:rFonts w:ascii="Arial" w:hAnsi="Arial" w:cs="Arial"/>
          <w:szCs w:val="24"/>
        </w:rPr>
      </w:pPr>
      <w:r w:rsidRPr="00656FB6">
        <w:rPr>
          <w:rFonts w:ascii="Arial" w:hAnsi="Arial" w:cs="Arial"/>
          <w:szCs w:val="24"/>
        </w:rPr>
        <w:t xml:space="preserve">Man, C. (2020). </w:t>
      </w:r>
      <w:r w:rsidRPr="00656FB6">
        <w:rPr>
          <w:rFonts w:ascii="Arial" w:hAnsi="Arial" w:cs="Arial"/>
          <w:i/>
          <w:iCs/>
          <w:szCs w:val="24"/>
        </w:rPr>
        <w:t>HKTDC Research</w:t>
      </w:r>
      <w:r w:rsidRPr="00656FB6">
        <w:rPr>
          <w:rFonts w:ascii="Arial" w:hAnsi="Arial" w:cs="Arial"/>
          <w:szCs w:val="24"/>
        </w:rPr>
        <w:t xml:space="preserve">. [online] research.hktdc.com. Available at: </w:t>
      </w:r>
      <w:hyperlink r:id="rId34" w:history="1">
        <w:r w:rsidRPr="00656FB6">
          <w:rPr>
            <w:rFonts w:ascii="Arial" w:hAnsi="Arial" w:cs="Arial"/>
            <w:szCs w:val="24"/>
          </w:rPr>
          <w:t>https://research.hktdc.com/en/article/MzEzOTU0Nzcx</w:t>
        </w:r>
      </w:hyperlink>
      <w:r w:rsidRPr="00656FB6">
        <w:rPr>
          <w:rFonts w:ascii="Arial" w:hAnsi="Arial" w:cs="Arial"/>
          <w:szCs w:val="24"/>
        </w:rPr>
        <w:t>.</w:t>
      </w:r>
    </w:p>
    <w:p w14:paraId="76663368" w14:textId="77777777" w:rsidR="00BA1BB3" w:rsidRPr="00656FB6" w:rsidRDefault="00BA1BB3" w:rsidP="00BA1BB3">
      <w:pPr>
        <w:autoSpaceDE w:val="0"/>
        <w:autoSpaceDN w:val="0"/>
        <w:adjustRightInd w:val="0"/>
        <w:spacing w:after="240" w:line="360" w:lineRule="auto"/>
        <w:rPr>
          <w:rFonts w:ascii="Arial" w:hAnsi="Arial" w:cs="Arial"/>
          <w:szCs w:val="24"/>
        </w:rPr>
      </w:pPr>
      <w:r w:rsidRPr="00656FB6">
        <w:rPr>
          <w:rFonts w:ascii="Arial" w:hAnsi="Arial" w:cs="Arial"/>
          <w:szCs w:val="24"/>
        </w:rPr>
        <w:t xml:space="preserve">PWC (2019). </w:t>
      </w:r>
      <w:r w:rsidRPr="00656FB6">
        <w:rPr>
          <w:rFonts w:ascii="Arial" w:hAnsi="Arial" w:cs="Arial"/>
          <w:i/>
          <w:iCs/>
          <w:szCs w:val="24"/>
        </w:rPr>
        <w:t xml:space="preserve">PwC CN: Tax Services - China Corporate Tax - Overview of PRC </w:t>
      </w:r>
      <w:r w:rsidRPr="00656FB6">
        <w:rPr>
          <w:rFonts w:ascii="Arial" w:hAnsi="Arial" w:cs="Arial"/>
          <w:i/>
          <w:iCs/>
          <w:szCs w:val="24"/>
        </w:rPr>
        <w:lastRenderedPageBreak/>
        <w:t>Taxation System</w:t>
      </w:r>
      <w:r w:rsidRPr="00656FB6">
        <w:rPr>
          <w:rFonts w:ascii="Arial" w:hAnsi="Arial" w:cs="Arial"/>
          <w:szCs w:val="24"/>
        </w:rPr>
        <w:t xml:space="preserve">. [online] PwC. Available at: </w:t>
      </w:r>
      <w:hyperlink r:id="rId35" w:history="1">
        <w:r w:rsidRPr="00656FB6">
          <w:rPr>
            <w:rFonts w:ascii="Arial" w:hAnsi="Arial" w:cs="Arial"/>
            <w:szCs w:val="24"/>
          </w:rPr>
          <w:t>https://www.pwccn.com/en/services/tax/accounting-and-payroll/overview-of-prc-taxation-system.html</w:t>
        </w:r>
      </w:hyperlink>
      <w:r w:rsidRPr="00656FB6">
        <w:rPr>
          <w:rFonts w:ascii="Arial" w:hAnsi="Arial" w:cs="Arial"/>
          <w:szCs w:val="24"/>
        </w:rPr>
        <w:t>.</w:t>
      </w:r>
    </w:p>
    <w:p w14:paraId="49CF0801" w14:textId="77777777" w:rsidR="00BA1BB3" w:rsidRPr="00656FB6" w:rsidRDefault="00BA1BB3" w:rsidP="00BA1BB3">
      <w:pPr>
        <w:autoSpaceDE w:val="0"/>
        <w:autoSpaceDN w:val="0"/>
        <w:adjustRightInd w:val="0"/>
        <w:spacing w:after="240" w:line="360" w:lineRule="auto"/>
        <w:rPr>
          <w:rFonts w:ascii="Arial" w:hAnsi="Arial" w:cs="Arial"/>
          <w:szCs w:val="24"/>
        </w:rPr>
      </w:pPr>
      <w:proofErr w:type="spellStart"/>
      <w:r w:rsidRPr="00656FB6">
        <w:rPr>
          <w:rFonts w:ascii="Arial" w:hAnsi="Arial" w:cs="Arial"/>
          <w:szCs w:val="24"/>
        </w:rPr>
        <w:t>Sarbah</w:t>
      </w:r>
      <w:proofErr w:type="spellEnd"/>
      <w:r w:rsidRPr="00656FB6">
        <w:rPr>
          <w:rFonts w:ascii="Arial" w:hAnsi="Arial" w:cs="Arial"/>
          <w:szCs w:val="24"/>
        </w:rPr>
        <w:t xml:space="preserve">, A. and Xiao, W. (2015). Good Corporate Governance Structures: A Must for Family Businesses. </w:t>
      </w:r>
      <w:r w:rsidRPr="00656FB6">
        <w:rPr>
          <w:rFonts w:ascii="Arial" w:hAnsi="Arial" w:cs="Arial"/>
          <w:i/>
          <w:iCs/>
          <w:szCs w:val="24"/>
        </w:rPr>
        <w:t>Open Journal of Business and Management</w:t>
      </w:r>
      <w:r w:rsidRPr="00656FB6">
        <w:rPr>
          <w:rFonts w:ascii="Arial" w:hAnsi="Arial" w:cs="Arial"/>
          <w:szCs w:val="24"/>
        </w:rPr>
        <w:t>, 03(01), pp.40–57.</w:t>
      </w:r>
    </w:p>
    <w:p w14:paraId="2672E582" w14:textId="77777777" w:rsidR="00BA1BB3" w:rsidRPr="00656FB6" w:rsidRDefault="00BA1BB3" w:rsidP="00BA1BB3">
      <w:pPr>
        <w:autoSpaceDE w:val="0"/>
        <w:autoSpaceDN w:val="0"/>
        <w:adjustRightInd w:val="0"/>
        <w:spacing w:after="240" w:line="360" w:lineRule="auto"/>
        <w:rPr>
          <w:rFonts w:ascii="Arial" w:hAnsi="Arial" w:cs="Arial"/>
          <w:szCs w:val="24"/>
        </w:rPr>
      </w:pPr>
      <w:r w:rsidRPr="00656FB6">
        <w:rPr>
          <w:rFonts w:ascii="Arial" w:hAnsi="Arial" w:cs="Arial"/>
          <w:szCs w:val="24"/>
        </w:rPr>
        <w:t xml:space="preserve">Segal, T. (2019). </w:t>
      </w:r>
      <w:r w:rsidRPr="00656FB6">
        <w:rPr>
          <w:rFonts w:ascii="Arial" w:hAnsi="Arial" w:cs="Arial"/>
          <w:i/>
          <w:iCs/>
          <w:szCs w:val="24"/>
        </w:rPr>
        <w:t>Why Licensees Matter</w:t>
      </w:r>
      <w:r w:rsidRPr="00656FB6">
        <w:rPr>
          <w:rFonts w:ascii="Arial" w:hAnsi="Arial" w:cs="Arial"/>
          <w:szCs w:val="24"/>
        </w:rPr>
        <w:t xml:space="preserve">. [online] Investopedia. Available at: </w:t>
      </w:r>
      <w:hyperlink r:id="rId36" w:history="1">
        <w:r w:rsidRPr="00656FB6">
          <w:rPr>
            <w:rFonts w:ascii="Arial" w:hAnsi="Arial" w:cs="Arial"/>
            <w:szCs w:val="24"/>
          </w:rPr>
          <w:t>https://www.investopedia.com/terms/l/licensee.asp</w:t>
        </w:r>
      </w:hyperlink>
      <w:r w:rsidRPr="00656FB6">
        <w:rPr>
          <w:rFonts w:ascii="Arial" w:hAnsi="Arial" w:cs="Arial"/>
          <w:szCs w:val="24"/>
        </w:rPr>
        <w:t>.</w:t>
      </w:r>
    </w:p>
    <w:p w14:paraId="20DB6938" w14:textId="77777777" w:rsidR="00BA1BB3" w:rsidRPr="00656FB6" w:rsidRDefault="00BA1BB3" w:rsidP="00BA1BB3">
      <w:pPr>
        <w:autoSpaceDE w:val="0"/>
        <w:autoSpaceDN w:val="0"/>
        <w:adjustRightInd w:val="0"/>
        <w:spacing w:after="240" w:line="360" w:lineRule="auto"/>
        <w:rPr>
          <w:rFonts w:ascii="Arial" w:hAnsi="Arial" w:cs="Arial"/>
          <w:szCs w:val="24"/>
        </w:rPr>
      </w:pPr>
      <w:r w:rsidRPr="00656FB6">
        <w:rPr>
          <w:rFonts w:ascii="Arial" w:hAnsi="Arial" w:cs="Arial"/>
          <w:szCs w:val="24"/>
        </w:rPr>
        <w:t xml:space="preserve">Tonello, M. (2011). </w:t>
      </w:r>
      <w:r w:rsidRPr="00656FB6">
        <w:rPr>
          <w:rFonts w:ascii="Arial" w:hAnsi="Arial" w:cs="Arial"/>
          <w:i/>
          <w:iCs/>
          <w:szCs w:val="24"/>
        </w:rPr>
        <w:t>Separation of Chair and CEO Roles</w:t>
      </w:r>
      <w:r w:rsidRPr="00656FB6">
        <w:rPr>
          <w:rFonts w:ascii="Arial" w:hAnsi="Arial" w:cs="Arial"/>
          <w:szCs w:val="24"/>
        </w:rPr>
        <w:t xml:space="preserve">. [online] Harvard.edu. Available at: </w:t>
      </w:r>
      <w:hyperlink r:id="rId37" w:history="1">
        <w:r w:rsidRPr="00656FB6">
          <w:rPr>
            <w:rFonts w:ascii="Arial" w:hAnsi="Arial" w:cs="Arial"/>
            <w:szCs w:val="24"/>
          </w:rPr>
          <w:t>https://corpgov.law.harvard.edu/2011/09/01/separation-of-chair-and-ceo-roles/</w:t>
        </w:r>
      </w:hyperlink>
      <w:r w:rsidRPr="00656FB6">
        <w:rPr>
          <w:rFonts w:ascii="Arial" w:hAnsi="Arial" w:cs="Arial"/>
          <w:szCs w:val="24"/>
        </w:rPr>
        <w:t>.</w:t>
      </w:r>
    </w:p>
    <w:p w14:paraId="1C605DA4" w14:textId="77777777" w:rsidR="00BA1BB3" w:rsidRPr="00656FB6" w:rsidRDefault="00BA1BB3" w:rsidP="00BA1BB3">
      <w:pPr>
        <w:autoSpaceDE w:val="0"/>
        <w:autoSpaceDN w:val="0"/>
        <w:adjustRightInd w:val="0"/>
        <w:spacing w:after="240" w:line="360" w:lineRule="auto"/>
        <w:rPr>
          <w:rFonts w:ascii="Arial" w:hAnsi="Arial" w:cs="Arial"/>
          <w:szCs w:val="24"/>
        </w:rPr>
      </w:pPr>
      <w:r w:rsidRPr="00656FB6">
        <w:rPr>
          <w:rFonts w:ascii="Arial" w:hAnsi="Arial" w:cs="Arial"/>
          <w:szCs w:val="24"/>
        </w:rPr>
        <w:t xml:space="preserve">Tse Sui Luen Jewellery (International) Limited (2019). </w:t>
      </w:r>
      <w:r w:rsidRPr="00656FB6">
        <w:rPr>
          <w:rFonts w:ascii="Arial" w:hAnsi="Arial" w:cs="Arial"/>
          <w:i/>
          <w:iCs/>
          <w:szCs w:val="24"/>
        </w:rPr>
        <w:t>Annual Report 2018/19</w:t>
      </w:r>
      <w:r w:rsidRPr="00656FB6">
        <w:rPr>
          <w:rFonts w:ascii="Arial" w:hAnsi="Arial" w:cs="Arial"/>
          <w:szCs w:val="24"/>
        </w:rPr>
        <w:t>.</w:t>
      </w:r>
    </w:p>
    <w:p w14:paraId="37F51D51" w14:textId="77777777" w:rsidR="00BA1BB3" w:rsidRPr="00656FB6" w:rsidRDefault="00BA1BB3" w:rsidP="00BA1BB3">
      <w:pPr>
        <w:autoSpaceDE w:val="0"/>
        <w:autoSpaceDN w:val="0"/>
        <w:adjustRightInd w:val="0"/>
        <w:spacing w:after="240" w:line="360" w:lineRule="auto"/>
        <w:rPr>
          <w:rFonts w:ascii="Arial" w:hAnsi="Arial" w:cs="Arial"/>
          <w:szCs w:val="24"/>
        </w:rPr>
      </w:pPr>
      <w:r w:rsidRPr="00656FB6">
        <w:rPr>
          <w:rFonts w:ascii="Arial" w:hAnsi="Arial" w:cs="Arial"/>
          <w:szCs w:val="24"/>
        </w:rPr>
        <w:t xml:space="preserve">Tse Sui Luen Jewellery (International) Limited (2020). </w:t>
      </w:r>
      <w:r w:rsidRPr="00656FB6">
        <w:rPr>
          <w:rFonts w:ascii="Arial" w:hAnsi="Arial" w:cs="Arial"/>
          <w:i/>
          <w:iCs/>
          <w:szCs w:val="24"/>
        </w:rPr>
        <w:t>Annual Report 2019/20</w:t>
      </w:r>
      <w:r w:rsidRPr="00656FB6">
        <w:rPr>
          <w:rFonts w:ascii="Arial" w:hAnsi="Arial" w:cs="Arial"/>
          <w:szCs w:val="24"/>
        </w:rPr>
        <w:t>.</w:t>
      </w:r>
    </w:p>
    <w:p w14:paraId="517283DE" w14:textId="77777777" w:rsidR="00BA1BB3" w:rsidRPr="00656FB6" w:rsidRDefault="00BA1BB3" w:rsidP="00BA1BB3">
      <w:pPr>
        <w:autoSpaceDE w:val="0"/>
        <w:autoSpaceDN w:val="0"/>
        <w:adjustRightInd w:val="0"/>
        <w:spacing w:after="240" w:line="360" w:lineRule="auto"/>
        <w:rPr>
          <w:rFonts w:ascii="Arial" w:hAnsi="Arial" w:cs="Arial"/>
          <w:szCs w:val="24"/>
        </w:rPr>
      </w:pPr>
      <w:r w:rsidRPr="00656FB6">
        <w:rPr>
          <w:rFonts w:ascii="Arial" w:hAnsi="Arial" w:cs="Arial"/>
          <w:szCs w:val="24"/>
        </w:rPr>
        <w:t xml:space="preserve">Tse Sui Luen Jewellery (International) Limited (2021). </w:t>
      </w:r>
      <w:r w:rsidRPr="00656FB6">
        <w:rPr>
          <w:rFonts w:ascii="Arial" w:hAnsi="Arial" w:cs="Arial"/>
          <w:i/>
          <w:iCs/>
          <w:szCs w:val="24"/>
        </w:rPr>
        <w:t>Annual Report 2020/21</w:t>
      </w:r>
      <w:r w:rsidRPr="00656FB6">
        <w:rPr>
          <w:rFonts w:ascii="Arial" w:hAnsi="Arial" w:cs="Arial"/>
          <w:szCs w:val="24"/>
        </w:rPr>
        <w:t>.</w:t>
      </w:r>
    </w:p>
    <w:p w14:paraId="3139B484" w14:textId="77777777" w:rsidR="00BA1BB3" w:rsidRPr="00656FB6" w:rsidRDefault="00BA1BB3" w:rsidP="00BA1BB3">
      <w:pPr>
        <w:autoSpaceDE w:val="0"/>
        <w:autoSpaceDN w:val="0"/>
        <w:adjustRightInd w:val="0"/>
        <w:spacing w:after="240" w:line="360" w:lineRule="auto"/>
        <w:rPr>
          <w:rFonts w:ascii="Arial" w:hAnsi="Arial" w:cs="Arial"/>
          <w:szCs w:val="24"/>
        </w:rPr>
      </w:pPr>
      <w:proofErr w:type="spellStart"/>
      <w:r w:rsidRPr="00656FB6">
        <w:rPr>
          <w:rFonts w:ascii="Arial" w:hAnsi="Arial" w:cs="Arial"/>
          <w:szCs w:val="24"/>
        </w:rPr>
        <w:t>Wijethilake</w:t>
      </w:r>
      <w:proofErr w:type="spellEnd"/>
      <w:r w:rsidRPr="00656FB6">
        <w:rPr>
          <w:rFonts w:ascii="Arial" w:hAnsi="Arial" w:cs="Arial"/>
          <w:szCs w:val="24"/>
        </w:rPr>
        <w:t xml:space="preserve">, C. and Ekanayake, A. (2020). CEO duality and firm performance: the moderating roles of CEO informal power and board involvements. </w:t>
      </w:r>
      <w:r w:rsidRPr="00656FB6">
        <w:rPr>
          <w:rFonts w:ascii="Arial" w:hAnsi="Arial" w:cs="Arial"/>
          <w:i/>
          <w:iCs/>
          <w:szCs w:val="24"/>
        </w:rPr>
        <w:t>Social Responsibility Journal</w:t>
      </w:r>
      <w:r w:rsidRPr="00656FB6">
        <w:rPr>
          <w:rFonts w:ascii="Arial" w:hAnsi="Arial" w:cs="Arial"/>
          <w:szCs w:val="24"/>
        </w:rPr>
        <w:t>, 16(8), pp.1453–1474.</w:t>
      </w:r>
    </w:p>
    <w:p w14:paraId="0DCEEFC4" w14:textId="77777777" w:rsidR="00BA1BB3" w:rsidRPr="00656FB6" w:rsidRDefault="00BA1BB3" w:rsidP="00BA1BB3">
      <w:pPr>
        <w:autoSpaceDE w:val="0"/>
        <w:autoSpaceDN w:val="0"/>
        <w:adjustRightInd w:val="0"/>
        <w:spacing w:after="240" w:line="360" w:lineRule="auto"/>
        <w:rPr>
          <w:rFonts w:ascii="Arial" w:hAnsi="Arial" w:cs="Arial"/>
          <w:szCs w:val="24"/>
        </w:rPr>
      </w:pPr>
      <w:r w:rsidRPr="00656FB6">
        <w:rPr>
          <w:rFonts w:ascii="Arial" w:hAnsi="Arial" w:cs="Arial"/>
          <w:szCs w:val="24"/>
        </w:rPr>
        <w:t xml:space="preserve">Zheng, J. (2021). </w:t>
      </w:r>
      <w:r w:rsidRPr="00656FB6">
        <w:rPr>
          <w:rFonts w:ascii="Arial" w:hAnsi="Arial" w:cs="Arial"/>
          <w:i/>
          <w:iCs/>
          <w:szCs w:val="24"/>
        </w:rPr>
        <w:t>Jewellery retail in the time of Covid-19: Consumer tailwinds propel China market</w:t>
      </w:r>
      <w:r w:rsidRPr="00656FB6">
        <w:rPr>
          <w:rFonts w:ascii="Arial" w:hAnsi="Arial" w:cs="Arial"/>
          <w:szCs w:val="24"/>
        </w:rPr>
        <w:t xml:space="preserve">. [online] JEWELLERYNET. Available at: </w:t>
      </w:r>
      <w:hyperlink r:id="rId38" w:history="1">
        <w:r w:rsidRPr="00656FB6">
          <w:rPr>
            <w:rFonts w:ascii="Arial" w:hAnsi="Arial" w:cs="Arial"/>
            <w:szCs w:val="24"/>
          </w:rPr>
          <w:t>https://www.jewellerynet.com/en/jnanews/features/24255</w:t>
        </w:r>
      </w:hyperlink>
      <w:r w:rsidRPr="00656FB6">
        <w:rPr>
          <w:rFonts w:ascii="Arial" w:hAnsi="Arial" w:cs="Arial"/>
          <w:szCs w:val="24"/>
        </w:rPr>
        <w:t xml:space="preserve"> [Accessed 8 Aug. 2021].</w:t>
      </w:r>
    </w:p>
    <w:p w14:paraId="02A2F069" w14:textId="77777777" w:rsidR="008E0437" w:rsidRPr="00CE7EB9" w:rsidRDefault="008E0437" w:rsidP="00BA1BB3">
      <w:pPr>
        <w:autoSpaceDE w:val="0"/>
        <w:autoSpaceDN w:val="0"/>
        <w:adjustRightInd w:val="0"/>
        <w:spacing w:after="240" w:line="360" w:lineRule="auto"/>
        <w:rPr>
          <w:rFonts w:ascii="Arial" w:hAnsi="Arial" w:cs="Arial"/>
          <w:szCs w:val="24"/>
        </w:rPr>
      </w:pPr>
    </w:p>
    <w:sectPr w:rsidR="008E0437" w:rsidRPr="00CE7EB9" w:rsidSect="006E69D5">
      <w:footerReference w:type="default" r:id="rId39"/>
      <w:pgSz w:w="11906" w:h="16838"/>
      <w:pgMar w:top="1440" w:right="1440" w:bottom="1440" w:left="1440" w:header="851" w:footer="992" w:gutter="0"/>
      <w:pgNumType w:start="1"/>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81B5DB" w14:textId="77777777" w:rsidR="00552407" w:rsidRDefault="00552407" w:rsidP="002C0C4D">
      <w:r>
        <w:separator/>
      </w:r>
    </w:p>
  </w:endnote>
  <w:endnote w:type="continuationSeparator" w:id="0">
    <w:p w14:paraId="34519FE1" w14:textId="77777777" w:rsidR="00552407" w:rsidRDefault="00552407" w:rsidP="002C0C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E76C7F" w14:textId="5C1A8AA6" w:rsidR="00552407" w:rsidRDefault="00552407">
    <w:pPr>
      <w:pStyle w:val="Footer"/>
      <w:jc w:val="right"/>
    </w:pPr>
  </w:p>
  <w:p w14:paraId="1ABD90ED" w14:textId="77777777" w:rsidR="00552407" w:rsidRDefault="005524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3503258"/>
      <w:docPartObj>
        <w:docPartGallery w:val="Page Numbers (Bottom of Page)"/>
        <w:docPartUnique/>
      </w:docPartObj>
    </w:sdtPr>
    <w:sdtEndPr>
      <w:rPr>
        <w:noProof/>
      </w:rPr>
    </w:sdtEndPr>
    <w:sdtContent>
      <w:p w14:paraId="051F9435" w14:textId="77777777" w:rsidR="00552407" w:rsidRDefault="0055240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8560DD" w14:textId="77777777" w:rsidR="00552407" w:rsidRDefault="005524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D965BF" w14:textId="77777777" w:rsidR="00552407" w:rsidRDefault="00552407" w:rsidP="002C0C4D">
      <w:r>
        <w:separator/>
      </w:r>
    </w:p>
  </w:footnote>
  <w:footnote w:type="continuationSeparator" w:id="0">
    <w:p w14:paraId="1CF02200" w14:textId="77777777" w:rsidR="00552407" w:rsidRDefault="00552407" w:rsidP="002C0C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117BB"/>
    <w:multiLevelType w:val="multilevel"/>
    <w:tmpl w:val="10A117BB"/>
    <w:lvl w:ilvl="0">
      <w:start w:val="1"/>
      <w:numFmt w:val="decimal"/>
      <w:lvlText w:val="%1."/>
      <w:lvlJc w:val="left"/>
      <w:pPr>
        <w:tabs>
          <w:tab w:val="left" w:pos="360"/>
        </w:tabs>
        <w:ind w:left="360" w:hanging="360"/>
      </w:pPr>
    </w:lvl>
    <w:lvl w:ilvl="1">
      <w:start w:val="1"/>
      <w:numFmt w:val="lowerLetter"/>
      <w:lvlText w:val="%2."/>
      <w:lvlJc w:val="left"/>
      <w:pPr>
        <w:tabs>
          <w:tab w:val="left" w:pos="1080"/>
        </w:tabs>
        <w:ind w:left="1080" w:hanging="360"/>
      </w:pPr>
    </w:lvl>
    <w:lvl w:ilvl="2">
      <w:start w:val="1"/>
      <w:numFmt w:val="lowerRoman"/>
      <w:lvlText w:val="%3."/>
      <w:lvlJc w:val="right"/>
      <w:pPr>
        <w:tabs>
          <w:tab w:val="left" w:pos="1800"/>
        </w:tabs>
        <w:ind w:left="1800" w:hanging="180"/>
      </w:pPr>
    </w:lvl>
    <w:lvl w:ilvl="3">
      <w:start w:val="1"/>
      <w:numFmt w:val="decimal"/>
      <w:lvlText w:val="%4."/>
      <w:lvlJc w:val="left"/>
      <w:pPr>
        <w:tabs>
          <w:tab w:val="left" w:pos="2520"/>
        </w:tabs>
        <w:ind w:left="2520" w:hanging="360"/>
      </w:pPr>
    </w:lvl>
    <w:lvl w:ilvl="4">
      <w:start w:val="1"/>
      <w:numFmt w:val="lowerLetter"/>
      <w:lvlText w:val="%5."/>
      <w:lvlJc w:val="left"/>
      <w:pPr>
        <w:tabs>
          <w:tab w:val="left" w:pos="3240"/>
        </w:tabs>
        <w:ind w:left="3240" w:hanging="360"/>
      </w:pPr>
    </w:lvl>
    <w:lvl w:ilvl="5">
      <w:start w:val="1"/>
      <w:numFmt w:val="lowerRoman"/>
      <w:lvlText w:val="%6."/>
      <w:lvlJc w:val="right"/>
      <w:pPr>
        <w:tabs>
          <w:tab w:val="left" w:pos="3960"/>
        </w:tabs>
        <w:ind w:left="3960" w:hanging="180"/>
      </w:pPr>
    </w:lvl>
    <w:lvl w:ilvl="6">
      <w:start w:val="1"/>
      <w:numFmt w:val="decimal"/>
      <w:lvlText w:val="%7."/>
      <w:lvlJc w:val="left"/>
      <w:pPr>
        <w:tabs>
          <w:tab w:val="left" w:pos="4680"/>
        </w:tabs>
        <w:ind w:left="4680" w:hanging="360"/>
      </w:pPr>
    </w:lvl>
    <w:lvl w:ilvl="7">
      <w:start w:val="1"/>
      <w:numFmt w:val="lowerLetter"/>
      <w:lvlText w:val="%8."/>
      <w:lvlJc w:val="left"/>
      <w:pPr>
        <w:tabs>
          <w:tab w:val="left" w:pos="5400"/>
        </w:tabs>
        <w:ind w:left="5400" w:hanging="360"/>
      </w:pPr>
    </w:lvl>
    <w:lvl w:ilvl="8">
      <w:start w:val="1"/>
      <w:numFmt w:val="lowerRoman"/>
      <w:lvlText w:val="%9."/>
      <w:lvlJc w:val="right"/>
      <w:pPr>
        <w:tabs>
          <w:tab w:val="left" w:pos="6120"/>
        </w:tabs>
        <w:ind w:left="6120" w:hanging="180"/>
      </w:pPr>
    </w:lvl>
  </w:abstractNum>
  <w:abstractNum w:abstractNumId="1" w15:restartNumberingAfterBreak="0">
    <w:nsid w:val="2DC76E34"/>
    <w:multiLevelType w:val="hybridMultilevel"/>
    <w:tmpl w:val="55A2B560"/>
    <w:lvl w:ilvl="0" w:tplc="8C46FF2A">
      <w:start w:val="3"/>
      <w:numFmt w:val="bullet"/>
      <w:lvlText w:val="-"/>
      <w:lvlJc w:val="left"/>
      <w:pPr>
        <w:ind w:left="360" w:hanging="360"/>
      </w:pPr>
      <w:rPr>
        <w:rFonts w:ascii="Arial" w:eastAsiaTheme="minorEastAsia" w:hAnsi="Arial" w:cs="Arial" w:hint="default"/>
        <w:b/>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2F062A3E"/>
    <w:multiLevelType w:val="multilevel"/>
    <w:tmpl w:val="80966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F9D5A0E"/>
    <w:multiLevelType w:val="hybridMultilevel"/>
    <w:tmpl w:val="BD560944"/>
    <w:lvl w:ilvl="0" w:tplc="8C46FF2A">
      <w:start w:val="3"/>
      <w:numFmt w:val="bullet"/>
      <w:lvlText w:val="-"/>
      <w:lvlJc w:val="left"/>
      <w:pPr>
        <w:ind w:left="720" w:hanging="360"/>
      </w:pPr>
      <w:rPr>
        <w:rFonts w:ascii="Arial" w:eastAsiaTheme="minorEastAsia" w:hAnsi="Arial" w:cs="Aria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A3A771F"/>
    <w:multiLevelType w:val="multilevel"/>
    <w:tmpl w:val="6C821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2156DA9"/>
    <w:multiLevelType w:val="hybridMultilevel"/>
    <w:tmpl w:val="E44842FC"/>
    <w:lvl w:ilvl="0" w:tplc="42844238">
      <w:start w:val="3"/>
      <w:numFmt w:val="bullet"/>
      <w:lvlText w:val=""/>
      <w:lvlJc w:val="left"/>
      <w:pPr>
        <w:ind w:left="720" w:hanging="360"/>
      </w:pPr>
      <w:rPr>
        <w:rFonts w:ascii="Symbol" w:eastAsiaTheme="minorEastAsia"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8E3765B"/>
    <w:multiLevelType w:val="multilevel"/>
    <w:tmpl w:val="C2DCE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900419C"/>
    <w:multiLevelType w:val="multilevel"/>
    <w:tmpl w:val="59FA3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4BC7C98"/>
    <w:multiLevelType w:val="hybridMultilevel"/>
    <w:tmpl w:val="AFC259A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4EE3A06"/>
    <w:multiLevelType w:val="hybridMultilevel"/>
    <w:tmpl w:val="0A8886A6"/>
    <w:lvl w:ilvl="0" w:tplc="8C46FF2A">
      <w:start w:val="3"/>
      <w:numFmt w:val="bullet"/>
      <w:lvlText w:val="-"/>
      <w:lvlJc w:val="left"/>
      <w:pPr>
        <w:ind w:left="720" w:hanging="360"/>
      </w:pPr>
      <w:rPr>
        <w:rFonts w:ascii="Arial" w:eastAsiaTheme="minorEastAsia" w:hAnsi="Arial" w:cs="Aria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C6C0E43"/>
    <w:multiLevelType w:val="multilevel"/>
    <w:tmpl w:val="A3186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1"/>
  </w:num>
  <w:num w:numId="3">
    <w:abstractNumId w:val="9"/>
  </w:num>
  <w:num w:numId="4">
    <w:abstractNumId w:val="5"/>
  </w:num>
  <w:num w:numId="5">
    <w:abstractNumId w:val="7"/>
  </w:num>
  <w:num w:numId="6">
    <w:abstractNumId w:val="6"/>
  </w:num>
  <w:num w:numId="7">
    <w:abstractNumId w:val="4"/>
  </w:num>
  <w:num w:numId="8">
    <w:abstractNumId w:val="2"/>
  </w:num>
  <w:num w:numId="9">
    <w:abstractNumId w:val="10"/>
  </w:num>
  <w:num w:numId="10">
    <w:abstractNumId w:val="0"/>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Y2MDE1tjQ1MzczMzVU0lEKTi0uzszPAykwrAUABvLKMiwAAAA="/>
  </w:docVars>
  <w:rsids>
    <w:rsidRoot w:val="0035577F"/>
    <w:rsid w:val="000003F9"/>
    <w:rsid w:val="000009AC"/>
    <w:rsid w:val="00001CC8"/>
    <w:rsid w:val="00003ACB"/>
    <w:rsid w:val="00005745"/>
    <w:rsid w:val="0000598C"/>
    <w:rsid w:val="00005A58"/>
    <w:rsid w:val="00006218"/>
    <w:rsid w:val="0000711D"/>
    <w:rsid w:val="00011E28"/>
    <w:rsid w:val="00012A70"/>
    <w:rsid w:val="00012EDE"/>
    <w:rsid w:val="00013FC4"/>
    <w:rsid w:val="0001594C"/>
    <w:rsid w:val="00017104"/>
    <w:rsid w:val="00021E68"/>
    <w:rsid w:val="000221E1"/>
    <w:rsid w:val="00026619"/>
    <w:rsid w:val="00026F94"/>
    <w:rsid w:val="0003057D"/>
    <w:rsid w:val="0004054C"/>
    <w:rsid w:val="0004437D"/>
    <w:rsid w:val="00045819"/>
    <w:rsid w:val="0004651D"/>
    <w:rsid w:val="0004657C"/>
    <w:rsid w:val="000473DC"/>
    <w:rsid w:val="00051F1D"/>
    <w:rsid w:val="00053D49"/>
    <w:rsid w:val="00061AF2"/>
    <w:rsid w:val="00062679"/>
    <w:rsid w:val="00065BB3"/>
    <w:rsid w:val="00066669"/>
    <w:rsid w:val="00067E6C"/>
    <w:rsid w:val="0007049F"/>
    <w:rsid w:val="00072892"/>
    <w:rsid w:val="00076349"/>
    <w:rsid w:val="00080207"/>
    <w:rsid w:val="000811FB"/>
    <w:rsid w:val="00085223"/>
    <w:rsid w:val="00092066"/>
    <w:rsid w:val="00094489"/>
    <w:rsid w:val="00095110"/>
    <w:rsid w:val="00095C64"/>
    <w:rsid w:val="00095DA1"/>
    <w:rsid w:val="00097E2B"/>
    <w:rsid w:val="000A1CA1"/>
    <w:rsid w:val="000A6E0C"/>
    <w:rsid w:val="000B373E"/>
    <w:rsid w:val="000B556D"/>
    <w:rsid w:val="000B5CE9"/>
    <w:rsid w:val="000C1344"/>
    <w:rsid w:val="000C3469"/>
    <w:rsid w:val="000C4F76"/>
    <w:rsid w:val="000C577E"/>
    <w:rsid w:val="000C57EF"/>
    <w:rsid w:val="000C6316"/>
    <w:rsid w:val="000D2972"/>
    <w:rsid w:val="000D4C8A"/>
    <w:rsid w:val="000D69B8"/>
    <w:rsid w:val="000D7F9A"/>
    <w:rsid w:val="000E2648"/>
    <w:rsid w:val="000E2D59"/>
    <w:rsid w:val="000E324D"/>
    <w:rsid w:val="000E50AB"/>
    <w:rsid w:val="000E702C"/>
    <w:rsid w:val="000F1BC3"/>
    <w:rsid w:val="000F369D"/>
    <w:rsid w:val="000F43B1"/>
    <w:rsid w:val="000F5B81"/>
    <w:rsid w:val="000F5E21"/>
    <w:rsid w:val="000F7960"/>
    <w:rsid w:val="00100C44"/>
    <w:rsid w:val="00101CFF"/>
    <w:rsid w:val="00105C34"/>
    <w:rsid w:val="0011156E"/>
    <w:rsid w:val="00112520"/>
    <w:rsid w:val="00120376"/>
    <w:rsid w:val="001222B0"/>
    <w:rsid w:val="00125712"/>
    <w:rsid w:val="001303B2"/>
    <w:rsid w:val="00133D6A"/>
    <w:rsid w:val="00134618"/>
    <w:rsid w:val="001348AF"/>
    <w:rsid w:val="00135C10"/>
    <w:rsid w:val="00136DC0"/>
    <w:rsid w:val="001377B3"/>
    <w:rsid w:val="00142500"/>
    <w:rsid w:val="001426A9"/>
    <w:rsid w:val="001450F0"/>
    <w:rsid w:val="00146B17"/>
    <w:rsid w:val="00147DB8"/>
    <w:rsid w:val="00150EA5"/>
    <w:rsid w:val="00152568"/>
    <w:rsid w:val="00157EBB"/>
    <w:rsid w:val="0016054F"/>
    <w:rsid w:val="00162D91"/>
    <w:rsid w:val="00162E93"/>
    <w:rsid w:val="00182B76"/>
    <w:rsid w:val="001840B5"/>
    <w:rsid w:val="00185156"/>
    <w:rsid w:val="001941F5"/>
    <w:rsid w:val="001949D5"/>
    <w:rsid w:val="0019606D"/>
    <w:rsid w:val="001A176E"/>
    <w:rsid w:val="001A47C3"/>
    <w:rsid w:val="001A5C83"/>
    <w:rsid w:val="001C6725"/>
    <w:rsid w:val="001C7019"/>
    <w:rsid w:val="001D212C"/>
    <w:rsid w:val="001D23A4"/>
    <w:rsid w:val="001D5F84"/>
    <w:rsid w:val="001E033F"/>
    <w:rsid w:val="001E15B2"/>
    <w:rsid w:val="001E4598"/>
    <w:rsid w:val="001F16D4"/>
    <w:rsid w:val="001F3EE4"/>
    <w:rsid w:val="0020284F"/>
    <w:rsid w:val="00202BD1"/>
    <w:rsid w:val="002050A6"/>
    <w:rsid w:val="00205A4E"/>
    <w:rsid w:val="0020649D"/>
    <w:rsid w:val="002066F3"/>
    <w:rsid w:val="00207560"/>
    <w:rsid w:val="00207B63"/>
    <w:rsid w:val="00211279"/>
    <w:rsid w:val="00212458"/>
    <w:rsid w:val="00213AC5"/>
    <w:rsid w:val="00213F7D"/>
    <w:rsid w:val="0021460F"/>
    <w:rsid w:val="002150E2"/>
    <w:rsid w:val="00220101"/>
    <w:rsid w:val="002202A4"/>
    <w:rsid w:val="00220FC9"/>
    <w:rsid w:val="002216C1"/>
    <w:rsid w:val="00221BCB"/>
    <w:rsid w:val="00223362"/>
    <w:rsid w:val="0022433D"/>
    <w:rsid w:val="00224DFA"/>
    <w:rsid w:val="00225075"/>
    <w:rsid w:val="002251A0"/>
    <w:rsid w:val="00225C81"/>
    <w:rsid w:val="00226899"/>
    <w:rsid w:val="00226FCF"/>
    <w:rsid w:val="00227F17"/>
    <w:rsid w:val="00234232"/>
    <w:rsid w:val="00234C0C"/>
    <w:rsid w:val="00235C52"/>
    <w:rsid w:val="00237DBA"/>
    <w:rsid w:val="002401AA"/>
    <w:rsid w:val="00241097"/>
    <w:rsid w:val="00241F47"/>
    <w:rsid w:val="00245952"/>
    <w:rsid w:val="00246DC5"/>
    <w:rsid w:val="00247312"/>
    <w:rsid w:val="002501EB"/>
    <w:rsid w:val="00251113"/>
    <w:rsid w:val="0026201B"/>
    <w:rsid w:val="0026288C"/>
    <w:rsid w:val="002672EE"/>
    <w:rsid w:val="00274B20"/>
    <w:rsid w:val="0027784C"/>
    <w:rsid w:val="002849F5"/>
    <w:rsid w:val="00286838"/>
    <w:rsid w:val="00286968"/>
    <w:rsid w:val="00290156"/>
    <w:rsid w:val="0029136D"/>
    <w:rsid w:val="00291397"/>
    <w:rsid w:val="002A094C"/>
    <w:rsid w:val="002A1FEA"/>
    <w:rsid w:val="002A4F39"/>
    <w:rsid w:val="002B2BEE"/>
    <w:rsid w:val="002B5F45"/>
    <w:rsid w:val="002C0395"/>
    <w:rsid w:val="002C0C4D"/>
    <w:rsid w:val="002C3351"/>
    <w:rsid w:val="002C35E7"/>
    <w:rsid w:val="002C5376"/>
    <w:rsid w:val="002D324C"/>
    <w:rsid w:val="002E3E87"/>
    <w:rsid w:val="002E6B1E"/>
    <w:rsid w:val="002F0941"/>
    <w:rsid w:val="002F6816"/>
    <w:rsid w:val="00302136"/>
    <w:rsid w:val="00310A1A"/>
    <w:rsid w:val="003128A4"/>
    <w:rsid w:val="00313B3C"/>
    <w:rsid w:val="00316327"/>
    <w:rsid w:val="00325D16"/>
    <w:rsid w:val="0033401A"/>
    <w:rsid w:val="0033458E"/>
    <w:rsid w:val="00337E3A"/>
    <w:rsid w:val="0034290F"/>
    <w:rsid w:val="00347743"/>
    <w:rsid w:val="0035014C"/>
    <w:rsid w:val="00352972"/>
    <w:rsid w:val="0035577F"/>
    <w:rsid w:val="00355DE0"/>
    <w:rsid w:val="003566D6"/>
    <w:rsid w:val="0035722B"/>
    <w:rsid w:val="0035748D"/>
    <w:rsid w:val="00360448"/>
    <w:rsid w:val="00360A2A"/>
    <w:rsid w:val="00361C53"/>
    <w:rsid w:val="00362588"/>
    <w:rsid w:val="003643DC"/>
    <w:rsid w:val="0036494F"/>
    <w:rsid w:val="00370AE3"/>
    <w:rsid w:val="003718A1"/>
    <w:rsid w:val="00373234"/>
    <w:rsid w:val="00375ADE"/>
    <w:rsid w:val="00375D67"/>
    <w:rsid w:val="00384CF2"/>
    <w:rsid w:val="003853E2"/>
    <w:rsid w:val="00387D5D"/>
    <w:rsid w:val="00394067"/>
    <w:rsid w:val="00394AD9"/>
    <w:rsid w:val="00394ED9"/>
    <w:rsid w:val="00397FDC"/>
    <w:rsid w:val="003A34FC"/>
    <w:rsid w:val="003A353A"/>
    <w:rsid w:val="003A4387"/>
    <w:rsid w:val="003A7DC8"/>
    <w:rsid w:val="003B1378"/>
    <w:rsid w:val="003B38C4"/>
    <w:rsid w:val="003B4B37"/>
    <w:rsid w:val="003C47FA"/>
    <w:rsid w:val="003D085A"/>
    <w:rsid w:val="003D102F"/>
    <w:rsid w:val="003D331C"/>
    <w:rsid w:val="003D6D95"/>
    <w:rsid w:val="003E107F"/>
    <w:rsid w:val="003E7440"/>
    <w:rsid w:val="003F1976"/>
    <w:rsid w:val="003F306C"/>
    <w:rsid w:val="00401E23"/>
    <w:rsid w:val="00403FF9"/>
    <w:rsid w:val="0040439B"/>
    <w:rsid w:val="00407893"/>
    <w:rsid w:val="0041097B"/>
    <w:rsid w:val="004115CF"/>
    <w:rsid w:val="00412A8D"/>
    <w:rsid w:val="00414C32"/>
    <w:rsid w:val="004172B4"/>
    <w:rsid w:val="00423562"/>
    <w:rsid w:val="00425305"/>
    <w:rsid w:val="0043186C"/>
    <w:rsid w:val="004334DF"/>
    <w:rsid w:val="00433534"/>
    <w:rsid w:val="004367DA"/>
    <w:rsid w:val="00437EBD"/>
    <w:rsid w:val="0044053C"/>
    <w:rsid w:val="00444C58"/>
    <w:rsid w:val="00447AF7"/>
    <w:rsid w:val="00447CAA"/>
    <w:rsid w:val="00454850"/>
    <w:rsid w:val="00461E46"/>
    <w:rsid w:val="0046386B"/>
    <w:rsid w:val="00463E06"/>
    <w:rsid w:val="00466794"/>
    <w:rsid w:val="00472F77"/>
    <w:rsid w:val="00474AC1"/>
    <w:rsid w:val="0047568E"/>
    <w:rsid w:val="00480060"/>
    <w:rsid w:val="00480B4B"/>
    <w:rsid w:val="004822AF"/>
    <w:rsid w:val="0048344F"/>
    <w:rsid w:val="00486995"/>
    <w:rsid w:val="00487376"/>
    <w:rsid w:val="004910B9"/>
    <w:rsid w:val="0049372B"/>
    <w:rsid w:val="004974A0"/>
    <w:rsid w:val="004978E4"/>
    <w:rsid w:val="00497B1B"/>
    <w:rsid w:val="004A0F34"/>
    <w:rsid w:val="004A16CD"/>
    <w:rsid w:val="004A1DC5"/>
    <w:rsid w:val="004A4966"/>
    <w:rsid w:val="004A57AD"/>
    <w:rsid w:val="004B1CBF"/>
    <w:rsid w:val="004B23DC"/>
    <w:rsid w:val="004B2C97"/>
    <w:rsid w:val="004B2EBE"/>
    <w:rsid w:val="004B3AB8"/>
    <w:rsid w:val="004B4722"/>
    <w:rsid w:val="004B608D"/>
    <w:rsid w:val="004C0929"/>
    <w:rsid w:val="004C0B90"/>
    <w:rsid w:val="004D0587"/>
    <w:rsid w:val="004D308D"/>
    <w:rsid w:val="004E5E86"/>
    <w:rsid w:val="004F0C9C"/>
    <w:rsid w:val="004F3BB2"/>
    <w:rsid w:val="004F6758"/>
    <w:rsid w:val="0050578B"/>
    <w:rsid w:val="00506E27"/>
    <w:rsid w:val="00507B11"/>
    <w:rsid w:val="005119DF"/>
    <w:rsid w:val="00511DFE"/>
    <w:rsid w:val="00512122"/>
    <w:rsid w:val="00513A1D"/>
    <w:rsid w:val="00517EA8"/>
    <w:rsid w:val="00530089"/>
    <w:rsid w:val="00533895"/>
    <w:rsid w:val="00535A2C"/>
    <w:rsid w:val="00544C38"/>
    <w:rsid w:val="00550AEC"/>
    <w:rsid w:val="00552407"/>
    <w:rsid w:val="00553E60"/>
    <w:rsid w:val="005556ED"/>
    <w:rsid w:val="00570C7B"/>
    <w:rsid w:val="0057112B"/>
    <w:rsid w:val="0057347E"/>
    <w:rsid w:val="00574650"/>
    <w:rsid w:val="005802D1"/>
    <w:rsid w:val="00580775"/>
    <w:rsid w:val="00580F64"/>
    <w:rsid w:val="005811A1"/>
    <w:rsid w:val="00581D5E"/>
    <w:rsid w:val="005820A9"/>
    <w:rsid w:val="00584694"/>
    <w:rsid w:val="0058502E"/>
    <w:rsid w:val="00596DF4"/>
    <w:rsid w:val="005977AB"/>
    <w:rsid w:val="005A3597"/>
    <w:rsid w:val="005A51F1"/>
    <w:rsid w:val="005B14D2"/>
    <w:rsid w:val="005B1AF1"/>
    <w:rsid w:val="005B211B"/>
    <w:rsid w:val="005B2C8D"/>
    <w:rsid w:val="005B48BD"/>
    <w:rsid w:val="005C0A6A"/>
    <w:rsid w:val="005C26A7"/>
    <w:rsid w:val="005C28AE"/>
    <w:rsid w:val="005C3B4B"/>
    <w:rsid w:val="005C3D4F"/>
    <w:rsid w:val="005C4D34"/>
    <w:rsid w:val="005C5B99"/>
    <w:rsid w:val="005D6A16"/>
    <w:rsid w:val="005E0C1A"/>
    <w:rsid w:val="005E1E92"/>
    <w:rsid w:val="005E3536"/>
    <w:rsid w:val="005E5E93"/>
    <w:rsid w:val="005F0F79"/>
    <w:rsid w:val="005F285B"/>
    <w:rsid w:val="005F3C7E"/>
    <w:rsid w:val="006065E8"/>
    <w:rsid w:val="00607693"/>
    <w:rsid w:val="00607CC6"/>
    <w:rsid w:val="00611046"/>
    <w:rsid w:val="00614A6A"/>
    <w:rsid w:val="00617003"/>
    <w:rsid w:val="00617D39"/>
    <w:rsid w:val="00620B15"/>
    <w:rsid w:val="00620E1F"/>
    <w:rsid w:val="00620FE5"/>
    <w:rsid w:val="00625946"/>
    <w:rsid w:val="0062720C"/>
    <w:rsid w:val="00630C5B"/>
    <w:rsid w:val="006329D6"/>
    <w:rsid w:val="006347A0"/>
    <w:rsid w:val="00637C60"/>
    <w:rsid w:val="00640C23"/>
    <w:rsid w:val="00645630"/>
    <w:rsid w:val="006474BE"/>
    <w:rsid w:val="00651304"/>
    <w:rsid w:val="006536F3"/>
    <w:rsid w:val="0065572C"/>
    <w:rsid w:val="00661395"/>
    <w:rsid w:val="006626EA"/>
    <w:rsid w:val="00662905"/>
    <w:rsid w:val="006652E8"/>
    <w:rsid w:val="006703B2"/>
    <w:rsid w:val="0067120A"/>
    <w:rsid w:val="0067314D"/>
    <w:rsid w:val="006744A9"/>
    <w:rsid w:val="00675EA5"/>
    <w:rsid w:val="0067600D"/>
    <w:rsid w:val="00676DF5"/>
    <w:rsid w:val="006801F8"/>
    <w:rsid w:val="00691C1B"/>
    <w:rsid w:val="00692AE8"/>
    <w:rsid w:val="00692FCF"/>
    <w:rsid w:val="006A116C"/>
    <w:rsid w:val="006A1BC9"/>
    <w:rsid w:val="006A2AB3"/>
    <w:rsid w:val="006A7131"/>
    <w:rsid w:val="006B2381"/>
    <w:rsid w:val="006B347F"/>
    <w:rsid w:val="006B7477"/>
    <w:rsid w:val="006C34EA"/>
    <w:rsid w:val="006D10F7"/>
    <w:rsid w:val="006D3B22"/>
    <w:rsid w:val="006D6075"/>
    <w:rsid w:val="006E2EBA"/>
    <w:rsid w:val="006E69D5"/>
    <w:rsid w:val="006F21AD"/>
    <w:rsid w:val="006F3356"/>
    <w:rsid w:val="006F3687"/>
    <w:rsid w:val="006F45D8"/>
    <w:rsid w:val="006F5FDC"/>
    <w:rsid w:val="00701CD0"/>
    <w:rsid w:val="00712707"/>
    <w:rsid w:val="007159C5"/>
    <w:rsid w:val="00723F7F"/>
    <w:rsid w:val="0072412A"/>
    <w:rsid w:val="00730374"/>
    <w:rsid w:val="007328D0"/>
    <w:rsid w:val="007419F3"/>
    <w:rsid w:val="00747CA7"/>
    <w:rsid w:val="00750439"/>
    <w:rsid w:val="00750FDB"/>
    <w:rsid w:val="00757ADE"/>
    <w:rsid w:val="007657E0"/>
    <w:rsid w:val="00767065"/>
    <w:rsid w:val="00767546"/>
    <w:rsid w:val="0077069B"/>
    <w:rsid w:val="0077239E"/>
    <w:rsid w:val="00775509"/>
    <w:rsid w:val="00776222"/>
    <w:rsid w:val="00777096"/>
    <w:rsid w:val="00780C13"/>
    <w:rsid w:val="00782FC4"/>
    <w:rsid w:val="00783103"/>
    <w:rsid w:val="00787BAA"/>
    <w:rsid w:val="00791B8D"/>
    <w:rsid w:val="00793BB1"/>
    <w:rsid w:val="0079481B"/>
    <w:rsid w:val="0079591F"/>
    <w:rsid w:val="00796F64"/>
    <w:rsid w:val="007A310A"/>
    <w:rsid w:val="007A4175"/>
    <w:rsid w:val="007A5074"/>
    <w:rsid w:val="007A51EC"/>
    <w:rsid w:val="007A66B5"/>
    <w:rsid w:val="007C15F8"/>
    <w:rsid w:val="007C1668"/>
    <w:rsid w:val="007C3C1D"/>
    <w:rsid w:val="007C4B80"/>
    <w:rsid w:val="007C73D7"/>
    <w:rsid w:val="007D79C2"/>
    <w:rsid w:val="007E1133"/>
    <w:rsid w:val="007E1D29"/>
    <w:rsid w:val="007E21EE"/>
    <w:rsid w:val="007E2EBE"/>
    <w:rsid w:val="007E6D00"/>
    <w:rsid w:val="007F00B5"/>
    <w:rsid w:val="007F1C37"/>
    <w:rsid w:val="007F5733"/>
    <w:rsid w:val="0080065B"/>
    <w:rsid w:val="00801B1C"/>
    <w:rsid w:val="00806B4E"/>
    <w:rsid w:val="00806CA5"/>
    <w:rsid w:val="0081222F"/>
    <w:rsid w:val="00812478"/>
    <w:rsid w:val="0081596A"/>
    <w:rsid w:val="008234E2"/>
    <w:rsid w:val="008243C5"/>
    <w:rsid w:val="0082570F"/>
    <w:rsid w:val="008276B1"/>
    <w:rsid w:val="0083227D"/>
    <w:rsid w:val="00835DE9"/>
    <w:rsid w:val="00847672"/>
    <w:rsid w:val="0085078E"/>
    <w:rsid w:val="00850FED"/>
    <w:rsid w:val="00854F69"/>
    <w:rsid w:val="00855054"/>
    <w:rsid w:val="008618F9"/>
    <w:rsid w:val="008621AC"/>
    <w:rsid w:val="00863F5C"/>
    <w:rsid w:val="00864B80"/>
    <w:rsid w:val="0086558D"/>
    <w:rsid w:val="0086747F"/>
    <w:rsid w:val="00870594"/>
    <w:rsid w:val="008757EE"/>
    <w:rsid w:val="00881BA5"/>
    <w:rsid w:val="00883119"/>
    <w:rsid w:val="008834CC"/>
    <w:rsid w:val="00891C16"/>
    <w:rsid w:val="00892A68"/>
    <w:rsid w:val="008A3AFB"/>
    <w:rsid w:val="008B1790"/>
    <w:rsid w:val="008B1C1C"/>
    <w:rsid w:val="008B2764"/>
    <w:rsid w:val="008B2B43"/>
    <w:rsid w:val="008C455C"/>
    <w:rsid w:val="008C548A"/>
    <w:rsid w:val="008E0437"/>
    <w:rsid w:val="008E0B4D"/>
    <w:rsid w:val="008E5581"/>
    <w:rsid w:val="008E5742"/>
    <w:rsid w:val="008F6491"/>
    <w:rsid w:val="00900BFB"/>
    <w:rsid w:val="00902BD0"/>
    <w:rsid w:val="00903665"/>
    <w:rsid w:val="00911C6F"/>
    <w:rsid w:val="00917001"/>
    <w:rsid w:val="00917353"/>
    <w:rsid w:val="00923638"/>
    <w:rsid w:val="0092622D"/>
    <w:rsid w:val="00926CE9"/>
    <w:rsid w:val="00927BE5"/>
    <w:rsid w:val="00931165"/>
    <w:rsid w:val="0093497A"/>
    <w:rsid w:val="00936265"/>
    <w:rsid w:val="00940FF8"/>
    <w:rsid w:val="009463DE"/>
    <w:rsid w:val="00946B8A"/>
    <w:rsid w:val="00946BF8"/>
    <w:rsid w:val="00947A56"/>
    <w:rsid w:val="00947BB1"/>
    <w:rsid w:val="00947E76"/>
    <w:rsid w:val="00950B21"/>
    <w:rsid w:val="00952915"/>
    <w:rsid w:val="00954DD5"/>
    <w:rsid w:val="00957A35"/>
    <w:rsid w:val="00957EEE"/>
    <w:rsid w:val="009673F1"/>
    <w:rsid w:val="00967B51"/>
    <w:rsid w:val="00971DF9"/>
    <w:rsid w:val="00971FDE"/>
    <w:rsid w:val="00975300"/>
    <w:rsid w:val="00975C92"/>
    <w:rsid w:val="0097707F"/>
    <w:rsid w:val="00980114"/>
    <w:rsid w:val="00982317"/>
    <w:rsid w:val="0098648D"/>
    <w:rsid w:val="009902D9"/>
    <w:rsid w:val="009939DF"/>
    <w:rsid w:val="00993C56"/>
    <w:rsid w:val="00995B6F"/>
    <w:rsid w:val="00995C6D"/>
    <w:rsid w:val="00997DFA"/>
    <w:rsid w:val="009A036C"/>
    <w:rsid w:val="009A234A"/>
    <w:rsid w:val="009A4DB9"/>
    <w:rsid w:val="009A519B"/>
    <w:rsid w:val="009B58A4"/>
    <w:rsid w:val="009B5F51"/>
    <w:rsid w:val="009B6075"/>
    <w:rsid w:val="009B6CF7"/>
    <w:rsid w:val="009B743D"/>
    <w:rsid w:val="009C357E"/>
    <w:rsid w:val="009C421C"/>
    <w:rsid w:val="009D09A7"/>
    <w:rsid w:val="009D28E5"/>
    <w:rsid w:val="009E69CC"/>
    <w:rsid w:val="009F1169"/>
    <w:rsid w:val="009F6A17"/>
    <w:rsid w:val="00A0395B"/>
    <w:rsid w:val="00A03AF7"/>
    <w:rsid w:val="00A04F09"/>
    <w:rsid w:val="00A07167"/>
    <w:rsid w:val="00A10849"/>
    <w:rsid w:val="00A116FE"/>
    <w:rsid w:val="00A11970"/>
    <w:rsid w:val="00A11A4C"/>
    <w:rsid w:val="00A13F42"/>
    <w:rsid w:val="00A14A4A"/>
    <w:rsid w:val="00A16299"/>
    <w:rsid w:val="00A16A69"/>
    <w:rsid w:val="00A20805"/>
    <w:rsid w:val="00A23DAC"/>
    <w:rsid w:val="00A2467A"/>
    <w:rsid w:val="00A262E6"/>
    <w:rsid w:val="00A26E50"/>
    <w:rsid w:val="00A274C9"/>
    <w:rsid w:val="00A30AB2"/>
    <w:rsid w:val="00A31543"/>
    <w:rsid w:val="00A325E7"/>
    <w:rsid w:val="00A364CC"/>
    <w:rsid w:val="00A4021E"/>
    <w:rsid w:val="00A46B54"/>
    <w:rsid w:val="00A50923"/>
    <w:rsid w:val="00A51060"/>
    <w:rsid w:val="00A54C45"/>
    <w:rsid w:val="00A54CE9"/>
    <w:rsid w:val="00A5751D"/>
    <w:rsid w:val="00A61062"/>
    <w:rsid w:val="00A63D9E"/>
    <w:rsid w:val="00A64819"/>
    <w:rsid w:val="00A71CB7"/>
    <w:rsid w:val="00A72048"/>
    <w:rsid w:val="00A72B1E"/>
    <w:rsid w:val="00A8352A"/>
    <w:rsid w:val="00A83EAB"/>
    <w:rsid w:val="00A86A6A"/>
    <w:rsid w:val="00A87B31"/>
    <w:rsid w:val="00A9162B"/>
    <w:rsid w:val="00A95305"/>
    <w:rsid w:val="00A96ABF"/>
    <w:rsid w:val="00A97138"/>
    <w:rsid w:val="00A97488"/>
    <w:rsid w:val="00AA0766"/>
    <w:rsid w:val="00AA1CD4"/>
    <w:rsid w:val="00AA4166"/>
    <w:rsid w:val="00AA4F42"/>
    <w:rsid w:val="00AB396A"/>
    <w:rsid w:val="00AB62A6"/>
    <w:rsid w:val="00AC2120"/>
    <w:rsid w:val="00AC33BE"/>
    <w:rsid w:val="00AC585E"/>
    <w:rsid w:val="00AC6E96"/>
    <w:rsid w:val="00AD1FAE"/>
    <w:rsid w:val="00AD3D57"/>
    <w:rsid w:val="00AD6A70"/>
    <w:rsid w:val="00AE07B3"/>
    <w:rsid w:val="00AE57A6"/>
    <w:rsid w:val="00AF13A6"/>
    <w:rsid w:val="00AF17B8"/>
    <w:rsid w:val="00AF2C17"/>
    <w:rsid w:val="00AF32E3"/>
    <w:rsid w:val="00AF3556"/>
    <w:rsid w:val="00AF6F6D"/>
    <w:rsid w:val="00B000C1"/>
    <w:rsid w:val="00B0248E"/>
    <w:rsid w:val="00B03E26"/>
    <w:rsid w:val="00B05223"/>
    <w:rsid w:val="00B05A33"/>
    <w:rsid w:val="00B07900"/>
    <w:rsid w:val="00B10E41"/>
    <w:rsid w:val="00B14B59"/>
    <w:rsid w:val="00B208B8"/>
    <w:rsid w:val="00B211BA"/>
    <w:rsid w:val="00B2527F"/>
    <w:rsid w:val="00B25FB4"/>
    <w:rsid w:val="00B27583"/>
    <w:rsid w:val="00B27BFC"/>
    <w:rsid w:val="00B3243E"/>
    <w:rsid w:val="00B34CDC"/>
    <w:rsid w:val="00B37269"/>
    <w:rsid w:val="00B415A4"/>
    <w:rsid w:val="00B42A1D"/>
    <w:rsid w:val="00B4359A"/>
    <w:rsid w:val="00B51347"/>
    <w:rsid w:val="00B514E1"/>
    <w:rsid w:val="00B5328D"/>
    <w:rsid w:val="00B564C8"/>
    <w:rsid w:val="00B57856"/>
    <w:rsid w:val="00B61E24"/>
    <w:rsid w:val="00B623EF"/>
    <w:rsid w:val="00B67F6C"/>
    <w:rsid w:val="00B719E6"/>
    <w:rsid w:val="00B7266C"/>
    <w:rsid w:val="00B73B06"/>
    <w:rsid w:val="00B77F87"/>
    <w:rsid w:val="00B80522"/>
    <w:rsid w:val="00B81330"/>
    <w:rsid w:val="00B8360B"/>
    <w:rsid w:val="00B83A97"/>
    <w:rsid w:val="00B83A9B"/>
    <w:rsid w:val="00B855B7"/>
    <w:rsid w:val="00B85689"/>
    <w:rsid w:val="00B85FBE"/>
    <w:rsid w:val="00B86AFF"/>
    <w:rsid w:val="00B878EF"/>
    <w:rsid w:val="00B879F8"/>
    <w:rsid w:val="00B919D3"/>
    <w:rsid w:val="00B9245B"/>
    <w:rsid w:val="00B94A16"/>
    <w:rsid w:val="00B9579A"/>
    <w:rsid w:val="00BA175E"/>
    <w:rsid w:val="00BA1BB3"/>
    <w:rsid w:val="00BA5B20"/>
    <w:rsid w:val="00BA757F"/>
    <w:rsid w:val="00BA78D7"/>
    <w:rsid w:val="00BB4093"/>
    <w:rsid w:val="00BB7884"/>
    <w:rsid w:val="00BC598B"/>
    <w:rsid w:val="00BE6405"/>
    <w:rsid w:val="00BE6EE5"/>
    <w:rsid w:val="00BF01C3"/>
    <w:rsid w:val="00BF21B5"/>
    <w:rsid w:val="00C0143B"/>
    <w:rsid w:val="00C032FB"/>
    <w:rsid w:val="00C108E1"/>
    <w:rsid w:val="00C12416"/>
    <w:rsid w:val="00C126C5"/>
    <w:rsid w:val="00C1302A"/>
    <w:rsid w:val="00C14C73"/>
    <w:rsid w:val="00C172C9"/>
    <w:rsid w:val="00C25918"/>
    <w:rsid w:val="00C30679"/>
    <w:rsid w:val="00C3517E"/>
    <w:rsid w:val="00C410CD"/>
    <w:rsid w:val="00C43902"/>
    <w:rsid w:val="00C51270"/>
    <w:rsid w:val="00C537BC"/>
    <w:rsid w:val="00C57217"/>
    <w:rsid w:val="00C578E1"/>
    <w:rsid w:val="00C57DA3"/>
    <w:rsid w:val="00C657FE"/>
    <w:rsid w:val="00C65AAE"/>
    <w:rsid w:val="00C6703C"/>
    <w:rsid w:val="00C671CA"/>
    <w:rsid w:val="00C67C06"/>
    <w:rsid w:val="00C72CB0"/>
    <w:rsid w:val="00C75FF3"/>
    <w:rsid w:val="00C81085"/>
    <w:rsid w:val="00C85F8F"/>
    <w:rsid w:val="00C8721A"/>
    <w:rsid w:val="00C93205"/>
    <w:rsid w:val="00C938D5"/>
    <w:rsid w:val="00C9485E"/>
    <w:rsid w:val="00C95FB7"/>
    <w:rsid w:val="00CA19E3"/>
    <w:rsid w:val="00CA206A"/>
    <w:rsid w:val="00CA45C3"/>
    <w:rsid w:val="00CA5114"/>
    <w:rsid w:val="00CA7687"/>
    <w:rsid w:val="00CB3350"/>
    <w:rsid w:val="00CB3B7C"/>
    <w:rsid w:val="00CB3D8B"/>
    <w:rsid w:val="00CC4B77"/>
    <w:rsid w:val="00CD00DA"/>
    <w:rsid w:val="00CD08BD"/>
    <w:rsid w:val="00CD31D7"/>
    <w:rsid w:val="00CE0BB3"/>
    <w:rsid w:val="00CE30FF"/>
    <w:rsid w:val="00CE7EB9"/>
    <w:rsid w:val="00CF1004"/>
    <w:rsid w:val="00CF1B55"/>
    <w:rsid w:val="00CF5741"/>
    <w:rsid w:val="00D01FCD"/>
    <w:rsid w:val="00D0248F"/>
    <w:rsid w:val="00D038D1"/>
    <w:rsid w:val="00D0406F"/>
    <w:rsid w:val="00D1247B"/>
    <w:rsid w:val="00D16220"/>
    <w:rsid w:val="00D17A94"/>
    <w:rsid w:val="00D2125F"/>
    <w:rsid w:val="00D2216C"/>
    <w:rsid w:val="00D265FA"/>
    <w:rsid w:val="00D304D0"/>
    <w:rsid w:val="00D32AF0"/>
    <w:rsid w:val="00D3414E"/>
    <w:rsid w:val="00D3648C"/>
    <w:rsid w:val="00D36D47"/>
    <w:rsid w:val="00D46A74"/>
    <w:rsid w:val="00D47C52"/>
    <w:rsid w:val="00D5196F"/>
    <w:rsid w:val="00D52643"/>
    <w:rsid w:val="00D52B44"/>
    <w:rsid w:val="00D53C38"/>
    <w:rsid w:val="00D53E68"/>
    <w:rsid w:val="00D57A59"/>
    <w:rsid w:val="00D61F59"/>
    <w:rsid w:val="00D620A8"/>
    <w:rsid w:val="00D62869"/>
    <w:rsid w:val="00D629A0"/>
    <w:rsid w:val="00D6468F"/>
    <w:rsid w:val="00D7086B"/>
    <w:rsid w:val="00D72867"/>
    <w:rsid w:val="00D74A68"/>
    <w:rsid w:val="00D770F1"/>
    <w:rsid w:val="00D81C80"/>
    <w:rsid w:val="00D82D80"/>
    <w:rsid w:val="00D836E2"/>
    <w:rsid w:val="00D83AFF"/>
    <w:rsid w:val="00D84A4D"/>
    <w:rsid w:val="00D903CC"/>
    <w:rsid w:val="00D9298A"/>
    <w:rsid w:val="00D93D29"/>
    <w:rsid w:val="00D9468B"/>
    <w:rsid w:val="00D94A97"/>
    <w:rsid w:val="00D97634"/>
    <w:rsid w:val="00DA0E04"/>
    <w:rsid w:val="00DA1174"/>
    <w:rsid w:val="00DA5D4D"/>
    <w:rsid w:val="00DA6D2F"/>
    <w:rsid w:val="00DB4D0E"/>
    <w:rsid w:val="00DB4D9F"/>
    <w:rsid w:val="00DB629A"/>
    <w:rsid w:val="00DB78F0"/>
    <w:rsid w:val="00DB7EAF"/>
    <w:rsid w:val="00DC00B5"/>
    <w:rsid w:val="00DC1677"/>
    <w:rsid w:val="00DC3CFE"/>
    <w:rsid w:val="00DD1863"/>
    <w:rsid w:val="00DD3B2E"/>
    <w:rsid w:val="00DD4080"/>
    <w:rsid w:val="00DD60FC"/>
    <w:rsid w:val="00DD6CF2"/>
    <w:rsid w:val="00DE142B"/>
    <w:rsid w:val="00DE1B4F"/>
    <w:rsid w:val="00DE5469"/>
    <w:rsid w:val="00DE5678"/>
    <w:rsid w:val="00DE6755"/>
    <w:rsid w:val="00DE6CE2"/>
    <w:rsid w:val="00DF1108"/>
    <w:rsid w:val="00E00FAC"/>
    <w:rsid w:val="00E038B1"/>
    <w:rsid w:val="00E063DF"/>
    <w:rsid w:val="00E077A2"/>
    <w:rsid w:val="00E101AC"/>
    <w:rsid w:val="00E13FA5"/>
    <w:rsid w:val="00E17F80"/>
    <w:rsid w:val="00E21177"/>
    <w:rsid w:val="00E22905"/>
    <w:rsid w:val="00E27AAA"/>
    <w:rsid w:val="00E33092"/>
    <w:rsid w:val="00E34CD1"/>
    <w:rsid w:val="00E379B1"/>
    <w:rsid w:val="00E424B1"/>
    <w:rsid w:val="00E44558"/>
    <w:rsid w:val="00E5134C"/>
    <w:rsid w:val="00E520A1"/>
    <w:rsid w:val="00E52202"/>
    <w:rsid w:val="00E524E7"/>
    <w:rsid w:val="00E53D4E"/>
    <w:rsid w:val="00E56D32"/>
    <w:rsid w:val="00E57997"/>
    <w:rsid w:val="00E60130"/>
    <w:rsid w:val="00E70475"/>
    <w:rsid w:val="00E71A3F"/>
    <w:rsid w:val="00E71C66"/>
    <w:rsid w:val="00E74897"/>
    <w:rsid w:val="00E8209C"/>
    <w:rsid w:val="00E82254"/>
    <w:rsid w:val="00E8708C"/>
    <w:rsid w:val="00E96ACF"/>
    <w:rsid w:val="00E97B4E"/>
    <w:rsid w:val="00EA357B"/>
    <w:rsid w:val="00EA5668"/>
    <w:rsid w:val="00EA59D0"/>
    <w:rsid w:val="00EB2D56"/>
    <w:rsid w:val="00EB3000"/>
    <w:rsid w:val="00EB30B6"/>
    <w:rsid w:val="00EB4FBB"/>
    <w:rsid w:val="00EC0DB3"/>
    <w:rsid w:val="00EC4CAA"/>
    <w:rsid w:val="00EC4E6F"/>
    <w:rsid w:val="00EC5F28"/>
    <w:rsid w:val="00EC6811"/>
    <w:rsid w:val="00EC735A"/>
    <w:rsid w:val="00ED3F3E"/>
    <w:rsid w:val="00ED661C"/>
    <w:rsid w:val="00ED74ED"/>
    <w:rsid w:val="00EE0666"/>
    <w:rsid w:val="00EE099B"/>
    <w:rsid w:val="00EE3F93"/>
    <w:rsid w:val="00EE5E99"/>
    <w:rsid w:val="00EF2ABF"/>
    <w:rsid w:val="00EF51D8"/>
    <w:rsid w:val="00EF61D9"/>
    <w:rsid w:val="00F00471"/>
    <w:rsid w:val="00F00AF2"/>
    <w:rsid w:val="00F01B50"/>
    <w:rsid w:val="00F06323"/>
    <w:rsid w:val="00F07FF3"/>
    <w:rsid w:val="00F12967"/>
    <w:rsid w:val="00F173C2"/>
    <w:rsid w:val="00F20F78"/>
    <w:rsid w:val="00F24FEB"/>
    <w:rsid w:val="00F30E09"/>
    <w:rsid w:val="00F40DC6"/>
    <w:rsid w:val="00F47FDE"/>
    <w:rsid w:val="00F54C09"/>
    <w:rsid w:val="00F57120"/>
    <w:rsid w:val="00F57601"/>
    <w:rsid w:val="00F60E97"/>
    <w:rsid w:val="00F61445"/>
    <w:rsid w:val="00F6221C"/>
    <w:rsid w:val="00F62C0C"/>
    <w:rsid w:val="00F657AB"/>
    <w:rsid w:val="00F71EA1"/>
    <w:rsid w:val="00F72300"/>
    <w:rsid w:val="00F72F01"/>
    <w:rsid w:val="00F801AD"/>
    <w:rsid w:val="00F8080A"/>
    <w:rsid w:val="00F831E6"/>
    <w:rsid w:val="00F835AE"/>
    <w:rsid w:val="00F8559C"/>
    <w:rsid w:val="00F90612"/>
    <w:rsid w:val="00F90CC4"/>
    <w:rsid w:val="00F93283"/>
    <w:rsid w:val="00FA01E2"/>
    <w:rsid w:val="00FA34E4"/>
    <w:rsid w:val="00FA64D0"/>
    <w:rsid w:val="00FA6EAB"/>
    <w:rsid w:val="00FB07A9"/>
    <w:rsid w:val="00FB0961"/>
    <w:rsid w:val="00FB58EB"/>
    <w:rsid w:val="00FB700E"/>
    <w:rsid w:val="00FC0923"/>
    <w:rsid w:val="00FC3647"/>
    <w:rsid w:val="00FC7F24"/>
    <w:rsid w:val="00FD3177"/>
    <w:rsid w:val="00FD3E02"/>
    <w:rsid w:val="00FD4159"/>
    <w:rsid w:val="00FD73B4"/>
    <w:rsid w:val="00FE1077"/>
    <w:rsid w:val="00FE2E0D"/>
    <w:rsid w:val="00FE3CC8"/>
    <w:rsid w:val="00FE4DA9"/>
    <w:rsid w:val="00FE6A07"/>
    <w:rsid w:val="00FE7D1B"/>
    <w:rsid w:val="00FF0C76"/>
    <w:rsid w:val="00FF349A"/>
    <w:rsid w:val="00FF404D"/>
    <w:rsid w:val="00FF474A"/>
    <w:rsid w:val="00FF5235"/>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E11EE"/>
  <w15:chartTrackingRefBased/>
  <w15:docId w15:val="{A29EDC00-4C37-423D-BFDF-4FD00BD9B9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pPr>
  </w:style>
  <w:style w:type="paragraph" w:styleId="Heading1">
    <w:name w:val="heading 1"/>
    <w:basedOn w:val="Normal"/>
    <w:link w:val="Heading1Char"/>
    <w:uiPriority w:val="9"/>
    <w:qFormat/>
    <w:rsid w:val="00D83AFF"/>
    <w:pPr>
      <w:widowControl/>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5577F"/>
    <w:pPr>
      <w:widowControl/>
      <w:spacing w:before="100" w:beforeAutospacing="1" w:after="100" w:afterAutospacing="1"/>
    </w:pPr>
    <w:rPr>
      <w:rFonts w:ascii="Times New Roman" w:eastAsia="Times New Roman" w:hAnsi="Times New Roman" w:cs="Times New Roman"/>
      <w:kern w:val="0"/>
      <w:szCs w:val="24"/>
    </w:rPr>
  </w:style>
  <w:style w:type="character" w:styleId="Hyperlink">
    <w:name w:val="Hyperlink"/>
    <w:basedOn w:val="DefaultParagraphFont"/>
    <w:uiPriority w:val="99"/>
    <w:unhideWhenUsed/>
    <w:rsid w:val="008C455C"/>
    <w:rPr>
      <w:color w:val="0563C1" w:themeColor="hyperlink"/>
      <w:u w:val="single"/>
    </w:rPr>
  </w:style>
  <w:style w:type="character" w:styleId="UnresolvedMention">
    <w:name w:val="Unresolved Mention"/>
    <w:basedOn w:val="DefaultParagraphFont"/>
    <w:uiPriority w:val="99"/>
    <w:semiHidden/>
    <w:unhideWhenUsed/>
    <w:rsid w:val="008C455C"/>
    <w:rPr>
      <w:color w:val="605E5C"/>
      <w:shd w:val="clear" w:color="auto" w:fill="E1DFDD"/>
    </w:rPr>
  </w:style>
  <w:style w:type="character" w:styleId="FollowedHyperlink">
    <w:name w:val="FollowedHyperlink"/>
    <w:basedOn w:val="DefaultParagraphFont"/>
    <w:uiPriority w:val="99"/>
    <w:semiHidden/>
    <w:unhideWhenUsed/>
    <w:rsid w:val="00D0406F"/>
    <w:rPr>
      <w:color w:val="954F72" w:themeColor="followedHyperlink"/>
      <w:u w:val="single"/>
    </w:rPr>
  </w:style>
  <w:style w:type="character" w:styleId="Strong">
    <w:name w:val="Strong"/>
    <w:basedOn w:val="DefaultParagraphFont"/>
    <w:uiPriority w:val="22"/>
    <w:qFormat/>
    <w:rsid w:val="00927BE5"/>
    <w:rPr>
      <w:b/>
      <w:bCs/>
    </w:rPr>
  </w:style>
  <w:style w:type="character" w:styleId="Emphasis">
    <w:name w:val="Emphasis"/>
    <w:basedOn w:val="DefaultParagraphFont"/>
    <w:uiPriority w:val="20"/>
    <w:qFormat/>
    <w:rsid w:val="00927BE5"/>
    <w:rPr>
      <w:i/>
      <w:iCs/>
    </w:rPr>
  </w:style>
  <w:style w:type="character" w:customStyle="1" w:styleId="Heading1Char">
    <w:name w:val="Heading 1 Char"/>
    <w:basedOn w:val="DefaultParagraphFont"/>
    <w:link w:val="Heading1"/>
    <w:uiPriority w:val="9"/>
    <w:rsid w:val="00D83AFF"/>
    <w:rPr>
      <w:rFonts w:ascii="Times New Roman" w:eastAsia="Times New Roman" w:hAnsi="Times New Roman" w:cs="Times New Roman"/>
      <w:b/>
      <w:bCs/>
      <w:kern w:val="36"/>
      <w:sz w:val="48"/>
      <w:szCs w:val="48"/>
    </w:rPr>
  </w:style>
  <w:style w:type="character" w:customStyle="1" w:styleId="surname">
    <w:name w:val="surname"/>
    <w:basedOn w:val="DefaultParagraphFont"/>
    <w:rsid w:val="00D83AFF"/>
  </w:style>
  <w:style w:type="table" w:styleId="TableGrid">
    <w:name w:val="Table Grid"/>
    <w:basedOn w:val="TableNormal"/>
    <w:uiPriority w:val="39"/>
    <w:rsid w:val="005F3C7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3">
    <w:name w:val="Grid Table 5 Dark Accent 3"/>
    <w:basedOn w:val="TableNormal"/>
    <w:uiPriority w:val="50"/>
    <w:rsid w:val="005F3C7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6">
    <w:name w:val="Grid Table 5 Dark Accent 6"/>
    <w:basedOn w:val="TableNormal"/>
    <w:uiPriority w:val="50"/>
    <w:rsid w:val="005F3C7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ListParagraph">
    <w:name w:val="List Paragraph"/>
    <w:basedOn w:val="Normal"/>
    <w:uiPriority w:val="34"/>
    <w:qFormat/>
    <w:rsid w:val="00136DC0"/>
    <w:pPr>
      <w:ind w:left="720"/>
      <w:contextualSpacing/>
    </w:pPr>
  </w:style>
  <w:style w:type="table" w:styleId="PlainTable2">
    <w:name w:val="Plain Table 2"/>
    <w:basedOn w:val="TableNormal"/>
    <w:uiPriority w:val="42"/>
    <w:rsid w:val="000B5CE9"/>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0B5CE9"/>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0B5CE9"/>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jw-volume-update">
    <w:name w:val="jw-volume-update"/>
    <w:basedOn w:val="DefaultParagraphFont"/>
    <w:rsid w:val="00162E93"/>
  </w:style>
  <w:style w:type="table" w:styleId="GridTable4-Accent4">
    <w:name w:val="Grid Table 4 Accent 4"/>
    <w:basedOn w:val="TableNormal"/>
    <w:uiPriority w:val="49"/>
    <w:rsid w:val="002C0395"/>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3">
    <w:name w:val="Grid Table 4 Accent 3"/>
    <w:basedOn w:val="TableNormal"/>
    <w:uiPriority w:val="49"/>
    <w:rsid w:val="00FD3E02"/>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Header">
    <w:name w:val="header"/>
    <w:basedOn w:val="Normal"/>
    <w:link w:val="HeaderChar"/>
    <w:uiPriority w:val="99"/>
    <w:unhideWhenUsed/>
    <w:rsid w:val="002C0C4D"/>
    <w:pPr>
      <w:tabs>
        <w:tab w:val="center" w:pos="4513"/>
        <w:tab w:val="right" w:pos="9026"/>
      </w:tabs>
    </w:pPr>
  </w:style>
  <w:style w:type="character" w:customStyle="1" w:styleId="HeaderChar">
    <w:name w:val="Header Char"/>
    <w:basedOn w:val="DefaultParagraphFont"/>
    <w:link w:val="Header"/>
    <w:uiPriority w:val="99"/>
    <w:rsid w:val="002C0C4D"/>
  </w:style>
  <w:style w:type="paragraph" w:styleId="Footer">
    <w:name w:val="footer"/>
    <w:basedOn w:val="Normal"/>
    <w:link w:val="FooterChar"/>
    <w:uiPriority w:val="99"/>
    <w:unhideWhenUsed/>
    <w:rsid w:val="002C0C4D"/>
    <w:pPr>
      <w:tabs>
        <w:tab w:val="center" w:pos="4513"/>
        <w:tab w:val="right" w:pos="9026"/>
      </w:tabs>
    </w:pPr>
  </w:style>
  <w:style w:type="character" w:customStyle="1" w:styleId="FooterChar">
    <w:name w:val="Footer Char"/>
    <w:basedOn w:val="DefaultParagraphFont"/>
    <w:link w:val="Footer"/>
    <w:uiPriority w:val="99"/>
    <w:rsid w:val="002C0C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795066">
      <w:bodyDiv w:val="1"/>
      <w:marLeft w:val="0"/>
      <w:marRight w:val="0"/>
      <w:marTop w:val="0"/>
      <w:marBottom w:val="0"/>
      <w:divBdr>
        <w:top w:val="none" w:sz="0" w:space="0" w:color="auto"/>
        <w:left w:val="none" w:sz="0" w:space="0" w:color="auto"/>
        <w:bottom w:val="none" w:sz="0" w:space="0" w:color="auto"/>
        <w:right w:val="none" w:sz="0" w:space="0" w:color="auto"/>
      </w:divBdr>
    </w:div>
    <w:div w:id="156775538">
      <w:bodyDiv w:val="1"/>
      <w:marLeft w:val="0"/>
      <w:marRight w:val="0"/>
      <w:marTop w:val="0"/>
      <w:marBottom w:val="0"/>
      <w:divBdr>
        <w:top w:val="none" w:sz="0" w:space="0" w:color="auto"/>
        <w:left w:val="none" w:sz="0" w:space="0" w:color="auto"/>
        <w:bottom w:val="none" w:sz="0" w:space="0" w:color="auto"/>
        <w:right w:val="none" w:sz="0" w:space="0" w:color="auto"/>
      </w:divBdr>
    </w:div>
    <w:div w:id="254285537">
      <w:bodyDiv w:val="1"/>
      <w:marLeft w:val="0"/>
      <w:marRight w:val="0"/>
      <w:marTop w:val="0"/>
      <w:marBottom w:val="0"/>
      <w:divBdr>
        <w:top w:val="none" w:sz="0" w:space="0" w:color="auto"/>
        <w:left w:val="none" w:sz="0" w:space="0" w:color="auto"/>
        <w:bottom w:val="none" w:sz="0" w:space="0" w:color="auto"/>
        <w:right w:val="none" w:sz="0" w:space="0" w:color="auto"/>
      </w:divBdr>
    </w:div>
    <w:div w:id="257447662">
      <w:bodyDiv w:val="1"/>
      <w:marLeft w:val="0"/>
      <w:marRight w:val="0"/>
      <w:marTop w:val="0"/>
      <w:marBottom w:val="0"/>
      <w:divBdr>
        <w:top w:val="none" w:sz="0" w:space="0" w:color="auto"/>
        <w:left w:val="none" w:sz="0" w:space="0" w:color="auto"/>
        <w:bottom w:val="none" w:sz="0" w:space="0" w:color="auto"/>
        <w:right w:val="none" w:sz="0" w:space="0" w:color="auto"/>
      </w:divBdr>
    </w:div>
    <w:div w:id="300304238">
      <w:bodyDiv w:val="1"/>
      <w:marLeft w:val="0"/>
      <w:marRight w:val="0"/>
      <w:marTop w:val="0"/>
      <w:marBottom w:val="0"/>
      <w:divBdr>
        <w:top w:val="none" w:sz="0" w:space="0" w:color="auto"/>
        <w:left w:val="none" w:sz="0" w:space="0" w:color="auto"/>
        <w:bottom w:val="none" w:sz="0" w:space="0" w:color="auto"/>
        <w:right w:val="none" w:sz="0" w:space="0" w:color="auto"/>
      </w:divBdr>
    </w:div>
    <w:div w:id="308172757">
      <w:bodyDiv w:val="1"/>
      <w:marLeft w:val="0"/>
      <w:marRight w:val="0"/>
      <w:marTop w:val="0"/>
      <w:marBottom w:val="0"/>
      <w:divBdr>
        <w:top w:val="none" w:sz="0" w:space="0" w:color="auto"/>
        <w:left w:val="none" w:sz="0" w:space="0" w:color="auto"/>
        <w:bottom w:val="none" w:sz="0" w:space="0" w:color="auto"/>
        <w:right w:val="none" w:sz="0" w:space="0" w:color="auto"/>
      </w:divBdr>
    </w:div>
    <w:div w:id="350036936">
      <w:bodyDiv w:val="1"/>
      <w:marLeft w:val="0"/>
      <w:marRight w:val="0"/>
      <w:marTop w:val="0"/>
      <w:marBottom w:val="0"/>
      <w:divBdr>
        <w:top w:val="none" w:sz="0" w:space="0" w:color="auto"/>
        <w:left w:val="none" w:sz="0" w:space="0" w:color="auto"/>
        <w:bottom w:val="none" w:sz="0" w:space="0" w:color="auto"/>
        <w:right w:val="none" w:sz="0" w:space="0" w:color="auto"/>
      </w:divBdr>
    </w:div>
    <w:div w:id="363790432">
      <w:bodyDiv w:val="1"/>
      <w:marLeft w:val="0"/>
      <w:marRight w:val="0"/>
      <w:marTop w:val="0"/>
      <w:marBottom w:val="0"/>
      <w:divBdr>
        <w:top w:val="none" w:sz="0" w:space="0" w:color="auto"/>
        <w:left w:val="none" w:sz="0" w:space="0" w:color="auto"/>
        <w:bottom w:val="none" w:sz="0" w:space="0" w:color="auto"/>
        <w:right w:val="none" w:sz="0" w:space="0" w:color="auto"/>
      </w:divBdr>
    </w:div>
    <w:div w:id="386346019">
      <w:bodyDiv w:val="1"/>
      <w:marLeft w:val="0"/>
      <w:marRight w:val="0"/>
      <w:marTop w:val="0"/>
      <w:marBottom w:val="0"/>
      <w:divBdr>
        <w:top w:val="none" w:sz="0" w:space="0" w:color="auto"/>
        <w:left w:val="none" w:sz="0" w:space="0" w:color="auto"/>
        <w:bottom w:val="none" w:sz="0" w:space="0" w:color="auto"/>
        <w:right w:val="none" w:sz="0" w:space="0" w:color="auto"/>
      </w:divBdr>
    </w:div>
    <w:div w:id="398866461">
      <w:bodyDiv w:val="1"/>
      <w:marLeft w:val="0"/>
      <w:marRight w:val="0"/>
      <w:marTop w:val="0"/>
      <w:marBottom w:val="0"/>
      <w:divBdr>
        <w:top w:val="none" w:sz="0" w:space="0" w:color="auto"/>
        <w:left w:val="none" w:sz="0" w:space="0" w:color="auto"/>
        <w:bottom w:val="none" w:sz="0" w:space="0" w:color="auto"/>
        <w:right w:val="none" w:sz="0" w:space="0" w:color="auto"/>
      </w:divBdr>
    </w:div>
    <w:div w:id="451094193">
      <w:bodyDiv w:val="1"/>
      <w:marLeft w:val="0"/>
      <w:marRight w:val="0"/>
      <w:marTop w:val="0"/>
      <w:marBottom w:val="0"/>
      <w:divBdr>
        <w:top w:val="none" w:sz="0" w:space="0" w:color="auto"/>
        <w:left w:val="none" w:sz="0" w:space="0" w:color="auto"/>
        <w:bottom w:val="none" w:sz="0" w:space="0" w:color="auto"/>
        <w:right w:val="none" w:sz="0" w:space="0" w:color="auto"/>
      </w:divBdr>
    </w:div>
    <w:div w:id="474104815">
      <w:bodyDiv w:val="1"/>
      <w:marLeft w:val="0"/>
      <w:marRight w:val="0"/>
      <w:marTop w:val="0"/>
      <w:marBottom w:val="0"/>
      <w:divBdr>
        <w:top w:val="none" w:sz="0" w:space="0" w:color="auto"/>
        <w:left w:val="none" w:sz="0" w:space="0" w:color="auto"/>
        <w:bottom w:val="none" w:sz="0" w:space="0" w:color="auto"/>
        <w:right w:val="none" w:sz="0" w:space="0" w:color="auto"/>
      </w:divBdr>
    </w:div>
    <w:div w:id="542206051">
      <w:bodyDiv w:val="1"/>
      <w:marLeft w:val="0"/>
      <w:marRight w:val="0"/>
      <w:marTop w:val="0"/>
      <w:marBottom w:val="0"/>
      <w:divBdr>
        <w:top w:val="none" w:sz="0" w:space="0" w:color="auto"/>
        <w:left w:val="none" w:sz="0" w:space="0" w:color="auto"/>
        <w:bottom w:val="none" w:sz="0" w:space="0" w:color="auto"/>
        <w:right w:val="none" w:sz="0" w:space="0" w:color="auto"/>
      </w:divBdr>
    </w:div>
    <w:div w:id="554043750">
      <w:bodyDiv w:val="1"/>
      <w:marLeft w:val="0"/>
      <w:marRight w:val="0"/>
      <w:marTop w:val="0"/>
      <w:marBottom w:val="0"/>
      <w:divBdr>
        <w:top w:val="none" w:sz="0" w:space="0" w:color="auto"/>
        <w:left w:val="none" w:sz="0" w:space="0" w:color="auto"/>
        <w:bottom w:val="none" w:sz="0" w:space="0" w:color="auto"/>
        <w:right w:val="none" w:sz="0" w:space="0" w:color="auto"/>
      </w:divBdr>
    </w:div>
    <w:div w:id="600721295">
      <w:bodyDiv w:val="1"/>
      <w:marLeft w:val="0"/>
      <w:marRight w:val="0"/>
      <w:marTop w:val="0"/>
      <w:marBottom w:val="0"/>
      <w:divBdr>
        <w:top w:val="none" w:sz="0" w:space="0" w:color="auto"/>
        <w:left w:val="none" w:sz="0" w:space="0" w:color="auto"/>
        <w:bottom w:val="none" w:sz="0" w:space="0" w:color="auto"/>
        <w:right w:val="none" w:sz="0" w:space="0" w:color="auto"/>
      </w:divBdr>
    </w:div>
    <w:div w:id="648628990">
      <w:bodyDiv w:val="1"/>
      <w:marLeft w:val="0"/>
      <w:marRight w:val="0"/>
      <w:marTop w:val="0"/>
      <w:marBottom w:val="0"/>
      <w:divBdr>
        <w:top w:val="none" w:sz="0" w:space="0" w:color="auto"/>
        <w:left w:val="none" w:sz="0" w:space="0" w:color="auto"/>
        <w:bottom w:val="none" w:sz="0" w:space="0" w:color="auto"/>
        <w:right w:val="none" w:sz="0" w:space="0" w:color="auto"/>
      </w:divBdr>
    </w:div>
    <w:div w:id="656962739">
      <w:bodyDiv w:val="1"/>
      <w:marLeft w:val="0"/>
      <w:marRight w:val="0"/>
      <w:marTop w:val="0"/>
      <w:marBottom w:val="0"/>
      <w:divBdr>
        <w:top w:val="none" w:sz="0" w:space="0" w:color="auto"/>
        <w:left w:val="none" w:sz="0" w:space="0" w:color="auto"/>
        <w:bottom w:val="none" w:sz="0" w:space="0" w:color="auto"/>
        <w:right w:val="none" w:sz="0" w:space="0" w:color="auto"/>
      </w:divBdr>
    </w:div>
    <w:div w:id="679359911">
      <w:bodyDiv w:val="1"/>
      <w:marLeft w:val="0"/>
      <w:marRight w:val="0"/>
      <w:marTop w:val="0"/>
      <w:marBottom w:val="0"/>
      <w:divBdr>
        <w:top w:val="none" w:sz="0" w:space="0" w:color="auto"/>
        <w:left w:val="none" w:sz="0" w:space="0" w:color="auto"/>
        <w:bottom w:val="none" w:sz="0" w:space="0" w:color="auto"/>
        <w:right w:val="none" w:sz="0" w:space="0" w:color="auto"/>
      </w:divBdr>
    </w:div>
    <w:div w:id="685330248">
      <w:bodyDiv w:val="1"/>
      <w:marLeft w:val="0"/>
      <w:marRight w:val="0"/>
      <w:marTop w:val="0"/>
      <w:marBottom w:val="0"/>
      <w:divBdr>
        <w:top w:val="none" w:sz="0" w:space="0" w:color="auto"/>
        <w:left w:val="none" w:sz="0" w:space="0" w:color="auto"/>
        <w:bottom w:val="none" w:sz="0" w:space="0" w:color="auto"/>
        <w:right w:val="none" w:sz="0" w:space="0" w:color="auto"/>
      </w:divBdr>
    </w:div>
    <w:div w:id="748578786">
      <w:bodyDiv w:val="1"/>
      <w:marLeft w:val="0"/>
      <w:marRight w:val="0"/>
      <w:marTop w:val="0"/>
      <w:marBottom w:val="0"/>
      <w:divBdr>
        <w:top w:val="none" w:sz="0" w:space="0" w:color="auto"/>
        <w:left w:val="none" w:sz="0" w:space="0" w:color="auto"/>
        <w:bottom w:val="none" w:sz="0" w:space="0" w:color="auto"/>
        <w:right w:val="none" w:sz="0" w:space="0" w:color="auto"/>
      </w:divBdr>
    </w:div>
    <w:div w:id="824978862">
      <w:bodyDiv w:val="1"/>
      <w:marLeft w:val="0"/>
      <w:marRight w:val="0"/>
      <w:marTop w:val="0"/>
      <w:marBottom w:val="0"/>
      <w:divBdr>
        <w:top w:val="none" w:sz="0" w:space="0" w:color="auto"/>
        <w:left w:val="none" w:sz="0" w:space="0" w:color="auto"/>
        <w:bottom w:val="none" w:sz="0" w:space="0" w:color="auto"/>
        <w:right w:val="none" w:sz="0" w:space="0" w:color="auto"/>
      </w:divBdr>
      <w:divsChild>
        <w:div w:id="183641782">
          <w:marLeft w:val="0"/>
          <w:marRight w:val="0"/>
          <w:marTop w:val="0"/>
          <w:marBottom w:val="0"/>
          <w:divBdr>
            <w:top w:val="none" w:sz="0" w:space="0" w:color="auto"/>
            <w:left w:val="none" w:sz="0" w:space="0" w:color="auto"/>
            <w:bottom w:val="none" w:sz="0" w:space="0" w:color="auto"/>
            <w:right w:val="none" w:sz="0" w:space="0" w:color="auto"/>
          </w:divBdr>
          <w:divsChild>
            <w:div w:id="353658757">
              <w:marLeft w:val="0"/>
              <w:marRight w:val="0"/>
              <w:marTop w:val="0"/>
              <w:marBottom w:val="0"/>
              <w:divBdr>
                <w:top w:val="none" w:sz="0" w:space="0" w:color="auto"/>
                <w:left w:val="none" w:sz="0" w:space="0" w:color="auto"/>
                <w:bottom w:val="none" w:sz="0" w:space="0" w:color="auto"/>
                <w:right w:val="none" w:sz="0" w:space="0" w:color="auto"/>
              </w:divBdr>
              <w:divsChild>
                <w:div w:id="863903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250898">
          <w:marLeft w:val="0"/>
          <w:marRight w:val="0"/>
          <w:marTop w:val="0"/>
          <w:marBottom w:val="0"/>
          <w:divBdr>
            <w:top w:val="none" w:sz="0" w:space="0" w:color="auto"/>
            <w:left w:val="none" w:sz="0" w:space="0" w:color="auto"/>
            <w:bottom w:val="none" w:sz="0" w:space="0" w:color="auto"/>
            <w:right w:val="none" w:sz="0" w:space="0" w:color="auto"/>
          </w:divBdr>
          <w:divsChild>
            <w:div w:id="449511683">
              <w:marLeft w:val="0"/>
              <w:marRight w:val="0"/>
              <w:marTop w:val="0"/>
              <w:marBottom w:val="0"/>
              <w:divBdr>
                <w:top w:val="none" w:sz="0" w:space="0" w:color="auto"/>
                <w:left w:val="none" w:sz="0" w:space="0" w:color="auto"/>
                <w:bottom w:val="none" w:sz="0" w:space="0" w:color="auto"/>
                <w:right w:val="none" w:sz="0" w:space="0" w:color="auto"/>
              </w:divBdr>
              <w:divsChild>
                <w:div w:id="814952316">
                  <w:marLeft w:val="-15"/>
                  <w:marRight w:val="-15"/>
                  <w:marTop w:val="0"/>
                  <w:marBottom w:val="0"/>
                  <w:divBdr>
                    <w:top w:val="none" w:sz="0" w:space="0" w:color="auto"/>
                    <w:left w:val="none" w:sz="0" w:space="0" w:color="auto"/>
                    <w:bottom w:val="none" w:sz="0" w:space="0" w:color="auto"/>
                    <w:right w:val="none" w:sz="0" w:space="0" w:color="auto"/>
                  </w:divBdr>
                </w:div>
                <w:div w:id="1172914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144899">
      <w:bodyDiv w:val="1"/>
      <w:marLeft w:val="0"/>
      <w:marRight w:val="0"/>
      <w:marTop w:val="0"/>
      <w:marBottom w:val="0"/>
      <w:divBdr>
        <w:top w:val="none" w:sz="0" w:space="0" w:color="auto"/>
        <w:left w:val="none" w:sz="0" w:space="0" w:color="auto"/>
        <w:bottom w:val="none" w:sz="0" w:space="0" w:color="auto"/>
        <w:right w:val="none" w:sz="0" w:space="0" w:color="auto"/>
      </w:divBdr>
    </w:div>
    <w:div w:id="838039378">
      <w:bodyDiv w:val="1"/>
      <w:marLeft w:val="0"/>
      <w:marRight w:val="0"/>
      <w:marTop w:val="0"/>
      <w:marBottom w:val="0"/>
      <w:divBdr>
        <w:top w:val="none" w:sz="0" w:space="0" w:color="auto"/>
        <w:left w:val="none" w:sz="0" w:space="0" w:color="auto"/>
        <w:bottom w:val="none" w:sz="0" w:space="0" w:color="auto"/>
        <w:right w:val="none" w:sz="0" w:space="0" w:color="auto"/>
      </w:divBdr>
    </w:div>
    <w:div w:id="850529260">
      <w:bodyDiv w:val="1"/>
      <w:marLeft w:val="0"/>
      <w:marRight w:val="0"/>
      <w:marTop w:val="0"/>
      <w:marBottom w:val="0"/>
      <w:divBdr>
        <w:top w:val="none" w:sz="0" w:space="0" w:color="auto"/>
        <w:left w:val="none" w:sz="0" w:space="0" w:color="auto"/>
        <w:bottom w:val="none" w:sz="0" w:space="0" w:color="auto"/>
        <w:right w:val="none" w:sz="0" w:space="0" w:color="auto"/>
      </w:divBdr>
    </w:div>
    <w:div w:id="968167016">
      <w:bodyDiv w:val="1"/>
      <w:marLeft w:val="0"/>
      <w:marRight w:val="0"/>
      <w:marTop w:val="0"/>
      <w:marBottom w:val="0"/>
      <w:divBdr>
        <w:top w:val="none" w:sz="0" w:space="0" w:color="auto"/>
        <w:left w:val="none" w:sz="0" w:space="0" w:color="auto"/>
        <w:bottom w:val="none" w:sz="0" w:space="0" w:color="auto"/>
        <w:right w:val="none" w:sz="0" w:space="0" w:color="auto"/>
      </w:divBdr>
    </w:div>
    <w:div w:id="996104637">
      <w:bodyDiv w:val="1"/>
      <w:marLeft w:val="0"/>
      <w:marRight w:val="0"/>
      <w:marTop w:val="0"/>
      <w:marBottom w:val="0"/>
      <w:divBdr>
        <w:top w:val="none" w:sz="0" w:space="0" w:color="auto"/>
        <w:left w:val="none" w:sz="0" w:space="0" w:color="auto"/>
        <w:bottom w:val="none" w:sz="0" w:space="0" w:color="auto"/>
        <w:right w:val="none" w:sz="0" w:space="0" w:color="auto"/>
      </w:divBdr>
    </w:div>
    <w:div w:id="1016540258">
      <w:bodyDiv w:val="1"/>
      <w:marLeft w:val="0"/>
      <w:marRight w:val="0"/>
      <w:marTop w:val="0"/>
      <w:marBottom w:val="0"/>
      <w:divBdr>
        <w:top w:val="none" w:sz="0" w:space="0" w:color="auto"/>
        <w:left w:val="none" w:sz="0" w:space="0" w:color="auto"/>
        <w:bottom w:val="none" w:sz="0" w:space="0" w:color="auto"/>
        <w:right w:val="none" w:sz="0" w:space="0" w:color="auto"/>
      </w:divBdr>
    </w:div>
    <w:div w:id="1060135330">
      <w:bodyDiv w:val="1"/>
      <w:marLeft w:val="0"/>
      <w:marRight w:val="0"/>
      <w:marTop w:val="0"/>
      <w:marBottom w:val="0"/>
      <w:divBdr>
        <w:top w:val="none" w:sz="0" w:space="0" w:color="auto"/>
        <w:left w:val="none" w:sz="0" w:space="0" w:color="auto"/>
        <w:bottom w:val="none" w:sz="0" w:space="0" w:color="auto"/>
        <w:right w:val="none" w:sz="0" w:space="0" w:color="auto"/>
      </w:divBdr>
    </w:div>
    <w:div w:id="1114249233">
      <w:bodyDiv w:val="1"/>
      <w:marLeft w:val="0"/>
      <w:marRight w:val="0"/>
      <w:marTop w:val="0"/>
      <w:marBottom w:val="0"/>
      <w:divBdr>
        <w:top w:val="none" w:sz="0" w:space="0" w:color="auto"/>
        <w:left w:val="none" w:sz="0" w:space="0" w:color="auto"/>
        <w:bottom w:val="none" w:sz="0" w:space="0" w:color="auto"/>
        <w:right w:val="none" w:sz="0" w:space="0" w:color="auto"/>
      </w:divBdr>
    </w:div>
    <w:div w:id="1118797335">
      <w:bodyDiv w:val="1"/>
      <w:marLeft w:val="0"/>
      <w:marRight w:val="0"/>
      <w:marTop w:val="0"/>
      <w:marBottom w:val="0"/>
      <w:divBdr>
        <w:top w:val="none" w:sz="0" w:space="0" w:color="auto"/>
        <w:left w:val="none" w:sz="0" w:space="0" w:color="auto"/>
        <w:bottom w:val="none" w:sz="0" w:space="0" w:color="auto"/>
        <w:right w:val="none" w:sz="0" w:space="0" w:color="auto"/>
      </w:divBdr>
    </w:div>
    <w:div w:id="1156145706">
      <w:bodyDiv w:val="1"/>
      <w:marLeft w:val="0"/>
      <w:marRight w:val="0"/>
      <w:marTop w:val="0"/>
      <w:marBottom w:val="0"/>
      <w:divBdr>
        <w:top w:val="none" w:sz="0" w:space="0" w:color="auto"/>
        <w:left w:val="none" w:sz="0" w:space="0" w:color="auto"/>
        <w:bottom w:val="none" w:sz="0" w:space="0" w:color="auto"/>
        <w:right w:val="none" w:sz="0" w:space="0" w:color="auto"/>
      </w:divBdr>
    </w:div>
    <w:div w:id="1171220267">
      <w:bodyDiv w:val="1"/>
      <w:marLeft w:val="0"/>
      <w:marRight w:val="0"/>
      <w:marTop w:val="0"/>
      <w:marBottom w:val="0"/>
      <w:divBdr>
        <w:top w:val="none" w:sz="0" w:space="0" w:color="auto"/>
        <w:left w:val="none" w:sz="0" w:space="0" w:color="auto"/>
        <w:bottom w:val="none" w:sz="0" w:space="0" w:color="auto"/>
        <w:right w:val="none" w:sz="0" w:space="0" w:color="auto"/>
      </w:divBdr>
    </w:div>
    <w:div w:id="1263957450">
      <w:bodyDiv w:val="1"/>
      <w:marLeft w:val="0"/>
      <w:marRight w:val="0"/>
      <w:marTop w:val="0"/>
      <w:marBottom w:val="0"/>
      <w:divBdr>
        <w:top w:val="none" w:sz="0" w:space="0" w:color="auto"/>
        <w:left w:val="none" w:sz="0" w:space="0" w:color="auto"/>
        <w:bottom w:val="none" w:sz="0" w:space="0" w:color="auto"/>
        <w:right w:val="none" w:sz="0" w:space="0" w:color="auto"/>
      </w:divBdr>
    </w:div>
    <w:div w:id="1442142813">
      <w:bodyDiv w:val="1"/>
      <w:marLeft w:val="0"/>
      <w:marRight w:val="0"/>
      <w:marTop w:val="0"/>
      <w:marBottom w:val="0"/>
      <w:divBdr>
        <w:top w:val="none" w:sz="0" w:space="0" w:color="auto"/>
        <w:left w:val="none" w:sz="0" w:space="0" w:color="auto"/>
        <w:bottom w:val="none" w:sz="0" w:space="0" w:color="auto"/>
        <w:right w:val="none" w:sz="0" w:space="0" w:color="auto"/>
      </w:divBdr>
    </w:div>
    <w:div w:id="1492600364">
      <w:bodyDiv w:val="1"/>
      <w:marLeft w:val="0"/>
      <w:marRight w:val="0"/>
      <w:marTop w:val="0"/>
      <w:marBottom w:val="0"/>
      <w:divBdr>
        <w:top w:val="none" w:sz="0" w:space="0" w:color="auto"/>
        <w:left w:val="none" w:sz="0" w:space="0" w:color="auto"/>
        <w:bottom w:val="none" w:sz="0" w:space="0" w:color="auto"/>
        <w:right w:val="none" w:sz="0" w:space="0" w:color="auto"/>
      </w:divBdr>
    </w:div>
    <w:div w:id="1527013872">
      <w:bodyDiv w:val="1"/>
      <w:marLeft w:val="0"/>
      <w:marRight w:val="0"/>
      <w:marTop w:val="0"/>
      <w:marBottom w:val="0"/>
      <w:divBdr>
        <w:top w:val="none" w:sz="0" w:space="0" w:color="auto"/>
        <w:left w:val="none" w:sz="0" w:space="0" w:color="auto"/>
        <w:bottom w:val="none" w:sz="0" w:space="0" w:color="auto"/>
        <w:right w:val="none" w:sz="0" w:space="0" w:color="auto"/>
      </w:divBdr>
    </w:div>
    <w:div w:id="1527713805">
      <w:bodyDiv w:val="1"/>
      <w:marLeft w:val="0"/>
      <w:marRight w:val="0"/>
      <w:marTop w:val="0"/>
      <w:marBottom w:val="0"/>
      <w:divBdr>
        <w:top w:val="none" w:sz="0" w:space="0" w:color="auto"/>
        <w:left w:val="none" w:sz="0" w:space="0" w:color="auto"/>
        <w:bottom w:val="none" w:sz="0" w:space="0" w:color="auto"/>
        <w:right w:val="none" w:sz="0" w:space="0" w:color="auto"/>
      </w:divBdr>
    </w:div>
    <w:div w:id="1530334010">
      <w:bodyDiv w:val="1"/>
      <w:marLeft w:val="0"/>
      <w:marRight w:val="0"/>
      <w:marTop w:val="0"/>
      <w:marBottom w:val="0"/>
      <w:divBdr>
        <w:top w:val="none" w:sz="0" w:space="0" w:color="auto"/>
        <w:left w:val="none" w:sz="0" w:space="0" w:color="auto"/>
        <w:bottom w:val="none" w:sz="0" w:space="0" w:color="auto"/>
        <w:right w:val="none" w:sz="0" w:space="0" w:color="auto"/>
      </w:divBdr>
    </w:div>
    <w:div w:id="1546526682">
      <w:bodyDiv w:val="1"/>
      <w:marLeft w:val="0"/>
      <w:marRight w:val="0"/>
      <w:marTop w:val="0"/>
      <w:marBottom w:val="0"/>
      <w:divBdr>
        <w:top w:val="none" w:sz="0" w:space="0" w:color="auto"/>
        <w:left w:val="none" w:sz="0" w:space="0" w:color="auto"/>
        <w:bottom w:val="none" w:sz="0" w:space="0" w:color="auto"/>
        <w:right w:val="none" w:sz="0" w:space="0" w:color="auto"/>
      </w:divBdr>
    </w:div>
    <w:div w:id="1588344175">
      <w:bodyDiv w:val="1"/>
      <w:marLeft w:val="0"/>
      <w:marRight w:val="0"/>
      <w:marTop w:val="0"/>
      <w:marBottom w:val="0"/>
      <w:divBdr>
        <w:top w:val="none" w:sz="0" w:space="0" w:color="auto"/>
        <w:left w:val="none" w:sz="0" w:space="0" w:color="auto"/>
        <w:bottom w:val="none" w:sz="0" w:space="0" w:color="auto"/>
        <w:right w:val="none" w:sz="0" w:space="0" w:color="auto"/>
      </w:divBdr>
    </w:div>
    <w:div w:id="1612738395">
      <w:bodyDiv w:val="1"/>
      <w:marLeft w:val="0"/>
      <w:marRight w:val="0"/>
      <w:marTop w:val="0"/>
      <w:marBottom w:val="0"/>
      <w:divBdr>
        <w:top w:val="none" w:sz="0" w:space="0" w:color="auto"/>
        <w:left w:val="none" w:sz="0" w:space="0" w:color="auto"/>
        <w:bottom w:val="none" w:sz="0" w:space="0" w:color="auto"/>
        <w:right w:val="none" w:sz="0" w:space="0" w:color="auto"/>
      </w:divBdr>
    </w:div>
    <w:div w:id="1643927651">
      <w:bodyDiv w:val="1"/>
      <w:marLeft w:val="0"/>
      <w:marRight w:val="0"/>
      <w:marTop w:val="0"/>
      <w:marBottom w:val="0"/>
      <w:divBdr>
        <w:top w:val="none" w:sz="0" w:space="0" w:color="auto"/>
        <w:left w:val="none" w:sz="0" w:space="0" w:color="auto"/>
        <w:bottom w:val="none" w:sz="0" w:space="0" w:color="auto"/>
        <w:right w:val="none" w:sz="0" w:space="0" w:color="auto"/>
      </w:divBdr>
    </w:div>
    <w:div w:id="1659990652">
      <w:bodyDiv w:val="1"/>
      <w:marLeft w:val="0"/>
      <w:marRight w:val="0"/>
      <w:marTop w:val="0"/>
      <w:marBottom w:val="0"/>
      <w:divBdr>
        <w:top w:val="none" w:sz="0" w:space="0" w:color="auto"/>
        <w:left w:val="none" w:sz="0" w:space="0" w:color="auto"/>
        <w:bottom w:val="none" w:sz="0" w:space="0" w:color="auto"/>
        <w:right w:val="none" w:sz="0" w:space="0" w:color="auto"/>
      </w:divBdr>
    </w:div>
    <w:div w:id="1715813944">
      <w:bodyDiv w:val="1"/>
      <w:marLeft w:val="0"/>
      <w:marRight w:val="0"/>
      <w:marTop w:val="0"/>
      <w:marBottom w:val="0"/>
      <w:divBdr>
        <w:top w:val="none" w:sz="0" w:space="0" w:color="auto"/>
        <w:left w:val="none" w:sz="0" w:space="0" w:color="auto"/>
        <w:bottom w:val="none" w:sz="0" w:space="0" w:color="auto"/>
        <w:right w:val="none" w:sz="0" w:space="0" w:color="auto"/>
      </w:divBdr>
    </w:div>
    <w:div w:id="1771659564">
      <w:bodyDiv w:val="1"/>
      <w:marLeft w:val="0"/>
      <w:marRight w:val="0"/>
      <w:marTop w:val="0"/>
      <w:marBottom w:val="0"/>
      <w:divBdr>
        <w:top w:val="none" w:sz="0" w:space="0" w:color="auto"/>
        <w:left w:val="none" w:sz="0" w:space="0" w:color="auto"/>
        <w:bottom w:val="none" w:sz="0" w:space="0" w:color="auto"/>
        <w:right w:val="none" w:sz="0" w:space="0" w:color="auto"/>
      </w:divBdr>
    </w:div>
    <w:div w:id="1791509084">
      <w:bodyDiv w:val="1"/>
      <w:marLeft w:val="0"/>
      <w:marRight w:val="0"/>
      <w:marTop w:val="0"/>
      <w:marBottom w:val="0"/>
      <w:divBdr>
        <w:top w:val="none" w:sz="0" w:space="0" w:color="auto"/>
        <w:left w:val="none" w:sz="0" w:space="0" w:color="auto"/>
        <w:bottom w:val="none" w:sz="0" w:space="0" w:color="auto"/>
        <w:right w:val="none" w:sz="0" w:space="0" w:color="auto"/>
      </w:divBdr>
    </w:div>
    <w:div w:id="1825704380">
      <w:bodyDiv w:val="1"/>
      <w:marLeft w:val="0"/>
      <w:marRight w:val="0"/>
      <w:marTop w:val="0"/>
      <w:marBottom w:val="0"/>
      <w:divBdr>
        <w:top w:val="none" w:sz="0" w:space="0" w:color="auto"/>
        <w:left w:val="none" w:sz="0" w:space="0" w:color="auto"/>
        <w:bottom w:val="none" w:sz="0" w:space="0" w:color="auto"/>
        <w:right w:val="none" w:sz="0" w:space="0" w:color="auto"/>
      </w:divBdr>
    </w:div>
    <w:div w:id="1866210759">
      <w:bodyDiv w:val="1"/>
      <w:marLeft w:val="0"/>
      <w:marRight w:val="0"/>
      <w:marTop w:val="0"/>
      <w:marBottom w:val="0"/>
      <w:divBdr>
        <w:top w:val="none" w:sz="0" w:space="0" w:color="auto"/>
        <w:left w:val="none" w:sz="0" w:space="0" w:color="auto"/>
        <w:bottom w:val="none" w:sz="0" w:space="0" w:color="auto"/>
        <w:right w:val="none" w:sz="0" w:space="0" w:color="auto"/>
      </w:divBdr>
    </w:div>
    <w:div w:id="1884168589">
      <w:bodyDiv w:val="1"/>
      <w:marLeft w:val="0"/>
      <w:marRight w:val="0"/>
      <w:marTop w:val="0"/>
      <w:marBottom w:val="0"/>
      <w:divBdr>
        <w:top w:val="none" w:sz="0" w:space="0" w:color="auto"/>
        <w:left w:val="none" w:sz="0" w:space="0" w:color="auto"/>
        <w:bottom w:val="none" w:sz="0" w:space="0" w:color="auto"/>
        <w:right w:val="none" w:sz="0" w:space="0" w:color="auto"/>
      </w:divBdr>
    </w:div>
    <w:div w:id="1901596228">
      <w:bodyDiv w:val="1"/>
      <w:marLeft w:val="0"/>
      <w:marRight w:val="0"/>
      <w:marTop w:val="0"/>
      <w:marBottom w:val="0"/>
      <w:divBdr>
        <w:top w:val="none" w:sz="0" w:space="0" w:color="auto"/>
        <w:left w:val="none" w:sz="0" w:space="0" w:color="auto"/>
        <w:bottom w:val="none" w:sz="0" w:space="0" w:color="auto"/>
        <w:right w:val="none" w:sz="0" w:space="0" w:color="auto"/>
      </w:divBdr>
    </w:div>
    <w:div w:id="1903440560">
      <w:bodyDiv w:val="1"/>
      <w:marLeft w:val="0"/>
      <w:marRight w:val="0"/>
      <w:marTop w:val="0"/>
      <w:marBottom w:val="0"/>
      <w:divBdr>
        <w:top w:val="none" w:sz="0" w:space="0" w:color="auto"/>
        <w:left w:val="none" w:sz="0" w:space="0" w:color="auto"/>
        <w:bottom w:val="none" w:sz="0" w:space="0" w:color="auto"/>
        <w:right w:val="none" w:sz="0" w:space="0" w:color="auto"/>
      </w:divBdr>
    </w:div>
    <w:div w:id="1964265117">
      <w:bodyDiv w:val="1"/>
      <w:marLeft w:val="0"/>
      <w:marRight w:val="0"/>
      <w:marTop w:val="0"/>
      <w:marBottom w:val="0"/>
      <w:divBdr>
        <w:top w:val="none" w:sz="0" w:space="0" w:color="auto"/>
        <w:left w:val="none" w:sz="0" w:space="0" w:color="auto"/>
        <w:bottom w:val="none" w:sz="0" w:space="0" w:color="auto"/>
        <w:right w:val="none" w:sz="0" w:space="0" w:color="auto"/>
      </w:divBdr>
    </w:div>
    <w:div w:id="2052656481">
      <w:bodyDiv w:val="1"/>
      <w:marLeft w:val="0"/>
      <w:marRight w:val="0"/>
      <w:marTop w:val="0"/>
      <w:marBottom w:val="0"/>
      <w:divBdr>
        <w:top w:val="none" w:sz="0" w:space="0" w:color="auto"/>
        <w:left w:val="none" w:sz="0" w:space="0" w:color="auto"/>
        <w:bottom w:val="none" w:sz="0" w:space="0" w:color="auto"/>
        <w:right w:val="none" w:sz="0" w:space="0" w:color="auto"/>
      </w:divBdr>
    </w:div>
    <w:div w:id="2124692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sciencedirect.com/science/article/abs/pii/S0148296316300698" TargetMode="External"/><Relationship Id="rId39" Type="http://schemas.openxmlformats.org/officeDocument/2006/relationships/footer" Target="footer2.xml"/><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hyperlink" Target="https://research.hktdc.com/en/article/MzEzOTU0Nzcx"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forbes.com/advisor/investing/roa-return-on-assets/" TargetMode="External"/><Relationship Id="rId33" Type="http://schemas.openxmlformats.org/officeDocument/2006/relationships/hyperlink" Target="https://research.hktdc.com/en/article/MzYyOTk5NzU5" TargetMode="External"/><Relationship Id="rId38" Type="http://schemas.openxmlformats.org/officeDocument/2006/relationships/hyperlink" Target="https://www.jewellerynet.com/en/jnanews/features/24255"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www.hkex.com.hk/-/media/hkex-market/listing/rules-and-guidance/listing-rules-contingency/amendments-to-main-board-listing-rules/2004/update-no-82/amendment-to-main-board-listing-rules/main-board_app14(code)"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hyperlink" Target="https://www.investopedia.com/terms/b/booktomarketratio.asp" TargetMode="External"/><Relationship Id="rId37" Type="http://schemas.openxmlformats.org/officeDocument/2006/relationships/hyperlink" Target="https://corpgov.law.harvard.edu/2011/09/01/separation-of-chair-and-ceo-roles/"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multimedia.scmp.com/2016/cities/" TargetMode="External"/><Relationship Id="rId36" Type="http://schemas.openxmlformats.org/officeDocument/2006/relationships/hyperlink" Target="https://www.investopedia.com/terms/l/licensee.asp" TargetMode="External"/><Relationship Id="rId10" Type="http://schemas.openxmlformats.org/officeDocument/2006/relationships/hyperlink" Target="https://www.emerald.com/insight/search?q=Chaminda%20Wijethilake" TargetMode="External"/><Relationship Id="rId19" Type="http://schemas.openxmlformats.org/officeDocument/2006/relationships/image" Target="media/image10.png"/><Relationship Id="rId31" Type="http://schemas.openxmlformats.org/officeDocument/2006/relationships/hyperlink" Target="https://www.discoverhongkong.com/content/dam/dhk/intl/corporate/newsroom/press-release/hktb/2021/07-june-arrivals-E.pdf"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www.investopedia.com/terms/n/npv.asp" TargetMode="External"/><Relationship Id="rId30" Type="http://schemas.openxmlformats.org/officeDocument/2006/relationships/hyperlink" Target="https://www.hkex.com.hk/-/media/HKEX-Market/Listing/Rules-and-Guidance/Corporate-Governance-Practices/Practitioners_insights.pdf?la=en" TargetMode="External"/><Relationship Id="rId35" Type="http://schemas.openxmlformats.org/officeDocument/2006/relationships/hyperlink" Target="https://www.pwccn.com/en/services/tax/accounting-and-payroll/overview-of-prc-taxation-system.html"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3C9DD8C-B6F8-473B-A667-0BD7FFA5E7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6186</TotalTime>
  <Pages>29</Pages>
  <Words>5811</Words>
  <Characters>33127</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TONG</dc:creator>
  <cp:keywords/>
  <dc:description/>
  <cp:lastModifiedBy>Debbie Tong</cp:lastModifiedBy>
  <cp:revision>881</cp:revision>
  <dcterms:created xsi:type="dcterms:W3CDTF">2021-07-17T04:20:00Z</dcterms:created>
  <dcterms:modified xsi:type="dcterms:W3CDTF">2021-08-15T00:46:00Z</dcterms:modified>
</cp:coreProperties>
</file>