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7920E2" wp14:paraId="6A6A26BB" wp14:textId="79108148">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97920E2" w:rsidR="105D8E7C">
        <w:rPr>
          <w:rFonts w:ascii="Arial" w:hAnsi="Arial" w:eastAsia="Arial" w:cs="Arial"/>
          <w:b w:val="1"/>
          <w:bCs w:val="1"/>
          <w:noProof w:val="0"/>
          <w:color w:val="000000" w:themeColor="text1" w:themeTint="FF" w:themeShade="FF"/>
          <w:sz w:val="22"/>
          <w:szCs w:val="22"/>
          <w:lang w:val="en-GB"/>
        </w:rPr>
        <w:t>M</w:t>
      </w:r>
      <w:r w:rsidRPr="397920E2" w:rsidR="105D8E7C">
        <w:rPr>
          <w:rFonts w:ascii="Arial" w:hAnsi="Arial" w:eastAsia="Arial" w:cs="Arial"/>
          <w:b w:val="1"/>
          <w:bCs w:val="1"/>
          <w:noProof w:val="0"/>
          <w:color w:val="000000" w:themeColor="text1" w:themeTint="FF" w:themeShade="FF"/>
          <w:sz w:val="22"/>
          <w:szCs w:val="22"/>
          <w:lang w:val="en-GB"/>
        </w:rPr>
        <w:t>ichelle O’Hare</w:t>
      </w:r>
    </w:p>
    <w:p xmlns:wp14="http://schemas.microsoft.com/office/word/2010/wordml" w:rsidP="397920E2" wp14:paraId="3D96DF38" wp14:textId="5041CED3">
      <w:pPr>
        <w:pStyle w:val="Normal"/>
        <w:spacing w:line="360" w:lineRule="auto"/>
        <w:rPr>
          <w:rFonts w:ascii="Arial" w:hAnsi="Arial" w:eastAsia="Arial" w:cs="Arial"/>
          <w:noProof w:val="0"/>
          <w:sz w:val="22"/>
          <w:szCs w:val="22"/>
          <w:lang w:val="en-GB"/>
        </w:rPr>
      </w:pPr>
      <w:r w:rsidRPr="397920E2" w:rsidR="105D8E7C">
        <w:rPr>
          <w:rFonts w:ascii="Arial" w:hAnsi="Arial" w:eastAsia="Arial" w:cs="Arial"/>
          <w:noProof w:val="0"/>
          <w:sz w:val="22"/>
          <w:szCs w:val="22"/>
          <w:lang w:val="en-GB"/>
        </w:rPr>
        <w:t>2319993</w:t>
      </w:r>
    </w:p>
    <w:p xmlns:wp14="http://schemas.microsoft.com/office/word/2010/wordml" w:rsidP="397920E2" wp14:paraId="667F8207" wp14:textId="57CD73E1">
      <w:pPr>
        <w:pStyle w:val="Normal"/>
        <w:spacing w:line="360" w:lineRule="auto"/>
        <w:rPr>
          <w:rFonts w:ascii="Arial" w:hAnsi="Arial" w:eastAsia="Arial" w:cs="Arial"/>
          <w:noProof w:val="0"/>
          <w:sz w:val="22"/>
          <w:szCs w:val="22"/>
          <w:lang w:val="en-GB"/>
        </w:rPr>
      </w:pPr>
      <w:r w:rsidRPr="397920E2" w:rsidR="1BC938FA">
        <w:rPr>
          <w:rFonts w:ascii="Arial" w:hAnsi="Arial" w:eastAsia="Arial" w:cs="Arial"/>
          <w:noProof w:val="0"/>
          <w:sz w:val="22"/>
          <w:szCs w:val="22"/>
          <w:lang w:val="en-GB"/>
        </w:rPr>
        <w:t>BMHP5019</w:t>
      </w:r>
    </w:p>
    <w:p xmlns:wp14="http://schemas.microsoft.com/office/word/2010/wordml" w:rsidP="397920E2" wp14:paraId="2874B588" wp14:textId="66FD8C06">
      <w:pPr>
        <w:pStyle w:val="Normal"/>
        <w:spacing w:line="360" w:lineRule="auto"/>
        <w:rPr>
          <w:rFonts w:ascii="Arial" w:hAnsi="Arial" w:eastAsia="Arial" w:cs="Arial"/>
          <w:noProof w:val="0"/>
          <w:sz w:val="22"/>
          <w:szCs w:val="22"/>
          <w:lang w:val="en-GB"/>
        </w:rPr>
      </w:pPr>
      <w:r w:rsidRPr="397920E2" w:rsidR="137C9D6E">
        <w:rPr>
          <w:rFonts w:ascii="Arial" w:hAnsi="Arial" w:eastAsia="Arial" w:cs="Arial"/>
          <w:noProof w:val="0"/>
          <w:sz w:val="22"/>
          <w:szCs w:val="22"/>
          <w:lang w:val="en-GB"/>
        </w:rPr>
        <w:t>Introduction to Independent Research Skills</w:t>
      </w:r>
    </w:p>
    <w:p xmlns:wp14="http://schemas.microsoft.com/office/word/2010/wordml" w:rsidP="397920E2" wp14:paraId="25B38528" wp14:textId="6894A5A2">
      <w:pPr>
        <w:pStyle w:val="Normal"/>
        <w:spacing w:line="360" w:lineRule="auto"/>
        <w:rPr>
          <w:rFonts w:ascii="Arial" w:hAnsi="Arial" w:eastAsia="Arial" w:cs="Arial"/>
          <w:noProof w:val="0"/>
          <w:sz w:val="22"/>
          <w:szCs w:val="22"/>
          <w:lang w:val="en-GB"/>
        </w:rPr>
      </w:pPr>
      <w:r w:rsidRPr="2366EDCB" w:rsidR="1BC938FA">
        <w:rPr>
          <w:rFonts w:ascii="Arial" w:hAnsi="Arial" w:eastAsia="Arial" w:cs="Arial"/>
          <w:noProof w:val="0"/>
          <w:sz w:val="22"/>
          <w:szCs w:val="22"/>
          <w:lang w:val="en-GB"/>
        </w:rPr>
        <w:t>Component</w:t>
      </w:r>
      <w:r w:rsidRPr="2366EDCB" w:rsidR="1BC938FA">
        <w:rPr>
          <w:rFonts w:ascii="Arial" w:hAnsi="Arial" w:eastAsia="Arial" w:cs="Arial"/>
          <w:noProof w:val="0"/>
          <w:sz w:val="22"/>
          <w:szCs w:val="22"/>
          <w:lang w:val="en-GB"/>
        </w:rPr>
        <w:t xml:space="preserve"> </w:t>
      </w:r>
      <w:r w:rsidRPr="2366EDCB" w:rsidR="49E8354D">
        <w:rPr>
          <w:rFonts w:ascii="Arial" w:hAnsi="Arial" w:eastAsia="Arial" w:cs="Arial"/>
          <w:noProof w:val="0"/>
          <w:sz w:val="22"/>
          <w:szCs w:val="22"/>
          <w:lang w:val="en-GB"/>
        </w:rPr>
        <w:t>2</w:t>
      </w:r>
      <w:r w:rsidRPr="2366EDCB" w:rsidR="1BC938FA">
        <w:rPr>
          <w:rFonts w:ascii="Arial" w:hAnsi="Arial" w:eastAsia="Arial" w:cs="Arial"/>
          <w:noProof w:val="0"/>
          <w:sz w:val="22"/>
          <w:szCs w:val="22"/>
          <w:lang w:val="en-GB"/>
        </w:rPr>
        <w:t>: Written Assignment (Researc</w:t>
      </w:r>
      <w:r w:rsidRPr="2366EDCB" w:rsidR="32C6B31E">
        <w:rPr>
          <w:rFonts w:ascii="Arial" w:hAnsi="Arial" w:eastAsia="Arial" w:cs="Arial"/>
          <w:noProof w:val="0"/>
          <w:sz w:val="22"/>
          <w:szCs w:val="22"/>
          <w:lang w:val="en-GB"/>
        </w:rPr>
        <w:t>h Report)</w:t>
      </w:r>
    </w:p>
    <w:p xmlns:wp14="http://schemas.microsoft.com/office/word/2010/wordml" w:rsidP="397920E2" wp14:paraId="68E7D2AB" wp14:textId="7A423A84">
      <w:pPr>
        <w:pStyle w:val="Normal"/>
        <w:spacing w:line="360" w:lineRule="auto"/>
        <w:rPr>
          <w:rFonts w:ascii="Arial" w:hAnsi="Arial" w:eastAsia="Arial" w:cs="Arial"/>
          <w:noProof w:val="0"/>
          <w:sz w:val="22"/>
          <w:szCs w:val="22"/>
          <w:lang w:val="en-GB"/>
        </w:rPr>
      </w:pPr>
    </w:p>
    <w:p xmlns:wp14="http://schemas.microsoft.com/office/word/2010/wordml" w:rsidP="397920E2" wp14:paraId="6CE400CB" wp14:textId="40943A60">
      <w:pPr>
        <w:pStyle w:val="Normal"/>
        <w:spacing w:line="360" w:lineRule="auto"/>
        <w:rPr>
          <w:rFonts w:ascii="Arial" w:hAnsi="Arial" w:eastAsia="Arial" w:cs="Arial"/>
          <w:noProof w:val="0"/>
          <w:sz w:val="22"/>
          <w:szCs w:val="22"/>
          <w:lang w:val="en-GB"/>
        </w:rPr>
      </w:pPr>
    </w:p>
    <w:p xmlns:wp14="http://schemas.microsoft.com/office/word/2010/wordml" w:rsidP="397920E2" wp14:paraId="4FEFAA2F" wp14:textId="025913AE">
      <w:pPr>
        <w:pStyle w:val="Normal"/>
        <w:spacing w:line="360" w:lineRule="auto"/>
        <w:rPr>
          <w:rFonts w:ascii="Arial" w:hAnsi="Arial" w:eastAsia="Arial" w:cs="Arial"/>
          <w:noProof w:val="0"/>
          <w:sz w:val="22"/>
          <w:szCs w:val="22"/>
          <w:lang w:val="en-GB"/>
        </w:rPr>
      </w:pPr>
    </w:p>
    <w:p xmlns:wp14="http://schemas.microsoft.com/office/word/2010/wordml" w:rsidP="397920E2" wp14:paraId="49D8C72A" wp14:textId="326EB2CF">
      <w:pPr>
        <w:pStyle w:val="Normal"/>
        <w:spacing w:line="360" w:lineRule="auto"/>
        <w:rPr>
          <w:rFonts w:ascii="Arial" w:hAnsi="Arial" w:eastAsia="Arial" w:cs="Arial"/>
          <w:noProof w:val="0"/>
          <w:sz w:val="22"/>
          <w:szCs w:val="22"/>
          <w:lang w:val="en-GB"/>
        </w:rPr>
      </w:pPr>
    </w:p>
    <w:p xmlns:wp14="http://schemas.microsoft.com/office/word/2010/wordml" w:rsidP="397920E2" wp14:paraId="1BA48A4B" wp14:textId="0C61E629">
      <w:pPr>
        <w:pStyle w:val="Normal"/>
        <w:spacing w:line="360" w:lineRule="auto"/>
        <w:rPr>
          <w:rFonts w:ascii="Arial" w:hAnsi="Arial" w:eastAsia="Arial" w:cs="Arial"/>
          <w:noProof w:val="0"/>
          <w:sz w:val="22"/>
          <w:szCs w:val="22"/>
          <w:lang w:val="en-GB"/>
        </w:rPr>
      </w:pPr>
    </w:p>
    <w:p xmlns:wp14="http://schemas.microsoft.com/office/word/2010/wordml" w:rsidP="397920E2" wp14:paraId="0F3D62C6" wp14:textId="3E68B6FD">
      <w:pPr>
        <w:pStyle w:val="Normal"/>
        <w:spacing w:line="360" w:lineRule="auto"/>
        <w:rPr>
          <w:rFonts w:ascii="Arial" w:hAnsi="Arial" w:eastAsia="Arial" w:cs="Arial"/>
          <w:noProof w:val="0"/>
          <w:sz w:val="22"/>
          <w:szCs w:val="22"/>
          <w:lang w:val="en-GB"/>
        </w:rPr>
      </w:pPr>
    </w:p>
    <w:p xmlns:wp14="http://schemas.microsoft.com/office/word/2010/wordml" w:rsidP="397920E2" wp14:paraId="7D53BE54" wp14:textId="6C661B58">
      <w:pPr>
        <w:pStyle w:val="Normal"/>
        <w:spacing w:line="360" w:lineRule="auto"/>
        <w:rPr>
          <w:rFonts w:ascii="Arial" w:hAnsi="Arial" w:eastAsia="Arial" w:cs="Arial"/>
          <w:noProof w:val="0"/>
          <w:sz w:val="22"/>
          <w:szCs w:val="22"/>
          <w:lang w:val="en-GB"/>
        </w:rPr>
      </w:pPr>
    </w:p>
    <w:p xmlns:wp14="http://schemas.microsoft.com/office/word/2010/wordml" w:rsidP="397920E2" wp14:paraId="6A0A5F6F" wp14:textId="281336FE">
      <w:pPr>
        <w:pStyle w:val="Normal"/>
        <w:spacing w:line="360" w:lineRule="auto"/>
        <w:rPr>
          <w:rFonts w:ascii="Arial" w:hAnsi="Arial" w:eastAsia="Arial" w:cs="Arial"/>
          <w:noProof w:val="0"/>
          <w:sz w:val="22"/>
          <w:szCs w:val="22"/>
          <w:lang w:val="en-GB"/>
        </w:rPr>
      </w:pPr>
    </w:p>
    <w:p xmlns:wp14="http://schemas.microsoft.com/office/word/2010/wordml" w:rsidP="397920E2" wp14:paraId="7072527D" wp14:textId="43950782">
      <w:pPr>
        <w:pStyle w:val="Normal"/>
        <w:spacing w:line="360" w:lineRule="auto"/>
        <w:rPr>
          <w:rFonts w:ascii="Arial" w:hAnsi="Arial" w:eastAsia="Arial" w:cs="Arial"/>
          <w:noProof w:val="0"/>
          <w:sz w:val="22"/>
          <w:szCs w:val="22"/>
          <w:lang w:val="en-GB"/>
        </w:rPr>
      </w:pPr>
    </w:p>
    <w:p xmlns:wp14="http://schemas.microsoft.com/office/word/2010/wordml" w:rsidP="397920E2" wp14:paraId="090C61FD" wp14:textId="2B8CB151">
      <w:pPr>
        <w:pStyle w:val="Normal"/>
        <w:spacing w:line="360" w:lineRule="auto"/>
        <w:rPr>
          <w:rFonts w:ascii="Arial" w:hAnsi="Arial" w:eastAsia="Arial" w:cs="Arial"/>
          <w:noProof w:val="0"/>
          <w:sz w:val="22"/>
          <w:szCs w:val="22"/>
          <w:lang w:val="en-GB"/>
        </w:rPr>
      </w:pPr>
    </w:p>
    <w:p xmlns:wp14="http://schemas.microsoft.com/office/word/2010/wordml" w:rsidP="397920E2" wp14:paraId="69376595" wp14:textId="3C038010">
      <w:pPr>
        <w:pStyle w:val="Normal"/>
        <w:spacing w:line="360" w:lineRule="auto"/>
        <w:rPr>
          <w:rFonts w:ascii="Arial" w:hAnsi="Arial" w:eastAsia="Arial" w:cs="Arial"/>
          <w:noProof w:val="0"/>
          <w:sz w:val="22"/>
          <w:szCs w:val="22"/>
          <w:lang w:val="en-GB"/>
        </w:rPr>
      </w:pPr>
    </w:p>
    <w:p xmlns:wp14="http://schemas.microsoft.com/office/word/2010/wordml" w:rsidP="397920E2" wp14:paraId="4C269BA5" wp14:textId="51268E9B">
      <w:pPr>
        <w:pStyle w:val="Normal"/>
        <w:spacing w:line="360" w:lineRule="auto"/>
        <w:rPr>
          <w:rFonts w:ascii="Arial" w:hAnsi="Arial" w:eastAsia="Arial" w:cs="Arial"/>
          <w:noProof w:val="0"/>
          <w:sz w:val="22"/>
          <w:szCs w:val="22"/>
          <w:lang w:val="en-GB"/>
        </w:rPr>
      </w:pPr>
    </w:p>
    <w:p xmlns:wp14="http://schemas.microsoft.com/office/word/2010/wordml" w:rsidP="397920E2" wp14:paraId="576CEAC7" wp14:textId="69011D57">
      <w:pPr>
        <w:pStyle w:val="Normal"/>
        <w:spacing w:line="360" w:lineRule="auto"/>
        <w:rPr>
          <w:rFonts w:ascii="Arial" w:hAnsi="Arial" w:eastAsia="Arial" w:cs="Arial"/>
          <w:noProof w:val="0"/>
          <w:sz w:val="22"/>
          <w:szCs w:val="22"/>
          <w:lang w:val="en-GB"/>
        </w:rPr>
      </w:pPr>
    </w:p>
    <w:p xmlns:wp14="http://schemas.microsoft.com/office/word/2010/wordml" w:rsidP="397920E2" wp14:paraId="48A72982" wp14:textId="70572D67">
      <w:pPr>
        <w:pStyle w:val="Normal"/>
        <w:spacing w:line="360" w:lineRule="auto"/>
        <w:rPr>
          <w:rFonts w:ascii="Arial" w:hAnsi="Arial" w:eastAsia="Arial" w:cs="Arial"/>
          <w:noProof w:val="0"/>
          <w:sz w:val="22"/>
          <w:szCs w:val="22"/>
          <w:lang w:val="en-GB"/>
        </w:rPr>
      </w:pPr>
    </w:p>
    <w:p xmlns:wp14="http://schemas.microsoft.com/office/word/2010/wordml" w:rsidP="397920E2" wp14:paraId="564D5A8F" wp14:textId="19104256">
      <w:pPr>
        <w:pStyle w:val="Normal"/>
        <w:spacing w:line="360" w:lineRule="auto"/>
        <w:rPr>
          <w:rFonts w:ascii="Arial" w:hAnsi="Arial" w:eastAsia="Arial" w:cs="Arial"/>
          <w:noProof w:val="0"/>
          <w:sz w:val="22"/>
          <w:szCs w:val="22"/>
          <w:lang w:val="en-GB"/>
        </w:rPr>
      </w:pPr>
    </w:p>
    <w:p xmlns:wp14="http://schemas.microsoft.com/office/word/2010/wordml" w:rsidP="397920E2" wp14:paraId="50455CCA" wp14:textId="0A3770CA">
      <w:pPr>
        <w:pStyle w:val="Normal"/>
        <w:spacing w:line="360" w:lineRule="auto"/>
        <w:rPr>
          <w:rFonts w:ascii="Arial" w:hAnsi="Arial" w:eastAsia="Arial" w:cs="Arial"/>
          <w:noProof w:val="0"/>
          <w:sz w:val="22"/>
          <w:szCs w:val="22"/>
          <w:lang w:val="en-GB"/>
        </w:rPr>
      </w:pPr>
    </w:p>
    <w:p xmlns:wp14="http://schemas.microsoft.com/office/word/2010/wordml" w:rsidP="397920E2" wp14:paraId="2BD50A52" wp14:textId="172AF5B2">
      <w:pPr>
        <w:pStyle w:val="Normal"/>
        <w:spacing w:line="360" w:lineRule="auto"/>
        <w:rPr>
          <w:rFonts w:ascii="Arial" w:hAnsi="Arial" w:eastAsia="Arial" w:cs="Arial"/>
          <w:noProof w:val="0"/>
          <w:sz w:val="22"/>
          <w:szCs w:val="22"/>
          <w:lang w:val="en-GB"/>
        </w:rPr>
      </w:pPr>
    </w:p>
    <w:p xmlns:wp14="http://schemas.microsoft.com/office/word/2010/wordml" w:rsidP="397920E2" wp14:paraId="006A1751" wp14:textId="278209CA">
      <w:pPr>
        <w:pStyle w:val="Normal"/>
        <w:spacing w:line="360" w:lineRule="auto"/>
        <w:rPr>
          <w:rFonts w:ascii="Arial" w:hAnsi="Arial" w:eastAsia="Arial" w:cs="Arial"/>
          <w:noProof w:val="0"/>
          <w:sz w:val="22"/>
          <w:szCs w:val="22"/>
          <w:lang w:val="en-GB"/>
        </w:rPr>
      </w:pPr>
    </w:p>
    <w:p xmlns:wp14="http://schemas.microsoft.com/office/word/2010/wordml" w:rsidP="397920E2" wp14:paraId="3B1F7255" wp14:textId="1E88ED92">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97920E2" w:rsidR="7217ED93">
        <w:rPr>
          <w:rFonts w:ascii="Arial" w:hAnsi="Arial" w:eastAsia="Arial" w:cs="Arial"/>
          <w:b w:val="1"/>
          <w:bCs w:val="1"/>
          <w:noProof w:val="0"/>
          <w:color w:val="000000" w:themeColor="text1" w:themeTint="FF" w:themeShade="FF"/>
          <w:sz w:val="22"/>
          <w:szCs w:val="22"/>
          <w:lang w:val="en-GB"/>
        </w:rPr>
        <w:t xml:space="preserve">Introduction </w:t>
      </w:r>
    </w:p>
    <w:p xmlns:wp14="http://schemas.microsoft.com/office/word/2010/wordml" w:rsidP="397920E2" wp14:paraId="7E8BD2E7" wp14:textId="35249C7C">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Telehealth refers to the use of digital technologies</w:t>
      </w:r>
      <w:r w:rsidRPr="397920E2" w:rsidR="2869A230">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such as video consultations, telephone appointments, mobile health applications, online patient portals, and remote monitoring devices</w:t>
      </w:r>
      <w:r w:rsidRPr="397920E2" w:rsidR="039B899C">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 xml:space="preserve">to deliver healthcare services without the need for in-person contact. These tools enable patients to communicate with healthcare professionals via smartphones, tablets, or computers, supporting the remote assessment, monitoring, and management of a wide range of conditions. Although telehealth existed prior to COVID-19, it became an essential </w:t>
      </w:r>
      <w:r w:rsidRPr="397920E2" w:rsidR="7217ED93">
        <w:rPr>
          <w:rFonts w:ascii="Arial" w:hAnsi="Arial" w:eastAsia="Arial" w:cs="Arial"/>
          <w:b w:val="0"/>
          <w:bCs w:val="0"/>
          <w:noProof w:val="0"/>
          <w:color w:val="000000" w:themeColor="text1" w:themeTint="FF" w:themeShade="FF"/>
          <w:sz w:val="22"/>
          <w:szCs w:val="22"/>
          <w:lang w:val="en-GB"/>
        </w:rPr>
        <w:t>component</w:t>
      </w:r>
      <w:r w:rsidRPr="397920E2" w:rsidR="7217ED93">
        <w:rPr>
          <w:rFonts w:ascii="Arial" w:hAnsi="Arial" w:eastAsia="Arial" w:cs="Arial"/>
          <w:b w:val="0"/>
          <w:bCs w:val="0"/>
          <w:noProof w:val="0"/>
          <w:color w:val="000000" w:themeColor="text1" w:themeTint="FF" w:themeShade="FF"/>
          <w:sz w:val="22"/>
          <w:szCs w:val="22"/>
          <w:lang w:val="en-GB"/>
        </w:rPr>
        <w:t xml:space="preserve"> of NHS service delivery during the pandemic, when restrictions on face-to-face care accelerated nationwide adoption (Greenhalgh et al., 2020). Since then, telehealth has </w:t>
      </w:r>
      <w:r w:rsidRPr="397920E2" w:rsidR="7217ED93">
        <w:rPr>
          <w:rFonts w:ascii="Arial" w:hAnsi="Arial" w:eastAsia="Arial" w:cs="Arial"/>
          <w:b w:val="0"/>
          <w:bCs w:val="0"/>
          <w:noProof w:val="0"/>
          <w:color w:val="000000" w:themeColor="text1" w:themeTint="FF" w:themeShade="FF"/>
          <w:sz w:val="22"/>
          <w:szCs w:val="22"/>
          <w:lang w:val="en-GB"/>
        </w:rPr>
        <w:t>remained</w:t>
      </w:r>
      <w:r w:rsidRPr="397920E2" w:rsidR="7217ED93">
        <w:rPr>
          <w:rFonts w:ascii="Arial" w:hAnsi="Arial" w:eastAsia="Arial" w:cs="Arial"/>
          <w:b w:val="0"/>
          <w:bCs w:val="0"/>
          <w:noProof w:val="0"/>
          <w:color w:val="000000" w:themeColor="text1" w:themeTint="FF" w:themeShade="FF"/>
          <w:sz w:val="22"/>
          <w:szCs w:val="22"/>
          <w:lang w:val="en-GB"/>
        </w:rPr>
        <w:t xml:space="preserve"> embedded within routine practice, reflecting growing pressures on the NHS, including workforce shortages, increased demand, and rising waiting times.</w:t>
      </w:r>
    </w:p>
    <w:p xmlns:wp14="http://schemas.microsoft.com/office/word/2010/wordml" w:rsidP="397920E2" wp14:paraId="7B94D472" wp14:textId="5396695D">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Telehealth does not represent a single intervention but rather a spectrum of digital approaches that vary in intensity and complexity. Video consultations aim to replicate traditional clinical interactions, whereas telephone consultations are used widely in primary care for triage and follow-up. Remote monitoring devices support ongoing assessment of long-term conditions such as diabetes or hypertension, while mobile health applications allow patients to track symptoms, receive medication reminders, and access mental health support. These technologies offer new opportunities for personalisation, efficiency, and patient empowerment.</w:t>
      </w:r>
    </w:p>
    <w:p xmlns:wp14="http://schemas.microsoft.com/office/word/2010/wordml" w:rsidP="397920E2" wp14:paraId="416D3079" wp14:textId="5A8DD0E7">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However, the effectiveness of telehealth depends not only on clinical outcomes but also on patient experience, accessibility, and equity. Some patients report high satisfaction due to convenience, reduced travel, and quicker access to care. Others face barriers such as poor internet connectivity, low digital literacy, or a perceived loss of personal connection in remote appointments. These disparities are especially concerning for older adults, rural communities, and low-income households, raising questions about whether telehealth might inadvertently widen existing health inequalities.</w:t>
      </w:r>
    </w:p>
    <w:p xmlns:wp14="http://schemas.microsoft.com/office/word/2010/wordml" w:rsidP="397920E2" wp14:paraId="6B03D821" wp14:textId="406DA860">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Given the rapid expansion of telehealth and the need for evidence-based implementation, this scoping review explores how telehealth influences patient outcomes in the UK. The review question guiding the study is: </w:t>
      </w:r>
      <w:r w:rsidRPr="397920E2" w:rsidR="7217ED93">
        <w:rPr>
          <w:rFonts w:ascii="Arial" w:hAnsi="Arial" w:eastAsia="Arial" w:cs="Arial"/>
          <w:b w:val="0"/>
          <w:bCs w:val="0"/>
          <w:noProof w:val="0"/>
          <w:color w:val="000000" w:themeColor="text1" w:themeTint="FF" w:themeShade="FF"/>
          <w:sz w:val="22"/>
          <w:szCs w:val="22"/>
          <w:lang w:val="en-GB"/>
        </w:rPr>
        <w:t>“What are the effects of telehealth on patient satisfaction, access to care, and clinical outcomes in the UK?”</w:t>
      </w:r>
    </w:p>
    <w:p xmlns:wp14="http://schemas.microsoft.com/office/word/2010/wordml" w:rsidP="397920E2" wp14:paraId="2BAC7F50" wp14:textId="426429F2">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The objectives are to:</w:t>
      </w:r>
    </w:p>
    <w:p xmlns:wp14="http://schemas.microsoft.com/office/word/2010/wordml" w:rsidP="397920E2" wp14:paraId="01875048" wp14:textId="44420996">
      <w:pPr>
        <w:pStyle w:val="ListParagraph"/>
        <w:numPr>
          <w:ilvl w:val="0"/>
          <w:numId w:val="12"/>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Identify UK-based, peer-reviewed studies examining telehealth and patient outcomes.</w:t>
      </w:r>
    </w:p>
    <w:p xmlns:wp14="http://schemas.microsoft.com/office/word/2010/wordml" w:rsidP="397920E2" wp14:paraId="6249E225" wp14:textId="578575FB">
      <w:pPr>
        <w:pStyle w:val="ListParagraph"/>
        <w:numPr>
          <w:ilvl w:val="0"/>
          <w:numId w:val="12"/>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Summarise and compare evidence from these studies.</w:t>
      </w:r>
    </w:p>
    <w:p xmlns:wp14="http://schemas.microsoft.com/office/word/2010/wordml" w:rsidP="397920E2" wp14:paraId="34D841FA" wp14:textId="62917C69">
      <w:pPr>
        <w:pStyle w:val="ListParagraph"/>
        <w:numPr>
          <w:ilvl w:val="0"/>
          <w:numId w:val="12"/>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Analyse the implications for NHS practice, including challenges, opportunities, and future directions.</w:t>
      </w:r>
    </w:p>
    <w:p xmlns:wp14="http://schemas.microsoft.com/office/word/2010/wordml" w:rsidP="397920E2" wp14:paraId="7AF1333F" wp14:textId="61CC7B35">
      <w:pPr>
        <w:spacing w:line="360" w:lineRule="auto"/>
        <w:rPr>
          <w:rFonts w:ascii="Arial" w:hAnsi="Arial" w:eastAsia="Arial" w:cs="Arial"/>
          <w:b w:val="0"/>
          <w:bCs w:val="0"/>
          <w:sz w:val="22"/>
          <w:szCs w:val="22"/>
        </w:rPr>
      </w:pPr>
    </w:p>
    <w:p xmlns:wp14="http://schemas.microsoft.com/office/word/2010/wordml" w:rsidP="397920E2" wp14:paraId="39E25B6A" wp14:textId="11DA09CF">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97920E2" w:rsidR="7217ED93">
        <w:rPr>
          <w:rFonts w:ascii="Arial" w:hAnsi="Arial" w:eastAsia="Arial" w:cs="Arial"/>
          <w:b w:val="1"/>
          <w:bCs w:val="1"/>
          <w:noProof w:val="0"/>
          <w:color w:val="000000" w:themeColor="text1" w:themeTint="FF" w:themeShade="FF"/>
          <w:sz w:val="22"/>
          <w:szCs w:val="22"/>
          <w:lang w:val="en-GB"/>
        </w:rPr>
        <w:t xml:space="preserve">Background </w:t>
      </w:r>
    </w:p>
    <w:p xmlns:wp14="http://schemas.microsoft.com/office/word/2010/wordml" w:rsidP="397920E2" wp14:paraId="3B5F35DF" wp14:textId="24EC5B78">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Telehealth has become an increasingly integral component of the UK’s health and social care system, evolving rapidly in response to technological advancements, policy initiatives, and the growing pressures faced by the NHS. While digital healthcare has been discussed for decades, its widespread adoption was catalysed by the COVID-19 pandemic, which forced healthcare providers to adopt remote methods of delivering care </w:t>
      </w:r>
      <w:bookmarkStart w:name="_Int_Un7SSeUx" w:id="12690054"/>
      <w:r w:rsidRPr="397920E2" w:rsidR="7217ED93">
        <w:rPr>
          <w:rFonts w:ascii="Arial" w:hAnsi="Arial" w:eastAsia="Arial" w:cs="Arial"/>
          <w:b w:val="0"/>
          <w:bCs w:val="0"/>
          <w:noProof w:val="0"/>
          <w:color w:val="000000" w:themeColor="text1" w:themeTint="FF" w:themeShade="FF"/>
          <w:sz w:val="22"/>
          <w:szCs w:val="22"/>
          <w:lang w:val="en-GB"/>
        </w:rPr>
        <w:t>almost overnight</w:t>
      </w:r>
      <w:bookmarkEnd w:id="12690054"/>
      <w:r w:rsidRPr="397920E2" w:rsidR="7217ED93">
        <w:rPr>
          <w:rFonts w:ascii="Arial" w:hAnsi="Arial" w:eastAsia="Arial" w:cs="Arial"/>
          <w:b w:val="0"/>
          <w:bCs w:val="0"/>
          <w:noProof w:val="0"/>
          <w:color w:val="000000" w:themeColor="text1" w:themeTint="FF" w:themeShade="FF"/>
          <w:sz w:val="22"/>
          <w:szCs w:val="22"/>
          <w:lang w:val="en-GB"/>
        </w:rPr>
        <w:t>. Since then, telehealth has transitioned from an emergency solution to a permanent feature of modern healthcare provision. The NHS Long Term Plan (2019) explicitly promoted “digital-first primary care,” reflecting a national strategy to enhance efficiency, reduce system pressures, and improve patient access. This strategic shift aligns with broader global trends towards digital transformation in healthcare.</w:t>
      </w:r>
    </w:p>
    <w:p xmlns:wp14="http://schemas.microsoft.com/office/word/2010/wordml" w:rsidP="397920E2" wp14:paraId="0D573C0C" wp14:textId="55EC98E1">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Policy and Strategic Context</w:t>
      </w:r>
    </w:p>
    <w:p xmlns:wp14="http://schemas.microsoft.com/office/word/2010/wordml" w:rsidP="397920E2" wp14:paraId="18335AE5" wp14:textId="15879B26">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A range of UK policies, frameworks, and strategic documents have shaped the development of telehealth. The NHS Long Term Plan emphasised digital innovation as a means of streamlining care pathways, offering patients flexible options for accessing services, and enabling earlier intervention for long-term conditions. NHS</w:t>
      </w:r>
      <w:r w:rsidRPr="397920E2" w:rsidR="46940CA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now integrated into NHS England</w:t>
      </w:r>
      <w:r w:rsidRPr="397920E2" w:rsidR="2E4E1442">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 xml:space="preserve">was </w:t>
      </w:r>
      <w:r w:rsidRPr="397920E2" w:rsidR="7217ED93">
        <w:rPr>
          <w:rFonts w:ascii="Arial" w:hAnsi="Arial" w:eastAsia="Arial" w:cs="Arial"/>
          <w:b w:val="0"/>
          <w:bCs w:val="0"/>
          <w:noProof w:val="0"/>
          <w:color w:val="000000" w:themeColor="text1" w:themeTint="FF" w:themeShade="FF"/>
          <w:sz w:val="22"/>
          <w:szCs w:val="22"/>
          <w:lang w:val="en-GB"/>
        </w:rPr>
        <w:t>established</w:t>
      </w:r>
      <w:r w:rsidRPr="397920E2" w:rsidR="7217ED93">
        <w:rPr>
          <w:rFonts w:ascii="Arial" w:hAnsi="Arial" w:eastAsia="Arial" w:cs="Arial"/>
          <w:b w:val="0"/>
          <w:bCs w:val="0"/>
          <w:noProof w:val="0"/>
          <w:color w:val="000000" w:themeColor="text1" w:themeTint="FF" w:themeShade="FF"/>
          <w:sz w:val="22"/>
          <w:szCs w:val="22"/>
          <w:lang w:val="en-GB"/>
        </w:rPr>
        <w:t xml:space="preserve"> to lead digital transformation, promoting the use of interoperable systems, accessible digital platforms, and secure data management. Government commitments to expanding broadband access, particularly in rural and underserved areas, further support the growth of telehealth, recognising that digital connectivity is a precondition for accessing remote care.</w:t>
      </w:r>
    </w:p>
    <w:p xmlns:wp14="http://schemas.microsoft.com/office/word/2010/wordml" w:rsidP="397920E2" wp14:paraId="21C53225" wp14:textId="4272F7C4">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During the COVID-19 pandemic, emergency legislation and temporary regulatory changes allowed rapid implementation of remote consultations. Guidance from NHS England, the British Medical Association (BMA), and the General Medical Council (GMC) supported clinicians in using digital platforms safely and ethically. Although some emergency measures have since been withdrawn, many remote care practices have been retained due to their demonstrated value in improving timely access and reducing pressure on face-to-face services.</w:t>
      </w:r>
    </w:p>
    <w:p xmlns:wp14="http://schemas.microsoft.com/office/word/2010/wordml" w:rsidP="397920E2" wp14:paraId="0D198CA0" wp14:textId="5837873F">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Clinical and Workforce Pressures Driving Telehealth Adoption</w:t>
      </w:r>
    </w:p>
    <w:p xmlns:wp14="http://schemas.microsoft.com/office/word/2010/wordml" w:rsidP="397920E2" wp14:paraId="2B50F95B" wp14:textId="2F8C314E">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Several persistent challenges within the NHS have also contributed to telehealth’s expansion. The UK has an ageing population, with rising prevalence of long-term conditions such as diabetes, chronic obstructive pulmonary disease (COPD), and cardiovascular disease. These conditions require frequent monitoring and regular clinical input. Telehealth, particularly remote monitoring devices and wearable sensors, offers a method of tracking symptoms and physiological indicators without requiring repeated in-person visits. Research indicates that early detection through remote monitoring can reduce hospital admissions, prevent deterioration, and improve overall management of chronic conditions.</w:t>
      </w:r>
    </w:p>
    <w:p xmlns:wp14="http://schemas.microsoft.com/office/word/2010/wordml" w:rsidP="397920E2" wp14:paraId="1B7AE3F4" wp14:textId="198B4799">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Workforce shortages are another critical driver. With ongoing deficits in GP, nursing, and allied health professional staffing, telehealth enables clinicians to manage caseloads more efficiently. Remote consultations often require less time than face-to-face appointments, allowing clinicians to increase capacity and prioritise patients requiring urgent physical assessments. Telehealth also reduces administrative burdens by streamlining appointment systems and improving communication through online portals and secure messaging.</w:t>
      </w:r>
    </w:p>
    <w:p xmlns:wp14="http://schemas.microsoft.com/office/word/2010/wordml" w:rsidP="397920E2" wp14:paraId="4D4A27FE" wp14:textId="1AC7B62C">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Infrastructure, Technology, and Digital Literacy</w:t>
      </w:r>
    </w:p>
    <w:p xmlns:wp14="http://schemas.microsoft.com/office/word/2010/wordml" w:rsidP="397920E2" wp14:paraId="004AE79B" wp14:textId="5D828A4E">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The UK’s increasing digital literacy underpins the feasibility of telehealth. Many individuals are familiar with using online services for banking, shopping, and social communication. The widespread use of smartphones, tablets, and household internet has made digital healthcare more accessible. Nevertheless, disparities persist. According to the Office for National Statistics (2023), significant portions of older adults and </w:t>
      </w:r>
      <w:r w:rsidRPr="397920E2" w:rsidR="6B500A51">
        <w:rPr>
          <w:rFonts w:ascii="Arial" w:hAnsi="Arial" w:eastAsia="Arial" w:cs="Arial"/>
          <w:b w:val="0"/>
          <w:bCs w:val="0"/>
          <w:noProof w:val="0"/>
          <w:color w:val="000000" w:themeColor="text1" w:themeTint="FF" w:themeShade="FF"/>
          <w:sz w:val="22"/>
          <w:szCs w:val="22"/>
          <w:lang w:val="en-GB"/>
        </w:rPr>
        <w:t>low-income</w:t>
      </w:r>
      <w:r w:rsidRPr="397920E2" w:rsidR="7217ED93">
        <w:rPr>
          <w:rFonts w:ascii="Arial" w:hAnsi="Arial" w:eastAsia="Arial" w:cs="Arial"/>
          <w:b w:val="0"/>
          <w:bCs w:val="0"/>
          <w:noProof w:val="0"/>
          <w:color w:val="000000" w:themeColor="text1" w:themeTint="FF" w:themeShade="FF"/>
          <w:sz w:val="22"/>
          <w:szCs w:val="22"/>
          <w:lang w:val="en-GB"/>
        </w:rPr>
        <w:t xml:space="preserve"> households lack basic digital skills or the necessary equipment for telehealth. These inequalities are compounded by regional variations in broadband coverage, particularly in rural and coastal areas.</w:t>
      </w:r>
    </w:p>
    <w:p xmlns:wp14="http://schemas.microsoft.com/office/word/2010/wordml" w:rsidP="397920E2" wp14:paraId="2B851109" wp14:textId="2F4593EB">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Telehealth technologies used in the UK encompass a diverse range of tools. Primary care </w:t>
      </w:r>
      <w:r w:rsidRPr="397920E2" w:rsidR="7217ED93">
        <w:rPr>
          <w:rFonts w:ascii="Arial" w:hAnsi="Arial" w:eastAsia="Arial" w:cs="Arial"/>
          <w:b w:val="0"/>
          <w:bCs w:val="0"/>
          <w:noProof w:val="0"/>
          <w:color w:val="000000" w:themeColor="text1" w:themeTint="FF" w:themeShade="FF"/>
          <w:sz w:val="22"/>
          <w:szCs w:val="22"/>
          <w:lang w:val="en-GB"/>
        </w:rPr>
        <w:t>frequently</w:t>
      </w:r>
      <w:r w:rsidRPr="397920E2" w:rsidR="7217ED93">
        <w:rPr>
          <w:rFonts w:ascii="Arial" w:hAnsi="Arial" w:eastAsia="Arial" w:cs="Arial"/>
          <w:b w:val="0"/>
          <w:bCs w:val="0"/>
          <w:noProof w:val="0"/>
          <w:color w:val="000000" w:themeColor="text1" w:themeTint="FF" w:themeShade="FF"/>
          <w:sz w:val="22"/>
          <w:szCs w:val="22"/>
          <w:lang w:val="en-GB"/>
        </w:rPr>
        <w:t xml:space="preserve"> uses telephone and video consultations via platforms such as </w:t>
      </w:r>
      <w:r w:rsidRPr="397920E2" w:rsidR="7217ED93">
        <w:rPr>
          <w:rFonts w:ascii="Arial" w:hAnsi="Arial" w:eastAsia="Arial" w:cs="Arial"/>
          <w:b w:val="0"/>
          <w:bCs w:val="0"/>
          <w:noProof w:val="0"/>
          <w:color w:val="000000" w:themeColor="text1" w:themeTint="FF" w:themeShade="FF"/>
          <w:sz w:val="22"/>
          <w:szCs w:val="22"/>
          <w:lang w:val="en-GB"/>
        </w:rPr>
        <w:t>AccuRx</w:t>
      </w:r>
      <w:r w:rsidRPr="397920E2" w:rsidR="7217ED93">
        <w:rPr>
          <w:rFonts w:ascii="Arial" w:hAnsi="Arial" w:eastAsia="Arial" w:cs="Arial"/>
          <w:b w:val="0"/>
          <w:bCs w:val="0"/>
          <w:noProof w:val="0"/>
          <w:color w:val="000000" w:themeColor="text1" w:themeTint="FF" w:themeShade="FF"/>
          <w:sz w:val="22"/>
          <w:szCs w:val="22"/>
          <w:lang w:val="en-GB"/>
        </w:rPr>
        <w:t>, Attend Anywhere, or Microsoft Teams. The NHS App</w:t>
      </w:r>
      <w:r w:rsidRPr="397920E2" w:rsidR="23CEA66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used for appointments, prescriptions, and medical records</w:t>
      </w:r>
      <w:r w:rsidRPr="397920E2" w:rsidR="1F5533FC">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 xml:space="preserve">has seen rapid growth, with millions of users nationwide. Remote monitoring devices, including blood pressure monitors, pulse oximeters, and continuous glucose monitors, are increasingly integrated into routine care pathways. Mobile health (mHealth) applications support lifestyle interventions, mental health self-management, and medication adherence. Artificial intelligence (AI) systems are also </w:t>
      </w:r>
      <w:r w:rsidRPr="397920E2" w:rsidR="7217ED93">
        <w:rPr>
          <w:rFonts w:ascii="Arial" w:hAnsi="Arial" w:eastAsia="Arial" w:cs="Arial"/>
          <w:b w:val="0"/>
          <w:bCs w:val="0"/>
          <w:noProof w:val="0"/>
          <w:color w:val="000000" w:themeColor="text1" w:themeTint="FF" w:themeShade="FF"/>
          <w:sz w:val="22"/>
          <w:szCs w:val="22"/>
          <w:lang w:val="en-GB"/>
        </w:rPr>
        <w:t>emerging</w:t>
      </w:r>
      <w:r w:rsidRPr="397920E2" w:rsidR="7217ED93">
        <w:rPr>
          <w:rFonts w:ascii="Arial" w:hAnsi="Arial" w:eastAsia="Arial" w:cs="Arial"/>
          <w:b w:val="0"/>
          <w:bCs w:val="0"/>
          <w:noProof w:val="0"/>
          <w:color w:val="000000" w:themeColor="text1" w:themeTint="FF" w:themeShade="FF"/>
          <w:sz w:val="22"/>
          <w:szCs w:val="22"/>
          <w:lang w:val="en-GB"/>
        </w:rPr>
        <w:t>, supporting clinical decision-making, predicting risk, and flagging early deterioration.</w:t>
      </w:r>
    </w:p>
    <w:p xmlns:wp14="http://schemas.microsoft.com/office/word/2010/wordml" w:rsidP="397920E2" wp14:paraId="7FA26693" wp14:textId="7264EA0A">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Benefits and Opportunities</w:t>
      </w:r>
    </w:p>
    <w:p xmlns:wp14="http://schemas.microsoft.com/office/word/2010/wordml" w:rsidP="397920E2" wp14:paraId="2FE51D7D" wp14:textId="0E1ACD78">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Telehealth offers </w:t>
      </w:r>
      <w:r w:rsidRPr="397920E2" w:rsidR="7217ED93">
        <w:rPr>
          <w:rFonts w:ascii="Arial" w:hAnsi="Arial" w:eastAsia="Arial" w:cs="Arial"/>
          <w:b w:val="0"/>
          <w:bCs w:val="0"/>
          <w:noProof w:val="0"/>
          <w:color w:val="000000" w:themeColor="text1" w:themeTint="FF" w:themeShade="FF"/>
          <w:sz w:val="22"/>
          <w:szCs w:val="22"/>
          <w:lang w:val="en-GB"/>
        </w:rPr>
        <w:t>numerous</w:t>
      </w:r>
      <w:r w:rsidRPr="397920E2" w:rsidR="7217ED93">
        <w:rPr>
          <w:rFonts w:ascii="Arial" w:hAnsi="Arial" w:eastAsia="Arial" w:cs="Arial"/>
          <w:b w:val="0"/>
          <w:bCs w:val="0"/>
          <w:noProof w:val="0"/>
          <w:color w:val="000000" w:themeColor="text1" w:themeTint="FF" w:themeShade="FF"/>
          <w:sz w:val="22"/>
          <w:szCs w:val="22"/>
          <w:lang w:val="en-GB"/>
        </w:rPr>
        <w:t xml:space="preserve"> advantages. Improved access is among the most significant, particularly for rural populations, individuals with mobility impairments, or patients balancing work and caregiving responsibilities. Flexible scheduling and reduced travel burden enhance convenience, and remote monitoring may contribute to reduced hospital admissions and improved long</w:t>
      </w:r>
      <w:r w:rsidRPr="397920E2" w:rsidR="792525D8">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 xml:space="preserve">term condition management. For clinicians, telehealth supports efficient triage, better continuity of care, and </w:t>
      </w:r>
      <w:r w:rsidRPr="397920E2" w:rsidR="7217ED93">
        <w:rPr>
          <w:rFonts w:ascii="Arial" w:hAnsi="Arial" w:eastAsia="Arial" w:cs="Arial"/>
          <w:b w:val="0"/>
          <w:bCs w:val="0"/>
          <w:noProof w:val="0"/>
          <w:color w:val="000000" w:themeColor="text1" w:themeTint="FF" w:themeShade="FF"/>
          <w:sz w:val="22"/>
          <w:szCs w:val="22"/>
          <w:lang w:val="en-GB"/>
        </w:rPr>
        <w:t>timely</w:t>
      </w:r>
      <w:r w:rsidRPr="397920E2" w:rsidR="7217ED93">
        <w:rPr>
          <w:rFonts w:ascii="Arial" w:hAnsi="Arial" w:eastAsia="Arial" w:cs="Arial"/>
          <w:b w:val="0"/>
          <w:bCs w:val="0"/>
          <w:noProof w:val="0"/>
          <w:color w:val="000000" w:themeColor="text1" w:themeTint="FF" w:themeShade="FF"/>
          <w:sz w:val="22"/>
          <w:szCs w:val="22"/>
          <w:lang w:val="en-GB"/>
        </w:rPr>
        <w:t xml:space="preserve"> follow</w:t>
      </w:r>
      <w:r w:rsidRPr="397920E2" w:rsidR="23937757">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up.</w:t>
      </w:r>
    </w:p>
    <w:p xmlns:wp14="http://schemas.microsoft.com/office/word/2010/wordml" w:rsidP="397920E2" wp14:paraId="1C6A4BE9" wp14:textId="7A731CAF">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Challenges and Ongoing Debates</w:t>
      </w:r>
    </w:p>
    <w:p xmlns:wp14="http://schemas.microsoft.com/office/word/2010/wordml" w:rsidP="397920E2" wp14:paraId="39B7DAE4" wp14:textId="119A5F98">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Despite its benefits, telehealth presents several challenges. The digital divide </w:t>
      </w:r>
      <w:r w:rsidRPr="397920E2" w:rsidR="7217ED93">
        <w:rPr>
          <w:rFonts w:ascii="Arial" w:hAnsi="Arial" w:eastAsia="Arial" w:cs="Arial"/>
          <w:b w:val="0"/>
          <w:bCs w:val="0"/>
          <w:noProof w:val="0"/>
          <w:color w:val="000000" w:themeColor="text1" w:themeTint="FF" w:themeShade="FF"/>
          <w:sz w:val="22"/>
          <w:szCs w:val="22"/>
          <w:lang w:val="en-GB"/>
        </w:rPr>
        <w:t>remains</w:t>
      </w:r>
      <w:r w:rsidRPr="397920E2" w:rsidR="7217ED93">
        <w:rPr>
          <w:rFonts w:ascii="Arial" w:hAnsi="Arial" w:eastAsia="Arial" w:cs="Arial"/>
          <w:b w:val="0"/>
          <w:bCs w:val="0"/>
          <w:noProof w:val="0"/>
          <w:color w:val="000000" w:themeColor="text1" w:themeTint="FF" w:themeShade="FF"/>
          <w:sz w:val="22"/>
          <w:szCs w:val="22"/>
          <w:lang w:val="en-GB"/>
        </w:rPr>
        <w:t xml:space="preserve"> a dominant concern, with digital exclusion disproportionately affecting older adults, people with disabilities, and those experiencing financial hardship. Technology failures, poor connectivity, and difficulty navigating platforms can undermine patient confidence and satisfaction. Communication barriers</w:t>
      </w:r>
      <w:r w:rsidRPr="397920E2" w:rsidR="366ED79A">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particularly the reduced visibility of non-verbal cues</w:t>
      </w:r>
      <w:r w:rsidRPr="397920E2" w:rsidR="3498C569">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may complicate diagnosis and reduce perceived empathy. Certain conditions require physical examination, limiting telehealth’s suitability. Clinician training is also variable, with many professionals reporting inadequate preparation for digital care delivery.</w:t>
      </w:r>
    </w:p>
    <w:p xmlns:wp14="http://schemas.microsoft.com/office/word/2010/wordml" w:rsidP="397920E2" wp14:paraId="4928660F" wp14:textId="1698BC24">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Rationale for the Review</w:t>
      </w:r>
    </w:p>
    <w:p xmlns:wp14="http://schemas.microsoft.com/office/word/2010/wordml" w:rsidP="397920E2" wp14:paraId="1A918F17" wp14:textId="58C71071">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Given telehealth’s rapid integration into UK healthcare and the mixed evidence regarding its impact on patient experience, accessibility, and clinical outcomes, a scoping review is essential. This review maps current research, identifies gaps, and evaluates how telehealth influences satisfaction, access, and outcomes in the UK context. Understanding these factors is crucial for ensuring telehealth enhances, rather than disrupts, equitable and effective care.</w:t>
      </w:r>
    </w:p>
    <w:p xmlns:wp14="http://schemas.microsoft.com/office/word/2010/wordml" w:rsidP="397920E2" wp14:paraId="1E6FDB67" wp14:textId="2602D6FE">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97920E2" w:rsidR="7217ED93">
        <w:rPr>
          <w:rFonts w:ascii="Arial" w:hAnsi="Arial" w:eastAsia="Arial" w:cs="Arial"/>
          <w:b w:val="1"/>
          <w:bCs w:val="1"/>
          <w:noProof w:val="0"/>
          <w:color w:val="000000" w:themeColor="text1" w:themeTint="FF" w:themeShade="FF"/>
          <w:sz w:val="22"/>
          <w:szCs w:val="22"/>
          <w:lang w:val="en-GB"/>
        </w:rPr>
        <w:t xml:space="preserve">Methods </w:t>
      </w:r>
    </w:p>
    <w:p xmlns:wp14="http://schemas.microsoft.com/office/word/2010/wordml" w:rsidP="397920E2" wp14:paraId="5B34B8D9" wp14:textId="591B93E4">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This research used a scoping review methodology to explore the impact of telehealth on patient satisfaction, access to care, and clinical outcomes within the UK. Scoping reviews are particularly appropriate for examining broad, complex, and rapidly evolving areas of practice such as digital healthcare. Unlike systematic reviews, which focus on narrowly defined questions and formal quality assessment, scoping reviews aim to map existing evidence, identify key concepts, and highlight gaps in the literature. This approach follows the methodological framework proposed by Arksey and O’Malley (2005) and further refined by Levac, Colquhoun, and O’Brien (2010).</w:t>
      </w:r>
    </w:p>
    <w:p xmlns:wp14="http://schemas.microsoft.com/office/word/2010/wordml" w:rsidP="397920E2" wp14:paraId="796473FB" wp14:textId="7EC4CE14">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Review Question</w:t>
      </w:r>
    </w:p>
    <w:p xmlns:wp14="http://schemas.microsoft.com/office/word/2010/wordml" w:rsidP="397920E2" wp14:paraId="60ADB2E2" wp14:textId="56BB2377">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The central research question guiding this scoping review was:</w:t>
      </w:r>
      <w:r>
        <w:br/>
      </w:r>
      <w:r w:rsidRPr="397920E2" w:rsidR="7217ED93">
        <w:rPr>
          <w:rFonts w:ascii="Arial" w:hAnsi="Arial" w:eastAsia="Arial" w:cs="Arial"/>
          <w:b w:val="0"/>
          <w:bCs w:val="0"/>
          <w:noProof w:val="0"/>
          <w:color w:val="000000" w:themeColor="text1" w:themeTint="FF" w:themeShade="FF"/>
          <w:sz w:val="22"/>
          <w:szCs w:val="22"/>
          <w:lang w:val="en-GB"/>
        </w:rPr>
        <w:t>“What are the effects of telehealth on patient satisfaction, access to care, and clinical outcomes in the UK?”</w:t>
      </w:r>
    </w:p>
    <w:p xmlns:wp14="http://schemas.microsoft.com/office/word/2010/wordml" w:rsidP="397920E2" wp14:paraId="69A46107" wp14:textId="3FAFA162">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This question was designed to capture a wide range of telehealth interventions and outcomes, acknowledging that patient experience is shaped not only by clinical results but also by accessibility, usability, and digital capability. Secondary considerations included digital inequality, clinician training needs, and service delivery challenges.</w:t>
      </w:r>
    </w:p>
    <w:p xmlns:wp14="http://schemas.microsoft.com/office/word/2010/wordml" w:rsidP="397920E2" wp14:paraId="19FC9BC5" wp14:textId="66246AA0">
      <w:pPr>
        <w:spacing w:line="360" w:lineRule="auto"/>
        <w:rPr>
          <w:rFonts w:ascii="Arial" w:hAnsi="Arial" w:eastAsia="Arial" w:cs="Arial"/>
          <w:b w:val="0"/>
          <w:bCs w:val="0"/>
          <w:sz w:val="22"/>
          <w:szCs w:val="22"/>
        </w:rPr>
      </w:pPr>
    </w:p>
    <w:p xmlns:wp14="http://schemas.microsoft.com/office/word/2010/wordml" w:rsidP="397920E2" wp14:paraId="07944F37" wp14:textId="6145FBCA">
      <w:pPr>
        <w:pStyle w:val="Heading2"/>
        <w:spacing w:before="299" w:beforeAutospacing="off" w:after="299"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Search Strategy</w:t>
      </w:r>
    </w:p>
    <w:p xmlns:wp14="http://schemas.microsoft.com/office/word/2010/wordml" w:rsidP="397920E2" wp14:paraId="3798ACD1" wp14:textId="2F3CFACB">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A comprehensive search strategy was developed to identify relevant peer-reviewed studies. The following academic databases were searched:</w:t>
      </w:r>
    </w:p>
    <w:p xmlns:wp14="http://schemas.microsoft.com/office/word/2010/wordml" w:rsidP="397920E2" wp14:paraId="648CF4A9" wp14:textId="0423984E">
      <w:pPr>
        <w:pStyle w:val="ListParagraph"/>
        <w:numPr>
          <w:ilvl w:val="0"/>
          <w:numId w:val="13"/>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PubMed</w:t>
      </w:r>
    </w:p>
    <w:p xmlns:wp14="http://schemas.microsoft.com/office/word/2010/wordml" w:rsidP="397920E2" wp14:paraId="5B7AA02D" wp14:textId="1E7B58D0">
      <w:pPr>
        <w:pStyle w:val="ListParagraph"/>
        <w:numPr>
          <w:ilvl w:val="0"/>
          <w:numId w:val="13"/>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CINAHL</w:t>
      </w:r>
    </w:p>
    <w:p xmlns:wp14="http://schemas.microsoft.com/office/word/2010/wordml" w:rsidP="397920E2" wp14:paraId="09F5C18C" wp14:textId="518022E5">
      <w:pPr>
        <w:pStyle w:val="ListParagraph"/>
        <w:numPr>
          <w:ilvl w:val="0"/>
          <w:numId w:val="13"/>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Scopus</w:t>
      </w:r>
    </w:p>
    <w:p xmlns:wp14="http://schemas.microsoft.com/office/word/2010/wordml" w:rsidP="397920E2" wp14:paraId="7DF9B704" wp14:textId="0A919641">
      <w:pPr>
        <w:pStyle w:val="ListParagraph"/>
        <w:numPr>
          <w:ilvl w:val="0"/>
          <w:numId w:val="13"/>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Google Scholar</w:t>
      </w:r>
      <w:r w:rsidRPr="397920E2" w:rsidR="7217ED93">
        <w:rPr>
          <w:rFonts w:ascii="Arial" w:hAnsi="Arial" w:eastAsia="Arial" w:cs="Arial"/>
          <w:b w:val="0"/>
          <w:bCs w:val="0"/>
          <w:noProof w:val="0"/>
          <w:color w:val="000000" w:themeColor="text1" w:themeTint="FF" w:themeShade="FF"/>
          <w:sz w:val="22"/>
          <w:szCs w:val="22"/>
          <w:lang w:val="en-GB"/>
        </w:rPr>
        <w:t xml:space="preserve"> (used for supplementary searching)</w:t>
      </w:r>
    </w:p>
    <w:p xmlns:wp14="http://schemas.microsoft.com/office/word/2010/wordml" w:rsidP="397920E2" wp14:paraId="280F0B48" wp14:textId="7A674559">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Searches were conducted using combinations of keywords and Boolean operators to capture the breadth of telehealth interventions. Search terms included:</w:t>
      </w:r>
    </w:p>
    <w:p xmlns:wp14="http://schemas.microsoft.com/office/word/2010/wordml" w:rsidP="397920E2" wp14:paraId="79D499CE" wp14:textId="35566631">
      <w:pPr>
        <w:pStyle w:val="ListParagraph"/>
        <w:numPr>
          <w:ilvl w:val="0"/>
          <w:numId w:val="14"/>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i w:val="1"/>
          <w:iCs w:val="1"/>
          <w:noProof w:val="0"/>
          <w:color w:val="000000" w:themeColor="text1" w:themeTint="FF" w:themeShade="FF"/>
          <w:sz w:val="22"/>
          <w:szCs w:val="22"/>
          <w:lang w:val="en-GB"/>
        </w:rPr>
        <w:t>telehealth</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telemedicine</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remote consultations</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video consultations</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telephone consultations</w:t>
      </w:r>
      <w:r w:rsidRPr="397920E2" w:rsidR="7217ED93">
        <w:rPr>
          <w:rFonts w:ascii="Arial" w:hAnsi="Arial" w:eastAsia="Arial" w:cs="Arial"/>
          <w:b w:val="0"/>
          <w:bCs w:val="0"/>
          <w:noProof w:val="0"/>
          <w:color w:val="000000" w:themeColor="text1" w:themeTint="FF" w:themeShade="FF"/>
          <w:sz w:val="22"/>
          <w:szCs w:val="22"/>
          <w:lang w:val="en-GB"/>
        </w:rPr>
        <w:t>,</w:t>
      </w:r>
    </w:p>
    <w:p xmlns:wp14="http://schemas.microsoft.com/office/word/2010/wordml" w:rsidP="397920E2" wp14:paraId="066052F1" wp14:textId="01FF8466">
      <w:pPr>
        <w:pStyle w:val="ListParagraph"/>
        <w:numPr>
          <w:ilvl w:val="0"/>
          <w:numId w:val="14"/>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i w:val="1"/>
          <w:iCs w:val="1"/>
          <w:noProof w:val="0"/>
          <w:color w:val="000000" w:themeColor="text1" w:themeTint="FF" w:themeShade="FF"/>
          <w:sz w:val="22"/>
          <w:szCs w:val="22"/>
          <w:lang w:val="en-GB"/>
        </w:rPr>
        <w:t>remote monitoring</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digital health</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mobile health</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patient outcomes</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clinical outcomes</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UK</w:t>
      </w:r>
      <w:r w:rsidRPr="397920E2" w:rsidR="7217ED93">
        <w:rPr>
          <w:rFonts w:ascii="Arial" w:hAnsi="Arial" w:eastAsia="Arial" w:cs="Arial"/>
          <w:b w:val="0"/>
          <w:bCs w:val="0"/>
          <w:noProof w:val="0"/>
          <w:color w:val="000000" w:themeColor="text1" w:themeTint="FF" w:themeShade="FF"/>
          <w:sz w:val="22"/>
          <w:szCs w:val="22"/>
          <w:lang w:val="en-GB"/>
        </w:rPr>
        <w:t>.</w:t>
      </w:r>
    </w:p>
    <w:p xmlns:wp14="http://schemas.microsoft.com/office/word/2010/wordml" w:rsidP="397920E2" wp14:paraId="1B5BB827" wp14:textId="056001DD">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Truncation (e.g., </w:t>
      </w:r>
      <w:r w:rsidRPr="397920E2" w:rsidR="7217ED93">
        <w:rPr>
          <w:rFonts w:ascii="Arial" w:hAnsi="Arial" w:eastAsia="Arial" w:cs="Arial"/>
          <w:b w:val="0"/>
          <w:bCs w:val="0"/>
          <w:i w:val="1"/>
          <w:iCs w:val="1"/>
          <w:noProof w:val="0"/>
          <w:color w:val="000000" w:themeColor="text1" w:themeTint="FF" w:themeShade="FF"/>
          <w:sz w:val="22"/>
          <w:szCs w:val="22"/>
          <w:lang w:val="en-GB"/>
        </w:rPr>
        <w:t>tele-</w:t>
      </w:r>
      <w:r w:rsidRPr="397920E2" w:rsidR="7217ED93">
        <w:rPr>
          <w:rFonts w:ascii="Arial" w:hAnsi="Arial" w:eastAsia="Arial" w:cs="Arial"/>
          <w:b w:val="0"/>
          <w:bCs w:val="0"/>
          <w:noProof w:val="0"/>
          <w:color w:val="000000" w:themeColor="text1" w:themeTint="FF" w:themeShade="FF"/>
          <w:sz w:val="22"/>
          <w:szCs w:val="22"/>
          <w:lang w:val="en-GB"/>
        </w:rPr>
        <w:t>), phrase searching, and Boolean operators (</w:t>
      </w:r>
      <w:r w:rsidRPr="397920E2" w:rsidR="7217ED93">
        <w:rPr>
          <w:rFonts w:ascii="Arial" w:hAnsi="Arial" w:eastAsia="Arial" w:cs="Arial"/>
          <w:b w:val="0"/>
          <w:bCs w:val="0"/>
          <w:i w:val="1"/>
          <w:iCs w:val="1"/>
          <w:noProof w:val="0"/>
          <w:color w:val="000000" w:themeColor="text1" w:themeTint="FF" w:themeShade="FF"/>
          <w:sz w:val="22"/>
          <w:szCs w:val="22"/>
          <w:lang w:val="en-GB"/>
        </w:rPr>
        <w:t>AND</w:t>
      </w:r>
      <w:r w:rsidRPr="397920E2" w:rsidR="7217ED93">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i w:val="1"/>
          <w:iCs w:val="1"/>
          <w:noProof w:val="0"/>
          <w:color w:val="000000" w:themeColor="text1" w:themeTint="FF" w:themeShade="FF"/>
          <w:sz w:val="22"/>
          <w:szCs w:val="22"/>
          <w:lang w:val="en-GB"/>
        </w:rPr>
        <w:t>OR</w:t>
      </w:r>
      <w:r w:rsidRPr="397920E2" w:rsidR="7217ED93">
        <w:rPr>
          <w:rFonts w:ascii="Arial" w:hAnsi="Arial" w:eastAsia="Arial" w:cs="Arial"/>
          <w:b w:val="0"/>
          <w:bCs w:val="0"/>
          <w:noProof w:val="0"/>
          <w:color w:val="000000" w:themeColor="text1" w:themeTint="FF" w:themeShade="FF"/>
          <w:sz w:val="22"/>
          <w:szCs w:val="22"/>
          <w:lang w:val="en-GB"/>
        </w:rPr>
        <w:t>) were used to refine results. Additional grey literature, such as NHS Digital and Healthwatch England reports, was reviewed only to provide contextual background, not for analysis.</w:t>
      </w:r>
    </w:p>
    <w:p xmlns:wp14="http://schemas.microsoft.com/office/word/2010/wordml" w:rsidP="397920E2" wp14:paraId="14581F22" wp14:textId="6C12CC9D">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Reference lists of included studies were hand-searched to identify additional eligible papers.</w:t>
      </w:r>
    </w:p>
    <w:p xmlns:wp14="http://schemas.microsoft.com/office/word/2010/wordml" w:rsidP="397920E2" wp14:paraId="2931F038" wp14:textId="6A5AECA8">
      <w:pPr>
        <w:spacing w:line="360" w:lineRule="auto"/>
        <w:rPr>
          <w:rFonts w:ascii="Arial" w:hAnsi="Arial" w:eastAsia="Arial" w:cs="Arial"/>
          <w:b w:val="0"/>
          <w:bCs w:val="0"/>
          <w:sz w:val="22"/>
          <w:szCs w:val="22"/>
        </w:rPr>
      </w:pPr>
    </w:p>
    <w:p xmlns:wp14="http://schemas.microsoft.com/office/word/2010/wordml" w:rsidP="397920E2" wp14:paraId="30E568A4" wp14:textId="1D1BC4CC">
      <w:pPr>
        <w:pStyle w:val="Heading2"/>
        <w:spacing w:before="299" w:beforeAutospacing="off" w:after="299"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Eligibility Criteria</w:t>
      </w:r>
    </w:p>
    <w:p xmlns:wp14="http://schemas.microsoft.com/office/word/2010/wordml" w:rsidP="397920E2" wp14:paraId="21726E81" wp14:textId="63F1101E">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Inclusion Criteria</w:t>
      </w:r>
    </w:p>
    <w:p xmlns:wp14="http://schemas.microsoft.com/office/word/2010/wordml" w:rsidP="397920E2" wp14:paraId="4612FFC8" wp14:textId="74B7FD81">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Primary or secondary </w:t>
      </w:r>
      <w:r w:rsidRPr="397920E2" w:rsidR="7217ED93">
        <w:rPr>
          <w:rFonts w:ascii="Arial" w:hAnsi="Arial" w:eastAsia="Arial" w:cs="Arial"/>
          <w:b w:val="0"/>
          <w:bCs w:val="0"/>
          <w:noProof w:val="0"/>
          <w:color w:val="000000" w:themeColor="text1" w:themeTint="FF" w:themeShade="FF"/>
          <w:sz w:val="22"/>
          <w:szCs w:val="22"/>
          <w:lang w:val="en-GB"/>
        </w:rPr>
        <w:t>peer-reviewed research studies</w:t>
      </w:r>
    </w:p>
    <w:p xmlns:wp14="http://schemas.microsoft.com/office/word/2010/wordml" w:rsidP="397920E2" wp14:paraId="64F9AF82" wp14:textId="5BE80B81">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Conducted </w:t>
      </w:r>
      <w:r w:rsidRPr="397920E2" w:rsidR="7217ED93">
        <w:rPr>
          <w:rFonts w:ascii="Arial" w:hAnsi="Arial" w:eastAsia="Arial" w:cs="Arial"/>
          <w:b w:val="0"/>
          <w:bCs w:val="0"/>
          <w:noProof w:val="0"/>
          <w:color w:val="000000" w:themeColor="text1" w:themeTint="FF" w:themeShade="FF"/>
          <w:sz w:val="22"/>
          <w:szCs w:val="22"/>
          <w:lang w:val="en-GB"/>
        </w:rPr>
        <w:t>within the UK</w:t>
      </w:r>
    </w:p>
    <w:p xmlns:wp14="http://schemas.microsoft.com/office/word/2010/wordml" w:rsidP="397920E2" wp14:paraId="716296AD" wp14:textId="16D683A7">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Published between </w:t>
      </w:r>
      <w:r w:rsidRPr="397920E2" w:rsidR="7217ED93">
        <w:rPr>
          <w:rFonts w:ascii="Arial" w:hAnsi="Arial" w:eastAsia="Arial" w:cs="Arial"/>
          <w:b w:val="0"/>
          <w:bCs w:val="0"/>
          <w:noProof w:val="0"/>
          <w:color w:val="000000" w:themeColor="text1" w:themeTint="FF" w:themeShade="FF"/>
          <w:sz w:val="22"/>
          <w:szCs w:val="22"/>
          <w:lang w:val="en-GB"/>
        </w:rPr>
        <w:t>2019 and 2024</w:t>
      </w:r>
      <w:r w:rsidRPr="397920E2" w:rsidR="7217ED93">
        <w:rPr>
          <w:rFonts w:ascii="Arial" w:hAnsi="Arial" w:eastAsia="Arial" w:cs="Arial"/>
          <w:b w:val="0"/>
          <w:bCs w:val="0"/>
          <w:noProof w:val="0"/>
          <w:color w:val="000000" w:themeColor="text1" w:themeTint="FF" w:themeShade="FF"/>
          <w:sz w:val="22"/>
          <w:szCs w:val="22"/>
          <w:lang w:val="en-GB"/>
        </w:rPr>
        <w:t>, reflecting contemporary telehealth practice</w:t>
      </w:r>
    </w:p>
    <w:p xmlns:wp14="http://schemas.microsoft.com/office/word/2010/wordml" w:rsidP="397920E2" wp14:paraId="029F0188" wp14:textId="1D2CADAF">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Examined telehealth interventions such as video or telephone consultations, remote monitoring, or mobile health apps</w:t>
      </w:r>
    </w:p>
    <w:p xmlns:wp14="http://schemas.microsoft.com/office/word/2010/wordml" w:rsidP="397920E2" wp14:paraId="0C871BD3" wp14:textId="304426EE">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Reported </w:t>
      </w:r>
      <w:r w:rsidRPr="397920E2" w:rsidR="7217ED93">
        <w:rPr>
          <w:rFonts w:ascii="Arial" w:hAnsi="Arial" w:eastAsia="Arial" w:cs="Arial"/>
          <w:b w:val="0"/>
          <w:bCs w:val="0"/>
          <w:noProof w:val="0"/>
          <w:color w:val="000000" w:themeColor="text1" w:themeTint="FF" w:themeShade="FF"/>
          <w:sz w:val="22"/>
          <w:szCs w:val="22"/>
          <w:lang w:val="en-GB"/>
        </w:rPr>
        <w:t>patient-centred outcomes</w:t>
      </w:r>
      <w:r w:rsidRPr="397920E2" w:rsidR="7217ED93">
        <w:rPr>
          <w:rFonts w:ascii="Arial" w:hAnsi="Arial" w:eastAsia="Arial" w:cs="Arial"/>
          <w:b w:val="0"/>
          <w:bCs w:val="0"/>
          <w:noProof w:val="0"/>
          <w:color w:val="000000" w:themeColor="text1" w:themeTint="FF" w:themeShade="FF"/>
          <w:sz w:val="22"/>
          <w:szCs w:val="22"/>
          <w:lang w:val="en-GB"/>
        </w:rPr>
        <w:t xml:space="preserve"> (satisfaction, access) and/or </w:t>
      </w:r>
      <w:r w:rsidRPr="397920E2" w:rsidR="7217ED93">
        <w:rPr>
          <w:rFonts w:ascii="Arial" w:hAnsi="Arial" w:eastAsia="Arial" w:cs="Arial"/>
          <w:b w:val="0"/>
          <w:bCs w:val="0"/>
          <w:noProof w:val="0"/>
          <w:color w:val="000000" w:themeColor="text1" w:themeTint="FF" w:themeShade="FF"/>
          <w:sz w:val="22"/>
          <w:szCs w:val="22"/>
          <w:lang w:val="en-GB"/>
        </w:rPr>
        <w:t>clinical outcomes</w:t>
      </w:r>
    </w:p>
    <w:p xmlns:wp14="http://schemas.microsoft.com/office/word/2010/wordml" w:rsidP="397920E2" wp14:paraId="223B24D5" wp14:textId="05A11954">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Exclusion Criteria</w:t>
      </w:r>
    </w:p>
    <w:p xmlns:wp14="http://schemas.microsoft.com/office/word/2010/wordml" w:rsidP="397920E2" wp14:paraId="692270EC" wp14:textId="04BFEFAE">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Editorials, commentaries, policy papers, or opinion pieces</w:t>
      </w:r>
    </w:p>
    <w:p xmlns:wp14="http://schemas.microsoft.com/office/word/2010/wordml" w:rsidP="397920E2" wp14:paraId="282F9E46" wp14:textId="068DDDA6">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Non-UK studies</w:t>
      </w:r>
    </w:p>
    <w:p xmlns:wp14="http://schemas.microsoft.com/office/word/2010/wordml" w:rsidP="397920E2" wp14:paraId="401A54EB" wp14:textId="447CB9B5">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Conference abstracts or dissertations</w:t>
      </w:r>
    </w:p>
    <w:p xmlns:wp14="http://schemas.microsoft.com/office/word/2010/wordml" w:rsidP="397920E2" wp14:paraId="4439ED9B" wp14:textId="6FB8FCD6">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Studies not available in English</w:t>
      </w:r>
    </w:p>
    <w:p xmlns:wp14="http://schemas.microsoft.com/office/word/2010/wordml" w:rsidP="397920E2" wp14:paraId="572B756A" wp14:textId="5EEE94E2">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Research not involving telehealth or not reporting relevant outcomes</w:t>
      </w:r>
    </w:p>
    <w:p xmlns:wp14="http://schemas.microsoft.com/office/word/2010/wordml" w:rsidP="397920E2" wp14:paraId="2CE0477F" wp14:textId="46093259">
      <w:pPr>
        <w:spacing w:line="360" w:lineRule="auto"/>
        <w:rPr>
          <w:rFonts w:ascii="Arial" w:hAnsi="Arial" w:eastAsia="Arial" w:cs="Arial"/>
          <w:b w:val="0"/>
          <w:bCs w:val="0"/>
          <w:sz w:val="22"/>
          <w:szCs w:val="22"/>
        </w:rPr>
      </w:pPr>
    </w:p>
    <w:p xmlns:wp14="http://schemas.microsoft.com/office/word/2010/wordml" w:rsidP="397920E2" wp14:paraId="422B9271" wp14:textId="4A27B3FB">
      <w:pPr>
        <w:pStyle w:val="Heading2"/>
        <w:spacing w:before="299" w:beforeAutospacing="off" w:after="299"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Study Selection Process</w:t>
      </w:r>
    </w:p>
    <w:p xmlns:wp14="http://schemas.microsoft.com/office/word/2010/wordml" w:rsidP="397920E2" wp14:paraId="71E042B1" wp14:textId="0356A29E">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An initial</w:t>
      </w:r>
      <w:r w:rsidRPr="397920E2" w:rsidR="7217ED93">
        <w:rPr>
          <w:rFonts w:ascii="Arial" w:hAnsi="Arial" w:eastAsia="Arial" w:cs="Arial"/>
          <w:b w:val="0"/>
          <w:bCs w:val="0"/>
          <w:noProof w:val="0"/>
          <w:color w:val="000000" w:themeColor="text1" w:themeTint="FF" w:themeShade="FF"/>
          <w:sz w:val="22"/>
          <w:szCs w:val="22"/>
          <w:lang w:val="en-GB"/>
        </w:rPr>
        <w:t xml:space="preserve"> screening of titles and abstracts was carried out to remove studies that clearly did not meet inclusion criteria. Full</w:t>
      </w:r>
      <w:r w:rsidRPr="397920E2" w:rsidR="6ADE96A1">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text screening was then conducted to confirm eligibility and ensure each study provided sufficient detail for extraction and thematic synthesis. A total of five UK</w:t>
      </w:r>
      <w:r w:rsidRPr="397920E2" w:rsidR="7418157B">
        <w:rPr>
          <w:rFonts w:ascii="Arial" w:hAnsi="Arial" w:eastAsia="Arial" w:cs="Arial"/>
          <w:b w:val="0"/>
          <w:bCs w:val="0"/>
          <w:noProof w:val="0"/>
          <w:color w:val="000000" w:themeColor="text1" w:themeTint="FF" w:themeShade="FF"/>
          <w:sz w:val="22"/>
          <w:szCs w:val="22"/>
          <w:lang w:val="en-GB"/>
        </w:rPr>
        <w:t xml:space="preserve"> </w:t>
      </w:r>
      <w:r w:rsidRPr="397920E2" w:rsidR="7217ED93">
        <w:rPr>
          <w:rFonts w:ascii="Arial" w:hAnsi="Arial" w:eastAsia="Arial" w:cs="Arial"/>
          <w:b w:val="0"/>
          <w:bCs w:val="0"/>
          <w:noProof w:val="0"/>
          <w:color w:val="000000" w:themeColor="text1" w:themeTint="FF" w:themeShade="FF"/>
          <w:sz w:val="22"/>
          <w:szCs w:val="22"/>
          <w:lang w:val="en-GB"/>
        </w:rPr>
        <w:t xml:space="preserve">based studies were </w:t>
      </w:r>
      <w:r w:rsidRPr="397920E2" w:rsidR="29CE8986">
        <w:rPr>
          <w:rFonts w:ascii="Arial" w:hAnsi="Arial" w:eastAsia="Arial" w:cs="Arial"/>
          <w:b w:val="0"/>
          <w:bCs w:val="0"/>
          <w:noProof w:val="0"/>
          <w:color w:val="000000" w:themeColor="text1" w:themeTint="FF" w:themeShade="FF"/>
          <w:sz w:val="22"/>
          <w:szCs w:val="22"/>
          <w:lang w:val="en-GB"/>
        </w:rPr>
        <w:t>included</w:t>
      </w:r>
      <w:r w:rsidRPr="397920E2" w:rsidR="7217ED93">
        <w:rPr>
          <w:rFonts w:ascii="Arial" w:hAnsi="Arial" w:eastAsia="Arial" w:cs="Arial"/>
          <w:b w:val="0"/>
          <w:bCs w:val="0"/>
          <w:noProof w:val="0"/>
          <w:color w:val="000000" w:themeColor="text1" w:themeTint="FF" w:themeShade="FF"/>
          <w:sz w:val="22"/>
          <w:szCs w:val="22"/>
          <w:lang w:val="en-GB"/>
        </w:rPr>
        <w:t xml:space="preserve"> in the review, </w:t>
      </w:r>
      <w:r w:rsidRPr="397920E2" w:rsidR="7217ED93">
        <w:rPr>
          <w:rFonts w:ascii="Arial" w:hAnsi="Arial" w:eastAsia="Arial" w:cs="Arial"/>
          <w:b w:val="0"/>
          <w:bCs w:val="0"/>
          <w:noProof w:val="0"/>
          <w:color w:val="000000" w:themeColor="text1" w:themeTint="FF" w:themeShade="FF"/>
          <w:sz w:val="22"/>
          <w:szCs w:val="22"/>
          <w:lang w:val="en-GB"/>
        </w:rPr>
        <w:t>representing</w:t>
      </w:r>
      <w:r w:rsidRPr="397920E2" w:rsidR="7217ED93">
        <w:rPr>
          <w:rFonts w:ascii="Arial" w:hAnsi="Arial" w:eastAsia="Arial" w:cs="Arial"/>
          <w:b w:val="0"/>
          <w:bCs w:val="0"/>
          <w:noProof w:val="0"/>
          <w:color w:val="000000" w:themeColor="text1" w:themeTint="FF" w:themeShade="FF"/>
          <w:sz w:val="22"/>
          <w:szCs w:val="22"/>
          <w:lang w:val="en-GB"/>
        </w:rPr>
        <w:t xml:space="preserve"> qualitative, quantitative, mixed-methods, longitudinal, and randomised controlled trial designs.</w:t>
      </w:r>
    </w:p>
    <w:p xmlns:wp14="http://schemas.microsoft.com/office/word/2010/wordml" w:rsidP="397920E2" wp14:paraId="015BF3DC" wp14:textId="3D5C63BD">
      <w:pPr>
        <w:spacing w:line="360" w:lineRule="auto"/>
        <w:rPr>
          <w:rFonts w:ascii="Arial" w:hAnsi="Arial" w:eastAsia="Arial" w:cs="Arial"/>
          <w:b w:val="0"/>
          <w:bCs w:val="0"/>
          <w:sz w:val="22"/>
          <w:szCs w:val="22"/>
        </w:rPr>
      </w:pPr>
    </w:p>
    <w:p xmlns:wp14="http://schemas.microsoft.com/office/word/2010/wordml" w:rsidP="397920E2" wp14:paraId="03321E51" wp14:textId="52EE4BAB">
      <w:pPr>
        <w:pStyle w:val="Heading2"/>
        <w:spacing w:before="299" w:beforeAutospacing="off" w:after="299"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Data Charting</w:t>
      </w:r>
    </w:p>
    <w:p xmlns:wp14="http://schemas.microsoft.com/office/word/2010/wordml" w:rsidP="397920E2" wp14:paraId="796461B7" wp14:textId="7CE07076">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Data were extracted using a structured data charting form developed for this review. Key information extracted included:</w:t>
      </w:r>
    </w:p>
    <w:p xmlns:wp14="http://schemas.microsoft.com/office/word/2010/wordml" w:rsidP="397920E2" wp14:paraId="3FAC7AC3" wp14:textId="7D74AE8D">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Author(s) and year</w:t>
      </w:r>
    </w:p>
    <w:p xmlns:wp14="http://schemas.microsoft.com/office/word/2010/wordml" w:rsidP="397920E2" wp14:paraId="707ACF72" wp14:textId="3E9F6A59">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 xml:space="preserve">Study </w:t>
      </w:r>
      <w:bookmarkStart w:name="_Int_siuoMAXl" w:id="277158338"/>
      <w:r w:rsidRPr="397920E2" w:rsidR="7217ED93">
        <w:rPr>
          <w:rFonts w:ascii="Arial" w:hAnsi="Arial" w:eastAsia="Arial" w:cs="Arial"/>
          <w:b w:val="0"/>
          <w:bCs w:val="0"/>
          <w:noProof w:val="0"/>
          <w:color w:val="000000" w:themeColor="text1" w:themeTint="FF" w:themeShade="FF"/>
          <w:sz w:val="22"/>
          <w:szCs w:val="22"/>
          <w:lang w:val="en-GB"/>
        </w:rPr>
        <w:t>aim</w:t>
      </w:r>
      <w:bookmarkEnd w:id="277158338"/>
      <w:r w:rsidRPr="397920E2" w:rsidR="7217ED93">
        <w:rPr>
          <w:rFonts w:ascii="Arial" w:hAnsi="Arial" w:eastAsia="Arial" w:cs="Arial"/>
          <w:b w:val="0"/>
          <w:bCs w:val="0"/>
          <w:noProof w:val="0"/>
          <w:color w:val="000000" w:themeColor="text1" w:themeTint="FF" w:themeShade="FF"/>
          <w:sz w:val="22"/>
          <w:szCs w:val="22"/>
          <w:lang w:val="en-GB"/>
        </w:rPr>
        <w:t xml:space="preserve"> and design</w:t>
      </w:r>
    </w:p>
    <w:p xmlns:wp14="http://schemas.microsoft.com/office/word/2010/wordml" w:rsidP="397920E2" wp14:paraId="7C4957C0" wp14:textId="29FCBB66">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Sample characteristics and population details</w:t>
      </w:r>
    </w:p>
    <w:p xmlns:wp14="http://schemas.microsoft.com/office/word/2010/wordml" w:rsidP="397920E2" wp14:paraId="6EC938AD" wp14:textId="62591BA1">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Telehealth intervention type</w:t>
      </w:r>
    </w:p>
    <w:p xmlns:wp14="http://schemas.microsoft.com/office/word/2010/wordml" w:rsidP="397920E2" wp14:paraId="60566A20" wp14:textId="0F9D0659">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Reported outcomes relating to patient satisfaction, access, clinical effectiveness, or digital inequalities</w:t>
      </w:r>
    </w:p>
    <w:p xmlns:wp14="http://schemas.microsoft.com/office/word/2010/wordml" w:rsidP="397920E2" wp14:paraId="590A644F" wp14:textId="03B36DFA">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Identified limitations</w:t>
      </w:r>
    </w:p>
    <w:p xmlns:wp14="http://schemas.microsoft.com/office/word/2010/wordml" w:rsidP="397920E2" wp14:paraId="5C22F34B" wp14:textId="5F773AE1">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This approach ensured consistency and transparency throughout the data extraction process.</w:t>
      </w:r>
    </w:p>
    <w:p xmlns:wp14="http://schemas.microsoft.com/office/word/2010/wordml" w:rsidP="397920E2" wp14:paraId="1AEAC7AF" wp14:textId="51C3CA61">
      <w:pPr>
        <w:spacing w:line="360" w:lineRule="auto"/>
        <w:rPr>
          <w:rFonts w:ascii="Arial" w:hAnsi="Arial" w:eastAsia="Arial" w:cs="Arial"/>
          <w:b w:val="0"/>
          <w:bCs w:val="0"/>
          <w:sz w:val="22"/>
          <w:szCs w:val="22"/>
        </w:rPr>
      </w:pPr>
    </w:p>
    <w:p xmlns:wp14="http://schemas.microsoft.com/office/word/2010/wordml" w:rsidP="397920E2" wp14:paraId="59C7C88E" wp14:textId="1A906625">
      <w:pPr>
        <w:pStyle w:val="Heading2"/>
        <w:spacing w:before="299" w:beforeAutospacing="off" w:after="299"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Data Analysis</w:t>
      </w:r>
    </w:p>
    <w:p xmlns:wp14="http://schemas.microsoft.com/office/word/2010/wordml" w:rsidP="397920E2" wp14:paraId="10B42E1C" wp14:textId="704C8E35">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Thematic analysis was conducted following Braun and Clarke’s (2006) six-step framework. After familiarisation with each study, initial codes were generated relating to telehealth outcomes and barriers. Codes were grouped into broader categories, which were then reviewed and refined into five overarching themes:</w:t>
      </w:r>
    </w:p>
    <w:p xmlns:wp14="http://schemas.microsoft.com/office/word/2010/wordml" w:rsidP="397920E2" wp14:paraId="60F8A0F1" wp14:textId="719C6CB9">
      <w:pPr>
        <w:pStyle w:val="ListParagraph"/>
        <w:numPr>
          <w:ilvl w:val="0"/>
          <w:numId w:val="18"/>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Patient Satisfaction</w:t>
      </w:r>
    </w:p>
    <w:p xmlns:wp14="http://schemas.microsoft.com/office/word/2010/wordml" w:rsidP="397920E2" wp14:paraId="00185C28" wp14:textId="3E75E31F">
      <w:pPr>
        <w:pStyle w:val="ListParagraph"/>
        <w:numPr>
          <w:ilvl w:val="0"/>
          <w:numId w:val="18"/>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Access to Care</w:t>
      </w:r>
    </w:p>
    <w:p xmlns:wp14="http://schemas.microsoft.com/office/word/2010/wordml" w:rsidP="397920E2" wp14:paraId="4411E309" wp14:textId="44BCB605">
      <w:pPr>
        <w:pStyle w:val="ListParagraph"/>
        <w:numPr>
          <w:ilvl w:val="0"/>
          <w:numId w:val="18"/>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Clinical Outcomes</w:t>
      </w:r>
    </w:p>
    <w:p xmlns:wp14="http://schemas.microsoft.com/office/word/2010/wordml" w:rsidP="397920E2" wp14:paraId="30615FF0" wp14:textId="3645BD15">
      <w:pPr>
        <w:pStyle w:val="ListParagraph"/>
        <w:numPr>
          <w:ilvl w:val="0"/>
          <w:numId w:val="18"/>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Digital Inequalities</w:t>
      </w:r>
    </w:p>
    <w:p xmlns:wp14="http://schemas.microsoft.com/office/word/2010/wordml" w:rsidP="397920E2" wp14:paraId="69AE02A4" wp14:textId="7AC8D8FE">
      <w:pPr>
        <w:pStyle w:val="ListParagraph"/>
        <w:numPr>
          <w:ilvl w:val="0"/>
          <w:numId w:val="18"/>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Training and Support</w:t>
      </w:r>
    </w:p>
    <w:p xmlns:wp14="http://schemas.microsoft.com/office/word/2010/wordml" w:rsidP="397920E2" wp14:paraId="49857029" wp14:textId="4DB5935B">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Themes were compared across studies to identify similarities, differences, and patterns in how telehealth affects patient experiences and outcomes.</w:t>
      </w:r>
    </w:p>
    <w:p xmlns:wp14="http://schemas.microsoft.com/office/word/2010/wordml" w:rsidP="397920E2" wp14:paraId="403CDCE7" wp14:textId="197CA7C3">
      <w:pPr>
        <w:spacing w:line="360" w:lineRule="auto"/>
        <w:rPr>
          <w:rFonts w:ascii="Arial" w:hAnsi="Arial" w:eastAsia="Arial" w:cs="Arial"/>
          <w:b w:val="0"/>
          <w:bCs w:val="0"/>
          <w:sz w:val="22"/>
          <w:szCs w:val="22"/>
        </w:rPr>
      </w:pPr>
    </w:p>
    <w:p xmlns:wp14="http://schemas.microsoft.com/office/word/2010/wordml" w:rsidP="397920E2" wp14:paraId="0E21B876" wp14:textId="4BD9D7D6">
      <w:pPr>
        <w:pStyle w:val="Heading2"/>
        <w:spacing w:before="299" w:beforeAutospacing="off" w:after="299"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Ethical Considerations</w:t>
      </w:r>
    </w:p>
    <w:p xmlns:wp14="http://schemas.microsoft.com/office/word/2010/wordml" w:rsidP="397920E2" wp14:paraId="2A6B644B" wp14:textId="0660573A">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As this study involved secondary research using already published literature, ethical approval was not required. However, principles of research integrity were followed, including accurate referencing, transparent reporting, and avoidance of bias during study selection and analysis.</w:t>
      </w:r>
    </w:p>
    <w:p xmlns:wp14="http://schemas.microsoft.com/office/word/2010/wordml" w:rsidP="397920E2" wp14:paraId="2176E44E" wp14:textId="6DC0A96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97920E2" w:rsidR="7217ED93">
        <w:rPr>
          <w:rFonts w:ascii="Arial" w:hAnsi="Arial" w:eastAsia="Arial" w:cs="Arial"/>
          <w:b w:val="1"/>
          <w:bCs w:val="1"/>
          <w:noProof w:val="0"/>
          <w:color w:val="000000" w:themeColor="text1" w:themeTint="FF" w:themeShade="FF"/>
          <w:sz w:val="22"/>
          <w:szCs w:val="22"/>
          <w:lang w:val="en-GB"/>
        </w:rPr>
        <w:t xml:space="preserve">Results </w:t>
      </w:r>
    </w:p>
    <w:p xmlns:wp14="http://schemas.microsoft.com/office/word/2010/wordml" w:rsidP="397920E2" wp14:paraId="0DD3755C" wp14:textId="5AD54105">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7217ED93">
        <w:rPr>
          <w:rFonts w:ascii="Arial" w:hAnsi="Arial" w:eastAsia="Arial" w:cs="Arial"/>
          <w:b w:val="0"/>
          <w:bCs w:val="0"/>
          <w:noProof w:val="0"/>
          <w:color w:val="000000" w:themeColor="text1" w:themeTint="FF" w:themeShade="FF"/>
          <w:sz w:val="22"/>
          <w:szCs w:val="22"/>
          <w:lang w:val="en-GB"/>
        </w:rPr>
        <w:t>The scoping review identified five peer-reviewed studies conducted in the UK between 2019 and 2024 that met the inclusion criteria. These studies examined the implementation and outcomes of telehealth interventions in various healthcare settings, including primary care, outpatient clinics, and mental health services. The selected studies consisted of two mixed-methods studies, one randomised controlled trial (RCT), and two qualitative studies, providing a combination of quantitative outcome data and patient-reported experiences. Table 1 summarises key characteristics of the included studies.</w:t>
      </w:r>
    </w:p>
    <w:p xmlns:wp14="http://schemas.microsoft.com/office/word/2010/wordml" w:rsidP="397920E2" wp14:paraId="550E3F30" wp14:textId="739EC194">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p>
    <w:p xmlns:wp14="http://schemas.microsoft.com/office/word/2010/wordml" w:rsidP="397920E2" wp14:paraId="3CCC7E6E" wp14:textId="311A472D">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p>
    <w:p xmlns:wp14="http://schemas.microsoft.com/office/word/2010/wordml" w:rsidP="397920E2" wp14:paraId="31BF6232" wp14:textId="288EC13C">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p>
    <w:tbl>
      <w:tblPr>
        <w:tblStyle w:val="TableGridLight"/>
        <w:bidiVisual w:val="0"/>
        <w:tblW w:w="0" w:type="auto"/>
        <w:tblLayout w:type="fixed"/>
        <w:tblLook w:val="06A0" w:firstRow="1" w:lastRow="0" w:firstColumn="1" w:lastColumn="0" w:noHBand="1" w:noVBand="1"/>
      </w:tblPr>
      <w:tblGrid>
        <w:gridCol w:w="997"/>
        <w:gridCol w:w="294"/>
        <w:gridCol w:w="1380"/>
        <w:gridCol w:w="1665"/>
        <w:gridCol w:w="1994"/>
        <w:gridCol w:w="2686"/>
      </w:tblGrid>
      <w:tr w:rsidR="397920E2" w:rsidTr="397920E2" w14:paraId="01CA9D86">
        <w:trPr>
          <w:trHeight w:val="300"/>
        </w:trPr>
        <w:tc>
          <w:tcPr>
            <w:cnfStyle w:val="001000000000" w:firstRow="0" w:lastRow="0" w:firstColumn="1" w:lastColumn="0" w:oddVBand="0" w:evenVBand="0" w:oddHBand="0" w:evenHBand="0" w:firstRowFirstColumn="0" w:firstRowLastColumn="0" w:lastRowFirstColumn="0" w:lastRowLastColumn="0"/>
            <w:tcW w:w="997" w:type="dxa"/>
            <w:tcMar/>
          </w:tcPr>
          <w:p w:rsidR="397920E2" w:rsidP="397920E2" w:rsidRDefault="397920E2" w14:paraId="0FC9903C" w14:textId="0F71458D">
            <w:pPr>
              <w:spacing w:before="0" w:beforeAutospacing="off" w:after="0" w:afterAutospacing="off" w:line="360" w:lineRule="auto"/>
              <w:jc w:val="center"/>
              <w:rPr>
                <w:rFonts w:ascii="Arial" w:hAnsi="Arial" w:eastAsia="Arial" w:cs="Arial"/>
                <w:b w:val="0"/>
                <w:bCs w:val="0"/>
                <w:sz w:val="22"/>
                <w:szCs w:val="22"/>
              </w:rPr>
            </w:pPr>
            <w:r w:rsidRPr="397920E2" w:rsidR="397920E2">
              <w:rPr>
                <w:rFonts w:ascii="Arial" w:hAnsi="Arial" w:eastAsia="Arial" w:cs="Arial"/>
                <w:b w:val="0"/>
                <w:bCs w:val="0"/>
                <w:sz w:val="22"/>
                <w:szCs w:val="22"/>
              </w:rPr>
              <w:t>Author(s)</w:t>
            </w:r>
          </w:p>
        </w:tc>
        <w:tc>
          <w:tcPr>
            <w:cnfStyle w:val="000000000000" w:firstRow="0" w:lastRow="0" w:firstColumn="0" w:lastColumn="0" w:oddVBand="0" w:evenVBand="0" w:oddHBand="0" w:evenHBand="0" w:firstRowFirstColumn="0" w:firstRowLastColumn="0" w:lastRowFirstColumn="0" w:lastRowLastColumn="0"/>
            <w:tcW w:w="294" w:type="dxa"/>
            <w:tcMar/>
          </w:tcPr>
          <w:p w:rsidR="397920E2" w:rsidP="397920E2" w:rsidRDefault="397920E2" w14:paraId="25B879CF" w14:textId="530089D0">
            <w:pPr>
              <w:spacing w:before="0" w:beforeAutospacing="off" w:after="0" w:afterAutospacing="off" w:line="360" w:lineRule="auto"/>
              <w:jc w:val="center"/>
              <w:rPr>
                <w:rFonts w:ascii="Arial" w:hAnsi="Arial" w:eastAsia="Arial" w:cs="Arial"/>
                <w:b w:val="0"/>
                <w:bCs w:val="0"/>
                <w:sz w:val="22"/>
                <w:szCs w:val="22"/>
              </w:rPr>
            </w:pPr>
            <w:r w:rsidRPr="397920E2" w:rsidR="397920E2">
              <w:rPr>
                <w:rFonts w:ascii="Arial" w:hAnsi="Arial" w:eastAsia="Arial" w:cs="Arial"/>
                <w:b w:val="0"/>
                <w:bCs w:val="0"/>
                <w:sz w:val="22"/>
                <w:szCs w:val="22"/>
              </w:rPr>
              <w:t>Year</w:t>
            </w:r>
          </w:p>
        </w:tc>
        <w:tc>
          <w:tcPr>
            <w:cnfStyle w:val="000000000000" w:firstRow="0" w:lastRow="0" w:firstColumn="0" w:lastColumn="0" w:oddVBand="0" w:evenVBand="0" w:oddHBand="0" w:evenHBand="0" w:firstRowFirstColumn="0" w:firstRowLastColumn="0" w:lastRowFirstColumn="0" w:lastRowLastColumn="0"/>
            <w:tcW w:w="1380" w:type="dxa"/>
            <w:tcMar/>
          </w:tcPr>
          <w:p w:rsidR="397920E2" w:rsidP="397920E2" w:rsidRDefault="397920E2" w14:paraId="16DDA4CD" w14:textId="5A7DAACE">
            <w:pPr>
              <w:spacing w:before="0" w:beforeAutospacing="off" w:after="0" w:afterAutospacing="off" w:line="360" w:lineRule="auto"/>
              <w:jc w:val="center"/>
              <w:rPr>
                <w:rFonts w:ascii="Arial" w:hAnsi="Arial" w:eastAsia="Arial" w:cs="Arial"/>
                <w:b w:val="0"/>
                <w:bCs w:val="0"/>
                <w:sz w:val="22"/>
                <w:szCs w:val="22"/>
              </w:rPr>
            </w:pPr>
            <w:r w:rsidRPr="397920E2" w:rsidR="397920E2">
              <w:rPr>
                <w:rFonts w:ascii="Arial" w:hAnsi="Arial" w:eastAsia="Arial" w:cs="Arial"/>
                <w:b w:val="0"/>
                <w:bCs w:val="0"/>
                <w:sz w:val="22"/>
                <w:szCs w:val="22"/>
              </w:rPr>
              <w:t>Study Design</w:t>
            </w:r>
          </w:p>
        </w:tc>
        <w:tc>
          <w:tcPr>
            <w:cnfStyle w:val="000000000000" w:firstRow="0" w:lastRow="0" w:firstColumn="0" w:lastColumn="0" w:oddVBand="0" w:evenVBand="0" w:oddHBand="0" w:evenHBand="0" w:firstRowFirstColumn="0" w:firstRowLastColumn="0" w:lastRowFirstColumn="0" w:lastRowLastColumn="0"/>
            <w:tcW w:w="1665" w:type="dxa"/>
            <w:tcMar/>
          </w:tcPr>
          <w:p w:rsidR="397920E2" w:rsidP="397920E2" w:rsidRDefault="397920E2" w14:paraId="0026F956" w14:textId="5A161F16">
            <w:pPr>
              <w:spacing w:before="0" w:beforeAutospacing="off" w:after="0" w:afterAutospacing="off" w:line="360" w:lineRule="auto"/>
              <w:jc w:val="center"/>
              <w:rPr>
                <w:rFonts w:ascii="Arial" w:hAnsi="Arial" w:eastAsia="Arial" w:cs="Arial"/>
                <w:b w:val="0"/>
                <w:bCs w:val="0"/>
                <w:sz w:val="22"/>
                <w:szCs w:val="22"/>
              </w:rPr>
            </w:pPr>
            <w:r w:rsidRPr="397920E2" w:rsidR="397920E2">
              <w:rPr>
                <w:rFonts w:ascii="Arial" w:hAnsi="Arial" w:eastAsia="Arial" w:cs="Arial"/>
                <w:b w:val="0"/>
                <w:bCs w:val="0"/>
                <w:sz w:val="22"/>
                <w:szCs w:val="22"/>
              </w:rPr>
              <w:t>Sample Size/</w:t>
            </w:r>
            <w:r w:rsidRPr="397920E2" w:rsidR="4BF59213">
              <w:rPr>
                <w:rFonts w:ascii="Arial" w:hAnsi="Arial" w:eastAsia="Arial" w:cs="Arial"/>
                <w:b w:val="0"/>
                <w:bCs w:val="0"/>
                <w:sz w:val="22"/>
                <w:szCs w:val="22"/>
              </w:rPr>
              <w:t xml:space="preserve"> </w:t>
            </w:r>
            <w:r w:rsidRPr="397920E2" w:rsidR="397920E2">
              <w:rPr>
                <w:rFonts w:ascii="Arial" w:hAnsi="Arial" w:eastAsia="Arial" w:cs="Arial"/>
                <w:b w:val="0"/>
                <w:bCs w:val="0"/>
                <w:sz w:val="22"/>
                <w:szCs w:val="22"/>
              </w:rPr>
              <w:t>Population</w:t>
            </w:r>
          </w:p>
        </w:tc>
        <w:tc>
          <w:tcPr>
            <w:cnfStyle w:val="000000000000" w:firstRow="0" w:lastRow="0" w:firstColumn="0" w:lastColumn="0" w:oddVBand="0" w:evenVBand="0" w:oddHBand="0" w:evenHBand="0" w:firstRowFirstColumn="0" w:firstRowLastColumn="0" w:lastRowFirstColumn="0" w:lastRowLastColumn="0"/>
            <w:tcW w:w="1994" w:type="dxa"/>
            <w:tcMar/>
          </w:tcPr>
          <w:p w:rsidR="397920E2" w:rsidP="397920E2" w:rsidRDefault="397920E2" w14:paraId="2B3E2648" w14:textId="374E6AE9">
            <w:pPr>
              <w:spacing w:before="0" w:beforeAutospacing="off" w:after="0" w:afterAutospacing="off" w:line="360" w:lineRule="auto"/>
              <w:jc w:val="center"/>
              <w:rPr>
                <w:rFonts w:ascii="Arial" w:hAnsi="Arial" w:eastAsia="Arial" w:cs="Arial"/>
                <w:b w:val="0"/>
                <w:bCs w:val="0"/>
                <w:sz w:val="22"/>
                <w:szCs w:val="22"/>
              </w:rPr>
            </w:pPr>
            <w:r w:rsidRPr="397920E2" w:rsidR="397920E2">
              <w:rPr>
                <w:rFonts w:ascii="Arial" w:hAnsi="Arial" w:eastAsia="Arial" w:cs="Arial"/>
                <w:b w:val="0"/>
                <w:bCs w:val="0"/>
                <w:sz w:val="22"/>
                <w:szCs w:val="22"/>
              </w:rPr>
              <w:t>Intervention</w:t>
            </w:r>
          </w:p>
        </w:tc>
        <w:tc>
          <w:tcPr>
            <w:cnfStyle w:val="000000000000" w:firstRow="0" w:lastRow="0" w:firstColumn="0" w:lastColumn="0" w:oddVBand="0" w:evenVBand="0" w:oddHBand="0" w:evenHBand="0" w:firstRowFirstColumn="0" w:firstRowLastColumn="0" w:lastRowFirstColumn="0" w:lastRowLastColumn="0"/>
            <w:tcW w:w="2686" w:type="dxa"/>
            <w:tcMar/>
          </w:tcPr>
          <w:p w:rsidR="397920E2" w:rsidP="397920E2" w:rsidRDefault="397920E2" w14:paraId="20AB89E6" w14:textId="66587626">
            <w:pPr>
              <w:spacing w:before="0" w:beforeAutospacing="off" w:after="0" w:afterAutospacing="off" w:line="360" w:lineRule="auto"/>
              <w:jc w:val="center"/>
              <w:rPr>
                <w:rFonts w:ascii="Arial" w:hAnsi="Arial" w:eastAsia="Arial" w:cs="Arial"/>
                <w:b w:val="0"/>
                <w:bCs w:val="0"/>
                <w:sz w:val="22"/>
                <w:szCs w:val="22"/>
              </w:rPr>
            </w:pPr>
            <w:r w:rsidRPr="397920E2" w:rsidR="397920E2">
              <w:rPr>
                <w:rFonts w:ascii="Arial" w:hAnsi="Arial" w:eastAsia="Arial" w:cs="Arial"/>
                <w:b w:val="0"/>
                <w:bCs w:val="0"/>
                <w:sz w:val="22"/>
                <w:szCs w:val="22"/>
              </w:rPr>
              <w:t>Key Outcomes</w:t>
            </w:r>
          </w:p>
        </w:tc>
      </w:tr>
      <w:tr w:rsidR="397920E2" w:rsidTr="397920E2" w14:paraId="25C3E81D">
        <w:trPr>
          <w:trHeight w:val="300"/>
        </w:trPr>
        <w:tc>
          <w:tcPr>
            <w:cnfStyle w:val="001000000000" w:firstRow="0" w:lastRow="0" w:firstColumn="1" w:lastColumn="0" w:oddVBand="0" w:evenVBand="0" w:oddHBand="0" w:evenHBand="0" w:firstRowFirstColumn="0" w:firstRowLastColumn="0" w:lastRowFirstColumn="0" w:lastRowLastColumn="0"/>
            <w:tcW w:w="997" w:type="dxa"/>
            <w:tcMar/>
          </w:tcPr>
          <w:p w:rsidR="397920E2" w:rsidP="397920E2" w:rsidRDefault="397920E2" w14:paraId="782FC972" w14:textId="3D3F9869">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Smith et al.</w:t>
            </w:r>
          </w:p>
        </w:tc>
        <w:tc>
          <w:tcPr>
            <w:cnfStyle w:val="000000000000" w:firstRow="0" w:lastRow="0" w:firstColumn="0" w:lastColumn="0" w:oddVBand="0" w:evenVBand="0" w:oddHBand="0" w:evenHBand="0" w:firstRowFirstColumn="0" w:firstRowLastColumn="0" w:lastRowFirstColumn="0" w:lastRowLastColumn="0"/>
            <w:tcW w:w="294" w:type="dxa"/>
            <w:tcMar/>
          </w:tcPr>
          <w:p w:rsidR="397920E2" w:rsidP="397920E2" w:rsidRDefault="397920E2" w14:paraId="51E42FF4" w14:textId="38D7B0E1">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2021</w:t>
            </w:r>
          </w:p>
        </w:tc>
        <w:tc>
          <w:tcPr>
            <w:cnfStyle w:val="000000000000" w:firstRow="0" w:lastRow="0" w:firstColumn="0" w:lastColumn="0" w:oddVBand="0" w:evenVBand="0" w:oddHBand="0" w:evenHBand="0" w:firstRowFirstColumn="0" w:firstRowLastColumn="0" w:lastRowFirstColumn="0" w:lastRowLastColumn="0"/>
            <w:tcW w:w="1380" w:type="dxa"/>
            <w:tcMar/>
          </w:tcPr>
          <w:p w:rsidR="62A861AF" w:rsidP="397920E2" w:rsidRDefault="62A861AF" w14:paraId="456143A7" w14:textId="22D82DE8">
            <w:pPr>
              <w:spacing w:before="0" w:beforeAutospacing="off" w:after="0" w:afterAutospacing="off" w:line="360" w:lineRule="auto"/>
              <w:rPr>
                <w:rFonts w:ascii="Arial" w:hAnsi="Arial" w:eastAsia="Arial" w:cs="Arial"/>
                <w:b w:val="0"/>
                <w:bCs w:val="0"/>
                <w:sz w:val="22"/>
                <w:szCs w:val="22"/>
              </w:rPr>
            </w:pPr>
            <w:r w:rsidRPr="397920E2" w:rsidR="62A861AF">
              <w:rPr>
                <w:rFonts w:ascii="Arial" w:hAnsi="Arial" w:eastAsia="Arial" w:cs="Arial"/>
                <w:b w:val="0"/>
                <w:bCs w:val="0"/>
                <w:sz w:val="22"/>
                <w:szCs w:val="22"/>
              </w:rPr>
              <w:t>Mixed methods</w:t>
            </w:r>
          </w:p>
        </w:tc>
        <w:tc>
          <w:tcPr>
            <w:cnfStyle w:val="000000000000" w:firstRow="0" w:lastRow="0" w:firstColumn="0" w:lastColumn="0" w:oddVBand="0" w:evenVBand="0" w:oddHBand="0" w:evenHBand="0" w:firstRowFirstColumn="0" w:firstRowLastColumn="0" w:lastRowFirstColumn="0" w:lastRowLastColumn="0"/>
            <w:tcW w:w="1665" w:type="dxa"/>
            <w:tcMar/>
          </w:tcPr>
          <w:p w:rsidR="397920E2" w:rsidP="397920E2" w:rsidRDefault="397920E2" w14:paraId="743037F8" w14:textId="2E5FE0C8">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250 patients, primary care</w:t>
            </w:r>
          </w:p>
        </w:tc>
        <w:tc>
          <w:tcPr>
            <w:cnfStyle w:val="000000000000" w:firstRow="0" w:lastRow="0" w:firstColumn="0" w:lastColumn="0" w:oddVBand="0" w:evenVBand="0" w:oddHBand="0" w:evenHBand="0" w:firstRowFirstColumn="0" w:firstRowLastColumn="0" w:lastRowFirstColumn="0" w:lastRowLastColumn="0"/>
            <w:tcW w:w="1994" w:type="dxa"/>
            <w:tcMar/>
          </w:tcPr>
          <w:p w:rsidR="397920E2" w:rsidP="397920E2" w:rsidRDefault="397920E2" w14:paraId="5926D29E" w14:textId="496B84A7">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Video consultations</w:t>
            </w:r>
          </w:p>
        </w:tc>
        <w:tc>
          <w:tcPr>
            <w:cnfStyle w:val="000000000000" w:firstRow="0" w:lastRow="0" w:firstColumn="0" w:lastColumn="0" w:oddVBand="0" w:evenVBand="0" w:oddHBand="0" w:evenHBand="0" w:firstRowFirstColumn="0" w:firstRowLastColumn="0" w:lastRowFirstColumn="0" w:lastRowLastColumn="0"/>
            <w:tcW w:w="2686" w:type="dxa"/>
            <w:tcMar/>
          </w:tcPr>
          <w:p w:rsidR="397920E2" w:rsidP="397920E2" w:rsidRDefault="397920E2" w14:paraId="48B6183B" w14:textId="6F32F0C9">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Patient satisfaction, access, clinical outcomes</w:t>
            </w:r>
          </w:p>
        </w:tc>
      </w:tr>
      <w:tr w:rsidR="397920E2" w:rsidTr="397920E2" w14:paraId="3036222F">
        <w:trPr>
          <w:trHeight w:val="300"/>
        </w:trPr>
        <w:tc>
          <w:tcPr>
            <w:cnfStyle w:val="001000000000" w:firstRow="0" w:lastRow="0" w:firstColumn="1" w:lastColumn="0" w:oddVBand="0" w:evenVBand="0" w:oddHBand="0" w:evenHBand="0" w:firstRowFirstColumn="0" w:firstRowLastColumn="0" w:lastRowFirstColumn="0" w:lastRowLastColumn="0"/>
            <w:tcW w:w="997" w:type="dxa"/>
            <w:tcMar/>
          </w:tcPr>
          <w:p w:rsidR="397920E2" w:rsidP="397920E2" w:rsidRDefault="397920E2" w14:paraId="7BF1E188" w14:textId="320F33F1">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Jones &amp; Patel</w:t>
            </w:r>
          </w:p>
        </w:tc>
        <w:tc>
          <w:tcPr>
            <w:cnfStyle w:val="000000000000" w:firstRow="0" w:lastRow="0" w:firstColumn="0" w:lastColumn="0" w:oddVBand="0" w:evenVBand="0" w:oddHBand="0" w:evenHBand="0" w:firstRowFirstColumn="0" w:firstRowLastColumn="0" w:lastRowFirstColumn="0" w:lastRowLastColumn="0"/>
            <w:tcW w:w="294" w:type="dxa"/>
            <w:tcMar/>
          </w:tcPr>
          <w:p w:rsidR="397920E2" w:rsidP="397920E2" w:rsidRDefault="397920E2" w14:paraId="38743FD5" w14:textId="714EBB91">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2022</w:t>
            </w:r>
          </w:p>
        </w:tc>
        <w:tc>
          <w:tcPr>
            <w:cnfStyle w:val="000000000000" w:firstRow="0" w:lastRow="0" w:firstColumn="0" w:lastColumn="0" w:oddVBand="0" w:evenVBand="0" w:oddHBand="0" w:evenHBand="0" w:firstRowFirstColumn="0" w:firstRowLastColumn="0" w:lastRowFirstColumn="0" w:lastRowLastColumn="0"/>
            <w:tcW w:w="1380" w:type="dxa"/>
            <w:tcMar/>
          </w:tcPr>
          <w:p w:rsidR="397920E2" w:rsidP="397920E2" w:rsidRDefault="397920E2" w14:paraId="74B3E05E" w14:textId="30D71919">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Qualitative</w:t>
            </w:r>
          </w:p>
        </w:tc>
        <w:tc>
          <w:tcPr>
            <w:cnfStyle w:val="000000000000" w:firstRow="0" w:lastRow="0" w:firstColumn="0" w:lastColumn="0" w:oddVBand="0" w:evenVBand="0" w:oddHBand="0" w:evenHBand="0" w:firstRowFirstColumn="0" w:firstRowLastColumn="0" w:lastRowFirstColumn="0" w:lastRowLastColumn="0"/>
            <w:tcW w:w="1665" w:type="dxa"/>
            <w:tcMar/>
          </w:tcPr>
          <w:p w:rsidR="397920E2" w:rsidP="397920E2" w:rsidRDefault="397920E2" w14:paraId="04465687" w14:textId="772124E6">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40 patients, mental health services</w:t>
            </w:r>
          </w:p>
        </w:tc>
        <w:tc>
          <w:tcPr>
            <w:cnfStyle w:val="000000000000" w:firstRow="0" w:lastRow="0" w:firstColumn="0" w:lastColumn="0" w:oddVBand="0" w:evenVBand="0" w:oddHBand="0" w:evenHBand="0" w:firstRowFirstColumn="0" w:firstRowLastColumn="0" w:lastRowFirstColumn="0" w:lastRowLastColumn="0"/>
            <w:tcW w:w="1994" w:type="dxa"/>
            <w:tcMar/>
          </w:tcPr>
          <w:p w:rsidR="397920E2" w:rsidP="397920E2" w:rsidRDefault="397920E2" w14:paraId="66900D89" w14:textId="54442918">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Teletherapy via video</w:t>
            </w:r>
          </w:p>
        </w:tc>
        <w:tc>
          <w:tcPr>
            <w:cnfStyle w:val="000000000000" w:firstRow="0" w:lastRow="0" w:firstColumn="0" w:lastColumn="0" w:oddVBand="0" w:evenVBand="0" w:oddHBand="0" w:evenHBand="0" w:firstRowFirstColumn="0" w:firstRowLastColumn="0" w:lastRowFirstColumn="0" w:lastRowLastColumn="0"/>
            <w:tcW w:w="2686" w:type="dxa"/>
            <w:tcMar/>
          </w:tcPr>
          <w:p w:rsidR="397920E2" w:rsidP="397920E2" w:rsidRDefault="397920E2" w14:paraId="0C407032" w14:textId="76AE27AD">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Patient experience, therapeutic engagement</w:t>
            </w:r>
          </w:p>
        </w:tc>
      </w:tr>
      <w:tr w:rsidR="397920E2" w:rsidTr="397920E2" w14:paraId="1C9B9F1D">
        <w:trPr>
          <w:trHeight w:val="300"/>
        </w:trPr>
        <w:tc>
          <w:tcPr>
            <w:cnfStyle w:val="001000000000" w:firstRow="0" w:lastRow="0" w:firstColumn="1" w:lastColumn="0" w:oddVBand="0" w:evenVBand="0" w:oddHBand="0" w:evenHBand="0" w:firstRowFirstColumn="0" w:firstRowLastColumn="0" w:lastRowFirstColumn="0" w:lastRowLastColumn="0"/>
            <w:tcW w:w="997" w:type="dxa"/>
            <w:tcMar/>
          </w:tcPr>
          <w:p w:rsidR="397920E2" w:rsidP="397920E2" w:rsidRDefault="397920E2" w14:paraId="22DC0AED" w14:textId="1BF30C49">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Brown et al.</w:t>
            </w:r>
          </w:p>
        </w:tc>
        <w:tc>
          <w:tcPr>
            <w:cnfStyle w:val="000000000000" w:firstRow="0" w:lastRow="0" w:firstColumn="0" w:lastColumn="0" w:oddVBand="0" w:evenVBand="0" w:oddHBand="0" w:evenHBand="0" w:firstRowFirstColumn="0" w:firstRowLastColumn="0" w:lastRowFirstColumn="0" w:lastRowLastColumn="0"/>
            <w:tcW w:w="294" w:type="dxa"/>
            <w:tcMar/>
          </w:tcPr>
          <w:p w:rsidR="397920E2" w:rsidP="397920E2" w:rsidRDefault="397920E2" w14:paraId="16CE169D" w14:textId="5EE2811E">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2020</w:t>
            </w:r>
          </w:p>
        </w:tc>
        <w:tc>
          <w:tcPr>
            <w:cnfStyle w:val="000000000000" w:firstRow="0" w:lastRow="0" w:firstColumn="0" w:lastColumn="0" w:oddVBand="0" w:evenVBand="0" w:oddHBand="0" w:evenHBand="0" w:firstRowFirstColumn="0" w:firstRowLastColumn="0" w:lastRowFirstColumn="0" w:lastRowLastColumn="0"/>
            <w:tcW w:w="1380" w:type="dxa"/>
            <w:tcMar/>
          </w:tcPr>
          <w:p w:rsidR="397920E2" w:rsidP="397920E2" w:rsidRDefault="397920E2" w14:paraId="3326A2A4" w14:textId="2FC88304">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RCT</w:t>
            </w:r>
          </w:p>
        </w:tc>
        <w:tc>
          <w:tcPr>
            <w:cnfStyle w:val="000000000000" w:firstRow="0" w:lastRow="0" w:firstColumn="0" w:lastColumn="0" w:oddVBand="0" w:evenVBand="0" w:oddHBand="0" w:evenHBand="0" w:firstRowFirstColumn="0" w:firstRowLastColumn="0" w:lastRowFirstColumn="0" w:lastRowLastColumn="0"/>
            <w:tcW w:w="1665" w:type="dxa"/>
            <w:tcMar/>
          </w:tcPr>
          <w:p w:rsidR="397920E2" w:rsidP="397920E2" w:rsidRDefault="397920E2" w14:paraId="66E7D8A5" w14:textId="547F81FC">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180 patients, diabetes management</w:t>
            </w:r>
          </w:p>
        </w:tc>
        <w:tc>
          <w:tcPr>
            <w:cnfStyle w:val="000000000000" w:firstRow="0" w:lastRow="0" w:firstColumn="0" w:lastColumn="0" w:oddVBand="0" w:evenVBand="0" w:oddHBand="0" w:evenHBand="0" w:firstRowFirstColumn="0" w:firstRowLastColumn="0" w:lastRowFirstColumn="0" w:lastRowLastColumn="0"/>
            <w:tcW w:w="1994" w:type="dxa"/>
            <w:tcMar/>
          </w:tcPr>
          <w:p w:rsidR="397920E2" w:rsidP="397920E2" w:rsidRDefault="397920E2" w14:paraId="2C607F2F" w14:textId="5B23C6C6">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Remote monitoring via mobile app</w:t>
            </w:r>
          </w:p>
        </w:tc>
        <w:tc>
          <w:tcPr>
            <w:cnfStyle w:val="000000000000" w:firstRow="0" w:lastRow="0" w:firstColumn="0" w:lastColumn="0" w:oddVBand="0" w:evenVBand="0" w:oddHBand="0" w:evenHBand="0" w:firstRowFirstColumn="0" w:firstRowLastColumn="0" w:lastRowFirstColumn="0" w:lastRowLastColumn="0"/>
            <w:tcW w:w="2686" w:type="dxa"/>
            <w:tcMar/>
          </w:tcPr>
          <w:p w:rsidR="397920E2" w:rsidP="397920E2" w:rsidRDefault="397920E2" w14:paraId="2DDAF05F" w14:textId="1064CE0C">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Glycemic control, adherence, satisfaction</w:t>
            </w:r>
          </w:p>
        </w:tc>
      </w:tr>
      <w:tr w:rsidR="397920E2" w:rsidTr="397920E2" w14:paraId="06071D3A">
        <w:trPr>
          <w:trHeight w:val="300"/>
        </w:trPr>
        <w:tc>
          <w:tcPr>
            <w:cnfStyle w:val="001000000000" w:firstRow="0" w:lastRow="0" w:firstColumn="1" w:lastColumn="0" w:oddVBand="0" w:evenVBand="0" w:oddHBand="0" w:evenHBand="0" w:firstRowFirstColumn="0" w:firstRowLastColumn="0" w:lastRowFirstColumn="0" w:lastRowLastColumn="0"/>
            <w:tcW w:w="997" w:type="dxa"/>
            <w:tcMar/>
          </w:tcPr>
          <w:p w:rsidR="397920E2" w:rsidP="397920E2" w:rsidRDefault="397920E2" w14:paraId="59B9A5AF" w14:textId="3F79E108">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Wilson &amp; Clarke</w:t>
            </w:r>
          </w:p>
        </w:tc>
        <w:tc>
          <w:tcPr>
            <w:cnfStyle w:val="000000000000" w:firstRow="0" w:lastRow="0" w:firstColumn="0" w:lastColumn="0" w:oddVBand="0" w:evenVBand="0" w:oddHBand="0" w:evenHBand="0" w:firstRowFirstColumn="0" w:firstRowLastColumn="0" w:lastRowFirstColumn="0" w:lastRowLastColumn="0"/>
            <w:tcW w:w="294" w:type="dxa"/>
            <w:tcMar/>
          </w:tcPr>
          <w:p w:rsidR="397920E2" w:rsidP="397920E2" w:rsidRDefault="397920E2" w14:paraId="4BB9AA81" w14:textId="5DCFBAEA">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2023</w:t>
            </w:r>
          </w:p>
        </w:tc>
        <w:tc>
          <w:tcPr>
            <w:cnfStyle w:val="000000000000" w:firstRow="0" w:lastRow="0" w:firstColumn="0" w:lastColumn="0" w:oddVBand="0" w:evenVBand="0" w:oddHBand="0" w:evenHBand="0" w:firstRowFirstColumn="0" w:firstRowLastColumn="0" w:lastRowFirstColumn="0" w:lastRowLastColumn="0"/>
            <w:tcW w:w="1380" w:type="dxa"/>
            <w:tcMar/>
          </w:tcPr>
          <w:p w:rsidR="6022EC4B" w:rsidP="397920E2" w:rsidRDefault="6022EC4B" w14:paraId="194B588E" w14:textId="6C6D8517">
            <w:pPr>
              <w:spacing w:before="0" w:beforeAutospacing="off" w:after="0" w:afterAutospacing="off" w:line="360" w:lineRule="auto"/>
              <w:rPr>
                <w:rFonts w:ascii="Arial" w:hAnsi="Arial" w:eastAsia="Arial" w:cs="Arial"/>
                <w:b w:val="0"/>
                <w:bCs w:val="0"/>
                <w:sz w:val="22"/>
                <w:szCs w:val="22"/>
              </w:rPr>
            </w:pPr>
            <w:r w:rsidRPr="397920E2" w:rsidR="6022EC4B">
              <w:rPr>
                <w:rFonts w:ascii="Arial" w:hAnsi="Arial" w:eastAsia="Arial" w:cs="Arial"/>
                <w:b w:val="0"/>
                <w:bCs w:val="0"/>
                <w:sz w:val="22"/>
                <w:szCs w:val="22"/>
              </w:rPr>
              <w:t>Mixed methods</w:t>
            </w:r>
          </w:p>
        </w:tc>
        <w:tc>
          <w:tcPr>
            <w:cnfStyle w:val="000000000000" w:firstRow="0" w:lastRow="0" w:firstColumn="0" w:lastColumn="0" w:oddVBand="0" w:evenVBand="0" w:oddHBand="0" w:evenHBand="0" w:firstRowFirstColumn="0" w:firstRowLastColumn="0" w:lastRowFirstColumn="0" w:lastRowLastColumn="0"/>
            <w:tcW w:w="1665" w:type="dxa"/>
            <w:tcMar/>
          </w:tcPr>
          <w:p w:rsidR="397920E2" w:rsidP="397920E2" w:rsidRDefault="397920E2" w14:paraId="3F4A2C24" w14:textId="77931F60">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120 patients, outpatient cardiology</w:t>
            </w:r>
          </w:p>
        </w:tc>
        <w:tc>
          <w:tcPr>
            <w:cnfStyle w:val="000000000000" w:firstRow="0" w:lastRow="0" w:firstColumn="0" w:lastColumn="0" w:oddVBand="0" w:evenVBand="0" w:oddHBand="0" w:evenHBand="0" w:firstRowFirstColumn="0" w:firstRowLastColumn="0" w:lastRowFirstColumn="0" w:lastRowLastColumn="0"/>
            <w:tcW w:w="1994" w:type="dxa"/>
            <w:tcMar/>
          </w:tcPr>
          <w:p w:rsidR="397920E2" w:rsidP="397920E2" w:rsidRDefault="397920E2" w14:paraId="602424FA" w14:textId="13300855">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Telephone consultations</w:t>
            </w:r>
          </w:p>
        </w:tc>
        <w:tc>
          <w:tcPr>
            <w:cnfStyle w:val="000000000000" w:firstRow="0" w:lastRow="0" w:firstColumn="0" w:lastColumn="0" w:oddVBand="0" w:evenVBand="0" w:oddHBand="0" w:evenHBand="0" w:firstRowFirstColumn="0" w:firstRowLastColumn="0" w:lastRowFirstColumn="0" w:lastRowLastColumn="0"/>
            <w:tcW w:w="2686" w:type="dxa"/>
            <w:tcMar/>
          </w:tcPr>
          <w:p w:rsidR="397920E2" w:rsidP="397920E2" w:rsidRDefault="397920E2" w14:paraId="36D2D6A2" w14:textId="0A9278B0">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Access, satisfaction, perceived quality of care</w:t>
            </w:r>
          </w:p>
        </w:tc>
      </w:tr>
      <w:tr w:rsidR="397920E2" w:rsidTr="397920E2" w14:paraId="5BB11CCF">
        <w:trPr>
          <w:trHeight w:val="300"/>
        </w:trPr>
        <w:tc>
          <w:tcPr>
            <w:cnfStyle w:val="001000000000" w:firstRow="0" w:lastRow="0" w:firstColumn="1" w:lastColumn="0" w:oddVBand="0" w:evenVBand="0" w:oddHBand="0" w:evenHBand="0" w:firstRowFirstColumn="0" w:firstRowLastColumn="0" w:lastRowFirstColumn="0" w:lastRowLastColumn="0"/>
            <w:tcW w:w="997" w:type="dxa"/>
            <w:tcMar/>
          </w:tcPr>
          <w:p w:rsidR="397920E2" w:rsidP="397920E2" w:rsidRDefault="397920E2" w14:paraId="76C89B54" w14:textId="181C1F4F">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Ahmed et al.</w:t>
            </w:r>
          </w:p>
        </w:tc>
        <w:tc>
          <w:tcPr>
            <w:cnfStyle w:val="000000000000" w:firstRow="0" w:lastRow="0" w:firstColumn="0" w:lastColumn="0" w:oddVBand="0" w:evenVBand="0" w:oddHBand="0" w:evenHBand="0" w:firstRowFirstColumn="0" w:firstRowLastColumn="0" w:lastRowFirstColumn="0" w:lastRowLastColumn="0"/>
            <w:tcW w:w="294" w:type="dxa"/>
            <w:tcMar/>
          </w:tcPr>
          <w:p w:rsidR="397920E2" w:rsidP="397920E2" w:rsidRDefault="397920E2" w14:paraId="4CCBA783" w14:textId="134DA64E">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2019</w:t>
            </w:r>
          </w:p>
        </w:tc>
        <w:tc>
          <w:tcPr>
            <w:cnfStyle w:val="000000000000" w:firstRow="0" w:lastRow="0" w:firstColumn="0" w:lastColumn="0" w:oddVBand="0" w:evenVBand="0" w:oddHBand="0" w:evenHBand="0" w:firstRowFirstColumn="0" w:firstRowLastColumn="0" w:lastRowFirstColumn="0" w:lastRowLastColumn="0"/>
            <w:tcW w:w="1380" w:type="dxa"/>
            <w:tcMar/>
          </w:tcPr>
          <w:p w:rsidR="397920E2" w:rsidP="397920E2" w:rsidRDefault="397920E2" w14:paraId="22216BEC" w14:textId="29DB4235">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Qualitative</w:t>
            </w:r>
          </w:p>
        </w:tc>
        <w:tc>
          <w:tcPr>
            <w:cnfStyle w:val="000000000000" w:firstRow="0" w:lastRow="0" w:firstColumn="0" w:lastColumn="0" w:oddVBand="0" w:evenVBand="0" w:oddHBand="0" w:evenHBand="0" w:firstRowFirstColumn="0" w:firstRowLastColumn="0" w:lastRowFirstColumn="0" w:lastRowLastColumn="0"/>
            <w:tcW w:w="1665" w:type="dxa"/>
            <w:tcMar/>
          </w:tcPr>
          <w:p w:rsidR="397920E2" w:rsidP="397920E2" w:rsidRDefault="397920E2" w14:paraId="0475DC16" w14:textId="2895F795">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30 patients, general practice</w:t>
            </w:r>
          </w:p>
        </w:tc>
        <w:tc>
          <w:tcPr>
            <w:cnfStyle w:val="000000000000" w:firstRow="0" w:lastRow="0" w:firstColumn="0" w:lastColumn="0" w:oddVBand="0" w:evenVBand="0" w:oddHBand="0" w:evenHBand="0" w:firstRowFirstColumn="0" w:firstRowLastColumn="0" w:lastRowFirstColumn="0" w:lastRowLastColumn="0"/>
            <w:tcW w:w="1994" w:type="dxa"/>
            <w:tcMar/>
          </w:tcPr>
          <w:p w:rsidR="397920E2" w:rsidP="397920E2" w:rsidRDefault="397920E2" w14:paraId="046F8311" w14:textId="4EA21566">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Video consultations</w:t>
            </w:r>
          </w:p>
        </w:tc>
        <w:tc>
          <w:tcPr>
            <w:cnfStyle w:val="000000000000" w:firstRow="0" w:lastRow="0" w:firstColumn="0" w:lastColumn="0" w:oddVBand="0" w:evenVBand="0" w:oddHBand="0" w:evenHBand="0" w:firstRowFirstColumn="0" w:firstRowLastColumn="0" w:lastRowFirstColumn="0" w:lastRowLastColumn="0"/>
            <w:tcW w:w="2686" w:type="dxa"/>
            <w:tcMar/>
          </w:tcPr>
          <w:p w:rsidR="397920E2" w:rsidP="397920E2" w:rsidRDefault="397920E2" w14:paraId="29DE65CB" w14:textId="1AA0CC18">
            <w:pPr>
              <w:spacing w:before="0" w:beforeAutospacing="off" w:after="0" w:afterAutospacing="off" w:line="360" w:lineRule="auto"/>
              <w:rPr>
                <w:rFonts w:ascii="Arial" w:hAnsi="Arial" w:eastAsia="Arial" w:cs="Arial"/>
                <w:b w:val="0"/>
                <w:bCs w:val="0"/>
                <w:sz w:val="22"/>
                <w:szCs w:val="22"/>
              </w:rPr>
            </w:pPr>
            <w:r w:rsidRPr="397920E2" w:rsidR="397920E2">
              <w:rPr>
                <w:rFonts w:ascii="Arial" w:hAnsi="Arial" w:eastAsia="Arial" w:cs="Arial"/>
                <w:b w:val="0"/>
                <w:bCs w:val="0"/>
                <w:sz w:val="22"/>
                <w:szCs w:val="22"/>
              </w:rPr>
              <w:t>Digital literacy barriers, patient experience</w:t>
            </w:r>
          </w:p>
        </w:tc>
      </w:tr>
    </w:tbl>
    <w:p xmlns:wp14="http://schemas.microsoft.com/office/word/2010/wordml" w:rsidP="397920E2" wp14:paraId="4E80BCCF" wp14:textId="31482EB3">
      <w:pPr>
        <w:bidi w:val="0"/>
        <w:spacing w:line="360" w:lineRule="auto"/>
        <w:rPr>
          <w:rFonts w:ascii="Arial" w:hAnsi="Arial" w:eastAsia="Arial" w:cs="Arial"/>
          <w:b w:val="0"/>
          <w:bCs w:val="0"/>
          <w:sz w:val="22"/>
          <w:szCs w:val="22"/>
        </w:rPr>
      </w:pPr>
    </w:p>
    <w:p xmlns:wp14="http://schemas.microsoft.com/office/word/2010/wordml" w:rsidP="397920E2" wp14:paraId="008391B5" wp14:textId="05A6C6DE">
      <w:pPr>
        <w:pStyle w:val="Heading3"/>
        <w:bidi w:val="0"/>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Theme 1: Patient Satisfaction</w:t>
      </w:r>
    </w:p>
    <w:p xmlns:wp14="http://schemas.microsoft.com/office/word/2010/wordml" w:rsidP="397920E2" wp14:paraId="6715890C" wp14:textId="120EA977">
      <w:pPr>
        <w:bidi w:val="0"/>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 xml:space="preserve">All five studies reported on patient satisfaction with telehealth. Smith et al. (2021) found that 82% of patients reported being “very satisfied” or “satisfied” with video consultations, citing convenience and reduced travel time as major benefits. Similarly, Brown et al. (2020) </w:t>
      </w:r>
      <w:r w:rsidRPr="397920E2" w:rsidR="18D872E0">
        <w:rPr>
          <w:rFonts w:ascii="Arial" w:hAnsi="Arial" w:eastAsia="Arial" w:cs="Arial"/>
          <w:b w:val="0"/>
          <w:bCs w:val="0"/>
          <w:noProof w:val="0"/>
          <w:color w:val="000000" w:themeColor="text1" w:themeTint="FF" w:themeShade="FF"/>
          <w:sz w:val="22"/>
          <w:szCs w:val="22"/>
          <w:lang w:val="en-GB"/>
        </w:rPr>
        <w:t>observed</w:t>
      </w:r>
      <w:r w:rsidRPr="397920E2" w:rsidR="18D872E0">
        <w:rPr>
          <w:rFonts w:ascii="Arial" w:hAnsi="Arial" w:eastAsia="Arial" w:cs="Arial"/>
          <w:b w:val="0"/>
          <w:bCs w:val="0"/>
          <w:noProof w:val="0"/>
          <w:color w:val="000000" w:themeColor="text1" w:themeTint="FF" w:themeShade="FF"/>
          <w:sz w:val="22"/>
          <w:szCs w:val="22"/>
          <w:lang w:val="en-GB"/>
        </w:rPr>
        <w:t xml:space="preserve"> that patients using remote monitoring for diabetes management expressed high satisfaction with the real</w:t>
      </w:r>
      <w:r w:rsidRPr="397920E2" w:rsidR="57258BE6">
        <w:rPr>
          <w:rFonts w:ascii="Arial" w:hAnsi="Arial" w:eastAsia="Arial" w:cs="Arial"/>
          <w:b w:val="0"/>
          <w:bCs w:val="0"/>
          <w:noProof w:val="0"/>
          <w:color w:val="000000" w:themeColor="text1" w:themeTint="FF" w:themeShade="FF"/>
          <w:sz w:val="22"/>
          <w:szCs w:val="22"/>
          <w:lang w:val="en-GB"/>
        </w:rPr>
        <w:t xml:space="preserve"> </w:t>
      </w:r>
      <w:r w:rsidRPr="397920E2" w:rsidR="18D872E0">
        <w:rPr>
          <w:rFonts w:ascii="Arial" w:hAnsi="Arial" w:eastAsia="Arial" w:cs="Arial"/>
          <w:b w:val="0"/>
          <w:bCs w:val="0"/>
          <w:noProof w:val="0"/>
          <w:color w:val="000000" w:themeColor="text1" w:themeTint="FF" w:themeShade="FF"/>
          <w:sz w:val="22"/>
          <w:szCs w:val="22"/>
          <w:lang w:val="en-GB"/>
        </w:rPr>
        <w:t xml:space="preserve">time feedback provided by mobile apps, which increased engagement in </w:t>
      </w:r>
      <w:r w:rsidRPr="397920E2" w:rsidR="0CDFEED5">
        <w:rPr>
          <w:rFonts w:ascii="Arial" w:hAnsi="Arial" w:eastAsia="Arial" w:cs="Arial"/>
          <w:b w:val="0"/>
          <w:bCs w:val="0"/>
          <w:noProof w:val="0"/>
          <w:color w:val="000000" w:themeColor="text1" w:themeTint="FF" w:themeShade="FF"/>
          <w:sz w:val="22"/>
          <w:szCs w:val="22"/>
          <w:lang w:val="en-GB"/>
        </w:rPr>
        <w:t>self-care</w:t>
      </w:r>
      <w:r w:rsidRPr="397920E2" w:rsidR="18D872E0">
        <w:rPr>
          <w:rFonts w:ascii="Arial" w:hAnsi="Arial" w:eastAsia="Arial" w:cs="Arial"/>
          <w:b w:val="0"/>
          <w:bCs w:val="0"/>
          <w:noProof w:val="0"/>
          <w:color w:val="000000" w:themeColor="text1" w:themeTint="FF" w:themeShade="FF"/>
          <w:sz w:val="22"/>
          <w:szCs w:val="22"/>
          <w:lang w:val="en-GB"/>
        </w:rPr>
        <w:t xml:space="preserve">. Qualitative data from Jones &amp; Patel (2022) highlighted that patients valued the flexibility and continuity offered by teletherapy, although some missed face-to-face interactions. Wilson &amp; Clarke (2023) reported that satisfaction levels were </w:t>
      </w:r>
      <w:r w:rsidRPr="397920E2" w:rsidR="168E26C9">
        <w:rPr>
          <w:rFonts w:ascii="Arial" w:hAnsi="Arial" w:eastAsia="Arial" w:cs="Arial"/>
          <w:b w:val="0"/>
          <w:bCs w:val="0"/>
          <w:noProof w:val="0"/>
          <w:color w:val="000000" w:themeColor="text1" w:themeTint="FF" w:themeShade="FF"/>
          <w:sz w:val="22"/>
          <w:szCs w:val="22"/>
          <w:lang w:val="en-GB"/>
        </w:rPr>
        <w:t>high</w:t>
      </w:r>
      <w:r w:rsidRPr="397920E2" w:rsidR="18D872E0">
        <w:rPr>
          <w:rFonts w:ascii="Arial" w:hAnsi="Arial" w:eastAsia="Arial" w:cs="Arial"/>
          <w:b w:val="0"/>
          <w:bCs w:val="0"/>
          <w:noProof w:val="0"/>
          <w:color w:val="000000" w:themeColor="text1" w:themeTint="FF" w:themeShade="FF"/>
          <w:sz w:val="22"/>
          <w:szCs w:val="22"/>
          <w:lang w:val="en-GB"/>
        </w:rPr>
        <w:t xml:space="preserve">, but slightly lower among older patients who </w:t>
      </w:r>
      <w:r w:rsidRPr="397920E2" w:rsidR="623A1D6C">
        <w:rPr>
          <w:rFonts w:ascii="Arial" w:hAnsi="Arial" w:eastAsia="Arial" w:cs="Arial"/>
          <w:b w:val="0"/>
          <w:bCs w:val="0"/>
          <w:noProof w:val="0"/>
          <w:color w:val="000000" w:themeColor="text1" w:themeTint="FF" w:themeShade="FF"/>
          <w:sz w:val="22"/>
          <w:szCs w:val="22"/>
          <w:lang w:val="en-GB"/>
        </w:rPr>
        <w:t>had trouble</w:t>
      </w:r>
      <w:r w:rsidRPr="397920E2" w:rsidR="18D872E0">
        <w:rPr>
          <w:rFonts w:ascii="Arial" w:hAnsi="Arial" w:eastAsia="Arial" w:cs="Arial"/>
          <w:b w:val="0"/>
          <w:bCs w:val="0"/>
          <w:noProof w:val="0"/>
          <w:color w:val="000000" w:themeColor="text1" w:themeTint="FF" w:themeShade="FF"/>
          <w:sz w:val="22"/>
          <w:szCs w:val="22"/>
          <w:lang w:val="en-GB"/>
        </w:rPr>
        <w:t xml:space="preserve"> navigating digital platforms.</w:t>
      </w:r>
    </w:p>
    <w:p xmlns:wp14="http://schemas.microsoft.com/office/word/2010/wordml" w:rsidP="397920E2" wp14:paraId="3D58CC1B" wp14:textId="50E7EE4E">
      <w:pPr>
        <w:bidi w:val="0"/>
        <w:spacing w:line="360" w:lineRule="auto"/>
        <w:rPr>
          <w:rFonts w:ascii="Arial" w:hAnsi="Arial" w:eastAsia="Arial" w:cs="Arial"/>
          <w:b w:val="0"/>
          <w:bCs w:val="0"/>
          <w:sz w:val="22"/>
          <w:szCs w:val="22"/>
        </w:rPr>
      </w:pPr>
    </w:p>
    <w:p xmlns:wp14="http://schemas.microsoft.com/office/word/2010/wordml" w:rsidP="397920E2" wp14:paraId="20EF36BB" wp14:textId="7B871054">
      <w:pPr>
        <w:pStyle w:val="Heading3"/>
        <w:bidi w:val="0"/>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Theme 2: Access to Care</w:t>
      </w:r>
    </w:p>
    <w:p xmlns:wp14="http://schemas.microsoft.com/office/word/2010/wordml" w:rsidP="397920E2" wp14:paraId="4EF2467E" wp14:textId="1071CF65">
      <w:pPr>
        <w:bidi w:val="0"/>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Telehealth was found to improve access to healthcare services, particularly for patients with mobility challenges or living in rural areas. Smith et al. (2021) reported that 68% of patients stated they were able to attend appointments more consistently due to video consultations. Wilson &amp; Clarke (2023) highlighted that telephone consultations enabled patients to access specialist cardiology advice without long travel times, which reduced appointment non-attendance. However, Ahmed et al. (2019) noted that digital exclusion remains a barrier: some patients lacked internet access or digital skills, limiting equitable access to telehealth services. These findings suggest that while telehealth can improve access for many, it may unintentionally disadvantage digitally excluded populations.</w:t>
      </w:r>
    </w:p>
    <w:p xmlns:wp14="http://schemas.microsoft.com/office/word/2010/wordml" w:rsidP="397920E2" wp14:paraId="7345A0EC" wp14:textId="307B9AAE">
      <w:pPr>
        <w:bidi w:val="0"/>
        <w:spacing w:line="360" w:lineRule="auto"/>
        <w:rPr>
          <w:rFonts w:ascii="Arial" w:hAnsi="Arial" w:eastAsia="Arial" w:cs="Arial"/>
          <w:b w:val="0"/>
          <w:bCs w:val="0"/>
          <w:sz w:val="22"/>
          <w:szCs w:val="22"/>
        </w:rPr>
      </w:pPr>
    </w:p>
    <w:p xmlns:wp14="http://schemas.microsoft.com/office/word/2010/wordml" w:rsidP="397920E2" wp14:paraId="7105CCF9" wp14:textId="1C4533B4">
      <w:pPr>
        <w:pStyle w:val="Heading3"/>
        <w:bidi w:val="0"/>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Theme 3: Clinical Outcomes</w:t>
      </w:r>
    </w:p>
    <w:p xmlns:wp14="http://schemas.microsoft.com/office/word/2010/wordml" w:rsidP="397920E2" wp14:paraId="6C5C5140" wp14:textId="40196DF1">
      <w:pPr>
        <w:bidi w:val="0"/>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Three studies explicitly assessed clinical outcomes. Brown et al. (2020) demonstrated that patients using remote monitoring for diabetes management achieved significantly improved glycemic control compared with usual care, highlighting the potential for telehealth to positively influence clinical outcomes. Smith et al. (2021) reported that patient-reported outcomes in primary care, such as symptom management and overall health improvement, were comparable between telehealth and in-person consultations. Wilson &amp; Clarke (2023) found no significant differences in clinical outcomes for cardiology patients between telephone and face-to-face consultations, supporting telehealth as a viable alternative for routine follow-up.</w:t>
      </w:r>
    </w:p>
    <w:p xmlns:wp14="http://schemas.microsoft.com/office/word/2010/wordml" w:rsidP="397920E2" wp14:paraId="7C3EC08D" wp14:textId="4708E3DC">
      <w:pPr>
        <w:bidi w:val="0"/>
        <w:spacing w:line="360" w:lineRule="auto"/>
        <w:rPr>
          <w:rFonts w:ascii="Arial" w:hAnsi="Arial" w:eastAsia="Arial" w:cs="Arial"/>
          <w:b w:val="0"/>
          <w:bCs w:val="0"/>
          <w:sz w:val="22"/>
          <w:szCs w:val="22"/>
        </w:rPr>
      </w:pPr>
    </w:p>
    <w:p xmlns:wp14="http://schemas.microsoft.com/office/word/2010/wordml" w:rsidP="397920E2" wp14:paraId="629CE071" wp14:textId="12676065">
      <w:pPr>
        <w:pStyle w:val="Heading3"/>
        <w:bidi w:val="0"/>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Theme 4: Digital Inequalities</w:t>
      </w:r>
    </w:p>
    <w:p xmlns:wp14="http://schemas.microsoft.com/office/word/2010/wordml" w:rsidP="397920E2" wp14:paraId="3B06BC40" wp14:textId="68DA45CD">
      <w:pPr>
        <w:bidi w:val="0"/>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Several studies identified digital inequalities as a key barrier. Ahmed et al. (2019) emphasised that older adults, individuals from lower socio-economic backgrounds, and those with limited digital literacy were less able to engage effectively with telehealth services. Smith et al. (2021) echoed this, noting that patients requiring technical support were more likely to experience frustration and reduced satisfaction. These findings highlight the need for tailored interventions to address digital exclusion and ensure equitable access to telehealth services.</w:t>
      </w:r>
    </w:p>
    <w:p xmlns:wp14="http://schemas.microsoft.com/office/word/2010/wordml" w:rsidP="397920E2" wp14:paraId="23E47F19" wp14:textId="58A3DDC9">
      <w:pPr>
        <w:bidi w:val="0"/>
        <w:spacing w:line="360" w:lineRule="auto"/>
        <w:rPr>
          <w:rFonts w:ascii="Arial" w:hAnsi="Arial" w:eastAsia="Arial" w:cs="Arial"/>
          <w:b w:val="0"/>
          <w:bCs w:val="0"/>
          <w:sz w:val="22"/>
          <w:szCs w:val="22"/>
        </w:rPr>
      </w:pPr>
    </w:p>
    <w:p xmlns:wp14="http://schemas.microsoft.com/office/word/2010/wordml" w:rsidP="397920E2" wp14:paraId="63DC258A" wp14:textId="1C57E04D">
      <w:pPr>
        <w:pStyle w:val="Heading3"/>
        <w:bidi w:val="0"/>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Theme 5: Training and Support Needs</w:t>
      </w:r>
    </w:p>
    <w:p xmlns:wp14="http://schemas.microsoft.com/office/word/2010/wordml" w:rsidP="397920E2" wp14:paraId="7C209DC8" wp14:textId="16807C54">
      <w:pPr>
        <w:bidi w:val="0"/>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Finally, training and support for both patients and healthcare professionals were identified as critical enablers of successful telehealth implementation. Jones &amp; Patel (2022) reported that clinicians who received formal training in digital communication techniques delivered more effective teletherapy sessions. Similarly, Brown et al. (2020) noted that patients using mobile apps benefited from initial onboarding sessions and ongoing technical support, which improved adherence and engagement.</w:t>
      </w:r>
    </w:p>
    <w:p xmlns:wp14="http://schemas.microsoft.com/office/word/2010/wordml" w:rsidP="397920E2" wp14:paraId="1A345F05" wp14:textId="70F62A1D">
      <w:pPr>
        <w:bidi w:val="0"/>
        <w:spacing w:line="360" w:lineRule="auto"/>
        <w:rPr>
          <w:rFonts w:ascii="Arial" w:hAnsi="Arial" w:eastAsia="Arial" w:cs="Arial"/>
          <w:b w:val="0"/>
          <w:bCs w:val="0"/>
          <w:sz w:val="22"/>
          <w:szCs w:val="22"/>
        </w:rPr>
      </w:pPr>
    </w:p>
    <w:p xmlns:wp14="http://schemas.microsoft.com/office/word/2010/wordml" w:rsidP="397920E2" wp14:paraId="25327810" wp14:textId="132871F5">
      <w:pPr>
        <w:pStyle w:val="Heading3"/>
        <w:bidi w:val="0"/>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Summary of Findings</w:t>
      </w:r>
    </w:p>
    <w:p xmlns:wp14="http://schemas.microsoft.com/office/word/2010/wordml" w:rsidP="397920E2" wp14:paraId="1ED40D4A" wp14:textId="45995FD8">
      <w:pPr>
        <w:bidi w:val="0"/>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 xml:space="preserve">Overall, the scoping review </w:t>
      </w:r>
      <w:r w:rsidRPr="397920E2" w:rsidR="18D872E0">
        <w:rPr>
          <w:rFonts w:ascii="Arial" w:hAnsi="Arial" w:eastAsia="Arial" w:cs="Arial"/>
          <w:b w:val="0"/>
          <w:bCs w:val="0"/>
          <w:noProof w:val="0"/>
          <w:color w:val="000000" w:themeColor="text1" w:themeTint="FF" w:themeShade="FF"/>
          <w:sz w:val="22"/>
          <w:szCs w:val="22"/>
          <w:lang w:val="en-GB"/>
        </w:rPr>
        <w:t>indicates</w:t>
      </w:r>
      <w:r w:rsidRPr="397920E2" w:rsidR="18D872E0">
        <w:rPr>
          <w:rFonts w:ascii="Arial" w:hAnsi="Arial" w:eastAsia="Arial" w:cs="Arial"/>
          <w:b w:val="0"/>
          <w:bCs w:val="0"/>
          <w:noProof w:val="0"/>
          <w:color w:val="000000" w:themeColor="text1" w:themeTint="FF" w:themeShade="FF"/>
          <w:sz w:val="22"/>
          <w:szCs w:val="22"/>
          <w:lang w:val="en-GB"/>
        </w:rPr>
        <w:t xml:space="preserve"> that telehealth in the UK is associated with high patient satisfaction, improved access to care, and comparable clinical outcomes </w:t>
      </w:r>
      <w:r w:rsidRPr="397920E2" w:rsidR="18D872E0">
        <w:rPr>
          <w:rFonts w:ascii="Arial" w:hAnsi="Arial" w:eastAsia="Arial" w:cs="Arial"/>
          <w:b w:val="0"/>
          <w:bCs w:val="0"/>
          <w:noProof w:val="0"/>
          <w:color w:val="000000" w:themeColor="text1" w:themeTint="FF" w:themeShade="FF"/>
          <w:sz w:val="22"/>
          <w:szCs w:val="22"/>
          <w:lang w:val="en-GB"/>
        </w:rPr>
        <w:t>relative</w:t>
      </w:r>
      <w:r w:rsidRPr="397920E2" w:rsidR="18D872E0">
        <w:rPr>
          <w:rFonts w:ascii="Arial" w:hAnsi="Arial" w:eastAsia="Arial" w:cs="Arial"/>
          <w:b w:val="0"/>
          <w:bCs w:val="0"/>
          <w:noProof w:val="0"/>
          <w:color w:val="000000" w:themeColor="text1" w:themeTint="FF" w:themeShade="FF"/>
          <w:sz w:val="22"/>
          <w:szCs w:val="22"/>
          <w:lang w:val="en-GB"/>
        </w:rPr>
        <w:t xml:space="preserve"> to in-person consultations. However, digital inequalities and the need for training and technical support are recurring challenges that must be addressed to ensure </w:t>
      </w:r>
      <w:r w:rsidRPr="397920E2" w:rsidR="18D872E0">
        <w:rPr>
          <w:rFonts w:ascii="Arial" w:hAnsi="Arial" w:eastAsia="Arial" w:cs="Arial"/>
          <w:b w:val="0"/>
          <w:bCs w:val="0"/>
          <w:noProof w:val="0"/>
          <w:color w:val="000000" w:themeColor="text1" w:themeTint="FF" w:themeShade="FF"/>
          <w:sz w:val="22"/>
          <w:szCs w:val="22"/>
          <w:lang w:val="en-GB"/>
        </w:rPr>
        <w:t>equitable</w:t>
      </w:r>
      <w:r w:rsidRPr="397920E2" w:rsidR="18D872E0">
        <w:rPr>
          <w:rFonts w:ascii="Arial" w:hAnsi="Arial" w:eastAsia="Arial" w:cs="Arial"/>
          <w:b w:val="0"/>
          <w:bCs w:val="0"/>
          <w:noProof w:val="0"/>
          <w:color w:val="000000" w:themeColor="text1" w:themeTint="FF" w:themeShade="FF"/>
          <w:sz w:val="22"/>
          <w:szCs w:val="22"/>
          <w:lang w:val="en-GB"/>
        </w:rPr>
        <w:t xml:space="preserve"> and effective delivery of telehealth services. The five key themes</w:t>
      </w:r>
      <w:r w:rsidRPr="397920E2" w:rsidR="40790758">
        <w:rPr>
          <w:rFonts w:ascii="Arial" w:hAnsi="Arial" w:eastAsia="Arial" w:cs="Arial"/>
          <w:b w:val="0"/>
          <w:bCs w:val="0"/>
          <w:noProof w:val="0"/>
          <w:color w:val="000000" w:themeColor="text1" w:themeTint="FF" w:themeShade="FF"/>
          <w:sz w:val="22"/>
          <w:szCs w:val="22"/>
          <w:lang w:val="en-GB"/>
        </w:rPr>
        <w:t xml:space="preserve"> </w:t>
      </w:r>
      <w:r w:rsidRPr="397920E2" w:rsidR="18D872E0">
        <w:rPr>
          <w:rFonts w:ascii="Arial" w:hAnsi="Arial" w:eastAsia="Arial" w:cs="Arial"/>
          <w:b w:val="0"/>
          <w:bCs w:val="0"/>
          <w:noProof w:val="0"/>
          <w:color w:val="000000" w:themeColor="text1" w:themeTint="FF" w:themeShade="FF"/>
          <w:sz w:val="22"/>
          <w:szCs w:val="22"/>
          <w:lang w:val="en-GB"/>
        </w:rPr>
        <w:t>patient satisfaction, access, clinical outcomes, digital inequalities, and training/support</w:t>
      </w:r>
      <w:r w:rsidRPr="397920E2" w:rsidR="0CE96ED0">
        <w:rPr>
          <w:rFonts w:ascii="Arial" w:hAnsi="Arial" w:eastAsia="Arial" w:cs="Arial"/>
          <w:b w:val="0"/>
          <w:bCs w:val="0"/>
          <w:noProof w:val="0"/>
          <w:color w:val="000000" w:themeColor="text1" w:themeTint="FF" w:themeShade="FF"/>
          <w:sz w:val="22"/>
          <w:szCs w:val="22"/>
          <w:lang w:val="en-GB"/>
        </w:rPr>
        <w:t xml:space="preserve"> </w:t>
      </w:r>
      <w:r w:rsidRPr="397920E2" w:rsidR="18D872E0">
        <w:rPr>
          <w:rFonts w:ascii="Arial" w:hAnsi="Arial" w:eastAsia="Arial" w:cs="Arial"/>
          <w:b w:val="0"/>
          <w:bCs w:val="0"/>
          <w:noProof w:val="0"/>
          <w:color w:val="000000" w:themeColor="text1" w:themeTint="FF" w:themeShade="FF"/>
          <w:sz w:val="22"/>
          <w:szCs w:val="22"/>
          <w:lang w:val="en-GB"/>
        </w:rPr>
        <w:t>provide a framework for understanding current telehealth practices and highlight areas for future research and policy development.</w:t>
      </w:r>
    </w:p>
    <w:p xmlns:wp14="http://schemas.microsoft.com/office/word/2010/wordml" w:rsidP="397920E2" wp14:paraId="791CA8DB" wp14:textId="61004D6B">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97920E2" w:rsidR="18D872E0">
        <w:rPr>
          <w:rFonts w:ascii="Arial" w:hAnsi="Arial" w:eastAsia="Arial" w:cs="Arial"/>
          <w:b w:val="1"/>
          <w:bCs w:val="1"/>
          <w:noProof w:val="0"/>
          <w:color w:val="000000" w:themeColor="text1" w:themeTint="FF" w:themeShade="FF"/>
          <w:sz w:val="22"/>
          <w:szCs w:val="22"/>
          <w:lang w:val="en-GB"/>
        </w:rPr>
        <w:t xml:space="preserve">Discussion </w:t>
      </w:r>
    </w:p>
    <w:p xmlns:wp14="http://schemas.microsoft.com/office/word/2010/wordml" w:rsidP="397920E2" wp14:paraId="7E8054CE" wp14:textId="69390A4C">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This scoping review explored the implementation and outcomes of telehealth interventions within UK healthcare settings, highlighting key themes relating to patient satisfaction, access to care, clinical outcomes, digital inequalities, and the importance of training and support. The findings suggest that telehealth has become a viable complement to traditional face-to-face services, particularly in primary care, outpatient, and mental health settings. However, several considerations regarding equity, effectiveness, and integration into existing healthcare systems emerge from the literature.</w:t>
      </w:r>
    </w:p>
    <w:p xmlns:wp14="http://schemas.microsoft.com/office/word/2010/wordml" w:rsidP="397920E2" wp14:paraId="4875902F" wp14:textId="106EF7F5">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Patient Satisfaction and Experience</w:t>
      </w:r>
    </w:p>
    <w:p xmlns:wp14="http://schemas.microsoft.com/office/word/2010/wordml" w:rsidP="397920E2" wp14:paraId="07188E2B" wp14:textId="5157F546">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Patient satisfaction emerged as a consistent and prominent finding across all included studies. Smith et al. (2021) and Brown et al. (2020) both demonstrated that patients value the convenience and flexibility offered by telehealth. Reduced travel time, fewer missed appointments, and the ability to integrate healthcare more seamlessly into daily life were frequently cited advantages. Similarly, Jones &amp; Patel (2022) noted that patients engaging with teletherapy appreciated continuity of care and reduced anxiety associated with attending in-person appointments.</w:t>
      </w:r>
    </w:p>
    <w:p xmlns:wp14="http://schemas.microsoft.com/office/word/2010/wordml" w:rsidP="397920E2" wp14:paraId="47C89DB6" wp14:textId="29736B56">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 xml:space="preserve">High satisfaction rates </w:t>
      </w:r>
      <w:r w:rsidRPr="397920E2" w:rsidR="18D872E0">
        <w:rPr>
          <w:rFonts w:ascii="Arial" w:hAnsi="Arial" w:eastAsia="Arial" w:cs="Arial"/>
          <w:b w:val="0"/>
          <w:bCs w:val="0"/>
          <w:noProof w:val="0"/>
          <w:color w:val="000000" w:themeColor="text1" w:themeTint="FF" w:themeShade="FF"/>
          <w:sz w:val="22"/>
          <w:szCs w:val="22"/>
          <w:lang w:val="en-GB"/>
        </w:rPr>
        <w:t>indicate</w:t>
      </w:r>
      <w:r w:rsidRPr="397920E2" w:rsidR="18D872E0">
        <w:rPr>
          <w:rFonts w:ascii="Arial" w:hAnsi="Arial" w:eastAsia="Arial" w:cs="Arial"/>
          <w:b w:val="0"/>
          <w:bCs w:val="0"/>
          <w:noProof w:val="0"/>
          <w:color w:val="000000" w:themeColor="text1" w:themeTint="FF" w:themeShade="FF"/>
          <w:sz w:val="22"/>
          <w:szCs w:val="22"/>
          <w:lang w:val="en-GB"/>
        </w:rPr>
        <w:t xml:space="preserve"> that telehealth interventions align with patient preferences, supporting wider adoption within the NHS and other UK healthcare services. Nevertheless, satisfaction was not universal</w:t>
      </w:r>
      <w:r w:rsidRPr="397920E2" w:rsidR="3B6A3F85">
        <w:rPr>
          <w:rFonts w:ascii="Arial" w:hAnsi="Arial" w:eastAsia="Arial" w:cs="Arial"/>
          <w:b w:val="0"/>
          <w:bCs w:val="0"/>
          <w:noProof w:val="0"/>
          <w:color w:val="000000" w:themeColor="text1" w:themeTint="FF" w:themeShade="FF"/>
          <w:sz w:val="22"/>
          <w:szCs w:val="22"/>
          <w:lang w:val="en-GB"/>
        </w:rPr>
        <w:t xml:space="preserve">, </w:t>
      </w:r>
      <w:r w:rsidRPr="397920E2" w:rsidR="18D872E0">
        <w:rPr>
          <w:rFonts w:ascii="Arial" w:hAnsi="Arial" w:eastAsia="Arial" w:cs="Arial"/>
          <w:b w:val="0"/>
          <w:bCs w:val="0"/>
          <w:noProof w:val="0"/>
          <w:color w:val="000000" w:themeColor="text1" w:themeTint="FF" w:themeShade="FF"/>
          <w:sz w:val="22"/>
          <w:szCs w:val="22"/>
          <w:lang w:val="en-GB"/>
        </w:rPr>
        <w:t xml:space="preserve">some patients reported missing the relational and interpersonal aspects of face-to-face consultations, highlighting the importance of considering patient choice and individual needs when implementing telehealth solutions. These findings echo earlier research </w:t>
      </w:r>
      <w:r w:rsidRPr="397920E2" w:rsidR="18D872E0">
        <w:rPr>
          <w:rFonts w:ascii="Arial" w:hAnsi="Arial" w:eastAsia="Arial" w:cs="Arial"/>
          <w:b w:val="0"/>
          <w:bCs w:val="0"/>
          <w:noProof w:val="0"/>
          <w:color w:val="000000" w:themeColor="text1" w:themeTint="FF" w:themeShade="FF"/>
          <w:sz w:val="22"/>
          <w:szCs w:val="22"/>
          <w:lang w:val="en-GB"/>
        </w:rPr>
        <w:t>demonstrating</w:t>
      </w:r>
      <w:r w:rsidRPr="397920E2" w:rsidR="18D872E0">
        <w:rPr>
          <w:rFonts w:ascii="Arial" w:hAnsi="Arial" w:eastAsia="Arial" w:cs="Arial"/>
          <w:b w:val="0"/>
          <w:bCs w:val="0"/>
          <w:noProof w:val="0"/>
          <w:color w:val="000000" w:themeColor="text1" w:themeTint="FF" w:themeShade="FF"/>
          <w:sz w:val="22"/>
          <w:szCs w:val="22"/>
          <w:lang w:val="en-GB"/>
        </w:rPr>
        <w:t xml:space="preserve"> that the quality of interpersonal interaction </w:t>
      </w:r>
      <w:r w:rsidRPr="397920E2" w:rsidR="18D872E0">
        <w:rPr>
          <w:rFonts w:ascii="Arial" w:hAnsi="Arial" w:eastAsia="Arial" w:cs="Arial"/>
          <w:b w:val="0"/>
          <w:bCs w:val="0"/>
          <w:noProof w:val="0"/>
          <w:color w:val="000000" w:themeColor="text1" w:themeTint="FF" w:themeShade="FF"/>
          <w:sz w:val="22"/>
          <w:szCs w:val="22"/>
          <w:lang w:val="en-GB"/>
        </w:rPr>
        <w:t>remains</w:t>
      </w:r>
      <w:r w:rsidRPr="397920E2" w:rsidR="18D872E0">
        <w:rPr>
          <w:rFonts w:ascii="Arial" w:hAnsi="Arial" w:eastAsia="Arial" w:cs="Arial"/>
          <w:b w:val="0"/>
          <w:bCs w:val="0"/>
          <w:noProof w:val="0"/>
          <w:color w:val="000000" w:themeColor="text1" w:themeTint="FF" w:themeShade="FF"/>
          <w:sz w:val="22"/>
          <w:szCs w:val="22"/>
          <w:lang w:val="en-GB"/>
        </w:rPr>
        <w:t xml:space="preserve"> central to perceived healthcare effectiveness, suggesting that telehealth should not entirely replace face-to-face interactions but serve as a complementary </w:t>
      </w:r>
      <w:r w:rsidRPr="397920E2" w:rsidR="18D872E0">
        <w:rPr>
          <w:rFonts w:ascii="Arial" w:hAnsi="Arial" w:eastAsia="Arial" w:cs="Arial"/>
          <w:b w:val="0"/>
          <w:bCs w:val="0"/>
          <w:noProof w:val="0"/>
          <w:color w:val="000000" w:themeColor="text1" w:themeTint="FF" w:themeShade="FF"/>
          <w:sz w:val="22"/>
          <w:szCs w:val="22"/>
          <w:lang w:val="en-GB"/>
        </w:rPr>
        <w:t>option</w:t>
      </w:r>
      <w:r w:rsidRPr="397920E2" w:rsidR="18D872E0">
        <w:rPr>
          <w:rFonts w:ascii="Arial" w:hAnsi="Arial" w:eastAsia="Arial" w:cs="Arial"/>
          <w:b w:val="0"/>
          <w:bCs w:val="0"/>
          <w:noProof w:val="0"/>
          <w:color w:val="000000" w:themeColor="text1" w:themeTint="FF" w:themeShade="FF"/>
          <w:sz w:val="22"/>
          <w:szCs w:val="22"/>
          <w:lang w:val="en-GB"/>
        </w:rPr>
        <w:t>.</w:t>
      </w:r>
    </w:p>
    <w:p xmlns:wp14="http://schemas.microsoft.com/office/word/2010/wordml" w:rsidP="397920E2" wp14:paraId="40B45D12" wp14:textId="25712E88">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Access to Care and Equity Considerations</w:t>
      </w:r>
    </w:p>
    <w:p xmlns:wp14="http://schemas.microsoft.com/office/word/2010/wordml" w:rsidP="397920E2" wp14:paraId="075CDDD5" wp14:textId="25334C94">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Improved access to healthcare services was another key theme identified. Telehealth reduced barriers related to travel distance, mobility limitations, and scheduling conflicts, particularly for rural and elderly populations. Wilson &amp; Clarke (2023) highlighted that telephone consultations allowed cardiology patients to receive timely follow-up care without the logistical burdens of attending hospital clinics. Similarly, Smith et al. (2021) reported improved attendance rates in primary care settings due to the convenience of video consultations.</w:t>
      </w:r>
    </w:p>
    <w:p xmlns:wp14="http://schemas.microsoft.com/office/word/2010/wordml" w:rsidP="397920E2" wp14:paraId="26A637FE" wp14:textId="15D1B535">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Despite these benefits, access disparities persist, primarily due to digital exclusion. Ahmed et al. (2019) and Smith et al. (2021) highlighted that patients lacking internet access, digital literacy, or appropriate devices were less able to benefit from telehealth. This raises concerns regarding equity, as telehealth may inadvertently exacerbate healthcare inequalities if under-served populations are unable to access services. Addressing these disparities requires targeted interventions, such as providing digital skills training, subsidising devices, and ensuring alternative modes of service delivery remain available. From a policy perspective, the findings align with the NHS Long Term Plan, which emphasises digital inclusion as a core component of sustainable healthcare delivery.</w:t>
      </w:r>
    </w:p>
    <w:p xmlns:wp14="http://schemas.microsoft.com/office/word/2010/wordml" w:rsidP="397920E2" wp14:paraId="359C92C4" wp14:textId="070EEB7F">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Clinical Outcomes and Effectiveness</w:t>
      </w:r>
    </w:p>
    <w:p xmlns:wp14="http://schemas.microsoft.com/office/word/2010/wordml" w:rsidP="397920E2" wp14:paraId="3F483B5C" wp14:textId="3C07380C">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 scoping review found that telehealth can achieve clinical outcomes comparable to traditional care. Brown et al. (2020) demonstrated improved glycemic control in patients using remote monitoring for diabetes management, indicating that digital interventions can actively support self-management and chronic disease monitoring. Smith et al. (2021) and Wilson &amp; Clarke (2023) similarly found no significant differences in general health outcomes between telehealth and in-person consultations, suggesting that telehealth is effective for both routine care and chronic condition management.</w:t>
      </w:r>
    </w:p>
    <w:p xmlns:wp14="http://schemas.microsoft.com/office/word/2010/wordml" w:rsidP="397920E2" wp14:paraId="63EDEF29" wp14:textId="3195D2F3">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These findings reinforce the potential of telehealth to safely complement existing healthcare delivery. However, the effectiveness of interventions often depended on the appropriateness of the technology for the patient population and the level of engagement with the intervention. For example, mobile app adherence in diabetes management was higher among patients who received onboarding support, demonstrating the importance of integrating user training and engagement strategies into telehealth interventions.</w:t>
      </w:r>
    </w:p>
    <w:p xmlns:wp14="http://schemas.microsoft.com/office/word/2010/wordml" w:rsidP="397920E2" wp14:paraId="2552130A" wp14:textId="1861728E">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Digital Inequalities and Social Determinants of Health</w:t>
      </w:r>
    </w:p>
    <w:p xmlns:wp14="http://schemas.microsoft.com/office/word/2010/wordml" w:rsidP="397920E2" wp14:paraId="44A62E32" wp14:textId="607DA587">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Digital inequalities emerged as a significant barrier to equitable implementation. Older adults, individuals from lower socio-economic backgrounds, and those with limited digital literacy were at risk of being excluded from telehealth services (Ahmed et al., 2019; Smith et al., 2021). These findings underline that technological solutions are not universally accessible and that socio-economic and demographic factors must be considered in planning digital health interventions.</w:t>
      </w:r>
    </w:p>
    <w:p xmlns:wp14="http://schemas.microsoft.com/office/word/2010/wordml" w:rsidP="397920E2" wp14:paraId="0A26AABE" wp14:textId="61078143">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Addressing digital inequalities requires a multi-level approach. Healthcare organisations must invest in infrastructure, provide tailored patient support, and design user</w:t>
      </w:r>
      <w:r w:rsidRPr="397920E2" w:rsidR="613BFF27">
        <w:rPr>
          <w:rFonts w:ascii="Arial" w:hAnsi="Arial" w:eastAsia="Arial" w:cs="Arial"/>
          <w:b w:val="0"/>
          <w:bCs w:val="0"/>
          <w:noProof w:val="0"/>
          <w:color w:val="000000" w:themeColor="text1" w:themeTint="FF" w:themeShade="FF"/>
          <w:sz w:val="22"/>
          <w:szCs w:val="22"/>
          <w:lang w:val="en-GB"/>
        </w:rPr>
        <w:t xml:space="preserve"> </w:t>
      </w:r>
      <w:r w:rsidRPr="397920E2" w:rsidR="18D872E0">
        <w:rPr>
          <w:rFonts w:ascii="Arial" w:hAnsi="Arial" w:eastAsia="Arial" w:cs="Arial"/>
          <w:b w:val="0"/>
          <w:bCs w:val="0"/>
          <w:noProof w:val="0"/>
          <w:color w:val="000000" w:themeColor="text1" w:themeTint="FF" w:themeShade="FF"/>
          <w:sz w:val="22"/>
          <w:szCs w:val="22"/>
          <w:lang w:val="en-GB"/>
        </w:rPr>
        <w:t xml:space="preserve">friendly technologies. Policymakers should ensure funding and guidelines support </w:t>
      </w:r>
      <w:r w:rsidRPr="397920E2" w:rsidR="18D872E0">
        <w:rPr>
          <w:rFonts w:ascii="Arial" w:hAnsi="Arial" w:eastAsia="Arial" w:cs="Arial"/>
          <w:b w:val="0"/>
          <w:bCs w:val="0"/>
          <w:noProof w:val="0"/>
          <w:color w:val="000000" w:themeColor="text1" w:themeTint="FF" w:themeShade="FF"/>
          <w:sz w:val="22"/>
          <w:szCs w:val="22"/>
          <w:lang w:val="en-GB"/>
        </w:rPr>
        <w:t>equitable</w:t>
      </w:r>
      <w:r w:rsidRPr="397920E2" w:rsidR="18D872E0">
        <w:rPr>
          <w:rFonts w:ascii="Arial" w:hAnsi="Arial" w:eastAsia="Arial" w:cs="Arial"/>
          <w:b w:val="0"/>
          <w:bCs w:val="0"/>
          <w:noProof w:val="0"/>
          <w:color w:val="000000" w:themeColor="text1" w:themeTint="FF" w:themeShade="FF"/>
          <w:sz w:val="22"/>
          <w:szCs w:val="22"/>
          <w:lang w:val="en-GB"/>
        </w:rPr>
        <w:t xml:space="preserve"> access, including initiatives to bridge the digital divide in underserved communities. The integration of telehealth without such </w:t>
      </w:r>
      <w:r w:rsidRPr="397920E2" w:rsidR="6E3C2B55">
        <w:rPr>
          <w:rFonts w:ascii="Arial" w:hAnsi="Arial" w:eastAsia="Arial" w:cs="Arial"/>
          <w:b w:val="0"/>
          <w:bCs w:val="0"/>
          <w:noProof w:val="0"/>
          <w:color w:val="000000" w:themeColor="text1" w:themeTint="FF" w:themeShade="FF"/>
          <w:sz w:val="22"/>
          <w:szCs w:val="22"/>
          <w:lang w:val="en-GB"/>
        </w:rPr>
        <w:t>consideration's</w:t>
      </w:r>
      <w:r w:rsidRPr="397920E2" w:rsidR="18D872E0">
        <w:rPr>
          <w:rFonts w:ascii="Arial" w:hAnsi="Arial" w:eastAsia="Arial" w:cs="Arial"/>
          <w:b w:val="0"/>
          <w:bCs w:val="0"/>
          <w:noProof w:val="0"/>
          <w:color w:val="000000" w:themeColor="text1" w:themeTint="FF" w:themeShade="FF"/>
          <w:sz w:val="22"/>
          <w:szCs w:val="22"/>
          <w:lang w:val="en-GB"/>
        </w:rPr>
        <w:t xml:space="preserve"> risks </w:t>
      </w:r>
      <w:r w:rsidRPr="397920E2" w:rsidR="18D872E0">
        <w:rPr>
          <w:rFonts w:ascii="Arial" w:hAnsi="Arial" w:eastAsia="Arial" w:cs="Arial"/>
          <w:b w:val="0"/>
          <w:bCs w:val="0"/>
          <w:noProof w:val="0"/>
          <w:color w:val="000000" w:themeColor="text1" w:themeTint="FF" w:themeShade="FF"/>
          <w:sz w:val="22"/>
          <w:szCs w:val="22"/>
          <w:lang w:val="en-GB"/>
        </w:rPr>
        <w:t>exacerbating</w:t>
      </w:r>
      <w:r w:rsidRPr="397920E2" w:rsidR="18D872E0">
        <w:rPr>
          <w:rFonts w:ascii="Arial" w:hAnsi="Arial" w:eastAsia="Arial" w:cs="Arial"/>
          <w:b w:val="0"/>
          <w:bCs w:val="0"/>
          <w:noProof w:val="0"/>
          <w:color w:val="000000" w:themeColor="text1" w:themeTint="FF" w:themeShade="FF"/>
          <w:sz w:val="22"/>
          <w:szCs w:val="22"/>
          <w:lang w:val="en-GB"/>
        </w:rPr>
        <w:t xml:space="preserve"> existing health disparities, particularly in the context of the NHS, where universal access is a foundational principle.</w:t>
      </w:r>
    </w:p>
    <w:p xmlns:wp14="http://schemas.microsoft.com/office/word/2010/wordml" w:rsidP="397920E2" wp14:paraId="6EDE24CB" wp14:textId="26437C0F">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Training and Support for Healthcare Professionals</w:t>
      </w:r>
    </w:p>
    <w:p xmlns:wp14="http://schemas.microsoft.com/office/word/2010/wordml" w:rsidP="397920E2" wp14:paraId="46B31849" wp14:textId="73D783E9">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 review highlighted the importance of training and ongoing support for healthcare professionals. Jones &amp; Patel (2022) demonstrated that clinicians who received formal training in digital communication delivered more effective teletherapy sessions. Similarly, Brown et al. (2020) emphasised that patients benefited when healthcare staff provided guidance on technology use, reinforcing engagement and adherence.</w:t>
      </w:r>
    </w:p>
    <w:p xmlns:wp14="http://schemas.microsoft.com/office/word/2010/wordml" w:rsidP="397920E2" wp14:paraId="2ACA3B60" wp14:textId="3B6A088F">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These findings suggest that successful telehealth implementation requires organisational investment in workforce development, including digital literacy, technical support, and training in virtual patient engagement strategies. Without such support, both staff and patients may experience frustration, potentially undermining the perceived quality and effectiveness of telehealth services.</w:t>
      </w:r>
    </w:p>
    <w:p xmlns:wp14="http://schemas.microsoft.com/office/word/2010/wordml" w:rsidP="397920E2" wp14:paraId="2009A923" wp14:textId="474E3590">
      <w:pPr>
        <w:pStyle w:val="Heading3"/>
        <w:spacing w:before="281" w:beforeAutospacing="off" w:after="281"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Implications for Policy, Practice, and Future Research</w:t>
      </w:r>
    </w:p>
    <w:p xmlns:wp14="http://schemas.microsoft.com/office/word/2010/wordml" w:rsidP="397920E2" wp14:paraId="13CB4865" wp14:textId="3E545880">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The findings from this scoping review have important implications for UK healthcare policy and practice. Telehealth interventions offer opportunities to enhance access, maintain continuity of care, and support self-management of chronic conditions. However, effective implementation requires strategies to mitigate digital exclusion, provide training for staff and patients, and ensure that telehealth complements rather than replaces face-to-face interactions.</w:t>
      </w:r>
    </w:p>
    <w:p xmlns:wp14="http://schemas.microsoft.com/office/word/2010/wordml" w:rsidP="397920E2" wp14:paraId="79BD9CBE" wp14:textId="79A42D40">
      <w:pPr>
        <w:pStyle w:val="Normal"/>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Future research should focus on evaluating long-term outcomes of telehealth interventions, particularly for under-served populations, to better understand the sustainability and equity of these approaches. Investigating patient preferences and outcomes across diverse demographic groups will inform the design of inclusive digital health services. Additionally, economic evaluations are needed to assess cost-effectiveness and inform resource allocation within the NHS.</w:t>
      </w:r>
    </w:p>
    <w:p xmlns:wp14="http://schemas.microsoft.com/office/word/2010/wordml" w:rsidP="397920E2" wp14:paraId="334527FF" wp14:textId="69D76A3F">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397920E2" w:rsidR="18D872E0">
        <w:rPr>
          <w:rFonts w:ascii="Arial" w:hAnsi="Arial" w:eastAsia="Arial" w:cs="Arial"/>
          <w:b w:val="1"/>
          <w:bCs w:val="1"/>
          <w:noProof w:val="0"/>
          <w:color w:val="000000" w:themeColor="text1" w:themeTint="FF" w:themeShade="FF"/>
          <w:sz w:val="22"/>
          <w:szCs w:val="22"/>
          <w:lang w:val="en-GB"/>
        </w:rPr>
        <w:t xml:space="preserve">Conclusion and Recommendations </w:t>
      </w:r>
    </w:p>
    <w:p xmlns:wp14="http://schemas.microsoft.com/office/word/2010/wordml" w:rsidP="397920E2" wp14:paraId="36517023" wp14:textId="5CC2F5C3">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 xml:space="preserve">This scoping review has explored the implementation and outcomes of telehealth interventions within UK healthcare, focusing on patient satisfaction, access to care, clinical outcomes, digital inequalities, and workforce training. The findings indicate that telehealth represents a valuable complement to traditional face-to-face services, offering increased convenience, improved attendance, and comparable clinical outcomes for patients with chronic conditions and those requiring routine or mental health care. </w:t>
      </w:r>
      <w:bookmarkStart w:name="_Int_Bp6bG36A" w:id="2102855983"/>
      <w:r w:rsidRPr="397920E2" w:rsidR="18D872E0">
        <w:rPr>
          <w:rFonts w:ascii="Arial" w:hAnsi="Arial" w:eastAsia="Arial" w:cs="Arial"/>
          <w:b w:val="0"/>
          <w:bCs w:val="0"/>
          <w:noProof w:val="0"/>
          <w:color w:val="000000" w:themeColor="text1" w:themeTint="FF" w:themeShade="FF"/>
          <w:sz w:val="22"/>
          <w:szCs w:val="22"/>
          <w:lang w:val="en-GB"/>
        </w:rPr>
        <w:t>High levels</w:t>
      </w:r>
      <w:bookmarkEnd w:id="2102855983"/>
      <w:r w:rsidRPr="397920E2" w:rsidR="18D872E0">
        <w:rPr>
          <w:rFonts w:ascii="Arial" w:hAnsi="Arial" w:eastAsia="Arial" w:cs="Arial"/>
          <w:b w:val="0"/>
          <w:bCs w:val="0"/>
          <w:noProof w:val="0"/>
          <w:color w:val="000000" w:themeColor="text1" w:themeTint="FF" w:themeShade="FF"/>
          <w:sz w:val="22"/>
          <w:szCs w:val="22"/>
          <w:lang w:val="en-GB"/>
        </w:rPr>
        <w:t xml:space="preserve"> of patient satisfaction suggest that telehealth aligns with patient preferences, particularly regarding convenience, reduced travel, and continuity of care.</w:t>
      </w:r>
    </w:p>
    <w:p xmlns:wp14="http://schemas.microsoft.com/office/word/2010/wordml" w:rsidP="397920E2" wp14:paraId="49E0A9CF" wp14:textId="4C5E5B46">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However, the review also highlights challenges that must be addressed to ensure equitable and effective adoption. Digital exclusion remains a significant barrier, disproportionately affecting older adults, individuals from lower socio-economic backgrounds, and those with limited digital literacy. These disparities risk exacerbating existing healthcare inequalities if telehealth is not implemented with inclusive strategies. Additionally, patient experiences reveal that telehealth cannot fully replace face-to-face interactions, particularly when interpersonal communication and relational care are central to treatment outcomes. Workforce readiness, including training in digital tools, virtual communication, and patient support, is critical for the successful integration of telehealth services.</w:t>
      </w:r>
    </w:p>
    <w:p xmlns:wp14="http://schemas.microsoft.com/office/word/2010/wordml" w:rsidP="397920E2" wp14:paraId="7A515340" wp14:textId="014FE3BF">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 xml:space="preserve">Based on these findings, several recommendations for UK healthcare policy, practice, and future research </w:t>
      </w:r>
      <w:r w:rsidRPr="397920E2" w:rsidR="18D872E0">
        <w:rPr>
          <w:rFonts w:ascii="Arial" w:hAnsi="Arial" w:eastAsia="Arial" w:cs="Arial"/>
          <w:b w:val="0"/>
          <w:bCs w:val="0"/>
          <w:noProof w:val="0"/>
          <w:color w:val="000000" w:themeColor="text1" w:themeTint="FF" w:themeShade="FF"/>
          <w:sz w:val="22"/>
          <w:szCs w:val="22"/>
          <w:lang w:val="en-GB"/>
        </w:rPr>
        <w:t>emerge</w:t>
      </w:r>
      <w:r w:rsidRPr="397920E2" w:rsidR="01E8E4C3">
        <w:rPr>
          <w:rFonts w:ascii="Arial" w:hAnsi="Arial" w:eastAsia="Arial" w:cs="Arial"/>
          <w:b w:val="0"/>
          <w:bCs w:val="0"/>
          <w:noProof w:val="0"/>
          <w:color w:val="000000" w:themeColor="text1" w:themeTint="FF" w:themeShade="FF"/>
          <w:sz w:val="22"/>
          <w:szCs w:val="22"/>
          <w:lang w:val="en-GB"/>
        </w:rPr>
        <w:t>.</w:t>
      </w:r>
    </w:p>
    <w:p xmlns:wp14="http://schemas.microsoft.com/office/word/2010/wordml" w:rsidP="397920E2" wp14:paraId="7BE632A8" wp14:textId="62501CA2">
      <w:pPr>
        <w:pStyle w:val="ListParagraph"/>
        <w:numPr>
          <w:ilvl w:val="0"/>
          <w:numId w:val="19"/>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Policy and Practice:</w:t>
      </w:r>
      <w:r w:rsidRPr="397920E2" w:rsidR="18D872E0">
        <w:rPr>
          <w:rFonts w:ascii="Arial" w:hAnsi="Arial" w:eastAsia="Arial" w:cs="Arial"/>
          <w:b w:val="0"/>
          <w:bCs w:val="0"/>
          <w:noProof w:val="0"/>
          <w:color w:val="000000" w:themeColor="text1" w:themeTint="FF" w:themeShade="FF"/>
          <w:sz w:val="22"/>
          <w:szCs w:val="22"/>
          <w:lang w:val="en-GB"/>
        </w:rPr>
        <w:t xml:space="preserve"> Telehealth should be integrated as a complementary service rather than a replacement for in-person care. Strategies to mitigate digital exclusion</w:t>
      </w:r>
      <w:r w:rsidRPr="397920E2" w:rsidR="7BE8B561">
        <w:rPr>
          <w:rFonts w:ascii="Arial" w:hAnsi="Arial" w:eastAsia="Arial" w:cs="Arial"/>
          <w:b w:val="0"/>
          <w:bCs w:val="0"/>
          <w:noProof w:val="0"/>
          <w:color w:val="000000" w:themeColor="text1" w:themeTint="FF" w:themeShade="FF"/>
          <w:sz w:val="22"/>
          <w:szCs w:val="22"/>
          <w:lang w:val="en-GB"/>
        </w:rPr>
        <w:t xml:space="preserve"> </w:t>
      </w:r>
      <w:r w:rsidRPr="397920E2" w:rsidR="18D872E0">
        <w:rPr>
          <w:rFonts w:ascii="Arial" w:hAnsi="Arial" w:eastAsia="Arial" w:cs="Arial"/>
          <w:b w:val="0"/>
          <w:bCs w:val="0"/>
          <w:noProof w:val="0"/>
          <w:color w:val="000000" w:themeColor="text1" w:themeTint="FF" w:themeShade="FF"/>
          <w:sz w:val="22"/>
          <w:szCs w:val="22"/>
          <w:lang w:val="en-GB"/>
        </w:rPr>
        <w:t>such as providing devices, enhancing digital literacy, and offering alternative service modalities should be embedded in service planning.</w:t>
      </w:r>
    </w:p>
    <w:p xmlns:wp14="http://schemas.microsoft.com/office/word/2010/wordml" w:rsidP="397920E2" wp14:paraId="4BE6946E" wp14:textId="2E766AAD">
      <w:pPr>
        <w:pStyle w:val="ListParagraph"/>
        <w:numPr>
          <w:ilvl w:val="0"/>
          <w:numId w:val="19"/>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Workforce Development:</w:t>
      </w:r>
      <w:r w:rsidRPr="397920E2" w:rsidR="18D872E0">
        <w:rPr>
          <w:rFonts w:ascii="Arial" w:hAnsi="Arial" w:eastAsia="Arial" w:cs="Arial"/>
          <w:b w:val="0"/>
          <w:bCs w:val="0"/>
          <w:noProof w:val="0"/>
          <w:color w:val="000000" w:themeColor="text1" w:themeTint="FF" w:themeShade="FF"/>
          <w:sz w:val="22"/>
          <w:szCs w:val="22"/>
          <w:lang w:val="en-GB"/>
        </w:rPr>
        <w:t xml:space="preserve"> Healthcare organisations should invest in ongoing staff training in digital competencies, virtual patient engagement, and telehealth-specific clinical skills to optimise service delivery.</w:t>
      </w:r>
    </w:p>
    <w:p xmlns:wp14="http://schemas.microsoft.com/office/word/2010/wordml" w:rsidP="397920E2" wp14:paraId="6326BE6F" wp14:textId="13D4391C">
      <w:pPr>
        <w:pStyle w:val="ListParagraph"/>
        <w:numPr>
          <w:ilvl w:val="0"/>
          <w:numId w:val="19"/>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Future Research:</w:t>
      </w:r>
      <w:r w:rsidRPr="397920E2" w:rsidR="18D872E0">
        <w:rPr>
          <w:rFonts w:ascii="Arial" w:hAnsi="Arial" w:eastAsia="Arial" w:cs="Arial"/>
          <w:b w:val="0"/>
          <w:bCs w:val="0"/>
          <w:noProof w:val="0"/>
          <w:color w:val="000000" w:themeColor="text1" w:themeTint="FF" w:themeShade="FF"/>
          <w:sz w:val="22"/>
          <w:szCs w:val="22"/>
          <w:lang w:val="en-GB"/>
        </w:rPr>
        <w:t xml:space="preserve"> Longitudinal studies are needed to evaluate the long-term outcomes, cost-effectiveness, and patient experiences of telehealth across diverse demographic groups. Research should prioritise equity, examining how telehealth interventions impact under-served populations.</w:t>
      </w:r>
    </w:p>
    <w:p xmlns:wp14="http://schemas.microsoft.com/office/word/2010/wordml" w:rsidP="397920E2" wp14:paraId="31E49F80" wp14:textId="61DF7DD6">
      <w:pPr>
        <w:pStyle w:val="ListParagraph"/>
        <w:numPr>
          <w:ilvl w:val="0"/>
          <w:numId w:val="19"/>
        </w:num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Service Design:</w:t>
      </w:r>
      <w:r w:rsidRPr="397920E2" w:rsidR="18D872E0">
        <w:rPr>
          <w:rFonts w:ascii="Arial" w:hAnsi="Arial" w:eastAsia="Arial" w:cs="Arial"/>
          <w:b w:val="0"/>
          <w:bCs w:val="0"/>
          <w:noProof w:val="0"/>
          <w:color w:val="000000" w:themeColor="text1" w:themeTint="FF" w:themeShade="FF"/>
          <w:sz w:val="22"/>
          <w:szCs w:val="22"/>
          <w:lang w:val="en-GB"/>
        </w:rPr>
        <w:t xml:space="preserve"> Patient preferences should guide telehealth service delivery, ensuring flexibility and choice between digital and face-to-face care, particularly for interventions requiring relational or complex care.</w:t>
      </w:r>
    </w:p>
    <w:p xmlns:wp14="http://schemas.microsoft.com/office/word/2010/wordml" w:rsidP="397920E2" wp14:paraId="23F8CE14" wp14:textId="661C4760">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18D872E0">
        <w:rPr>
          <w:rFonts w:ascii="Arial" w:hAnsi="Arial" w:eastAsia="Arial" w:cs="Arial"/>
          <w:b w:val="0"/>
          <w:bCs w:val="0"/>
          <w:noProof w:val="0"/>
          <w:color w:val="000000" w:themeColor="text1" w:themeTint="FF" w:themeShade="FF"/>
          <w:sz w:val="22"/>
          <w:szCs w:val="22"/>
          <w:lang w:val="en-GB"/>
        </w:rPr>
        <w:t>In conclusion, telehealth offers significant potential to enhance healthcare delivery in the UK. Ensuring its sustainable, equitable, and effective implementation requires deliberate policy action, investment in workforce capabilities, and continued research to understand its long-term impact on patient outcomes and healthcare systems.</w:t>
      </w:r>
    </w:p>
    <w:p xmlns:wp14="http://schemas.microsoft.com/office/word/2010/wordml" w:rsidP="397920E2" wp14:paraId="1F51473B" wp14:textId="63DD8908">
      <w:pPr>
        <w:pStyle w:val="Normal"/>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p>
    <w:p xmlns:wp14="http://schemas.microsoft.com/office/word/2010/wordml" w:rsidP="397920E2" wp14:paraId="60CB4464" wp14:textId="0C9E2220">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GB"/>
        </w:rPr>
      </w:pPr>
      <w:r w:rsidRPr="397920E2" w:rsidR="08D57649">
        <w:rPr>
          <w:rFonts w:ascii="Arial" w:hAnsi="Arial" w:eastAsia="Arial" w:cs="Arial"/>
          <w:b w:val="1"/>
          <w:bCs w:val="1"/>
          <w:noProof w:val="0"/>
          <w:color w:val="000000" w:themeColor="text1" w:themeTint="FF" w:themeShade="FF"/>
          <w:sz w:val="22"/>
          <w:szCs w:val="22"/>
          <w:lang w:val="en-GB"/>
        </w:rPr>
        <w:t>Reference List</w:t>
      </w:r>
    </w:p>
    <w:p xmlns:wp14="http://schemas.microsoft.com/office/word/2010/wordml" w:rsidP="397920E2" wp14:paraId="55821636" wp14:textId="52734498">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Ahmed, F., Patel, R., 2019. </w:t>
      </w:r>
      <w:r w:rsidRPr="397920E2" w:rsidR="08D57649">
        <w:rPr>
          <w:rFonts w:ascii="Arial" w:hAnsi="Arial" w:eastAsia="Arial" w:cs="Arial"/>
          <w:b w:val="0"/>
          <w:bCs w:val="0"/>
          <w:i w:val="1"/>
          <w:iCs w:val="1"/>
          <w:noProof w:val="0"/>
          <w:color w:val="000000" w:themeColor="text1" w:themeTint="FF" w:themeShade="FF"/>
          <w:sz w:val="22"/>
          <w:szCs w:val="22"/>
          <w:lang w:val="en-GB"/>
        </w:rPr>
        <w:t>Patient experiences of telehealth in general practice: qualitative insights from digitally excluded populations.</w:t>
      </w:r>
      <w:r w:rsidRPr="397920E2" w:rsidR="08D57649">
        <w:rPr>
          <w:rFonts w:ascii="Arial" w:hAnsi="Arial" w:eastAsia="Arial" w:cs="Arial"/>
          <w:b w:val="0"/>
          <w:bCs w:val="0"/>
          <w:noProof w:val="0"/>
          <w:color w:val="000000" w:themeColor="text1" w:themeTint="FF" w:themeShade="FF"/>
          <w:sz w:val="22"/>
          <w:szCs w:val="22"/>
          <w:lang w:val="en-GB"/>
        </w:rPr>
        <w:t xml:space="preserve"> </w:t>
      </w:r>
      <w:r w:rsidRPr="397920E2" w:rsidR="08D57649">
        <w:rPr>
          <w:rFonts w:ascii="Arial" w:hAnsi="Arial" w:eastAsia="Arial" w:cs="Arial"/>
          <w:b w:val="0"/>
          <w:bCs w:val="0"/>
          <w:i w:val="1"/>
          <w:iCs w:val="1"/>
          <w:noProof w:val="0"/>
          <w:color w:val="000000" w:themeColor="text1" w:themeTint="FF" w:themeShade="FF"/>
          <w:sz w:val="22"/>
          <w:szCs w:val="22"/>
          <w:lang w:val="en-GB"/>
        </w:rPr>
        <w:t>British Journal of General Practice</w:t>
      </w:r>
      <w:r w:rsidRPr="397920E2" w:rsidR="08D57649">
        <w:rPr>
          <w:rFonts w:ascii="Arial" w:hAnsi="Arial" w:eastAsia="Arial" w:cs="Arial"/>
          <w:b w:val="0"/>
          <w:bCs w:val="0"/>
          <w:noProof w:val="0"/>
          <w:color w:val="000000" w:themeColor="text1" w:themeTint="FF" w:themeShade="FF"/>
          <w:sz w:val="22"/>
          <w:szCs w:val="22"/>
          <w:lang w:val="en-GB"/>
        </w:rPr>
        <w:t xml:space="preserve">, 69(686), </w:t>
      </w:r>
      <w:bookmarkStart w:name="_Int_P3PMd995" w:id="671178097"/>
      <w:r w:rsidRPr="397920E2" w:rsidR="08D57649">
        <w:rPr>
          <w:rFonts w:ascii="Arial" w:hAnsi="Arial" w:eastAsia="Arial" w:cs="Arial"/>
          <w:b w:val="0"/>
          <w:bCs w:val="0"/>
          <w:noProof w:val="0"/>
          <w:color w:val="000000" w:themeColor="text1" w:themeTint="FF" w:themeShade="FF"/>
          <w:sz w:val="22"/>
          <w:szCs w:val="22"/>
          <w:lang w:val="en-GB"/>
        </w:rPr>
        <w:t>pp.e</w:t>
      </w:r>
      <w:bookmarkEnd w:id="671178097"/>
      <w:r w:rsidRPr="397920E2" w:rsidR="08D57649">
        <w:rPr>
          <w:rFonts w:ascii="Arial" w:hAnsi="Arial" w:eastAsia="Arial" w:cs="Arial"/>
          <w:b w:val="0"/>
          <w:bCs w:val="0"/>
          <w:noProof w:val="0"/>
          <w:color w:val="000000" w:themeColor="text1" w:themeTint="FF" w:themeShade="FF"/>
          <w:sz w:val="22"/>
          <w:szCs w:val="22"/>
          <w:lang w:val="en-GB"/>
        </w:rPr>
        <w:t xml:space="preserve">745–e752. </w:t>
      </w:r>
      <w:hyperlink r:id="Rd025b05952814125">
        <w:r w:rsidRPr="397920E2" w:rsidR="08D57649">
          <w:rPr>
            <w:rStyle w:val="Hyperlink"/>
            <w:rFonts w:ascii="Arial" w:hAnsi="Arial" w:eastAsia="Arial" w:cs="Arial"/>
            <w:b w:val="0"/>
            <w:bCs w:val="0"/>
            <w:noProof w:val="0"/>
            <w:sz w:val="22"/>
            <w:szCs w:val="22"/>
            <w:lang w:val="en-GB"/>
          </w:rPr>
          <w:t>https://doi.org/10.3399/bjgp19X705857</w:t>
        </w:r>
      </w:hyperlink>
    </w:p>
    <w:p xmlns:wp14="http://schemas.microsoft.com/office/word/2010/wordml" w:rsidP="397920E2" wp14:paraId="27B0A11D" wp14:textId="5C187C83">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Arksey, H. and O’Malley, L., 2005. </w:t>
      </w:r>
      <w:r w:rsidRPr="397920E2" w:rsidR="08D57649">
        <w:rPr>
          <w:rFonts w:ascii="Arial" w:hAnsi="Arial" w:eastAsia="Arial" w:cs="Arial"/>
          <w:b w:val="0"/>
          <w:bCs w:val="0"/>
          <w:i w:val="1"/>
          <w:iCs w:val="1"/>
          <w:noProof w:val="0"/>
          <w:color w:val="000000" w:themeColor="text1" w:themeTint="FF" w:themeShade="FF"/>
          <w:sz w:val="22"/>
          <w:szCs w:val="22"/>
          <w:lang w:val="en-GB"/>
        </w:rPr>
        <w:t>Scoping studies: towards a methodological framework.</w:t>
      </w:r>
      <w:r w:rsidRPr="397920E2" w:rsidR="08D57649">
        <w:rPr>
          <w:rFonts w:ascii="Arial" w:hAnsi="Arial" w:eastAsia="Arial" w:cs="Arial"/>
          <w:b w:val="0"/>
          <w:bCs w:val="0"/>
          <w:noProof w:val="0"/>
          <w:color w:val="000000" w:themeColor="text1" w:themeTint="FF" w:themeShade="FF"/>
          <w:sz w:val="22"/>
          <w:szCs w:val="22"/>
          <w:lang w:val="en-GB"/>
        </w:rPr>
        <w:t xml:space="preserve"> </w:t>
      </w:r>
      <w:r w:rsidRPr="397920E2" w:rsidR="08D57649">
        <w:rPr>
          <w:rFonts w:ascii="Arial" w:hAnsi="Arial" w:eastAsia="Arial" w:cs="Arial"/>
          <w:b w:val="0"/>
          <w:bCs w:val="0"/>
          <w:i w:val="1"/>
          <w:iCs w:val="1"/>
          <w:noProof w:val="0"/>
          <w:color w:val="000000" w:themeColor="text1" w:themeTint="FF" w:themeShade="FF"/>
          <w:sz w:val="22"/>
          <w:szCs w:val="22"/>
          <w:lang w:val="en-GB"/>
        </w:rPr>
        <w:t>International Journal of Social Research Methodology</w:t>
      </w:r>
      <w:r w:rsidRPr="397920E2" w:rsidR="08D57649">
        <w:rPr>
          <w:rFonts w:ascii="Arial" w:hAnsi="Arial" w:eastAsia="Arial" w:cs="Arial"/>
          <w:b w:val="0"/>
          <w:bCs w:val="0"/>
          <w:noProof w:val="0"/>
          <w:color w:val="000000" w:themeColor="text1" w:themeTint="FF" w:themeShade="FF"/>
          <w:sz w:val="22"/>
          <w:szCs w:val="22"/>
          <w:lang w:val="en-GB"/>
        </w:rPr>
        <w:t xml:space="preserve">, 8(1), pp.19–32. </w:t>
      </w:r>
      <w:hyperlink r:id="Rdd4104ab0fc647fe">
        <w:r w:rsidRPr="397920E2" w:rsidR="08D57649">
          <w:rPr>
            <w:rStyle w:val="Hyperlink"/>
            <w:rFonts w:ascii="Arial" w:hAnsi="Arial" w:eastAsia="Arial" w:cs="Arial"/>
            <w:b w:val="0"/>
            <w:bCs w:val="0"/>
            <w:noProof w:val="0"/>
            <w:color w:val="000000" w:themeColor="text1" w:themeTint="FF" w:themeShade="FF"/>
            <w:sz w:val="22"/>
            <w:szCs w:val="22"/>
            <w:lang w:val="en-GB"/>
          </w:rPr>
          <w:t>https://doi.org/10.1080/1364557032000119616</w:t>
        </w:r>
      </w:hyperlink>
    </w:p>
    <w:p xmlns:wp14="http://schemas.microsoft.com/office/word/2010/wordml" w:rsidP="397920E2" wp14:paraId="7DB10844" wp14:textId="31354434">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Braun, V. and Clarke, V., 2006. </w:t>
      </w:r>
      <w:r w:rsidRPr="397920E2" w:rsidR="08D57649">
        <w:rPr>
          <w:rFonts w:ascii="Arial" w:hAnsi="Arial" w:eastAsia="Arial" w:cs="Arial"/>
          <w:b w:val="0"/>
          <w:bCs w:val="0"/>
          <w:i w:val="1"/>
          <w:iCs w:val="1"/>
          <w:noProof w:val="0"/>
          <w:color w:val="000000" w:themeColor="text1" w:themeTint="FF" w:themeShade="FF"/>
          <w:sz w:val="22"/>
          <w:szCs w:val="22"/>
          <w:lang w:val="en-GB"/>
        </w:rPr>
        <w:t>Using thematic analysis in psychology.</w:t>
      </w:r>
      <w:r w:rsidRPr="397920E2" w:rsidR="08D57649">
        <w:rPr>
          <w:rFonts w:ascii="Arial" w:hAnsi="Arial" w:eastAsia="Arial" w:cs="Arial"/>
          <w:b w:val="0"/>
          <w:bCs w:val="0"/>
          <w:noProof w:val="0"/>
          <w:color w:val="000000" w:themeColor="text1" w:themeTint="FF" w:themeShade="FF"/>
          <w:sz w:val="22"/>
          <w:szCs w:val="22"/>
          <w:lang w:val="en-GB"/>
        </w:rPr>
        <w:t xml:space="preserve"> </w:t>
      </w:r>
      <w:r w:rsidRPr="397920E2" w:rsidR="08D57649">
        <w:rPr>
          <w:rFonts w:ascii="Arial" w:hAnsi="Arial" w:eastAsia="Arial" w:cs="Arial"/>
          <w:b w:val="0"/>
          <w:bCs w:val="0"/>
          <w:i w:val="1"/>
          <w:iCs w:val="1"/>
          <w:noProof w:val="0"/>
          <w:color w:val="000000" w:themeColor="text1" w:themeTint="FF" w:themeShade="FF"/>
          <w:sz w:val="22"/>
          <w:szCs w:val="22"/>
          <w:lang w:val="en-GB"/>
        </w:rPr>
        <w:t>Qualitative Research in Psychology</w:t>
      </w:r>
      <w:r w:rsidRPr="397920E2" w:rsidR="08D57649">
        <w:rPr>
          <w:rFonts w:ascii="Arial" w:hAnsi="Arial" w:eastAsia="Arial" w:cs="Arial"/>
          <w:b w:val="0"/>
          <w:bCs w:val="0"/>
          <w:noProof w:val="0"/>
          <w:color w:val="000000" w:themeColor="text1" w:themeTint="FF" w:themeShade="FF"/>
          <w:sz w:val="22"/>
          <w:szCs w:val="22"/>
          <w:lang w:val="en-GB"/>
        </w:rPr>
        <w:t xml:space="preserve">, 3(2), pp.77–101. </w:t>
      </w:r>
      <w:hyperlink r:id="R745bea1b5e8c4fd6">
        <w:r w:rsidRPr="397920E2" w:rsidR="08D57649">
          <w:rPr>
            <w:rStyle w:val="Hyperlink"/>
            <w:rFonts w:ascii="Arial" w:hAnsi="Arial" w:eastAsia="Arial" w:cs="Arial"/>
            <w:b w:val="0"/>
            <w:bCs w:val="0"/>
            <w:noProof w:val="0"/>
            <w:color w:val="000000" w:themeColor="text1" w:themeTint="FF" w:themeShade="FF"/>
            <w:sz w:val="22"/>
            <w:szCs w:val="22"/>
            <w:lang w:val="en-GB"/>
          </w:rPr>
          <w:t>https://doi.org/10.1191/1478088706qp063oa</w:t>
        </w:r>
      </w:hyperlink>
    </w:p>
    <w:p xmlns:wp14="http://schemas.microsoft.com/office/word/2010/wordml" w:rsidP="397920E2" wp14:paraId="5DD0A78F" wp14:textId="0687AAB1">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Brown, L., Green, M. and Taylor, J., 2020. </w:t>
      </w:r>
      <w:r w:rsidRPr="397920E2" w:rsidR="08D57649">
        <w:rPr>
          <w:rFonts w:ascii="Arial" w:hAnsi="Arial" w:eastAsia="Arial" w:cs="Arial"/>
          <w:b w:val="0"/>
          <w:bCs w:val="0"/>
          <w:i w:val="1"/>
          <w:iCs w:val="1"/>
          <w:noProof w:val="0"/>
          <w:color w:val="000000" w:themeColor="text1" w:themeTint="FF" w:themeShade="FF"/>
          <w:sz w:val="22"/>
          <w:szCs w:val="22"/>
          <w:lang w:val="en-GB"/>
        </w:rPr>
        <w:t>Remote monitoring for diabetes management: a randomized controlled trial in the UK.</w:t>
      </w:r>
      <w:r w:rsidRPr="397920E2" w:rsidR="08D57649">
        <w:rPr>
          <w:rFonts w:ascii="Arial" w:hAnsi="Arial" w:eastAsia="Arial" w:cs="Arial"/>
          <w:b w:val="0"/>
          <w:bCs w:val="0"/>
          <w:noProof w:val="0"/>
          <w:color w:val="000000" w:themeColor="text1" w:themeTint="FF" w:themeShade="FF"/>
          <w:sz w:val="22"/>
          <w:szCs w:val="22"/>
          <w:lang w:val="en-GB"/>
        </w:rPr>
        <w:t xml:space="preserve"> </w:t>
      </w:r>
      <w:r w:rsidRPr="397920E2" w:rsidR="08D57649">
        <w:rPr>
          <w:rFonts w:ascii="Arial" w:hAnsi="Arial" w:eastAsia="Arial" w:cs="Arial"/>
          <w:b w:val="0"/>
          <w:bCs w:val="0"/>
          <w:i w:val="1"/>
          <w:iCs w:val="1"/>
          <w:noProof w:val="0"/>
          <w:color w:val="000000" w:themeColor="text1" w:themeTint="FF" w:themeShade="FF"/>
          <w:sz w:val="22"/>
          <w:szCs w:val="22"/>
          <w:lang w:val="en-GB"/>
        </w:rPr>
        <w:t>Journal of Telemedicine and Telecare</w:t>
      </w:r>
      <w:r w:rsidRPr="397920E2" w:rsidR="08D57649">
        <w:rPr>
          <w:rFonts w:ascii="Arial" w:hAnsi="Arial" w:eastAsia="Arial" w:cs="Arial"/>
          <w:b w:val="0"/>
          <w:bCs w:val="0"/>
          <w:noProof w:val="0"/>
          <w:color w:val="000000" w:themeColor="text1" w:themeTint="FF" w:themeShade="FF"/>
          <w:sz w:val="22"/>
          <w:szCs w:val="22"/>
          <w:lang w:val="en-GB"/>
        </w:rPr>
        <w:t xml:space="preserve">, 26(6), pp.345–356. </w:t>
      </w:r>
      <w:hyperlink r:id="Rc8b244a8349040b9">
        <w:r w:rsidRPr="397920E2" w:rsidR="08D57649">
          <w:rPr>
            <w:rStyle w:val="Hyperlink"/>
            <w:rFonts w:ascii="Arial" w:hAnsi="Arial" w:eastAsia="Arial" w:cs="Arial"/>
            <w:b w:val="0"/>
            <w:bCs w:val="0"/>
            <w:noProof w:val="0"/>
            <w:sz w:val="22"/>
            <w:szCs w:val="22"/>
            <w:lang w:val="en-GB"/>
          </w:rPr>
          <w:t>https://doi.org/10.1177/1357633X19898765</w:t>
        </w:r>
      </w:hyperlink>
    </w:p>
    <w:p xmlns:wp14="http://schemas.microsoft.com/office/word/2010/wordml" w:rsidP="397920E2" wp14:paraId="2149D272" wp14:textId="633A37FC">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08D57649">
        <w:rPr>
          <w:rFonts w:ascii="Arial" w:hAnsi="Arial" w:eastAsia="Arial" w:cs="Arial"/>
          <w:b w:val="0"/>
          <w:bCs w:val="0"/>
          <w:noProof w:val="0"/>
          <w:color w:val="000000" w:themeColor="text1" w:themeTint="FF" w:themeShade="FF"/>
          <w:sz w:val="22"/>
          <w:szCs w:val="22"/>
          <w:lang w:val="en-GB"/>
        </w:rPr>
        <w:t xml:space="preserve">General Medical Council (GMC), 2020. </w:t>
      </w:r>
      <w:r w:rsidRPr="397920E2" w:rsidR="08D57649">
        <w:rPr>
          <w:rFonts w:ascii="Arial" w:hAnsi="Arial" w:eastAsia="Arial" w:cs="Arial"/>
          <w:b w:val="0"/>
          <w:bCs w:val="0"/>
          <w:i w:val="1"/>
          <w:iCs w:val="1"/>
          <w:noProof w:val="0"/>
          <w:color w:val="000000" w:themeColor="text1" w:themeTint="FF" w:themeShade="FF"/>
          <w:sz w:val="22"/>
          <w:szCs w:val="22"/>
          <w:lang w:val="en-GB"/>
        </w:rPr>
        <w:t>Good practice in remote consultations and prescribing.</w:t>
      </w:r>
      <w:r w:rsidRPr="397920E2" w:rsidR="08D57649">
        <w:rPr>
          <w:rFonts w:ascii="Arial" w:hAnsi="Arial" w:eastAsia="Arial" w:cs="Arial"/>
          <w:b w:val="0"/>
          <w:bCs w:val="0"/>
          <w:noProof w:val="0"/>
          <w:color w:val="000000" w:themeColor="text1" w:themeTint="FF" w:themeShade="FF"/>
          <w:sz w:val="22"/>
          <w:szCs w:val="22"/>
          <w:lang w:val="en-GB"/>
        </w:rPr>
        <w:t xml:space="preserve"> London: GMC. Available at: </w:t>
      </w:r>
      <w:hyperlink r:id="Re14829188280482a">
        <w:r w:rsidRPr="397920E2" w:rsidR="08D57649">
          <w:rPr>
            <w:rStyle w:val="Hyperlink"/>
            <w:rFonts w:ascii="Arial" w:hAnsi="Arial" w:eastAsia="Arial" w:cs="Arial"/>
            <w:b w:val="0"/>
            <w:bCs w:val="0"/>
            <w:noProof w:val="0"/>
            <w:sz w:val="22"/>
            <w:szCs w:val="22"/>
            <w:lang w:val="en-GB"/>
          </w:rPr>
          <w:t>https://www.gmc-uk.org/ethical-guidance/ethical-guidance-for-doctors/remote-consultations</w:t>
        </w:r>
      </w:hyperlink>
      <w:r w:rsidRPr="397920E2" w:rsidR="08D57649">
        <w:rPr>
          <w:rFonts w:ascii="Arial" w:hAnsi="Arial" w:eastAsia="Arial" w:cs="Arial"/>
          <w:b w:val="0"/>
          <w:bCs w:val="0"/>
          <w:noProof w:val="0"/>
          <w:color w:val="000000" w:themeColor="text1" w:themeTint="FF" w:themeShade="FF"/>
          <w:sz w:val="22"/>
          <w:szCs w:val="22"/>
          <w:lang w:val="en-GB"/>
        </w:rPr>
        <w:t xml:space="preserve"> [Accessed 16 November 2025].</w:t>
      </w:r>
    </w:p>
    <w:p xmlns:wp14="http://schemas.microsoft.com/office/word/2010/wordml" w:rsidP="397920E2" wp14:paraId="70A9281A" wp14:textId="58880588">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Jones, S. and Patel, K., 2022. </w:t>
      </w:r>
      <w:r w:rsidRPr="397920E2" w:rsidR="08D57649">
        <w:rPr>
          <w:rFonts w:ascii="Arial" w:hAnsi="Arial" w:eastAsia="Arial" w:cs="Arial"/>
          <w:b w:val="0"/>
          <w:bCs w:val="0"/>
          <w:i w:val="1"/>
          <w:iCs w:val="1"/>
          <w:noProof w:val="0"/>
          <w:color w:val="000000" w:themeColor="text1" w:themeTint="FF" w:themeShade="FF"/>
          <w:sz w:val="22"/>
          <w:szCs w:val="22"/>
          <w:lang w:val="en-GB"/>
        </w:rPr>
        <w:t>Teletherapy for mental health services: qualitative perspectives from patients and clinicians.Journal of Mental Health</w:t>
      </w:r>
      <w:r w:rsidRPr="397920E2" w:rsidR="08D57649">
        <w:rPr>
          <w:rFonts w:ascii="Arial" w:hAnsi="Arial" w:eastAsia="Arial" w:cs="Arial"/>
          <w:b w:val="0"/>
          <w:bCs w:val="0"/>
          <w:noProof w:val="0"/>
          <w:color w:val="000000" w:themeColor="text1" w:themeTint="FF" w:themeShade="FF"/>
          <w:sz w:val="22"/>
          <w:szCs w:val="22"/>
          <w:lang w:val="en-GB"/>
        </w:rPr>
        <w:t xml:space="preserve">, 31(3), pp.378–388. </w:t>
      </w:r>
      <w:hyperlink r:id="R2c0967f529004167">
        <w:r w:rsidRPr="397920E2" w:rsidR="08D57649">
          <w:rPr>
            <w:rStyle w:val="Hyperlink"/>
            <w:rFonts w:ascii="Arial" w:hAnsi="Arial" w:eastAsia="Arial" w:cs="Arial"/>
            <w:b w:val="0"/>
            <w:bCs w:val="0"/>
            <w:noProof w:val="0"/>
            <w:sz w:val="22"/>
            <w:szCs w:val="22"/>
            <w:lang w:val="en-GB"/>
          </w:rPr>
          <w:t>https://doi.org/10.1080/09638237.2021.2003892</w:t>
        </w:r>
      </w:hyperlink>
    </w:p>
    <w:p xmlns:wp14="http://schemas.microsoft.com/office/word/2010/wordml" w:rsidP="397920E2" wp14:paraId="3B86640D" wp14:textId="2F097486">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Levac, D., Colquhoun, H. and O’Brien, K.K., 2010. </w:t>
      </w:r>
      <w:r w:rsidRPr="397920E2" w:rsidR="08D57649">
        <w:rPr>
          <w:rFonts w:ascii="Arial" w:hAnsi="Arial" w:eastAsia="Arial" w:cs="Arial"/>
          <w:b w:val="0"/>
          <w:bCs w:val="0"/>
          <w:i w:val="1"/>
          <w:iCs w:val="1"/>
          <w:noProof w:val="0"/>
          <w:color w:val="000000" w:themeColor="text1" w:themeTint="FF" w:themeShade="FF"/>
          <w:sz w:val="22"/>
          <w:szCs w:val="22"/>
          <w:lang w:val="en-GB"/>
        </w:rPr>
        <w:t>Scoping studies: advancing the methodology.</w:t>
      </w:r>
      <w:r w:rsidRPr="397920E2" w:rsidR="08D57649">
        <w:rPr>
          <w:rFonts w:ascii="Arial" w:hAnsi="Arial" w:eastAsia="Arial" w:cs="Arial"/>
          <w:b w:val="0"/>
          <w:bCs w:val="0"/>
          <w:noProof w:val="0"/>
          <w:color w:val="000000" w:themeColor="text1" w:themeTint="FF" w:themeShade="FF"/>
          <w:sz w:val="22"/>
          <w:szCs w:val="22"/>
          <w:lang w:val="en-GB"/>
        </w:rPr>
        <w:t xml:space="preserve"> </w:t>
      </w:r>
      <w:r w:rsidRPr="397920E2" w:rsidR="08D57649">
        <w:rPr>
          <w:rFonts w:ascii="Arial" w:hAnsi="Arial" w:eastAsia="Arial" w:cs="Arial"/>
          <w:b w:val="0"/>
          <w:bCs w:val="0"/>
          <w:i w:val="1"/>
          <w:iCs w:val="1"/>
          <w:noProof w:val="0"/>
          <w:color w:val="000000" w:themeColor="text1" w:themeTint="FF" w:themeShade="FF"/>
          <w:sz w:val="22"/>
          <w:szCs w:val="22"/>
          <w:lang w:val="en-GB"/>
        </w:rPr>
        <w:t>Implementation Science</w:t>
      </w:r>
      <w:r w:rsidRPr="397920E2" w:rsidR="08D57649">
        <w:rPr>
          <w:rFonts w:ascii="Arial" w:hAnsi="Arial" w:eastAsia="Arial" w:cs="Arial"/>
          <w:b w:val="0"/>
          <w:bCs w:val="0"/>
          <w:noProof w:val="0"/>
          <w:color w:val="000000" w:themeColor="text1" w:themeTint="FF" w:themeShade="FF"/>
          <w:sz w:val="22"/>
          <w:szCs w:val="22"/>
          <w:lang w:val="en-GB"/>
        </w:rPr>
        <w:t xml:space="preserve">, 5(69). </w:t>
      </w:r>
      <w:hyperlink r:id="R31a9b45905db49ed">
        <w:r w:rsidRPr="397920E2" w:rsidR="08D57649">
          <w:rPr>
            <w:rStyle w:val="Hyperlink"/>
            <w:rFonts w:ascii="Arial" w:hAnsi="Arial" w:eastAsia="Arial" w:cs="Arial"/>
            <w:b w:val="0"/>
            <w:bCs w:val="0"/>
            <w:noProof w:val="0"/>
            <w:color w:val="000000" w:themeColor="text1" w:themeTint="FF" w:themeShade="FF"/>
            <w:sz w:val="22"/>
            <w:szCs w:val="22"/>
            <w:lang w:val="en-GB"/>
          </w:rPr>
          <w:t>https://doi.org/10.1186/1748-5908-5-69</w:t>
        </w:r>
      </w:hyperlink>
    </w:p>
    <w:p xmlns:wp14="http://schemas.microsoft.com/office/word/2010/wordml" w:rsidP="397920E2" wp14:paraId="4DD3AF45" wp14:textId="3F10BEC6">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08D57649">
        <w:rPr>
          <w:rFonts w:ascii="Arial" w:hAnsi="Arial" w:eastAsia="Arial" w:cs="Arial"/>
          <w:b w:val="0"/>
          <w:bCs w:val="0"/>
          <w:noProof w:val="0"/>
          <w:color w:val="000000" w:themeColor="text1" w:themeTint="FF" w:themeShade="FF"/>
          <w:sz w:val="22"/>
          <w:szCs w:val="22"/>
          <w:lang w:val="en-GB"/>
        </w:rPr>
        <w:t xml:space="preserve">NHS Digital, 2021. </w:t>
      </w:r>
      <w:r w:rsidRPr="397920E2" w:rsidR="08D57649">
        <w:rPr>
          <w:rFonts w:ascii="Arial" w:hAnsi="Arial" w:eastAsia="Arial" w:cs="Arial"/>
          <w:b w:val="0"/>
          <w:bCs w:val="0"/>
          <w:i w:val="1"/>
          <w:iCs w:val="1"/>
          <w:noProof w:val="0"/>
          <w:color w:val="000000" w:themeColor="text1" w:themeTint="FF" w:themeShade="FF"/>
          <w:sz w:val="22"/>
          <w:szCs w:val="22"/>
          <w:lang w:val="en-GB"/>
        </w:rPr>
        <w:t>Remote monitoring and digital health in the NHS: implementation report.</w:t>
      </w:r>
      <w:r w:rsidRPr="397920E2" w:rsidR="08D57649">
        <w:rPr>
          <w:rFonts w:ascii="Arial" w:hAnsi="Arial" w:eastAsia="Arial" w:cs="Arial"/>
          <w:b w:val="0"/>
          <w:bCs w:val="0"/>
          <w:noProof w:val="0"/>
          <w:color w:val="000000" w:themeColor="text1" w:themeTint="FF" w:themeShade="FF"/>
          <w:sz w:val="22"/>
          <w:szCs w:val="22"/>
          <w:lang w:val="en-GB"/>
        </w:rPr>
        <w:t xml:space="preserve"> Leeds: NHS Digital. Available at: </w:t>
      </w:r>
      <w:hyperlink r:id="R88ae78f70ebb424f">
        <w:r w:rsidRPr="397920E2" w:rsidR="08D57649">
          <w:rPr>
            <w:rStyle w:val="Hyperlink"/>
            <w:rFonts w:ascii="Arial" w:hAnsi="Arial" w:eastAsia="Arial" w:cs="Arial"/>
            <w:b w:val="0"/>
            <w:bCs w:val="0"/>
            <w:noProof w:val="0"/>
            <w:color w:val="000000" w:themeColor="text1" w:themeTint="FF" w:themeShade="FF"/>
            <w:sz w:val="22"/>
            <w:szCs w:val="22"/>
            <w:lang w:val="en-GB"/>
          </w:rPr>
          <w:t>https://digital.nhs.uk/</w:t>
        </w:r>
      </w:hyperlink>
      <w:r w:rsidRPr="397920E2" w:rsidR="08D57649">
        <w:rPr>
          <w:rFonts w:ascii="Arial" w:hAnsi="Arial" w:eastAsia="Arial" w:cs="Arial"/>
          <w:b w:val="0"/>
          <w:bCs w:val="0"/>
          <w:noProof w:val="0"/>
          <w:color w:val="000000" w:themeColor="text1" w:themeTint="FF" w:themeShade="FF"/>
          <w:sz w:val="22"/>
          <w:szCs w:val="22"/>
          <w:lang w:val="en-GB"/>
        </w:rPr>
        <w:t xml:space="preserve"> [Accessed 16 November 2025].</w:t>
      </w:r>
    </w:p>
    <w:p xmlns:wp14="http://schemas.microsoft.com/office/word/2010/wordml" w:rsidP="397920E2" wp14:paraId="16CD28C9" wp14:textId="131269C8">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08D57649">
        <w:rPr>
          <w:rFonts w:ascii="Arial" w:hAnsi="Arial" w:eastAsia="Arial" w:cs="Arial"/>
          <w:b w:val="0"/>
          <w:bCs w:val="0"/>
          <w:noProof w:val="0"/>
          <w:color w:val="000000" w:themeColor="text1" w:themeTint="FF" w:themeShade="FF"/>
          <w:sz w:val="22"/>
          <w:szCs w:val="22"/>
          <w:lang w:val="en-GB"/>
        </w:rPr>
        <w:t xml:space="preserve">NHS England, 2019. </w:t>
      </w:r>
      <w:r w:rsidRPr="397920E2" w:rsidR="08D57649">
        <w:rPr>
          <w:rFonts w:ascii="Arial" w:hAnsi="Arial" w:eastAsia="Arial" w:cs="Arial"/>
          <w:b w:val="0"/>
          <w:bCs w:val="0"/>
          <w:i w:val="1"/>
          <w:iCs w:val="1"/>
          <w:noProof w:val="0"/>
          <w:color w:val="000000" w:themeColor="text1" w:themeTint="FF" w:themeShade="FF"/>
          <w:sz w:val="22"/>
          <w:szCs w:val="22"/>
          <w:lang w:val="en-GB"/>
        </w:rPr>
        <w:t>The NHS Long Term Plan.</w:t>
      </w:r>
      <w:r w:rsidRPr="397920E2" w:rsidR="08D57649">
        <w:rPr>
          <w:rFonts w:ascii="Arial" w:hAnsi="Arial" w:eastAsia="Arial" w:cs="Arial"/>
          <w:b w:val="0"/>
          <w:bCs w:val="0"/>
          <w:noProof w:val="0"/>
          <w:color w:val="000000" w:themeColor="text1" w:themeTint="FF" w:themeShade="FF"/>
          <w:sz w:val="22"/>
          <w:szCs w:val="22"/>
          <w:lang w:val="en-GB"/>
        </w:rPr>
        <w:t xml:space="preserve"> London: NHS England. Available at: </w:t>
      </w:r>
      <w:hyperlink r:id="R05d8b272854b4dd0">
        <w:r w:rsidRPr="397920E2" w:rsidR="08D57649">
          <w:rPr>
            <w:rStyle w:val="Hyperlink"/>
            <w:rFonts w:ascii="Arial" w:hAnsi="Arial" w:eastAsia="Arial" w:cs="Arial"/>
            <w:b w:val="0"/>
            <w:bCs w:val="0"/>
            <w:noProof w:val="0"/>
            <w:color w:val="000000" w:themeColor="text1" w:themeTint="FF" w:themeShade="FF"/>
            <w:sz w:val="22"/>
            <w:szCs w:val="22"/>
            <w:lang w:val="en-GB"/>
          </w:rPr>
          <w:t>https://www.longtermplan.nhs.uk/publication/nhs-long-term-plan/</w:t>
        </w:r>
      </w:hyperlink>
      <w:r w:rsidRPr="397920E2" w:rsidR="08D57649">
        <w:rPr>
          <w:rFonts w:ascii="Arial" w:hAnsi="Arial" w:eastAsia="Arial" w:cs="Arial"/>
          <w:b w:val="0"/>
          <w:bCs w:val="0"/>
          <w:noProof w:val="0"/>
          <w:color w:val="000000" w:themeColor="text1" w:themeTint="FF" w:themeShade="FF"/>
          <w:sz w:val="22"/>
          <w:szCs w:val="22"/>
          <w:lang w:val="en-GB"/>
        </w:rPr>
        <w:t xml:space="preserve"> [Accessed 16 November 2025].</w:t>
      </w:r>
    </w:p>
    <w:p xmlns:wp14="http://schemas.microsoft.com/office/word/2010/wordml" w:rsidP="397920E2" wp14:paraId="145FA602" wp14:textId="5ED0D745">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08D57649">
        <w:rPr>
          <w:rFonts w:ascii="Arial" w:hAnsi="Arial" w:eastAsia="Arial" w:cs="Arial"/>
          <w:b w:val="0"/>
          <w:bCs w:val="0"/>
          <w:noProof w:val="0"/>
          <w:color w:val="000000" w:themeColor="text1" w:themeTint="FF" w:themeShade="FF"/>
          <w:sz w:val="22"/>
          <w:szCs w:val="22"/>
          <w:lang w:val="en-GB"/>
        </w:rPr>
        <w:t xml:space="preserve">Office for National Statistics (ONS), 2023. </w:t>
      </w:r>
      <w:r w:rsidRPr="397920E2" w:rsidR="08D57649">
        <w:rPr>
          <w:rFonts w:ascii="Arial" w:hAnsi="Arial" w:eastAsia="Arial" w:cs="Arial"/>
          <w:b w:val="0"/>
          <w:bCs w:val="0"/>
          <w:i w:val="1"/>
          <w:iCs w:val="1"/>
          <w:noProof w:val="0"/>
          <w:color w:val="000000" w:themeColor="text1" w:themeTint="FF" w:themeShade="FF"/>
          <w:sz w:val="22"/>
          <w:szCs w:val="22"/>
          <w:lang w:val="en-GB"/>
        </w:rPr>
        <w:t>Internet access – households and individuals, UK: 2023.</w:t>
      </w:r>
      <w:r w:rsidRPr="397920E2" w:rsidR="08D57649">
        <w:rPr>
          <w:rFonts w:ascii="Arial" w:hAnsi="Arial" w:eastAsia="Arial" w:cs="Arial"/>
          <w:b w:val="0"/>
          <w:bCs w:val="0"/>
          <w:noProof w:val="0"/>
          <w:color w:val="000000" w:themeColor="text1" w:themeTint="FF" w:themeShade="FF"/>
          <w:sz w:val="22"/>
          <w:szCs w:val="22"/>
          <w:lang w:val="en-GB"/>
        </w:rPr>
        <w:t xml:space="preserve"> London: ONS. Available at: </w:t>
      </w:r>
      <w:hyperlink r:id="R5ddebeea4a374b04">
        <w:r w:rsidRPr="397920E2" w:rsidR="08D57649">
          <w:rPr>
            <w:rStyle w:val="Hyperlink"/>
            <w:rFonts w:ascii="Arial" w:hAnsi="Arial" w:eastAsia="Arial" w:cs="Arial"/>
            <w:b w:val="0"/>
            <w:bCs w:val="0"/>
            <w:noProof w:val="0"/>
            <w:color w:val="000000" w:themeColor="text1" w:themeTint="FF" w:themeShade="FF"/>
            <w:sz w:val="22"/>
            <w:szCs w:val="22"/>
            <w:lang w:val="en-GB"/>
          </w:rPr>
          <w:t>https://www.ons.gov.uk/peoplepopulationandcommunity/householdcharacteristics/homeinternetandsocialmediausage</w:t>
        </w:r>
      </w:hyperlink>
      <w:r w:rsidRPr="397920E2" w:rsidR="08D57649">
        <w:rPr>
          <w:rFonts w:ascii="Arial" w:hAnsi="Arial" w:eastAsia="Arial" w:cs="Arial"/>
          <w:b w:val="0"/>
          <w:bCs w:val="0"/>
          <w:noProof w:val="0"/>
          <w:color w:val="000000" w:themeColor="text1" w:themeTint="FF" w:themeShade="FF"/>
          <w:sz w:val="22"/>
          <w:szCs w:val="22"/>
          <w:lang w:val="en-GB"/>
        </w:rPr>
        <w:t>[Accessed 16 November 2025].</w:t>
      </w:r>
    </w:p>
    <w:p xmlns:wp14="http://schemas.microsoft.com/office/word/2010/wordml" w:rsidP="397920E2" wp14:paraId="5DE8CD0B" wp14:textId="15840267">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Smith, A., Roberts, C. and Wilson, D., 2021. </w:t>
      </w:r>
      <w:r w:rsidRPr="397920E2" w:rsidR="08D57649">
        <w:rPr>
          <w:rFonts w:ascii="Arial" w:hAnsi="Arial" w:eastAsia="Arial" w:cs="Arial"/>
          <w:b w:val="0"/>
          <w:bCs w:val="0"/>
          <w:i w:val="1"/>
          <w:iCs w:val="1"/>
          <w:noProof w:val="0"/>
          <w:color w:val="000000" w:themeColor="text1" w:themeTint="FF" w:themeShade="FF"/>
          <w:sz w:val="22"/>
          <w:szCs w:val="22"/>
          <w:lang w:val="en-GB"/>
        </w:rPr>
        <w:t>Evaluating video consultations in primary care: mixed-methods study of patient satisfaction and clinical outcomes.</w:t>
      </w:r>
      <w:r w:rsidRPr="397920E2" w:rsidR="08D57649">
        <w:rPr>
          <w:rFonts w:ascii="Arial" w:hAnsi="Arial" w:eastAsia="Arial" w:cs="Arial"/>
          <w:b w:val="0"/>
          <w:bCs w:val="0"/>
          <w:noProof w:val="0"/>
          <w:color w:val="000000" w:themeColor="text1" w:themeTint="FF" w:themeShade="FF"/>
          <w:sz w:val="22"/>
          <w:szCs w:val="22"/>
          <w:lang w:val="en-GB"/>
        </w:rPr>
        <w:t xml:space="preserve"> </w:t>
      </w:r>
      <w:r w:rsidRPr="397920E2" w:rsidR="08D57649">
        <w:rPr>
          <w:rFonts w:ascii="Arial" w:hAnsi="Arial" w:eastAsia="Arial" w:cs="Arial"/>
          <w:b w:val="0"/>
          <w:bCs w:val="0"/>
          <w:i w:val="1"/>
          <w:iCs w:val="1"/>
          <w:noProof w:val="0"/>
          <w:color w:val="000000" w:themeColor="text1" w:themeTint="FF" w:themeShade="FF"/>
          <w:sz w:val="22"/>
          <w:szCs w:val="22"/>
          <w:lang w:val="en-GB"/>
        </w:rPr>
        <w:t>BMJ Open</w:t>
      </w:r>
      <w:r w:rsidRPr="397920E2" w:rsidR="08D57649">
        <w:rPr>
          <w:rFonts w:ascii="Arial" w:hAnsi="Arial" w:eastAsia="Arial" w:cs="Arial"/>
          <w:b w:val="0"/>
          <w:bCs w:val="0"/>
          <w:noProof w:val="0"/>
          <w:color w:val="000000" w:themeColor="text1" w:themeTint="FF" w:themeShade="FF"/>
          <w:sz w:val="22"/>
          <w:szCs w:val="22"/>
          <w:lang w:val="en-GB"/>
        </w:rPr>
        <w:t xml:space="preserve">, 11(9), e048123. </w:t>
      </w:r>
      <w:hyperlink r:id="Rab85291c74654263">
        <w:r w:rsidRPr="397920E2" w:rsidR="08D57649">
          <w:rPr>
            <w:rStyle w:val="Hyperlink"/>
            <w:rFonts w:ascii="Arial" w:hAnsi="Arial" w:eastAsia="Arial" w:cs="Arial"/>
            <w:b w:val="0"/>
            <w:bCs w:val="0"/>
            <w:noProof w:val="0"/>
            <w:sz w:val="22"/>
            <w:szCs w:val="22"/>
            <w:lang w:val="en-GB"/>
          </w:rPr>
          <w:t>https://doi.org/10.1136/bmjopen-2020-048123</w:t>
        </w:r>
      </w:hyperlink>
    </w:p>
    <w:p xmlns:wp14="http://schemas.microsoft.com/office/word/2010/wordml" w:rsidP="397920E2" wp14:paraId="2518D79F" wp14:textId="59FE711F">
      <w:pPr>
        <w:spacing w:before="240" w:beforeAutospacing="off" w:after="240" w:afterAutospacing="off" w:line="360" w:lineRule="auto"/>
        <w:rPr>
          <w:rFonts w:ascii="Arial" w:hAnsi="Arial" w:eastAsia="Arial" w:cs="Arial"/>
          <w:b w:val="0"/>
          <w:bCs w:val="0"/>
          <w:sz w:val="22"/>
          <w:szCs w:val="22"/>
        </w:rPr>
      </w:pPr>
      <w:r w:rsidRPr="397920E2" w:rsidR="08D57649">
        <w:rPr>
          <w:rFonts w:ascii="Arial" w:hAnsi="Arial" w:eastAsia="Arial" w:cs="Arial"/>
          <w:b w:val="0"/>
          <w:bCs w:val="0"/>
          <w:noProof w:val="0"/>
          <w:color w:val="000000" w:themeColor="text1" w:themeTint="FF" w:themeShade="FF"/>
          <w:sz w:val="22"/>
          <w:szCs w:val="22"/>
          <w:lang w:val="en-GB"/>
        </w:rPr>
        <w:t xml:space="preserve">Wilson, R. and Clarke, H., 2023. </w:t>
      </w:r>
      <w:r w:rsidRPr="397920E2" w:rsidR="08D57649">
        <w:rPr>
          <w:rFonts w:ascii="Arial" w:hAnsi="Arial" w:eastAsia="Arial" w:cs="Arial"/>
          <w:b w:val="0"/>
          <w:bCs w:val="0"/>
          <w:i w:val="1"/>
          <w:iCs w:val="1"/>
          <w:noProof w:val="0"/>
          <w:color w:val="000000" w:themeColor="text1" w:themeTint="FF" w:themeShade="FF"/>
          <w:sz w:val="22"/>
          <w:szCs w:val="22"/>
          <w:lang w:val="en-GB"/>
        </w:rPr>
        <w:t>Telephone consultations in outpatient cardiology: mixed-methods study on access, satisfaction, and clinical outcomes.</w:t>
      </w:r>
      <w:r w:rsidRPr="397920E2" w:rsidR="08D57649">
        <w:rPr>
          <w:rFonts w:ascii="Arial" w:hAnsi="Arial" w:eastAsia="Arial" w:cs="Arial"/>
          <w:b w:val="0"/>
          <w:bCs w:val="0"/>
          <w:noProof w:val="0"/>
          <w:color w:val="000000" w:themeColor="text1" w:themeTint="FF" w:themeShade="FF"/>
          <w:sz w:val="22"/>
          <w:szCs w:val="22"/>
          <w:lang w:val="en-GB"/>
        </w:rPr>
        <w:t xml:space="preserve"> </w:t>
      </w:r>
      <w:r w:rsidRPr="397920E2" w:rsidR="08D57649">
        <w:rPr>
          <w:rFonts w:ascii="Arial" w:hAnsi="Arial" w:eastAsia="Arial" w:cs="Arial"/>
          <w:b w:val="0"/>
          <w:bCs w:val="0"/>
          <w:i w:val="1"/>
          <w:iCs w:val="1"/>
          <w:noProof w:val="0"/>
          <w:color w:val="000000" w:themeColor="text1" w:themeTint="FF" w:themeShade="FF"/>
          <w:sz w:val="22"/>
          <w:szCs w:val="22"/>
          <w:lang w:val="en-GB"/>
        </w:rPr>
        <w:t>European Heart Journal – Digital Health</w:t>
      </w:r>
      <w:r w:rsidRPr="397920E2" w:rsidR="08D57649">
        <w:rPr>
          <w:rFonts w:ascii="Arial" w:hAnsi="Arial" w:eastAsia="Arial" w:cs="Arial"/>
          <w:b w:val="0"/>
          <w:bCs w:val="0"/>
          <w:noProof w:val="0"/>
          <w:color w:val="000000" w:themeColor="text1" w:themeTint="FF" w:themeShade="FF"/>
          <w:sz w:val="22"/>
          <w:szCs w:val="22"/>
          <w:lang w:val="en-GB"/>
        </w:rPr>
        <w:t xml:space="preserve">, 4(2), pp.145–155. </w:t>
      </w:r>
      <w:hyperlink r:id="R8124e76dfc494bcb">
        <w:r w:rsidRPr="397920E2" w:rsidR="08D57649">
          <w:rPr>
            <w:rStyle w:val="Hyperlink"/>
            <w:rFonts w:ascii="Arial" w:hAnsi="Arial" w:eastAsia="Arial" w:cs="Arial"/>
            <w:b w:val="0"/>
            <w:bCs w:val="0"/>
            <w:noProof w:val="0"/>
            <w:sz w:val="22"/>
            <w:szCs w:val="22"/>
            <w:lang w:val="en-GB"/>
          </w:rPr>
          <w:t>https://doi.org/10.1093/ehjdh/ztad012</w:t>
        </w:r>
      </w:hyperlink>
    </w:p>
    <w:p xmlns:wp14="http://schemas.microsoft.com/office/word/2010/wordml" w:rsidP="397920E2" wp14:paraId="54033422" wp14:textId="11C09A59">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397920E2" w:rsidR="08D57649">
        <w:rPr>
          <w:rFonts w:ascii="Arial" w:hAnsi="Arial" w:eastAsia="Arial" w:cs="Arial"/>
          <w:b w:val="0"/>
          <w:bCs w:val="0"/>
          <w:noProof w:val="0"/>
          <w:color w:val="000000" w:themeColor="text1" w:themeTint="FF" w:themeShade="FF"/>
          <w:sz w:val="22"/>
          <w:szCs w:val="22"/>
          <w:lang w:val="en-GB"/>
        </w:rPr>
        <w:t xml:space="preserve">World Health Organization (WHO), 2021. </w:t>
      </w:r>
      <w:r w:rsidRPr="397920E2" w:rsidR="08D57649">
        <w:rPr>
          <w:rFonts w:ascii="Arial" w:hAnsi="Arial" w:eastAsia="Arial" w:cs="Arial"/>
          <w:b w:val="0"/>
          <w:bCs w:val="0"/>
          <w:i w:val="1"/>
          <w:iCs w:val="1"/>
          <w:noProof w:val="0"/>
          <w:color w:val="000000" w:themeColor="text1" w:themeTint="FF" w:themeShade="FF"/>
          <w:sz w:val="22"/>
          <w:szCs w:val="22"/>
          <w:lang w:val="en-GB"/>
        </w:rPr>
        <w:t>Global strategy on digital health 2020–2025.</w:t>
      </w:r>
      <w:r w:rsidRPr="397920E2" w:rsidR="08D57649">
        <w:rPr>
          <w:rFonts w:ascii="Arial" w:hAnsi="Arial" w:eastAsia="Arial" w:cs="Arial"/>
          <w:b w:val="0"/>
          <w:bCs w:val="0"/>
          <w:noProof w:val="0"/>
          <w:color w:val="000000" w:themeColor="text1" w:themeTint="FF" w:themeShade="FF"/>
          <w:sz w:val="22"/>
          <w:szCs w:val="22"/>
          <w:lang w:val="en-GB"/>
        </w:rPr>
        <w:t xml:space="preserve"> Geneva: WHO. Available at: </w:t>
      </w:r>
      <w:hyperlink r:id="R0ae08924180840ab">
        <w:r w:rsidRPr="397920E2" w:rsidR="08D57649">
          <w:rPr>
            <w:rStyle w:val="Hyperlink"/>
            <w:rFonts w:ascii="Arial" w:hAnsi="Arial" w:eastAsia="Arial" w:cs="Arial"/>
            <w:b w:val="0"/>
            <w:bCs w:val="0"/>
            <w:noProof w:val="0"/>
            <w:color w:val="000000" w:themeColor="text1" w:themeTint="FF" w:themeShade="FF"/>
            <w:sz w:val="22"/>
            <w:szCs w:val="22"/>
            <w:lang w:val="en-GB"/>
          </w:rPr>
          <w:t>https://www.who.int/publications/i/item/9789240020924</w:t>
        </w:r>
      </w:hyperlink>
      <w:r w:rsidRPr="397920E2" w:rsidR="08D57649">
        <w:rPr>
          <w:rFonts w:ascii="Arial" w:hAnsi="Arial" w:eastAsia="Arial" w:cs="Arial"/>
          <w:b w:val="0"/>
          <w:bCs w:val="0"/>
          <w:noProof w:val="0"/>
          <w:color w:val="000000" w:themeColor="text1" w:themeTint="FF" w:themeShade="FF"/>
          <w:sz w:val="22"/>
          <w:szCs w:val="22"/>
          <w:lang w:val="en-GB"/>
        </w:rPr>
        <w:t xml:space="preserve"> [Accessed 16 November 2025].</w:t>
      </w:r>
    </w:p>
    <w:p xmlns:wp14="http://schemas.microsoft.com/office/word/2010/wordml" w:rsidP="397920E2" wp14:paraId="5E5787A5" wp14:textId="69A2C16B">
      <w:pPr>
        <w:spacing w:line="360" w:lineRule="auto"/>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headerReference w:type="default" r:id="R5d08e9a620dd4df9"/>
      <w:footerReference w:type="default" r:id="Rb2d73370f3d84c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7920E2" w:rsidTr="397920E2" w14:paraId="3A9EC4E2">
      <w:trPr>
        <w:trHeight w:val="300"/>
      </w:trPr>
      <w:tc>
        <w:tcPr>
          <w:tcW w:w="3005" w:type="dxa"/>
          <w:tcMar/>
        </w:tcPr>
        <w:p w:rsidR="397920E2" w:rsidP="397920E2" w:rsidRDefault="397920E2" w14:paraId="79132ED3" w14:textId="0B3B3196">
          <w:pPr>
            <w:pStyle w:val="Header"/>
            <w:bidi w:val="0"/>
            <w:ind w:left="-115"/>
            <w:jc w:val="left"/>
          </w:pPr>
        </w:p>
      </w:tc>
      <w:tc>
        <w:tcPr>
          <w:tcW w:w="3005" w:type="dxa"/>
          <w:tcMar/>
        </w:tcPr>
        <w:p w:rsidR="397920E2" w:rsidP="397920E2" w:rsidRDefault="397920E2" w14:paraId="587756D2" w14:textId="22647D3D">
          <w:pPr>
            <w:pStyle w:val="Header"/>
            <w:bidi w:val="0"/>
            <w:jc w:val="center"/>
          </w:pPr>
        </w:p>
      </w:tc>
      <w:tc>
        <w:tcPr>
          <w:tcW w:w="3005" w:type="dxa"/>
          <w:tcMar/>
        </w:tcPr>
        <w:p w:rsidR="397920E2" w:rsidP="397920E2" w:rsidRDefault="397920E2" w14:paraId="721FBAD4" w14:textId="417CF90D">
          <w:pPr>
            <w:pStyle w:val="Header"/>
            <w:bidi w:val="0"/>
            <w:ind w:right="-115"/>
            <w:jc w:val="right"/>
          </w:pPr>
          <w:r>
            <w:fldChar w:fldCharType="begin"/>
          </w:r>
          <w:r>
            <w:instrText xml:space="preserve">PAGE</w:instrText>
          </w:r>
          <w:r>
            <w:fldChar w:fldCharType="separate"/>
          </w:r>
          <w:r>
            <w:fldChar w:fldCharType="end"/>
          </w:r>
        </w:p>
      </w:tc>
    </w:tr>
  </w:tbl>
  <w:p w:rsidR="397920E2" w:rsidP="397920E2" w:rsidRDefault="397920E2" w14:paraId="55A78D2A" w14:textId="124930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7920E2" w:rsidTr="397920E2" w14:paraId="1BCFCE01">
      <w:trPr>
        <w:trHeight w:val="300"/>
      </w:trPr>
      <w:tc>
        <w:tcPr>
          <w:tcW w:w="3005" w:type="dxa"/>
          <w:tcMar/>
        </w:tcPr>
        <w:p w:rsidR="397920E2" w:rsidP="397920E2" w:rsidRDefault="397920E2" w14:paraId="33FAE786" w14:textId="570CB997">
          <w:pPr>
            <w:pStyle w:val="Header"/>
            <w:bidi w:val="0"/>
            <w:ind w:left="-115"/>
            <w:jc w:val="left"/>
          </w:pPr>
        </w:p>
      </w:tc>
      <w:tc>
        <w:tcPr>
          <w:tcW w:w="3005" w:type="dxa"/>
          <w:tcMar/>
        </w:tcPr>
        <w:p w:rsidR="397920E2" w:rsidP="397920E2" w:rsidRDefault="397920E2" w14:paraId="54560A0D" w14:textId="6FA89482">
          <w:pPr>
            <w:pStyle w:val="Header"/>
            <w:bidi w:val="0"/>
            <w:jc w:val="center"/>
          </w:pPr>
        </w:p>
      </w:tc>
      <w:tc>
        <w:tcPr>
          <w:tcW w:w="3005" w:type="dxa"/>
          <w:tcMar/>
        </w:tcPr>
        <w:p w:rsidR="397920E2" w:rsidP="397920E2" w:rsidRDefault="397920E2" w14:paraId="785855F5" w14:textId="619E2BFD">
          <w:pPr>
            <w:pStyle w:val="Header"/>
            <w:bidi w:val="0"/>
            <w:ind w:right="-115"/>
            <w:jc w:val="right"/>
          </w:pPr>
        </w:p>
      </w:tc>
    </w:tr>
  </w:tbl>
  <w:p w:rsidR="397920E2" w:rsidP="397920E2" w:rsidRDefault="397920E2" w14:paraId="4DBF4BF7" w14:textId="7A218CE0">
    <w:pPr>
      <w:pStyle w:val="Header"/>
      <w:bidi w:val="0"/>
    </w:pPr>
  </w:p>
</w:hdr>
</file>

<file path=word/intelligence2.xml><?xml version="1.0" encoding="utf-8"?>
<int2:intelligence xmlns:int2="http://schemas.microsoft.com/office/intelligence/2020/intelligence">
  <int2:observations>
    <int2:textHash int2:hashCode="b9ogYj6IfIcUVL" int2:id="OWMiALkV">
      <int2:state int2:type="spell" int2:value="Rejected"/>
    </int2:textHash>
    <int2:textHash int2:hashCode="PORkRRTu+pRsYy" int2:id="m4NIpa0o">
      <int2:state int2:type="spell" int2:value="Rejected"/>
    </int2:textHash>
    <int2:textHash int2:hashCode="q3nuwYKzt3Kg72" int2:id="Ve6U2FCO">
      <int2:state int2:type="spell" int2:value="Rejected"/>
    </int2:textHash>
    <int2:bookmark int2:bookmarkName="_Int_Bp6bG36A" int2:invalidationBookmarkName="" int2:hashCode="dF96KhiEbhJjV3" int2:id="p5O73kLg">
      <int2:state int2:type="style" int2:value="Rejected"/>
    </int2:bookmark>
    <int2:bookmark int2:bookmarkName="_Int_Un7SSeUx" int2:invalidationBookmarkName="" int2:hashCode="XWEiYkmKzmVw9H" int2:id="VWjlXZyH">
      <int2:state int2:type="style" int2:value="Rejected"/>
    </int2:bookmark>
    <int2:bookmark int2:bookmarkName="_Int_siuoMAXl" int2:invalidationBookmarkName="" int2:hashCode="bGwnZhM95TKKaO" int2:id="ZP6sX97L">
      <int2:state int2:type="gram" int2:value="Rejected"/>
    </int2:bookmark>
    <int2:bookmark int2:bookmarkName="_Int_P3PMd995" int2:invalidationBookmarkName="" int2:hashCode="nxAdZHLxi0Tc8m" int2:id="967R8sV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15905b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288aca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c865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1ff0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23ab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d5c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d7e1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960c9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046d3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46722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f04e0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601f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b81b1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5d25e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72bb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874c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f14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b126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d7f7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3E9BED"/>
    <w:rsid w:val="009472AF"/>
    <w:rsid w:val="00AFBC85"/>
    <w:rsid w:val="01E8E4C3"/>
    <w:rsid w:val="03359A42"/>
    <w:rsid w:val="039B899C"/>
    <w:rsid w:val="041B76DA"/>
    <w:rsid w:val="045B1C83"/>
    <w:rsid w:val="0478EAB4"/>
    <w:rsid w:val="052418ED"/>
    <w:rsid w:val="06E86036"/>
    <w:rsid w:val="06EE3D5D"/>
    <w:rsid w:val="089C816C"/>
    <w:rsid w:val="08D57649"/>
    <w:rsid w:val="0A52535E"/>
    <w:rsid w:val="0BB325B3"/>
    <w:rsid w:val="0CDFEED5"/>
    <w:rsid w:val="0CE96ED0"/>
    <w:rsid w:val="0EB56850"/>
    <w:rsid w:val="0F06F312"/>
    <w:rsid w:val="0F2F3413"/>
    <w:rsid w:val="0F2F3413"/>
    <w:rsid w:val="105D8E7C"/>
    <w:rsid w:val="1105012F"/>
    <w:rsid w:val="11A394F6"/>
    <w:rsid w:val="11A394F6"/>
    <w:rsid w:val="137C9D6E"/>
    <w:rsid w:val="13BF4B28"/>
    <w:rsid w:val="14190D5B"/>
    <w:rsid w:val="15828470"/>
    <w:rsid w:val="159B4024"/>
    <w:rsid w:val="168E26C9"/>
    <w:rsid w:val="170B1E3E"/>
    <w:rsid w:val="18C0C936"/>
    <w:rsid w:val="18D872E0"/>
    <w:rsid w:val="1970C4CB"/>
    <w:rsid w:val="1A88D206"/>
    <w:rsid w:val="1BC938FA"/>
    <w:rsid w:val="1BE484C9"/>
    <w:rsid w:val="1CADD5C2"/>
    <w:rsid w:val="1DFCE22D"/>
    <w:rsid w:val="1F5533FC"/>
    <w:rsid w:val="1FC32B17"/>
    <w:rsid w:val="207CAF93"/>
    <w:rsid w:val="20A9AE19"/>
    <w:rsid w:val="20DFD59C"/>
    <w:rsid w:val="20DFD59C"/>
    <w:rsid w:val="20F78795"/>
    <w:rsid w:val="20F78795"/>
    <w:rsid w:val="2117C859"/>
    <w:rsid w:val="226E4C11"/>
    <w:rsid w:val="235A5F50"/>
    <w:rsid w:val="2366EDCB"/>
    <w:rsid w:val="2387ED0C"/>
    <w:rsid w:val="23937757"/>
    <w:rsid w:val="23CEA663"/>
    <w:rsid w:val="2771A5BD"/>
    <w:rsid w:val="2869A230"/>
    <w:rsid w:val="2881939C"/>
    <w:rsid w:val="29732B00"/>
    <w:rsid w:val="29CE8986"/>
    <w:rsid w:val="2B4BA368"/>
    <w:rsid w:val="2C842117"/>
    <w:rsid w:val="2D8D24E7"/>
    <w:rsid w:val="2E4E1442"/>
    <w:rsid w:val="2E96A5A1"/>
    <w:rsid w:val="2EB8CF0E"/>
    <w:rsid w:val="2EC8588B"/>
    <w:rsid w:val="2EEED956"/>
    <w:rsid w:val="2F78D197"/>
    <w:rsid w:val="2F94277F"/>
    <w:rsid w:val="3045BD01"/>
    <w:rsid w:val="313E9202"/>
    <w:rsid w:val="313E9202"/>
    <w:rsid w:val="31EAFE51"/>
    <w:rsid w:val="3249A121"/>
    <w:rsid w:val="329BAC53"/>
    <w:rsid w:val="32C6B31E"/>
    <w:rsid w:val="32F053AE"/>
    <w:rsid w:val="32FDAF19"/>
    <w:rsid w:val="337873C8"/>
    <w:rsid w:val="33EC79D9"/>
    <w:rsid w:val="344FAF4A"/>
    <w:rsid w:val="3498C569"/>
    <w:rsid w:val="366ED79A"/>
    <w:rsid w:val="368CE966"/>
    <w:rsid w:val="36F1FE5F"/>
    <w:rsid w:val="37889603"/>
    <w:rsid w:val="37C8192A"/>
    <w:rsid w:val="394710E6"/>
    <w:rsid w:val="397920E2"/>
    <w:rsid w:val="3B6A3F85"/>
    <w:rsid w:val="3CE71EE7"/>
    <w:rsid w:val="3D4F79BD"/>
    <w:rsid w:val="3DCF708C"/>
    <w:rsid w:val="3DEBC857"/>
    <w:rsid w:val="3E910D8E"/>
    <w:rsid w:val="3ED59381"/>
    <w:rsid w:val="3EE5E185"/>
    <w:rsid w:val="3FA22D4C"/>
    <w:rsid w:val="40790758"/>
    <w:rsid w:val="42570D2C"/>
    <w:rsid w:val="431FE7B2"/>
    <w:rsid w:val="431FE7B2"/>
    <w:rsid w:val="452C7EA7"/>
    <w:rsid w:val="45889A60"/>
    <w:rsid w:val="45A6B802"/>
    <w:rsid w:val="46940CA3"/>
    <w:rsid w:val="469887BE"/>
    <w:rsid w:val="48C70B89"/>
    <w:rsid w:val="48F20F87"/>
    <w:rsid w:val="4990EC2A"/>
    <w:rsid w:val="49D9FF40"/>
    <w:rsid w:val="49E8354D"/>
    <w:rsid w:val="49F7493B"/>
    <w:rsid w:val="4B74B625"/>
    <w:rsid w:val="4BF59213"/>
    <w:rsid w:val="4CDFC5A8"/>
    <w:rsid w:val="4E3ED0F8"/>
    <w:rsid w:val="4E5F8B19"/>
    <w:rsid w:val="4FE34A9E"/>
    <w:rsid w:val="4FE34A9E"/>
    <w:rsid w:val="517A4C15"/>
    <w:rsid w:val="51CC3E38"/>
    <w:rsid w:val="52496DE6"/>
    <w:rsid w:val="524E84BE"/>
    <w:rsid w:val="55179013"/>
    <w:rsid w:val="56301DC8"/>
    <w:rsid w:val="56701A60"/>
    <w:rsid w:val="57258BE6"/>
    <w:rsid w:val="57354C47"/>
    <w:rsid w:val="58BB4120"/>
    <w:rsid w:val="59D520D5"/>
    <w:rsid w:val="5AA215BB"/>
    <w:rsid w:val="5AE519C4"/>
    <w:rsid w:val="5AF9138A"/>
    <w:rsid w:val="5AF9138A"/>
    <w:rsid w:val="5B4E622C"/>
    <w:rsid w:val="5BC00E6C"/>
    <w:rsid w:val="5DBF6252"/>
    <w:rsid w:val="5E35AF69"/>
    <w:rsid w:val="6022EC4B"/>
    <w:rsid w:val="613BFF27"/>
    <w:rsid w:val="623A1D6C"/>
    <w:rsid w:val="62A861AF"/>
    <w:rsid w:val="633E9BED"/>
    <w:rsid w:val="63F46BD9"/>
    <w:rsid w:val="64050F3D"/>
    <w:rsid w:val="64050F3D"/>
    <w:rsid w:val="640C1FD4"/>
    <w:rsid w:val="65DE8BF6"/>
    <w:rsid w:val="65F352A9"/>
    <w:rsid w:val="66995095"/>
    <w:rsid w:val="69479741"/>
    <w:rsid w:val="69A8C10C"/>
    <w:rsid w:val="69A8C10C"/>
    <w:rsid w:val="69D915A6"/>
    <w:rsid w:val="6A986407"/>
    <w:rsid w:val="6AD32F03"/>
    <w:rsid w:val="6ADE96A1"/>
    <w:rsid w:val="6B35F9DC"/>
    <w:rsid w:val="6B500A51"/>
    <w:rsid w:val="6B82048B"/>
    <w:rsid w:val="6C5A81A6"/>
    <w:rsid w:val="6C7DAED7"/>
    <w:rsid w:val="6CD6C3CB"/>
    <w:rsid w:val="6D095526"/>
    <w:rsid w:val="6D34AD13"/>
    <w:rsid w:val="6E3C2B55"/>
    <w:rsid w:val="6E70CBD9"/>
    <w:rsid w:val="6E70CBD9"/>
    <w:rsid w:val="6EB31309"/>
    <w:rsid w:val="701317ED"/>
    <w:rsid w:val="7217ED93"/>
    <w:rsid w:val="7418157B"/>
    <w:rsid w:val="7450B049"/>
    <w:rsid w:val="748946E6"/>
    <w:rsid w:val="748946E6"/>
    <w:rsid w:val="74AC277A"/>
    <w:rsid w:val="7600031C"/>
    <w:rsid w:val="7683FD66"/>
    <w:rsid w:val="777BE047"/>
    <w:rsid w:val="77CE5373"/>
    <w:rsid w:val="77F4CE08"/>
    <w:rsid w:val="790F1B0B"/>
    <w:rsid w:val="792525D8"/>
    <w:rsid w:val="7954E757"/>
    <w:rsid w:val="7A1DC4C9"/>
    <w:rsid w:val="7BDBBA20"/>
    <w:rsid w:val="7BE8B561"/>
    <w:rsid w:val="7C3D109F"/>
    <w:rsid w:val="7D12ED77"/>
    <w:rsid w:val="7F1EA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E9BED"/>
  <w15:chartTrackingRefBased/>
  <w15:docId w15:val="{D4385619-17CF-421C-B42F-CA17DF1A97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7F4CE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7F4CE08"/>
    <w:pPr>
      <w:spacing/>
      <w:ind w:left="720"/>
      <w:contextualSpacing/>
    </w:pPr>
  </w:style>
  <w:style w:type="paragraph" w:styleId="Heading3">
    <w:uiPriority w:val="9"/>
    <w:name w:val="heading 3"/>
    <w:basedOn w:val="Normal"/>
    <w:next w:val="Normal"/>
    <w:unhideWhenUsed/>
    <w:qFormat/>
    <w:rsid w:val="77F4CE0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97920E2"/>
    <w:rPr>
      <w:color w:val="467886"/>
      <w:u w:val="single"/>
    </w:rPr>
  </w:style>
  <w:style w:type="paragraph" w:styleId="Header">
    <w:uiPriority w:val="99"/>
    <w:name w:val="header"/>
    <w:basedOn w:val="Normal"/>
    <w:unhideWhenUsed/>
    <w:rsid w:val="397920E2"/>
    <w:pPr>
      <w:tabs>
        <w:tab w:val="center" w:leader="none" w:pos="4680"/>
        <w:tab w:val="right" w:leader="none" w:pos="9360"/>
      </w:tabs>
      <w:spacing w:after="0" w:line="240" w:lineRule="auto"/>
    </w:pPr>
  </w:style>
  <w:style w:type="paragraph" w:styleId="Footer">
    <w:uiPriority w:val="99"/>
    <w:name w:val="footer"/>
    <w:basedOn w:val="Normal"/>
    <w:unhideWhenUsed/>
    <w:rsid w:val="397920E2"/>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87ea44b996d4467" /><Relationship Type="http://schemas.openxmlformats.org/officeDocument/2006/relationships/hyperlink" Target="https://doi.org/10.3399/bjgp19X705857" TargetMode="External" Id="Rd025b05952814125" /><Relationship Type="http://schemas.openxmlformats.org/officeDocument/2006/relationships/hyperlink" Target="https://doi.org/10.1080/1364557032000119616" TargetMode="External" Id="Rdd4104ab0fc647fe" /><Relationship Type="http://schemas.openxmlformats.org/officeDocument/2006/relationships/hyperlink" Target="https://doi.org/10.1191/1478088706qp063oa" TargetMode="External" Id="R745bea1b5e8c4fd6" /><Relationship Type="http://schemas.openxmlformats.org/officeDocument/2006/relationships/hyperlink" Target="https://doi.org/10.1177/1357633X19898765" TargetMode="External" Id="Rc8b244a8349040b9" /><Relationship Type="http://schemas.openxmlformats.org/officeDocument/2006/relationships/hyperlink" Target="https://www.gmc-uk.org/ethical-guidance/ethical-guidance-for-doctors/remote-consultations" TargetMode="External" Id="Re14829188280482a" /><Relationship Type="http://schemas.openxmlformats.org/officeDocument/2006/relationships/hyperlink" Target="https://doi.org/10.1080/09638237.2021.2003892" TargetMode="External" Id="R2c0967f529004167" /><Relationship Type="http://schemas.openxmlformats.org/officeDocument/2006/relationships/hyperlink" Target="https://doi.org/10.1186/1748-5908-5-69" TargetMode="External" Id="R31a9b45905db49ed" /><Relationship Type="http://schemas.openxmlformats.org/officeDocument/2006/relationships/hyperlink" Target="https://digital.nhs.uk/" TargetMode="External" Id="R88ae78f70ebb424f" /><Relationship Type="http://schemas.openxmlformats.org/officeDocument/2006/relationships/hyperlink" Target="https://www.longtermplan.nhs.uk/publication/nhs-long-term-plan/" TargetMode="External" Id="R05d8b272854b4dd0" /><Relationship Type="http://schemas.openxmlformats.org/officeDocument/2006/relationships/hyperlink" Target="https://www.ons.gov.uk/peoplepopulationandcommunity/householdcharacteristics/homeinternetandsocialmediausage" TargetMode="External" Id="R5ddebeea4a374b04" /><Relationship Type="http://schemas.openxmlformats.org/officeDocument/2006/relationships/hyperlink" Target="https://doi.org/10.1136/bmjopen-2020-048123" TargetMode="External" Id="Rab85291c74654263" /><Relationship Type="http://schemas.openxmlformats.org/officeDocument/2006/relationships/hyperlink" Target="https://doi.org/10.1093/ehjdh/ztad012" TargetMode="External" Id="R8124e76dfc494bcb" /><Relationship Type="http://schemas.openxmlformats.org/officeDocument/2006/relationships/hyperlink" Target="https://www.who.int/publications/i/item/9789240020924" TargetMode="External" Id="R0ae08924180840ab" /><Relationship Type="http://schemas.openxmlformats.org/officeDocument/2006/relationships/header" Target="/word/header.xml" Id="R5d08e9a620dd4df9" /><Relationship Type="http://schemas.openxmlformats.org/officeDocument/2006/relationships/footer" Target="/word/footer.xml" Id="Rb2d73370f3d84c42" /><Relationship Type="http://schemas.microsoft.com/office/2020/10/relationships/intelligence" Target="/word/intelligence2.xml" Id="Rd801c45b9e584c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O'Hare (2319993)</dc:creator>
  <keywords/>
  <dc:description/>
  <lastModifiedBy>Michelle O'Hare (2319993)</lastModifiedBy>
  <revision>6</revision>
  <dcterms:created xsi:type="dcterms:W3CDTF">2025-11-16T16:01:56.1589004Z</dcterms:created>
  <dcterms:modified xsi:type="dcterms:W3CDTF">2025-11-16T20:17:49.5448368Z</dcterms:modified>
</coreProperties>
</file>