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B11AD"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An employee's journey through the various stages of their company's "life cycle" It is a new way of thinking about the relationship between an employer and their staff. Employee engagement is essential all through the employee lifecycle and has the power to maximize a workforce's capabilities, but some large corporations have trouble understanding its true worth</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(Attridge, 2019)</w:t>
      </w:r>
      <w:r>
        <w:rPr>
          <w:rFonts w:ascii="Calibri" w:hAnsi="Calibri" w:cs="Calibri"/>
          <w:bdr w:val="none" w:sz="0" w:space="0" w:color="auto" w:frame="1"/>
          <w:lang w:val="en-US"/>
        </w:rPr>
        <w:t>​</w:t>
      </w:r>
      <w:r>
        <w:rPr>
          <w:rFonts w:ascii="Arial" w:hAnsi="Arial" w:cs="Arial"/>
          <w:bdr w:val="none" w:sz="0" w:space="0" w:color="auto" w:frame="1"/>
          <w:lang w:val="en-US"/>
        </w:rPr>
        <w:t>. "Employee engagement" is the term used to describe how invested workers are in their jobs, their teams, and their employers. People who care about their company's success work harder, stay with the company longer, and inspire those around them to do the same. Most business leaders agree that a positive work environment leads to better productivity across the board. Using Hilton Hotels as an example of an organization that has successfully adopted an employee life cycle strategy, this study will examine employee engagement in detail.</w:t>
      </w:r>
      <w:r>
        <w:rPr>
          <w:rFonts w:ascii="Arial" w:hAnsi="Arial" w:cs="Arial"/>
          <w:bdr w:val="none" w:sz="0" w:space="0" w:color="auto" w:frame="1"/>
        </w:rPr>
        <w:t> </w:t>
      </w:r>
    </w:p>
    <w:p w14:paraId="3B720BD0"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Hotel employees are the only advocates for the hotel chain because customer service is the industry's lifeblood</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(Bhandari, 2020)</w:t>
      </w:r>
      <w:r>
        <w:rPr>
          <w:rFonts w:ascii="Calibri" w:hAnsi="Calibri" w:cs="Calibri"/>
          <w:bdr w:val="none" w:sz="0" w:space="0" w:color="auto" w:frame="1"/>
          <w:lang w:val="en-US"/>
        </w:rPr>
        <w:t>​</w:t>
      </w:r>
      <w:r>
        <w:rPr>
          <w:rFonts w:ascii="Arial" w:hAnsi="Arial" w:cs="Arial"/>
          <w:bdr w:val="none" w:sz="0" w:space="0" w:color="auto" w:frame="1"/>
          <w:lang w:val="en-US"/>
        </w:rPr>
        <w:t>. One slip-up could mean the difference between a happy and an angry client. When workers feel that they are valued and have a voice in the direction of the firm, they are more invested in their work and more enthusiastic about their role within it. The human resources department must address the problem of employee engagement, which is crucial for the success of any company. There is a global problem in employee engagement, since just 15% of the world's workforce is fully invested in their jobs. These staggering numbers highlight the critical importance of employee engagement to the leadership and human resources departments of any organization</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(Amah and Ahiauzu, 2013)</w:t>
      </w:r>
      <w:r>
        <w:rPr>
          <w:rFonts w:ascii="Calibri" w:hAnsi="Calibri" w:cs="Calibri"/>
          <w:bdr w:val="none" w:sz="0" w:space="0" w:color="auto" w:frame="1"/>
          <w:lang w:val="en-US"/>
        </w:rPr>
        <w:t>​</w:t>
      </w:r>
      <w:r>
        <w:rPr>
          <w:rFonts w:ascii="Arial" w:hAnsi="Arial" w:cs="Arial"/>
          <w:bdr w:val="none" w:sz="0" w:space="0" w:color="auto" w:frame="1"/>
          <w:lang w:val="en-US"/>
        </w:rPr>
        <w:t>. They also provide light on the increasing need for personnel in the fields of consulting, study, and employee involvement. To begin, human resources play a pivotal role in fostering increased levels of employee engagement across the board. There may be a lot of programs and events aimed at boosting morale and productivity in the workplace, but all HR managers have the same top concern: employee engagement</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xml:space="preserve"> (Brown, </w:t>
      </w:r>
      <w:proofErr w:type="gramStart"/>
      <w:r>
        <w:rPr>
          <w:rFonts w:ascii="Arial" w:hAnsi="Arial" w:cs="Arial"/>
          <w:color w:val="000000"/>
          <w:bdr w:val="none" w:sz="0" w:space="0" w:color="auto" w:frame="1"/>
          <w:shd w:val="clear" w:color="auto" w:fill="E1E3E6"/>
          <w:lang w:val="en-US"/>
        </w:rPr>
        <w:t>Melian</w:t>
      </w:r>
      <w:proofErr w:type="gramEnd"/>
      <w:r>
        <w:rPr>
          <w:rFonts w:ascii="Arial" w:hAnsi="Arial" w:cs="Arial"/>
          <w:color w:val="000000"/>
          <w:bdr w:val="none" w:sz="0" w:space="0" w:color="auto" w:frame="1"/>
          <w:shd w:val="clear" w:color="auto" w:fill="E1E3E6"/>
          <w:lang w:val="en-US"/>
        </w:rPr>
        <w:t xml:space="preserve"> and Solow, 2018)</w:t>
      </w:r>
      <w:r>
        <w:rPr>
          <w:rFonts w:ascii="Calibri" w:hAnsi="Calibri" w:cs="Calibri"/>
          <w:bdr w:val="none" w:sz="0" w:space="0" w:color="auto" w:frame="1"/>
          <w:lang w:val="en-US"/>
        </w:rPr>
        <w:t>​</w:t>
      </w:r>
      <w:r>
        <w:rPr>
          <w:rFonts w:ascii="Arial" w:hAnsi="Arial" w:cs="Arial"/>
          <w:bdr w:val="none" w:sz="0" w:space="0" w:color="auto" w:frame="1"/>
          <w:lang w:val="en-US"/>
        </w:rPr>
        <w:t>. Proper HR foundations are necessary for maximum employee engagement. Due to its impact on almost all facets of human resources, employee engagement is a more complex issue than first meets the eye. The HR team, however, needs a deep understanding of the employment dynamic if it is to successfully engage the workforce. Human resources' responsibility is to provide workers with the resources and knowledge they need to carry out their duties effectively.</w:t>
      </w:r>
      <w:r>
        <w:rPr>
          <w:rFonts w:ascii="Arial" w:hAnsi="Arial" w:cs="Arial"/>
          <w:bdr w:val="none" w:sz="0" w:space="0" w:color="auto" w:frame="1"/>
        </w:rPr>
        <w:t> </w:t>
      </w:r>
    </w:p>
    <w:p w14:paraId="213C0EF8"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Human resources must keep investing in their staff if they want to keep the enthusiasm levels at their newly achieved highs</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(Cattermole, 2014)</w:t>
      </w:r>
      <w:r>
        <w:rPr>
          <w:rFonts w:ascii="Calibri" w:hAnsi="Calibri" w:cs="Calibri"/>
          <w:bdr w:val="none" w:sz="0" w:space="0" w:color="auto" w:frame="1"/>
          <w:lang w:val="en-US"/>
        </w:rPr>
        <w:t>​</w:t>
      </w:r>
      <w:r>
        <w:rPr>
          <w:rFonts w:ascii="Arial" w:hAnsi="Arial" w:cs="Arial"/>
          <w:bdr w:val="none" w:sz="0" w:space="0" w:color="auto" w:frame="1"/>
          <w:lang w:val="en-US"/>
        </w:rPr>
        <w:t xml:space="preserve">. It has an obligation to make sure that employees know what steps to </w:t>
      </w:r>
      <w:proofErr w:type="gramStart"/>
      <w:r>
        <w:rPr>
          <w:rFonts w:ascii="Arial" w:hAnsi="Arial" w:cs="Arial"/>
          <w:bdr w:val="none" w:sz="0" w:space="0" w:color="auto" w:frame="1"/>
          <w:lang w:val="en-US"/>
        </w:rPr>
        <w:t>go</w:t>
      </w:r>
      <w:proofErr w:type="gramEnd"/>
      <w:r>
        <w:rPr>
          <w:rFonts w:ascii="Arial" w:hAnsi="Arial" w:cs="Arial"/>
          <w:bdr w:val="none" w:sz="0" w:space="0" w:color="auto" w:frame="1"/>
          <w:lang w:val="en-US"/>
        </w:rPr>
        <w:t xml:space="preserve"> next in their careers. Employees that take an active role in their workplace have a clear idea of what is expected of them and work hard to achieve their own objectives as well as the company's. Understanding how a team may be engaged at work to increase productivity, customer satisfaction, and retention is essential once the need for engagement has been established. The best way to do this is to maintain staff engagement</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(Mayo, 2018)</w:t>
      </w:r>
      <w:r>
        <w:rPr>
          <w:rFonts w:ascii="Calibri" w:hAnsi="Calibri" w:cs="Calibri"/>
          <w:bdr w:val="none" w:sz="0" w:space="0" w:color="auto" w:frame="1"/>
          <w:lang w:val="en-US"/>
        </w:rPr>
        <w:t>​</w:t>
      </w:r>
      <w:r>
        <w:rPr>
          <w:rFonts w:ascii="Arial" w:hAnsi="Arial" w:cs="Arial"/>
          <w:bdr w:val="none" w:sz="0" w:space="0" w:color="auto" w:frame="1"/>
          <w:lang w:val="en-US"/>
        </w:rPr>
        <w:t>. If important firm information is concealed, intentionally or not, employees will be compelled to generate opinions about the business. Therefore, it is essential that workers be regularly informed on things like the company's financial performance, the status of ongoing initiatives, and the reasons why these things matter to them. Maintaining open lines of communication fosters a sense of belonging among workers.</w:t>
      </w:r>
      <w:r>
        <w:rPr>
          <w:rFonts w:ascii="Arial" w:hAnsi="Arial" w:cs="Arial"/>
          <w:bdr w:val="none" w:sz="0" w:space="0" w:color="auto" w:frame="1"/>
        </w:rPr>
        <w:t> </w:t>
      </w:r>
    </w:p>
    <w:p w14:paraId="181702DC"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 xml:space="preserve">One of the most persuasive arguments for getting employees to work hard is to be explicit about what they should be doing. It might be challenging to get workers enthused about a project, for instance, if they are unsure about their roles or how to complete the task at hand. It is the responsibility of the corporation to define and verify </w:t>
      </w:r>
      <w:r>
        <w:rPr>
          <w:rFonts w:ascii="Arial" w:hAnsi="Arial" w:cs="Arial"/>
          <w:bdr w:val="none" w:sz="0" w:space="0" w:color="auto" w:frame="1"/>
          <w:lang w:val="en-US"/>
        </w:rPr>
        <w:lastRenderedPageBreak/>
        <w:t>the specifics of each task given to its personnel, as well as the associated instructions and what is expected of them. The project's significance to the larger company plan should be outlined, and participants should be given an opportunity to ask follow-up questions</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(Worldwide, 2016)</w:t>
      </w:r>
      <w:r>
        <w:rPr>
          <w:rFonts w:ascii="Calibri" w:hAnsi="Calibri" w:cs="Calibri"/>
          <w:bdr w:val="none" w:sz="0" w:space="0" w:color="auto" w:frame="1"/>
          <w:lang w:val="en-US"/>
        </w:rPr>
        <w:t>​</w:t>
      </w:r>
      <w:r>
        <w:rPr>
          <w:rFonts w:ascii="Arial" w:hAnsi="Arial" w:cs="Arial"/>
          <w:bdr w:val="none" w:sz="0" w:space="0" w:color="auto" w:frame="1"/>
          <w:lang w:val="en-US"/>
        </w:rPr>
        <w:t>. Never try to gloss over the unpleasant parts of a job only to make it more enjoyable. A corporation that assigns such tasks should be clear about what they expect from its employees. A company's efforts fail if they are seen as being dishonest and fake.</w:t>
      </w:r>
      <w:r>
        <w:rPr>
          <w:rFonts w:ascii="Arial" w:hAnsi="Arial" w:cs="Arial"/>
          <w:bdr w:val="none" w:sz="0" w:space="0" w:color="auto" w:frame="1"/>
        </w:rPr>
        <w:t> </w:t>
      </w:r>
    </w:p>
    <w:p w14:paraId="45D55F54"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Consistency in the face of employee issues is extremely important in the workplace. Every worker is an individual, and hence ought to be treated as such, with the company's methods reflecting that. Treating all staff members properly is a cornerstone of consistency in the workplace. One such reason for disliking management is if they seem to favor their most ardent followers</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(Zinger, 2013)</w:t>
      </w:r>
      <w:r>
        <w:rPr>
          <w:rFonts w:ascii="Calibri" w:hAnsi="Calibri" w:cs="Calibri"/>
          <w:bdr w:val="none" w:sz="0" w:space="0" w:color="auto" w:frame="1"/>
          <w:lang w:val="en-US"/>
        </w:rPr>
        <w:t>​</w:t>
      </w:r>
      <w:r>
        <w:rPr>
          <w:rFonts w:ascii="Arial" w:hAnsi="Arial" w:cs="Arial"/>
          <w:bdr w:val="none" w:sz="0" w:space="0" w:color="auto" w:frame="1"/>
          <w:lang w:val="en-US"/>
        </w:rPr>
        <w:t xml:space="preserve">. Part of getting workers involved is showing them what's expected of them. Reduced absenteeism is a major perk since, </w:t>
      </w:r>
      <w:proofErr w:type="gramStart"/>
      <w:r>
        <w:rPr>
          <w:rFonts w:ascii="Arial" w:hAnsi="Arial" w:cs="Arial"/>
          <w:bdr w:val="none" w:sz="0" w:space="0" w:color="auto" w:frame="1"/>
          <w:lang w:val="en-US"/>
        </w:rPr>
        <w:t>despite the fact that</w:t>
      </w:r>
      <w:proofErr w:type="gramEnd"/>
      <w:r>
        <w:rPr>
          <w:rFonts w:ascii="Arial" w:hAnsi="Arial" w:cs="Arial"/>
          <w:bdr w:val="none" w:sz="0" w:space="0" w:color="auto" w:frame="1"/>
          <w:lang w:val="en-US"/>
        </w:rPr>
        <w:t xml:space="preserve"> every company is different and has its own quirks, employee absences are a common issue. It's seen as an individual issue, not a management one. If nothing is done, the costs might quickly escalate out of hand and bankrupt the company. The battle against absenteeism should include the involvement, enjoyment, and motivation of employees</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(Warren, 2017)</w:t>
      </w:r>
      <w:r>
        <w:rPr>
          <w:rFonts w:ascii="Calibri" w:hAnsi="Calibri" w:cs="Calibri"/>
          <w:bdr w:val="none" w:sz="0" w:space="0" w:color="auto" w:frame="1"/>
          <w:lang w:val="en-US"/>
        </w:rPr>
        <w:t>​</w:t>
      </w:r>
      <w:r>
        <w:rPr>
          <w:rFonts w:ascii="Arial" w:hAnsi="Arial" w:cs="Arial"/>
          <w:bdr w:val="none" w:sz="0" w:space="0" w:color="auto" w:frame="1"/>
          <w:lang w:val="en-US"/>
        </w:rPr>
        <w:t xml:space="preserve">. It has been estimated that absenteeism may be cut by as much as 40 percent if employees are </w:t>
      </w:r>
      <w:proofErr w:type="gramStart"/>
      <w:r>
        <w:rPr>
          <w:rFonts w:ascii="Arial" w:hAnsi="Arial" w:cs="Arial"/>
          <w:bdr w:val="none" w:sz="0" w:space="0" w:color="auto" w:frame="1"/>
          <w:lang w:val="en-US"/>
        </w:rPr>
        <w:t>more invested</w:t>
      </w:r>
      <w:proofErr w:type="gramEnd"/>
      <w:r>
        <w:rPr>
          <w:rFonts w:ascii="Arial" w:hAnsi="Arial" w:cs="Arial"/>
          <w:bdr w:val="none" w:sz="0" w:space="0" w:color="auto" w:frame="1"/>
          <w:lang w:val="en-US"/>
        </w:rPr>
        <w:t xml:space="preserve"> in their work, as the speaker will explain. Increasing morale in the workplace has the potential to boost productivity.</w:t>
      </w:r>
      <w:r>
        <w:rPr>
          <w:rFonts w:ascii="Arial" w:hAnsi="Arial" w:cs="Arial"/>
          <w:bdr w:val="none" w:sz="0" w:space="0" w:color="auto" w:frame="1"/>
        </w:rPr>
        <w:t> </w:t>
      </w:r>
    </w:p>
    <w:p w14:paraId="25B6F634"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Good employee involvement may increase workplace safety. The method of using this perk is explained in plain English. Workers who show up and give their all every day are more likely to care about the success of the company and the well-being of their coworkers. When people aren't worried or stressed out, they are better able to do their jobs. Proactive, safety-conscious behavior on the part of engaged workers has been shown to reduce accidents by as much as 70 percent when working for a reliable and stable company. When looking to learn about how firms in the hospitality industry approach employee engagement, Hilton Hotels, one of the world's greatest hotels, is a great place to start.</w:t>
      </w:r>
      <w:r>
        <w:rPr>
          <w:rFonts w:ascii="Arial" w:hAnsi="Arial" w:cs="Arial"/>
          <w:bdr w:val="none" w:sz="0" w:space="0" w:color="auto" w:frame="1"/>
        </w:rPr>
        <w:t> </w:t>
      </w:r>
    </w:p>
    <w:p w14:paraId="770FF6D0"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Hilton Worldwide Holdings, formerly known as Hilton Properties Corporation, operates a sizable chain of hotels throughout the United Kingdom. All 162 of the Hilton Hotels that can be found in the United Kingdom are, according to Hilton, in the service industry</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(Hilton Worldwide, 2017)</w:t>
      </w:r>
      <w:r>
        <w:rPr>
          <w:rFonts w:ascii="Calibri" w:hAnsi="Calibri" w:cs="Calibri"/>
          <w:bdr w:val="none" w:sz="0" w:space="0" w:color="auto" w:frame="1"/>
          <w:lang w:val="en-US"/>
        </w:rPr>
        <w:t>​</w:t>
      </w:r>
      <w:r>
        <w:rPr>
          <w:rFonts w:ascii="Arial" w:hAnsi="Arial" w:cs="Arial"/>
          <w:bdr w:val="none" w:sz="0" w:space="0" w:color="auto" w:frame="1"/>
          <w:lang w:val="en-US"/>
        </w:rPr>
        <w:t>. The company is committed to the growth and development of its staff. The company aids in advancing professional careers to staff members throughout the United Kingdom. The hotel also claims to educate guests on social issues relevant to its 2030 vision. In 2017, Hilton introduced a program called Thrive at Hilton to help its employees "grow and flourish" physically, mentally, and spiritually. Hilton claims that it provides its employees with the means to develop personally and professionally because it believes that every employee deserves a prosperous career. A good example is Hilton University, which offers free online education and a second six-part course specifically for hotel staff. Thus, the global hotel chain is the best model of how to value and care for staff members. Employees at Hilton Hotels go through a natural but unavoidable progression known as the employee life cycle (ELC) and understanding this is essential to the hotel chain's ability to understand employee engagement</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(Worldwide, 2016)</w:t>
      </w:r>
      <w:r>
        <w:rPr>
          <w:rFonts w:ascii="Calibri" w:hAnsi="Calibri" w:cs="Calibri"/>
          <w:bdr w:val="none" w:sz="0" w:space="0" w:color="auto" w:frame="1"/>
          <w:lang w:val="en-US"/>
        </w:rPr>
        <w:t>​</w:t>
      </w:r>
      <w:r>
        <w:rPr>
          <w:rFonts w:ascii="Arial" w:hAnsi="Arial" w:cs="Arial"/>
          <w:bdr w:val="none" w:sz="0" w:space="0" w:color="auto" w:frame="1"/>
          <w:lang w:val="en-US"/>
        </w:rPr>
        <w:t xml:space="preserve">. As the cycle progresses, HR managers may assist their staff in reaching their full potential. But businesses can reduce their exposure to turnover by learning more about the cycle. Throughout their time working for a company, employees go through several significant transitions, each of which is </w:t>
      </w:r>
      <w:r>
        <w:rPr>
          <w:rFonts w:ascii="Arial" w:hAnsi="Arial" w:cs="Arial"/>
          <w:bdr w:val="none" w:sz="0" w:space="0" w:color="auto" w:frame="1"/>
          <w:lang w:val="en-US"/>
        </w:rPr>
        <w:lastRenderedPageBreak/>
        <w:t>highlighted and articulated by the employee life cycle model. Hilton is committed to excellence throughout the entire employee life cycle.</w:t>
      </w:r>
      <w:r>
        <w:rPr>
          <w:rFonts w:ascii="Arial" w:hAnsi="Arial" w:cs="Arial"/>
          <w:bdr w:val="none" w:sz="0" w:space="0" w:color="auto" w:frame="1"/>
        </w:rPr>
        <w:t> </w:t>
      </w:r>
    </w:p>
    <w:p w14:paraId="3A7C862B"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The first step in the process of attracting new employees begins when they become familiar with the employer's brand. Infatuation with Hilton is a natural human response. A plethora of the world's brightest minds submit their resumes whenever there's a vacancy at Hilton due to the chain's international fame. The hotel's budgetary setup guarantees that any expansion will generate a profit. Recruiting is the next phase of the cycle, and it involves taking a potential employee through the steps necessary to make him or her a permanent member of staff. The impression a potential employee forms of the company during this phase is lasting. Hilton Hotels' HR department conducts interviews, administers psychometric tests, and otherwise evaluates job applicants as part of the selection and hiring process</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(Hilton Worldwide, 2017)</w:t>
      </w:r>
      <w:r>
        <w:rPr>
          <w:rFonts w:ascii="Calibri" w:hAnsi="Calibri" w:cs="Calibri"/>
          <w:bdr w:val="none" w:sz="0" w:space="0" w:color="auto" w:frame="1"/>
          <w:lang w:val="en-US"/>
        </w:rPr>
        <w:t>​</w:t>
      </w:r>
      <w:r>
        <w:rPr>
          <w:rFonts w:ascii="Arial" w:hAnsi="Arial" w:cs="Arial"/>
          <w:bdr w:val="none" w:sz="0" w:space="0" w:color="auto" w:frame="1"/>
          <w:lang w:val="en-US"/>
        </w:rPr>
        <w:t>. The hiring procedure at the hotel also includes group activities like role playing and tray exercises. Careful managerial choices ensure smooth operations, and new hires are expected to embrace the hotel's values.</w:t>
      </w:r>
      <w:r>
        <w:rPr>
          <w:rFonts w:ascii="Arial" w:hAnsi="Arial" w:cs="Arial"/>
          <w:bdr w:val="none" w:sz="0" w:space="0" w:color="auto" w:frame="1"/>
        </w:rPr>
        <w:t> </w:t>
      </w:r>
    </w:p>
    <w:p w14:paraId="5633FC28"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Onboarding is the third stage of the cycle. This phase entails helping workers adapt to and thrive within the company's established culture</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(Warren, 2017)</w:t>
      </w:r>
      <w:r>
        <w:rPr>
          <w:rFonts w:ascii="Calibri" w:hAnsi="Calibri" w:cs="Calibri"/>
          <w:bdr w:val="none" w:sz="0" w:space="0" w:color="auto" w:frame="1"/>
          <w:lang w:val="en-US"/>
        </w:rPr>
        <w:t>​</w:t>
      </w:r>
      <w:r>
        <w:rPr>
          <w:rFonts w:ascii="Arial" w:hAnsi="Arial" w:cs="Arial"/>
          <w:bdr w:val="none" w:sz="0" w:space="0" w:color="auto" w:frame="1"/>
          <w:lang w:val="en-US"/>
        </w:rPr>
        <w:t>. When executed well, it gives new hires a feeling of agency inside the organization and is the perfect opportunity to make them feel comfortable and at home. Hilton's method of management calls for the establishment to be split up into many divisions. Employees are actively instructed on how to satisfy the needs of their department throughout the recruiting process. These are only some of the methods used by the hotel to ensure complete client pleasure. In the fourth phase, known as retention, successful companies maintain their best staff. Because of the potential for employers to take advantage of long-serving workers, this phase of the employee life cycle is crucial. Addressing difficult issues as soon as feasible can help employees understand their roles and how they may contribute to the company's success. Each Hilton hotel aims to be the best in its industry since Hilton is a global hotel chain</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(Seijts and Crim, 2016)</w:t>
      </w:r>
      <w:r>
        <w:rPr>
          <w:rFonts w:ascii="Calibri" w:hAnsi="Calibri" w:cs="Calibri"/>
          <w:bdr w:val="none" w:sz="0" w:space="0" w:color="auto" w:frame="1"/>
          <w:lang w:val="en-US"/>
        </w:rPr>
        <w:t>​</w:t>
      </w:r>
      <w:r>
        <w:rPr>
          <w:rFonts w:ascii="Arial" w:hAnsi="Arial" w:cs="Arial"/>
          <w:bdr w:val="none" w:sz="0" w:space="0" w:color="auto" w:frame="1"/>
          <w:lang w:val="en-US"/>
        </w:rPr>
        <w:t>. The Hilton has an in-house awards and recognition program to thank its best employees. This is a fantastic strategy for retaining valuable staff and top talent.</w:t>
      </w:r>
      <w:r>
        <w:rPr>
          <w:rFonts w:ascii="Arial" w:hAnsi="Arial" w:cs="Arial"/>
          <w:bdr w:val="none" w:sz="0" w:space="0" w:color="auto" w:frame="1"/>
        </w:rPr>
        <w:t> </w:t>
      </w:r>
    </w:p>
    <w:p w14:paraId="235D70E3"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Next comes career development, which includes a variety of processes aimed at bettering an employee's standing in the company. There are a variety of methods in which a firm might maximize employee performance via strategic planning</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(Neilsen and Randall, 2012)</w:t>
      </w:r>
      <w:r>
        <w:rPr>
          <w:rFonts w:ascii="Calibri" w:hAnsi="Calibri" w:cs="Calibri"/>
          <w:bdr w:val="none" w:sz="0" w:space="0" w:color="auto" w:frame="1"/>
          <w:lang w:val="en-US"/>
        </w:rPr>
        <w:t>​</w:t>
      </w:r>
      <w:r>
        <w:rPr>
          <w:rFonts w:ascii="Arial" w:hAnsi="Arial" w:cs="Arial"/>
          <w:bdr w:val="none" w:sz="0" w:space="0" w:color="auto" w:frame="1"/>
          <w:lang w:val="en-US"/>
        </w:rPr>
        <w:t xml:space="preserve">. This is the last phase of the employment life cycle, as with all good things, it must eventually come to an end. At this stage of the cycle, several factors come into play when an employee decides to leave. The best way to help employees learn where they can make improvements is to provide them with a thoughtful offboarding process that encourages introspection. Like any other company, this one has procedures in place to ensure a smooth handoff of duties upon an employee's departure or termination. Even though this data is not readily accessible, exit interviews with former workers have shown that they did not have </w:t>
      </w:r>
      <w:proofErr w:type="gramStart"/>
      <w:r>
        <w:rPr>
          <w:rFonts w:ascii="Arial" w:hAnsi="Arial" w:cs="Arial"/>
          <w:bdr w:val="none" w:sz="0" w:space="0" w:color="auto" w:frame="1"/>
          <w:lang w:val="en-US"/>
        </w:rPr>
        <w:t>to</w:t>
      </w:r>
      <w:proofErr w:type="gramEnd"/>
      <w:r>
        <w:rPr>
          <w:rFonts w:ascii="Arial" w:hAnsi="Arial" w:cs="Arial"/>
          <w:bdr w:val="none" w:sz="0" w:space="0" w:color="auto" w:frame="1"/>
          <w:lang w:val="en-US"/>
        </w:rPr>
        <w:t xml:space="preserve"> through any particularly onerous procedures to quit the company.</w:t>
      </w:r>
      <w:r>
        <w:rPr>
          <w:rFonts w:ascii="Arial" w:hAnsi="Arial" w:cs="Arial"/>
          <w:bdr w:val="none" w:sz="0" w:space="0" w:color="auto" w:frame="1"/>
        </w:rPr>
        <w:t> </w:t>
      </w:r>
    </w:p>
    <w:p w14:paraId="52C06C96"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For becoming a successful hotelier, it is important for the employer to care for the employees. The smooth operation of the whole life cycle depends on your ability to motivate your personnel</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(Cole, 2012)</w:t>
      </w:r>
      <w:r>
        <w:rPr>
          <w:rFonts w:ascii="Calibri" w:hAnsi="Calibri" w:cs="Calibri"/>
          <w:bdr w:val="none" w:sz="0" w:space="0" w:color="auto" w:frame="1"/>
          <w:lang w:val="en-US"/>
        </w:rPr>
        <w:t>​</w:t>
      </w:r>
      <w:r>
        <w:rPr>
          <w:rFonts w:ascii="Arial" w:hAnsi="Arial" w:cs="Arial"/>
          <w:bdr w:val="none" w:sz="0" w:space="0" w:color="auto" w:frame="1"/>
          <w:lang w:val="en-US"/>
        </w:rPr>
        <w:t xml:space="preserve">. After determining what needs fixing, I'd use the following strategies to help move the company ahead. Simple as it may seem, the first thing I would do is introduce myself to the personnel. Investing in people by just spending time with them is a powerful way to motivate and inspire them to give their best. To develop deeper connections with people, I would inquire about their life histories. The second thing I would do to boost engagement is to provide </w:t>
      </w:r>
      <w:proofErr w:type="gramStart"/>
      <w:r>
        <w:rPr>
          <w:rFonts w:ascii="Arial" w:hAnsi="Arial" w:cs="Arial"/>
          <w:bdr w:val="none" w:sz="0" w:space="0" w:color="auto" w:frame="1"/>
          <w:lang w:val="en-US"/>
        </w:rPr>
        <w:t>them</w:t>
      </w:r>
      <w:proofErr w:type="gramEnd"/>
      <w:r>
        <w:rPr>
          <w:rFonts w:ascii="Arial" w:hAnsi="Arial" w:cs="Arial"/>
          <w:bdr w:val="none" w:sz="0" w:space="0" w:color="auto" w:frame="1"/>
          <w:lang w:val="en-US"/>
        </w:rPr>
        <w:t xml:space="preserve"> the </w:t>
      </w:r>
      <w:r>
        <w:rPr>
          <w:rFonts w:ascii="Arial" w:hAnsi="Arial" w:cs="Arial"/>
          <w:bdr w:val="none" w:sz="0" w:space="0" w:color="auto" w:frame="1"/>
          <w:lang w:val="en-US"/>
        </w:rPr>
        <w:lastRenderedPageBreak/>
        <w:t>resources they need to be successful and make sure they know what they're doing. In addition, I would share the company's vision with my team, provide them with room to develop professionally, back them 100 percent, publicly acknowledge their contributions, thank them for their efforts, express my appreciation and respect, foster an engaging team atmosphere, and offer incentives for their hard work.</w:t>
      </w:r>
      <w:r>
        <w:rPr>
          <w:rFonts w:ascii="Arial" w:hAnsi="Arial" w:cs="Arial"/>
          <w:bdr w:val="none" w:sz="0" w:space="0" w:color="auto" w:frame="1"/>
        </w:rPr>
        <w:t> </w:t>
      </w:r>
    </w:p>
    <w:p w14:paraId="3B129234"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lang w:val="en-US"/>
        </w:rPr>
        <w:t>An employee engagement model serves as a guide to figuring out how to keep workers satisfied and effective in their jobs. One viable option is the Zinger model, which places emphasis on managerial initiatives to boost employee participation. This is the approach used by Hilton Hotels to foster a long-lasting culture of employee engagement. Structured like a pyramid, this method places a premium on participation from all levels of the organization</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(Amah and Ahiauzu, 2013)</w:t>
      </w:r>
      <w:r>
        <w:rPr>
          <w:rFonts w:ascii="Calibri" w:hAnsi="Calibri" w:cs="Calibri"/>
          <w:bdr w:val="none" w:sz="0" w:space="0" w:color="auto" w:frame="1"/>
          <w:lang w:val="en-US"/>
        </w:rPr>
        <w:t>​</w:t>
      </w:r>
      <w:r>
        <w:rPr>
          <w:rFonts w:ascii="Arial" w:hAnsi="Arial" w:cs="Arial"/>
          <w:bdr w:val="none" w:sz="0" w:space="0" w:color="auto" w:frame="1"/>
          <w:lang w:val="en-US"/>
        </w:rPr>
        <w:t>. By adopting this framework, you may zero in on what really matters for a person's success on the job. Second from the bottom in this group is business unity, which helps to build the bottom row. Relationship building and recognition campaigns are important because they strengthen underlying elements that are crucial for integrating employees into a cohesive whole. In the third column, we focus on elevating performance and translating individual success into team dedication. If the corporation were to focus on anything, it would be on boosting productivity and keeping tabs on its progress</w:t>
      </w:r>
      <w:r>
        <w:rPr>
          <w:rFonts w:ascii="Calibri" w:hAnsi="Calibri" w:cs="Calibri"/>
          <w:bdr w:val="none" w:sz="0" w:space="0" w:color="auto" w:frame="1"/>
          <w:lang w:val="en-US"/>
        </w:rPr>
        <w:t>​</w:t>
      </w:r>
      <w:r>
        <w:rPr>
          <w:rFonts w:ascii="Arial" w:hAnsi="Arial" w:cs="Arial"/>
          <w:color w:val="000000"/>
          <w:bdr w:val="none" w:sz="0" w:space="0" w:color="auto" w:frame="1"/>
          <w:shd w:val="clear" w:color="auto" w:fill="E1E3E6"/>
          <w:lang w:val="en-US"/>
        </w:rPr>
        <w:t> (Buckingham, 2018)</w:t>
      </w:r>
      <w:r>
        <w:rPr>
          <w:rFonts w:ascii="Calibri" w:hAnsi="Calibri" w:cs="Calibri"/>
          <w:bdr w:val="none" w:sz="0" w:space="0" w:color="auto" w:frame="1"/>
          <w:lang w:val="en-US"/>
        </w:rPr>
        <w:t>​</w:t>
      </w:r>
      <w:r>
        <w:rPr>
          <w:rFonts w:ascii="Arial" w:hAnsi="Arial" w:cs="Arial"/>
          <w:bdr w:val="none" w:sz="0" w:space="0" w:color="auto" w:frame="1"/>
          <w:lang w:val="en-US"/>
        </w:rPr>
        <w:t>. Success and achievement are prioritized at the very top of the pyramid. To increase productivity and profits, the ultimate objective of every employee engagement initiative is to increase employee motivation. Before commencing on the road of employee engagement, a firm should set strategic engagement goals to secure these outcomes.</w:t>
      </w:r>
      <w:r>
        <w:rPr>
          <w:rFonts w:ascii="Arial" w:hAnsi="Arial" w:cs="Arial"/>
          <w:bdr w:val="none" w:sz="0" w:space="0" w:color="auto" w:frame="1"/>
        </w:rPr>
        <w:t> </w:t>
      </w:r>
    </w:p>
    <w:p w14:paraId="527FBB51"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dr w:val="none" w:sz="0" w:space="0" w:color="auto" w:frame="1"/>
        </w:rPr>
        <w:t> </w:t>
      </w:r>
    </w:p>
    <w:p w14:paraId="0941F7E2" w14:textId="77777777" w:rsidR="00276B68" w:rsidRDefault="00276B68" w:rsidP="00276B68">
      <w:pPr>
        <w:pStyle w:val="NormalWeb"/>
        <w:spacing w:before="0" w:beforeAutospacing="0" w:after="0" w:afterAutospacing="0"/>
        <w:jc w:val="both"/>
        <w:textAlignment w:val="baseline"/>
        <w:rPr>
          <w:rFonts w:ascii="Segoe UI" w:hAnsi="Segoe UI" w:cs="Segoe UI"/>
          <w:sz w:val="18"/>
          <w:szCs w:val="18"/>
        </w:rPr>
      </w:pPr>
      <w:r>
        <w:rPr>
          <w:rFonts w:ascii="Arial" w:hAnsi="Arial" w:cs="Arial"/>
          <w:b/>
          <w:bCs/>
          <w:bdr w:val="none" w:sz="0" w:space="0" w:color="auto" w:frame="1"/>
          <w:lang w:val="en-US"/>
        </w:rPr>
        <w:t>REFERENCES</w:t>
      </w:r>
      <w:r>
        <w:rPr>
          <w:rFonts w:ascii="Arial" w:hAnsi="Arial" w:cs="Arial"/>
          <w:bdr w:val="none" w:sz="0" w:space="0" w:color="auto" w:frame="1"/>
        </w:rPr>
        <w:t> </w:t>
      </w:r>
    </w:p>
    <w:p w14:paraId="42CF4A54"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Amah, E. and Ahaus, A., 2013. Employee involvement and organizational effectiveness. Journal of Management Development, 32(7), pp.661-674.</w:t>
      </w:r>
      <w:r>
        <w:rPr>
          <w:rFonts w:ascii="Arial" w:hAnsi="Arial" w:cs="Arial"/>
          <w:bdr w:val="none" w:sz="0" w:space="0" w:color="auto" w:frame="1"/>
        </w:rPr>
        <w:t> </w:t>
      </w:r>
    </w:p>
    <w:p w14:paraId="25635F52"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 xml:space="preserve">Attridge, M., 2019. Measuring and Managing Employee Work Engagement: A Review of </w:t>
      </w:r>
      <w:proofErr w:type="gramStart"/>
      <w:r>
        <w:rPr>
          <w:rFonts w:ascii="Arial" w:hAnsi="Arial" w:cs="Arial"/>
          <w:bdr w:val="none" w:sz="0" w:space="0" w:color="auto" w:frame="1"/>
          <w:lang w:val="en-US"/>
        </w:rPr>
        <w:t>the Research</w:t>
      </w:r>
      <w:proofErr w:type="gramEnd"/>
      <w:r>
        <w:rPr>
          <w:rFonts w:ascii="Arial" w:hAnsi="Arial" w:cs="Arial"/>
          <w:bdr w:val="none" w:sz="0" w:space="0" w:color="auto" w:frame="1"/>
          <w:lang w:val="en-US"/>
        </w:rPr>
        <w:t xml:space="preserve"> and Business Literature. Journal of Workplace Behavioral Health, 24(4), pp.383-398.</w:t>
      </w:r>
      <w:r>
        <w:rPr>
          <w:rFonts w:ascii="Arial" w:hAnsi="Arial" w:cs="Arial"/>
          <w:bdr w:val="none" w:sz="0" w:space="0" w:color="auto" w:frame="1"/>
        </w:rPr>
        <w:t> </w:t>
      </w:r>
    </w:p>
    <w:p w14:paraId="704C885B"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Beardwell, J., 2014. Human resource management. 7th ed. Pearson Educated Limited.</w:t>
      </w:r>
      <w:r>
        <w:rPr>
          <w:rFonts w:ascii="Arial" w:hAnsi="Arial" w:cs="Arial"/>
          <w:bdr w:val="none" w:sz="0" w:space="0" w:color="auto" w:frame="1"/>
        </w:rPr>
        <w:t> </w:t>
      </w:r>
    </w:p>
    <w:p w14:paraId="4317F468"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Benn, S., Teo, S. and Martin, A., 2014. Emerald Insight. Emeraldinsight.com.</w:t>
      </w:r>
      <w:r>
        <w:rPr>
          <w:rFonts w:ascii="Arial" w:hAnsi="Arial" w:cs="Arial"/>
          <w:bdr w:val="none" w:sz="0" w:space="0" w:color="auto" w:frame="1"/>
        </w:rPr>
        <w:t> </w:t>
      </w:r>
    </w:p>
    <w:p w14:paraId="0908229C"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Bhandari, M., 2020. Hilton worldwide responds to child trafficking scandal. Washington business journal, [online] Available at: &lt;http://www.bizjournals.com/washington/news/2010/10/31/hilton-responds-to-child-trafficking.html&gt; </w:t>
      </w:r>
      <w:r>
        <w:rPr>
          <w:rFonts w:ascii="Arial" w:hAnsi="Arial" w:cs="Arial"/>
          <w:bdr w:val="none" w:sz="0" w:space="0" w:color="auto" w:frame="1"/>
        </w:rPr>
        <w:t> </w:t>
      </w:r>
    </w:p>
    <w:p w14:paraId="18247292"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Brown, D., Melian, V. and Solow, M., 2018. Culture and engagement. Deloitte Insights.</w:t>
      </w:r>
      <w:r>
        <w:rPr>
          <w:rFonts w:ascii="Arial" w:hAnsi="Arial" w:cs="Arial"/>
          <w:bdr w:val="none" w:sz="0" w:space="0" w:color="auto" w:frame="1"/>
        </w:rPr>
        <w:t> </w:t>
      </w:r>
    </w:p>
    <w:p w14:paraId="494C11D9"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Buckingham, I., 2018. </w:t>
      </w:r>
      <w:r>
        <w:rPr>
          <w:rFonts w:ascii="Arial" w:hAnsi="Arial" w:cs="Arial"/>
          <w:i/>
          <w:iCs/>
          <w:bdr w:val="none" w:sz="0" w:space="0" w:color="auto" w:frame="1"/>
          <w:lang w:val="en-US"/>
        </w:rPr>
        <w:t>'Engagement’ initiatives are giving HR a bad name</w:t>
      </w:r>
      <w:r>
        <w:rPr>
          <w:rFonts w:ascii="Arial" w:hAnsi="Arial" w:cs="Arial"/>
          <w:bdr w:val="none" w:sz="0" w:space="0" w:color="auto" w:frame="1"/>
          <w:lang w:val="en-US"/>
        </w:rPr>
        <w:t>. [online] People Management.</w:t>
      </w:r>
      <w:r>
        <w:rPr>
          <w:rFonts w:ascii="Arial" w:hAnsi="Arial" w:cs="Arial"/>
          <w:bdr w:val="none" w:sz="0" w:space="0" w:color="auto" w:frame="1"/>
        </w:rPr>
        <w:t> </w:t>
      </w:r>
    </w:p>
    <w:p w14:paraId="06557E43"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Cattermole, G., 2014. The future of employee surveys. [online] CIPD.</w:t>
      </w:r>
      <w:r>
        <w:rPr>
          <w:rFonts w:ascii="Arial" w:hAnsi="Arial" w:cs="Arial"/>
          <w:bdr w:val="none" w:sz="0" w:space="0" w:color="auto" w:frame="1"/>
        </w:rPr>
        <w:t> </w:t>
      </w:r>
    </w:p>
    <w:p w14:paraId="18D98E4F"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Cleland, A., Mitchinson, W. and Townsend, A., 2018. Engagement, Assertiveness and Business Performance - A New Perspective. Charlbury: I. C. Ltd.</w:t>
      </w:r>
      <w:r>
        <w:rPr>
          <w:rFonts w:ascii="Arial" w:hAnsi="Arial" w:cs="Arial"/>
          <w:bdr w:val="none" w:sz="0" w:space="0" w:color="auto" w:frame="1"/>
        </w:rPr>
        <w:t> </w:t>
      </w:r>
    </w:p>
    <w:p w14:paraId="6D35287D"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Cole, M., 2012. Article</w:t>
      </w:r>
      <w:r>
        <w:rPr>
          <w:rFonts w:ascii="Arial" w:hAnsi="Arial" w:cs="Arial"/>
          <w:bdr w:val="none" w:sz="0" w:space="0" w:color="auto" w:frame="1"/>
          <w:lang w:val="en-US"/>
        </w:rPr>
        <w:t> </w:t>
      </w:r>
      <w:r>
        <w:rPr>
          <w:rFonts w:ascii="Arial" w:hAnsi="Arial" w:cs="Arial"/>
          <w:bdr w:val="none" w:sz="0" w:space="0" w:color="auto" w:frame="1"/>
          <w:lang w:val="en-US"/>
        </w:rPr>
        <w:t>in</w:t>
      </w:r>
      <w:r>
        <w:rPr>
          <w:rFonts w:ascii="Arial" w:hAnsi="Arial" w:cs="Arial"/>
          <w:bdr w:val="none" w:sz="0" w:space="0" w:color="auto" w:frame="1"/>
          <w:lang w:val="en-US"/>
        </w:rPr>
        <w:t> </w:t>
      </w:r>
      <w:r>
        <w:rPr>
          <w:rFonts w:ascii="Arial" w:hAnsi="Arial" w:cs="Arial"/>
          <w:bdr w:val="none" w:sz="0" w:space="0" w:color="auto" w:frame="1"/>
          <w:lang w:val="en-US"/>
        </w:rPr>
        <w:t>Journal of Management 38(5): September 2012.</w:t>
      </w:r>
      <w:r>
        <w:rPr>
          <w:rFonts w:ascii="Arial" w:hAnsi="Arial" w:cs="Arial"/>
          <w:bdr w:val="none" w:sz="0" w:space="0" w:color="auto" w:frame="1"/>
        </w:rPr>
        <w:t> </w:t>
      </w:r>
    </w:p>
    <w:p w14:paraId="2B5F41AA"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Degun, G., 2017. Hilton launches global TV ad encouraging people to book directly. [online] Campaignlive.co.uk. Available at: &lt;http://www.campaignlive.co.uk/article/hilton-launches-global-tv-ad-encouraging-people-book-directly/1383547&gt; </w:t>
      </w:r>
      <w:r>
        <w:rPr>
          <w:rFonts w:ascii="Arial" w:hAnsi="Arial" w:cs="Arial"/>
          <w:bdr w:val="none" w:sz="0" w:space="0" w:color="auto" w:frame="1"/>
        </w:rPr>
        <w:t> </w:t>
      </w:r>
    </w:p>
    <w:p w14:paraId="0066F326"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lastRenderedPageBreak/>
        <w:t>Hilton Worldwide. 2017. Hilton CSR. [online] Available at: &lt;http://cr.hiltonworldwide.com/&gt; </w:t>
      </w:r>
      <w:r>
        <w:rPr>
          <w:rFonts w:ascii="Arial" w:hAnsi="Arial" w:cs="Arial"/>
          <w:bdr w:val="none" w:sz="0" w:space="0" w:color="auto" w:frame="1"/>
        </w:rPr>
        <w:t> </w:t>
      </w:r>
    </w:p>
    <w:p w14:paraId="088AAADC"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Hiltonworldwide.com. 2015. [online] Available at: &lt;http://www.hiltonworldwide.com/&gt; </w:t>
      </w:r>
      <w:r>
        <w:rPr>
          <w:rFonts w:ascii="Arial" w:hAnsi="Arial" w:cs="Arial"/>
          <w:bdr w:val="none" w:sz="0" w:space="0" w:color="auto" w:frame="1"/>
        </w:rPr>
        <w:t> </w:t>
      </w:r>
    </w:p>
    <w:p w14:paraId="4AC97A49"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Hussung, T., 2017. The Importance of Marketing in the Hospitality Industry. [online] Concordia University, St. Paul Online. Available at: &lt;http://online.csp.edu/blog/business/the-importance-of-marketing-in-the-hospitality-industry&gt; </w:t>
      </w:r>
      <w:r>
        <w:rPr>
          <w:rFonts w:ascii="Arial" w:hAnsi="Arial" w:cs="Arial"/>
          <w:bdr w:val="none" w:sz="0" w:space="0" w:color="auto" w:frame="1"/>
        </w:rPr>
        <w:t> </w:t>
      </w:r>
    </w:p>
    <w:p w14:paraId="2E652BDC"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Kang, M. and Sung, M., 2017. Emerald Insight. [online] Emeraldinsight.com. Available at: &lt;https://www.emeraldinsight.com/doi/full/10.1108/JCOM-04-2016-0026&gt; </w:t>
      </w:r>
      <w:r>
        <w:rPr>
          <w:rFonts w:ascii="Arial" w:hAnsi="Arial" w:cs="Arial"/>
          <w:bdr w:val="none" w:sz="0" w:space="0" w:color="auto" w:frame="1"/>
        </w:rPr>
        <w:t> </w:t>
      </w:r>
    </w:p>
    <w:p w14:paraId="7A50704F"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Kular, S., 2018. Employee engagement. [Kingston upon Thames]: Kingston Business School, Kingston University.</w:t>
      </w:r>
      <w:r>
        <w:rPr>
          <w:rFonts w:ascii="Arial" w:hAnsi="Arial" w:cs="Arial"/>
          <w:bdr w:val="none" w:sz="0" w:space="0" w:color="auto" w:frame="1"/>
        </w:rPr>
        <w:t> </w:t>
      </w:r>
    </w:p>
    <w:p w14:paraId="7AF17B49"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Luthans, F. and Peterson, S., 2012. Employee Engagement and Manager Self-Efficacy. Journal of Management Development, 21(5).</w:t>
      </w:r>
      <w:r>
        <w:rPr>
          <w:rFonts w:ascii="Arial" w:hAnsi="Arial" w:cs="Arial"/>
          <w:bdr w:val="none" w:sz="0" w:space="0" w:color="auto" w:frame="1"/>
        </w:rPr>
        <w:t> </w:t>
      </w:r>
    </w:p>
    <w:p w14:paraId="1D1391A3"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Macey, W., 2019. Employee engagement. Oxford: Wiley-Blackwell.</w:t>
      </w:r>
      <w:r>
        <w:rPr>
          <w:rFonts w:ascii="Arial" w:hAnsi="Arial" w:cs="Arial"/>
          <w:bdr w:val="none" w:sz="0" w:space="0" w:color="auto" w:frame="1"/>
        </w:rPr>
        <w:t> </w:t>
      </w:r>
    </w:p>
    <w:p w14:paraId="12C6E645"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Mayo, A., 2018. The measurement of engagement. Emerald Insight.</w:t>
      </w:r>
      <w:r>
        <w:rPr>
          <w:rFonts w:ascii="Arial" w:hAnsi="Arial" w:cs="Arial"/>
          <w:bdr w:val="none" w:sz="0" w:space="0" w:color="auto" w:frame="1"/>
        </w:rPr>
        <w:t> </w:t>
      </w:r>
    </w:p>
    <w:p w14:paraId="737CA68D"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Neilsen, K. and Randall, R., 2012. The importance of employee participation and perceptions of changes in procedures in a teamworking intervention. [online] researchgate.net.</w:t>
      </w:r>
      <w:r>
        <w:rPr>
          <w:rFonts w:ascii="Arial" w:hAnsi="Arial" w:cs="Arial"/>
          <w:bdr w:val="none" w:sz="0" w:space="0" w:color="auto" w:frame="1"/>
        </w:rPr>
        <w:t> </w:t>
      </w:r>
    </w:p>
    <w:p w14:paraId="100E65FD"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Seijts, G. and Crim, D., 2016. What engages employees the most or, The Ten </w:t>
      </w:r>
      <w:proofErr w:type="gramStart"/>
      <w:r>
        <w:rPr>
          <w:rFonts w:ascii="Arial" w:hAnsi="Arial" w:cs="Arial"/>
          <w:bdr w:val="none" w:sz="0" w:space="0" w:color="auto" w:frame="1"/>
          <w:lang w:val="en-US"/>
        </w:rPr>
        <w:t>C's</w:t>
      </w:r>
      <w:proofErr w:type="gramEnd"/>
      <w:r>
        <w:rPr>
          <w:rFonts w:ascii="Arial" w:hAnsi="Arial" w:cs="Arial"/>
          <w:bdr w:val="none" w:sz="0" w:space="0" w:color="auto" w:frame="1"/>
          <w:lang w:val="en-US"/>
        </w:rPr>
        <w:t> of employee engagement. Ivey Business Journal.</w:t>
      </w:r>
      <w:r>
        <w:rPr>
          <w:rFonts w:ascii="Arial" w:hAnsi="Arial" w:cs="Arial"/>
          <w:bdr w:val="none" w:sz="0" w:space="0" w:color="auto" w:frame="1"/>
        </w:rPr>
        <w:t> </w:t>
      </w:r>
    </w:p>
    <w:p w14:paraId="136B4AA4"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Taylor, S. and Woodhams, C., 2013. Managing people and organizations. 7th ed. London: Chartered Institute of Personnel and Development, pp.84-108.</w:t>
      </w:r>
      <w:r>
        <w:rPr>
          <w:rFonts w:ascii="Arial" w:hAnsi="Arial" w:cs="Arial"/>
          <w:bdr w:val="none" w:sz="0" w:space="0" w:color="auto" w:frame="1"/>
        </w:rPr>
        <w:t> </w:t>
      </w:r>
    </w:p>
    <w:p w14:paraId="161B441B"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Thomas, K., 2018. The Four Intrinsic Rewards that Drive Employee Engagement •. [online] Iveybusinessjournal.com.</w:t>
      </w:r>
      <w:r>
        <w:rPr>
          <w:rFonts w:ascii="Arial" w:hAnsi="Arial" w:cs="Arial"/>
          <w:bdr w:val="none" w:sz="0" w:space="0" w:color="auto" w:frame="1"/>
        </w:rPr>
        <w:t> </w:t>
      </w:r>
    </w:p>
    <w:p w14:paraId="2F108113"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Warren, C., 2017. Is it 'engagement' or simply good management practice?</w:t>
      </w:r>
      <w:r>
        <w:rPr>
          <w:rFonts w:ascii="Arial" w:hAnsi="Arial" w:cs="Arial"/>
          <w:bdr w:val="none" w:sz="0" w:space="0" w:color="auto" w:frame="1"/>
        </w:rPr>
        <w:t> </w:t>
      </w:r>
    </w:p>
    <w:p w14:paraId="27347166"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Worldwide, H., 2016. Hilton Worldwide Portfolio of Hotel Brands. [online] Hhonors3.hilton.com. </w:t>
      </w:r>
      <w:r>
        <w:rPr>
          <w:rFonts w:ascii="Arial" w:hAnsi="Arial" w:cs="Arial"/>
          <w:bdr w:val="none" w:sz="0" w:space="0" w:color="auto" w:frame="1"/>
        </w:rPr>
        <w:t> </w:t>
      </w:r>
    </w:p>
    <w:p w14:paraId="21EF1213" w14:textId="77777777" w:rsidR="00276B68" w:rsidRDefault="00276B68" w:rsidP="00276B68">
      <w:pPr>
        <w:pStyle w:val="NormalWeb"/>
        <w:spacing w:before="0" w:beforeAutospacing="0" w:after="0" w:afterAutospacing="0"/>
        <w:ind w:left="720" w:hanging="720"/>
        <w:jc w:val="both"/>
        <w:textAlignment w:val="baseline"/>
        <w:rPr>
          <w:rFonts w:ascii="Segoe UI" w:hAnsi="Segoe UI" w:cs="Segoe UI"/>
          <w:sz w:val="18"/>
          <w:szCs w:val="18"/>
        </w:rPr>
      </w:pPr>
      <w:r>
        <w:rPr>
          <w:rFonts w:ascii="Arial" w:hAnsi="Arial" w:cs="Arial"/>
          <w:bdr w:val="none" w:sz="0" w:space="0" w:color="auto" w:frame="1"/>
          <w:lang w:val="en-US"/>
        </w:rPr>
        <w:t>Zinger, D., 2013. The history of employee engagement. [online] Saba + Halogen Talent Management Blog.</w:t>
      </w:r>
      <w:r>
        <w:rPr>
          <w:rFonts w:ascii="Arial" w:hAnsi="Arial" w:cs="Arial"/>
          <w:bdr w:val="none" w:sz="0" w:space="0" w:color="auto" w:frame="1"/>
        </w:rPr>
        <w:t> </w:t>
      </w:r>
    </w:p>
    <w:p w14:paraId="3205BA39" w14:textId="77777777" w:rsidR="00ED54F2" w:rsidRDefault="00ED54F2"/>
    <w:sectPr w:rsidR="00ED5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B68"/>
    <w:rsid w:val="00276B68"/>
    <w:rsid w:val="00ED5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1196"/>
  <w15:chartTrackingRefBased/>
  <w15:docId w15:val="{FED0E831-9B46-467C-A55C-F1F3FCCC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6B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00081">
      <w:bodyDiv w:val="1"/>
      <w:marLeft w:val="0"/>
      <w:marRight w:val="0"/>
      <w:marTop w:val="0"/>
      <w:marBottom w:val="0"/>
      <w:divBdr>
        <w:top w:val="none" w:sz="0" w:space="0" w:color="auto"/>
        <w:left w:val="none" w:sz="0" w:space="0" w:color="auto"/>
        <w:bottom w:val="none" w:sz="0" w:space="0" w:color="auto"/>
        <w:right w:val="none" w:sz="0" w:space="0" w:color="auto"/>
      </w:divBdr>
      <w:divsChild>
        <w:div w:id="1843743797">
          <w:marLeft w:val="0"/>
          <w:marRight w:val="0"/>
          <w:marTop w:val="0"/>
          <w:marBottom w:val="0"/>
          <w:divBdr>
            <w:top w:val="none" w:sz="0" w:space="0" w:color="auto"/>
            <w:left w:val="none" w:sz="0" w:space="0" w:color="auto"/>
            <w:bottom w:val="none" w:sz="0" w:space="0" w:color="auto"/>
            <w:right w:val="none" w:sz="0" w:space="0" w:color="auto"/>
          </w:divBdr>
        </w:div>
        <w:div w:id="733628101">
          <w:marLeft w:val="0"/>
          <w:marRight w:val="0"/>
          <w:marTop w:val="0"/>
          <w:marBottom w:val="0"/>
          <w:divBdr>
            <w:top w:val="none" w:sz="0" w:space="0" w:color="auto"/>
            <w:left w:val="none" w:sz="0" w:space="0" w:color="auto"/>
            <w:bottom w:val="none" w:sz="0" w:space="0" w:color="auto"/>
            <w:right w:val="none" w:sz="0" w:space="0" w:color="auto"/>
          </w:divBdr>
        </w:div>
        <w:div w:id="2141460708">
          <w:marLeft w:val="0"/>
          <w:marRight w:val="0"/>
          <w:marTop w:val="0"/>
          <w:marBottom w:val="0"/>
          <w:divBdr>
            <w:top w:val="none" w:sz="0" w:space="0" w:color="auto"/>
            <w:left w:val="none" w:sz="0" w:space="0" w:color="auto"/>
            <w:bottom w:val="none" w:sz="0" w:space="0" w:color="auto"/>
            <w:right w:val="none" w:sz="0" w:space="0" w:color="auto"/>
          </w:divBdr>
        </w:div>
        <w:div w:id="1869100530">
          <w:marLeft w:val="0"/>
          <w:marRight w:val="0"/>
          <w:marTop w:val="0"/>
          <w:marBottom w:val="0"/>
          <w:divBdr>
            <w:top w:val="none" w:sz="0" w:space="0" w:color="auto"/>
            <w:left w:val="none" w:sz="0" w:space="0" w:color="auto"/>
            <w:bottom w:val="none" w:sz="0" w:space="0" w:color="auto"/>
            <w:right w:val="none" w:sz="0" w:space="0" w:color="auto"/>
          </w:divBdr>
        </w:div>
        <w:div w:id="324476753">
          <w:marLeft w:val="0"/>
          <w:marRight w:val="0"/>
          <w:marTop w:val="0"/>
          <w:marBottom w:val="0"/>
          <w:divBdr>
            <w:top w:val="none" w:sz="0" w:space="0" w:color="auto"/>
            <w:left w:val="none" w:sz="0" w:space="0" w:color="auto"/>
            <w:bottom w:val="none" w:sz="0" w:space="0" w:color="auto"/>
            <w:right w:val="none" w:sz="0" w:space="0" w:color="auto"/>
          </w:divBdr>
        </w:div>
        <w:div w:id="118191216">
          <w:marLeft w:val="0"/>
          <w:marRight w:val="0"/>
          <w:marTop w:val="0"/>
          <w:marBottom w:val="0"/>
          <w:divBdr>
            <w:top w:val="none" w:sz="0" w:space="0" w:color="auto"/>
            <w:left w:val="none" w:sz="0" w:space="0" w:color="auto"/>
            <w:bottom w:val="none" w:sz="0" w:space="0" w:color="auto"/>
            <w:right w:val="none" w:sz="0" w:space="0" w:color="auto"/>
          </w:divBdr>
        </w:div>
        <w:div w:id="131363441">
          <w:marLeft w:val="0"/>
          <w:marRight w:val="0"/>
          <w:marTop w:val="0"/>
          <w:marBottom w:val="0"/>
          <w:divBdr>
            <w:top w:val="none" w:sz="0" w:space="0" w:color="auto"/>
            <w:left w:val="none" w:sz="0" w:space="0" w:color="auto"/>
            <w:bottom w:val="none" w:sz="0" w:space="0" w:color="auto"/>
            <w:right w:val="none" w:sz="0" w:space="0" w:color="auto"/>
          </w:divBdr>
        </w:div>
        <w:div w:id="2001501777">
          <w:marLeft w:val="0"/>
          <w:marRight w:val="0"/>
          <w:marTop w:val="0"/>
          <w:marBottom w:val="0"/>
          <w:divBdr>
            <w:top w:val="none" w:sz="0" w:space="0" w:color="auto"/>
            <w:left w:val="none" w:sz="0" w:space="0" w:color="auto"/>
            <w:bottom w:val="none" w:sz="0" w:space="0" w:color="auto"/>
            <w:right w:val="none" w:sz="0" w:space="0" w:color="auto"/>
          </w:divBdr>
        </w:div>
        <w:div w:id="258756992">
          <w:marLeft w:val="0"/>
          <w:marRight w:val="0"/>
          <w:marTop w:val="0"/>
          <w:marBottom w:val="0"/>
          <w:divBdr>
            <w:top w:val="none" w:sz="0" w:space="0" w:color="auto"/>
            <w:left w:val="none" w:sz="0" w:space="0" w:color="auto"/>
            <w:bottom w:val="none" w:sz="0" w:space="0" w:color="auto"/>
            <w:right w:val="none" w:sz="0" w:space="0" w:color="auto"/>
          </w:divBdr>
        </w:div>
        <w:div w:id="1214273337">
          <w:marLeft w:val="0"/>
          <w:marRight w:val="0"/>
          <w:marTop w:val="0"/>
          <w:marBottom w:val="0"/>
          <w:divBdr>
            <w:top w:val="none" w:sz="0" w:space="0" w:color="auto"/>
            <w:left w:val="none" w:sz="0" w:space="0" w:color="auto"/>
            <w:bottom w:val="none" w:sz="0" w:space="0" w:color="auto"/>
            <w:right w:val="none" w:sz="0" w:space="0" w:color="auto"/>
          </w:divBdr>
        </w:div>
        <w:div w:id="959845236">
          <w:marLeft w:val="0"/>
          <w:marRight w:val="0"/>
          <w:marTop w:val="0"/>
          <w:marBottom w:val="0"/>
          <w:divBdr>
            <w:top w:val="none" w:sz="0" w:space="0" w:color="auto"/>
            <w:left w:val="none" w:sz="0" w:space="0" w:color="auto"/>
            <w:bottom w:val="none" w:sz="0" w:space="0" w:color="auto"/>
            <w:right w:val="none" w:sz="0" w:space="0" w:color="auto"/>
          </w:divBdr>
        </w:div>
        <w:div w:id="1771512236">
          <w:marLeft w:val="0"/>
          <w:marRight w:val="0"/>
          <w:marTop w:val="0"/>
          <w:marBottom w:val="0"/>
          <w:divBdr>
            <w:top w:val="none" w:sz="0" w:space="0" w:color="auto"/>
            <w:left w:val="none" w:sz="0" w:space="0" w:color="auto"/>
            <w:bottom w:val="none" w:sz="0" w:space="0" w:color="auto"/>
            <w:right w:val="none" w:sz="0" w:space="0" w:color="auto"/>
          </w:divBdr>
        </w:div>
        <w:div w:id="1584994126">
          <w:marLeft w:val="0"/>
          <w:marRight w:val="0"/>
          <w:marTop w:val="0"/>
          <w:marBottom w:val="0"/>
          <w:divBdr>
            <w:top w:val="none" w:sz="0" w:space="0" w:color="auto"/>
            <w:left w:val="none" w:sz="0" w:space="0" w:color="auto"/>
            <w:bottom w:val="none" w:sz="0" w:space="0" w:color="auto"/>
            <w:right w:val="none" w:sz="0" w:space="0" w:color="auto"/>
          </w:divBdr>
        </w:div>
        <w:div w:id="161940647">
          <w:marLeft w:val="0"/>
          <w:marRight w:val="0"/>
          <w:marTop w:val="0"/>
          <w:marBottom w:val="0"/>
          <w:divBdr>
            <w:top w:val="none" w:sz="0" w:space="0" w:color="auto"/>
            <w:left w:val="none" w:sz="0" w:space="0" w:color="auto"/>
            <w:bottom w:val="none" w:sz="0" w:space="0" w:color="auto"/>
            <w:right w:val="none" w:sz="0" w:space="0" w:color="auto"/>
          </w:divBdr>
        </w:div>
        <w:div w:id="243807327">
          <w:marLeft w:val="0"/>
          <w:marRight w:val="0"/>
          <w:marTop w:val="0"/>
          <w:marBottom w:val="0"/>
          <w:divBdr>
            <w:top w:val="none" w:sz="0" w:space="0" w:color="auto"/>
            <w:left w:val="none" w:sz="0" w:space="0" w:color="auto"/>
            <w:bottom w:val="none" w:sz="0" w:space="0" w:color="auto"/>
            <w:right w:val="none" w:sz="0" w:space="0" w:color="auto"/>
          </w:divBdr>
        </w:div>
        <w:div w:id="866332915">
          <w:marLeft w:val="0"/>
          <w:marRight w:val="0"/>
          <w:marTop w:val="0"/>
          <w:marBottom w:val="0"/>
          <w:divBdr>
            <w:top w:val="none" w:sz="0" w:space="0" w:color="auto"/>
            <w:left w:val="none" w:sz="0" w:space="0" w:color="auto"/>
            <w:bottom w:val="none" w:sz="0" w:space="0" w:color="auto"/>
            <w:right w:val="none" w:sz="0" w:space="0" w:color="auto"/>
          </w:divBdr>
        </w:div>
        <w:div w:id="1818378364">
          <w:marLeft w:val="0"/>
          <w:marRight w:val="0"/>
          <w:marTop w:val="0"/>
          <w:marBottom w:val="0"/>
          <w:divBdr>
            <w:top w:val="none" w:sz="0" w:space="0" w:color="auto"/>
            <w:left w:val="none" w:sz="0" w:space="0" w:color="auto"/>
            <w:bottom w:val="none" w:sz="0" w:space="0" w:color="auto"/>
            <w:right w:val="none" w:sz="0" w:space="0" w:color="auto"/>
          </w:divBdr>
        </w:div>
        <w:div w:id="1826117632">
          <w:marLeft w:val="0"/>
          <w:marRight w:val="0"/>
          <w:marTop w:val="0"/>
          <w:marBottom w:val="0"/>
          <w:divBdr>
            <w:top w:val="none" w:sz="0" w:space="0" w:color="auto"/>
            <w:left w:val="none" w:sz="0" w:space="0" w:color="auto"/>
            <w:bottom w:val="none" w:sz="0" w:space="0" w:color="auto"/>
            <w:right w:val="none" w:sz="0" w:space="0" w:color="auto"/>
          </w:divBdr>
        </w:div>
        <w:div w:id="201014976">
          <w:marLeft w:val="0"/>
          <w:marRight w:val="0"/>
          <w:marTop w:val="0"/>
          <w:marBottom w:val="0"/>
          <w:divBdr>
            <w:top w:val="none" w:sz="0" w:space="0" w:color="auto"/>
            <w:left w:val="none" w:sz="0" w:space="0" w:color="auto"/>
            <w:bottom w:val="none" w:sz="0" w:space="0" w:color="auto"/>
            <w:right w:val="none" w:sz="0" w:space="0" w:color="auto"/>
          </w:divBdr>
        </w:div>
        <w:div w:id="1612857935">
          <w:marLeft w:val="0"/>
          <w:marRight w:val="0"/>
          <w:marTop w:val="0"/>
          <w:marBottom w:val="0"/>
          <w:divBdr>
            <w:top w:val="none" w:sz="0" w:space="0" w:color="auto"/>
            <w:left w:val="none" w:sz="0" w:space="0" w:color="auto"/>
            <w:bottom w:val="none" w:sz="0" w:space="0" w:color="auto"/>
            <w:right w:val="none" w:sz="0" w:space="0" w:color="auto"/>
          </w:divBdr>
        </w:div>
        <w:div w:id="1824739517">
          <w:marLeft w:val="0"/>
          <w:marRight w:val="0"/>
          <w:marTop w:val="0"/>
          <w:marBottom w:val="0"/>
          <w:divBdr>
            <w:top w:val="none" w:sz="0" w:space="0" w:color="auto"/>
            <w:left w:val="none" w:sz="0" w:space="0" w:color="auto"/>
            <w:bottom w:val="none" w:sz="0" w:space="0" w:color="auto"/>
            <w:right w:val="none" w:sz="0" w:space="0" w:color="auto"/>
          </w:divBdr>
        </w:div>
        <w:div w:id="1891844152">
          <w:marLeft w:val="0"/>
          <w:marRight w:val="0"/>
          <w:marTop w:val="0"/>
          <w:marBottom w:val="0"/>
          <w:divBdr>
            <w:top w:val="none" w:sz="0" w:space="0" w:color="auto"/>
            <w:left w:val="none" w:sz="0" w:space="0" w:color="auto"/>
            <w:bottom w:val="none" w:sz="0" w:space="0" w:color="auto"/>
            <w:right w:val="none" w:sz="0" w:space="0" w:color="auto"/>
          </w:divBdr>
        </w:div>
        <w:div w:id="1110591141">
          <w:marLeft w:val="0"/>
          <w:marRight w:val="0"/>
          <w:marTop w:val="0"/>
          <w:marBottom w:val="0"/>
          <w:divBdr>
            <w:top w:val="none" w:sz="0" w:space="0" w:color="auto"/>
            <w:left w:val="none" w:sz="0" w:space="0" w:color="auto"/>
            <w:bottom w:val="none" w:sz="0" w:space="0" w:color="auto"/>
            <w:right w:val="none" w:sz="0" w:space="0" w:color="auto"/>
          </w:divBdr>
        </w:div>
        <w:div w:id="969674774">
          <w:marLeft w:val="0"/>
          <w:marRight w:val="0"/>
          <w:marTop w:val="0"/>
          <w:marBottom w:val="0"/>
          <w:divBdr>
            <w:top w:val="none" w:sz="0" w:space="0" w:color="auto"/>
            <w:left w:val="none" w:sz="0" w:space="0" w:color="auto"/>
            <w:bottom w:val="none" w:sz="0" w:space="0" w:color="auto"/>
            <w:right w:val="none" w:sz="0" w:space="0" w:color="auto"/>
          </w:divBdr>
        </w:div>
        <w:div w:id="466317349">
          <w:marLeft w:val="0"/>
          <w:marRight w:val="0"/>
          <w:marTop w:val="0"/>
          <w:marBottom w:val="0"/>
          <w:divBdr>
            <w:top w:val="none" w:sz="0" w:space="0" w:color="auto"/>
            <w:left w:val="none" w:sz="0" w:space="0" w:color="auto"/>
            <w:bottom w:val="none" w:sz="0" w:space="0" w:color="auto"/>
            <w:right w:val="none" w:sz="0" w:space="0" w:color="auto"/>
          </w:divBdr>
        </w:div>
        <w:div w:id="1754007453">
          <w:marLeft w:val="0"/>
          <w:marRight w:val="0"/>
          <w:marTop w:val="0"/>
          <w:marBottom w:val="0"/>
          <w:divBdr>
            <w:top w:val="none" w:sz="0" w:space="0" w:color="auto"/>
            <w:left w:val="none" w:sz="0" w:space="0" w:color="auto"/>
            <w:bottom w:val="none" w:sz="0" w:space="0" w:color="auto"/>
            <w:right w:val="none" w:sz="0" w:space="0" w:color="auto"/>
          </w:divBdr>
        </w:div>
        <w:div w:id="393817953">
          <w:marLeft w:val="0"/>
          <w:marRight w:val="0"/>
          <w:marTop w:val="0"/>
          <w:marBottom w:val="0"/>
          <w:divBdr>
            <w:top w:val="none" w:sz="0" w:space="0" w:color="auto"/>
            <w:left w:val="none" w:sz="0" w:space="0" w:color="auto"/>
            <w:bottom w:val="none" w:sz="0" w:space="0" w:color="auto"/>
            <w:right w:val="none" w:sz="0" w:space="0" w:color="auto"/>
          </w:divBdr>
        </w:div>
        <w:div w:id="842934991">
          <w:marLeft w:val="0"/>
          <w:marRight w:val="0"/>
          <w:marTop w:val="0"/>
          <w:marBottom w:val="0"/>
          <w:divBdr>
            <w:top w:val="none" w:sz="0" w:space="0" w:color="auto"/>
            <w:left w:val="none" w:sz="0" w:space="0" w:color="auto"/>
            <w:bottom w:val="none" w:sz="0" w:space="0" w:color="auto"/>
            <w:right w:val="none" w:sz="0" w:space="0" w:color="auto"/>
          </w:divBdr>
        </w:div>
        <w:div w:id="1325624042">
          <w:marLeft w:val="0"/>
          <w:marRight w:val="0"/>
          <w:marTop w:val="0"/>
          <w:marBottom w:val="0"/>
          <w:divBdr>
            <w:top w:val="none" w:sz="0" w:space="0" w:color="auto"/>
            <w:left w:val="none" w:sz="0" w:space="0" w:color="auto"/>
            <w:bottom w:val="none" w:sz="0" w:space="0" w:color="auto"/>
            <w:right w:val="none" w:sz="0" w:space="0" w:color="auto"/>
          </w:divBdr>
        </w:div>
        <w:div w:id="859852737">
          <w:marLeft w:val="0"/>
          <w:marRight w:val="0"/>
          <w:marTop w:val="0"/>
          <w:marBottom w:val="0"/>
          <w:divBdr>
            <w:top w:val="none" w:sz="0" w:space="0" w:color="auto"/>
            <w:left w:val="none" w:sz="0" w:space="0" w:color="auto"/>
            <w:bottom w:val="none" w:sz="0" w:space="0" w:color="auto"/>
            <w:right w:val="none" w:sz="0" w:space="0" w:color="auto"/>
          </w:divBdr>
        </w:div>
        <w:div w:id="1220634168">
          <w:marLeft w:val="0"/>
          <w:marRight w:val="0"/>
          <w:marTop w:val="0"/>
          <w:marBottom w:val="0"/>
          <w:divBdr>
            <w:top w:val="none" w:sz="0" w:space="0" w:color="auto"/>
            <w:left w:val="none" w:sz="0" w:space="0" w:color="auto"/>
            <w:bottom w:val="none" w:sz="0" w:space="0" w:color="auto"/>
            <w:right w:val="none" w:sz="0" w:space="0" w:color="auto"/>
          </w:divBdr>
        </w:div>
        <w:div w:id="654839128">
          <w:marLeft w:val="0"/>
          <w:marRight w:val="0"/>
          <w:marTop w:val="0"/>
          <w:marBottom w:val="0"/>
          <w:divBdr>
            <w:top w:val="none" w:sz="0" w:space="0" w:color="auto"/>
            <w:left w:val="none" w:sz="0" w:space="0" w:color="auto"/>
            <w:bottom w:val="none" w:sz="0" w:space="0" w:color="auto"/>
            <w:right w:val="none" w:sz="0" w:space="0" w:color="auto"/>
          </w:divBdr>
        </w:div>
        <w:div w:id="2126927121">
          <w:marLeft w:val="0"/>
          <w:marRight w:val="0"/>
          <w:marTop w:val="0"/>
          <w:marBottom w:val="0"/>
          <w:divBdr>
            <w:top w:val="none" w:sz="0" w:space="0" w:color="auto"/>
            <w:left w:val="none" w:sz="0" w:space="0" w:color="auto"/>
            <w:bottom w:val="none" w:sz="0" w:space="0" w:color="auto"/>
            <w:right w:val="none" w:sz="0" w:space="0" w:color="auto"/>
          </w:divBdr>
        </w:div>
        <w:div w:id="142089898">
          <w:marLeft w:val="0"/>
          <w:marRight w:val="0"/>
          <w:marTop w:val="0"/>
          <w:marBottom w:val="0"/>
          <w:divBdr>
            <w:top w:val="none" w:sz="0" w:space="0" w:color="auto"/>
            <w:left w:val="none" w:sz="0" w:space="0" w:color="auto"/>
            <w:bottom w:val="none" w:sz="0" w:space="0" w:color="auto"/>
            <w:right w:val="none" w:sz="0" w:space="0" w:color="auto"/>
          </w:divBdr>
        </w:div>
        <w:div w:id="1681008533">
          <w:marLeft w:val="0"/>
          <w:marRight w:val="0"/>
          <w:marTop w:val="0"/>
          <w:marBottom w:val="0"/>
          <w:divBdr>
            <w:top w:val="none" w:sz="0" w:space="0" w:color="auto"/>
            <w:left w:val="none" w:sz="0" w:space="0" w:color="auto"/>
            <w:bottom w:val="none" w:sz="0" w:space="0" w:color="auto"/>
            <w:right w:val="none" w:sz="0" w:space="0" w:color="auto"/>
          </w:divBdr>
        </w:div>
        <w:div w:id="293606779">
          <w:marLeft w:val="0"/>
          <w:marRight w:val="0"/>
          <w:marTop w:val="0"/>
          <w:marBottom w:val="0"/>
          <w:divBdr>
            <w:top w:val="none" w:sz="0" w:space="0" w:color="auto"/>
            <w:left w:val="none" w:sz="0" w:space="0" w:color="auto"/>
            <w:bottom w:val="none" w:sz="0" w:space="0" w:color="auto"/>
            <w:right w:val="none" w:sz="0" w:space="0" w:color="auto"/>
          </w:divBdr>
        </w:div>
        <w:div w:id="802432511">
          <w:marLeft w:val="0"/>
          <w:marRight w:val="0"/>
          <w:marTop w:val="0"/>
          <w:marBottom w:val="0"/>
          <w:divBdr>
            <w:top w:val="none" w:sz="0" w:space="0" w:color="auto"/>
            <w:left w:val="none" w:sz="0" w:space="0" w:color="auto"/>
            <w:bottom w:val="none" w:sz="0" w:space="0" w:color="auto"/>
            <w:right w:val="none" w:sz="0" w:space="0" w:color="auto"/>
          </w:divBdr>
        </w:div>
        <w:div w:id="1198350827">
          <w:marLeft w:val="0"/>
          <w:marRight w:val="0"/>
          <w:marTop w:val="0"/>
          <w:marBottom w:val="0"/>
          <w:divBdr>
            <w:top w:val="none" w:sz="0" w:space="0" w:color="auto"/>
            <w:left w:val="none" w:sz="0" w:space="0" w:color="auto"/>
            <w:bottom w:val="none" w:sz="0" w:space="0" w:color="auto"/>
            <w:right w:val="none" w:sz="0" w:space="0" w:color="auto"/>
          </w:divBdr>
        </w:div>
        <w:div w:id="586116488">
          <w:marLeft w:val="0"/>
          <w:marRight w:val="0"/>
          <w:marTop w:val="0"/>
          <w:marBottom w:val="0"/>
          <w:divBdr>
            <w:top w:val="none" w:sz="0" w:space="0" w:color="auto"/>
            <w:left w:val="none" w:sz="0" w:space="0" w:color="auto"/>
            <w:bottom w:val="none" w:sz="0" w:space="0" w:color="auto"/>
            <w:right w:val="none" w:sz="0" w:space="0" w:color="auto"/>
          </w:divBdr>
        </w:div>
        <w:div w:id="6701845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2561</Words>
  <Characters>14598</Characters>
  <Application>Microsoft Office Word</Application>
  <DocSecurity>0</DocSecurity>
  <Lines>121</Lines>
  <Paragraphs>34</Paragraphs>
  <ScaleCrop>false</ScaleCrop>
  <Company/>
  <LinksUpToDate>false</LinksUpToDate>
  <CharactersWithSpaces>17125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Lisa Knight</cp:lastModifiedBy>
  <cp:revision>1</cp:revision>
  <dcterms:created xsi:type="dcterms:W3CDTF">2023-02-10T12:04:00Z</dcterms:created>
  <dcterms:modified xsi:type="dcterms:W3CDTF">2023-02-10T12:04:00Z</dcterms:modified>
</cp:coreProperties>
</file>