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Hannah Nolloth</w:t>
      </w:r>
    </w:p>
    <w:p w:rsidR="00000000" w:rsidDel="00000000" w:rsidP="00000000" w:rsidRDefault="00000000" w:rsidRPr="00000000" w14:paraId="00000002">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b w:val="1"/>
          <w:sz w:val="24"/>
          <w:szCs w:val="24"/>
          <w:rtl w:val="0"/>
        </w:rPr>
        <w:t xml:space="preserve">Student Number: </w:t>
      </w:r>
      <w:r w:rsidDel="00000000" w:rsidR="00000000" w:rsidRPr="00000000">
        <w:rPr>
          <w:rFonts w:ascii="EB Garamond" w:cs="EB Garamond" w:eastAsia="EB Garamond" w:hAnsi="EB Garamond"/>
          <w:sz w:val="24"/>
          <w:szCs w:val="24"/>
          <w:rtl w:val="0"/>
        </w:rPr>
        <w:t xml:space="preserve">1704207</w:t>
      </w:r>
    </w:p>
    <w:p w:rsidR="00000000" w:rsidDel="00000000" w:rsidP="00000000" w:rsidRDefault="00000000" w:rsidRPr="00000000" w14:paraId="00000003">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BA Illustration</w:t>
      </w:r>
    </w:p>
    <w:p w:rsidR="00000000" w:rsidDel="00000000" w:rsidP="00000000" w:rsidRDefault="00000000" w:rsidRPr="00000000" w14:paraId="00000004">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Word Count: 2260</w:t>
      </w:r>
    </w:p>
    <w:p w:rsidR="00000000" w:rsidDel="00000000" w:rsidP="00000000" w:rsidRDefault="00000000" w:rsidRPr="00000000" w14:paraId="00000005">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6">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b w:val="1"/>
          <w:sz w:val="24"/>
          <w:szCs w:val="24"/>
          <w:rtl w:val="0"/>
        </w:rPr>
        <w:t xml:space="preserve">Key Words: </w:t>
      </w:r>
      <w:r w:rsidDel="00000000" w:rsidR="00000000" w:rsidRPr="00000000">
        <w:rPr>
          <w:rFonts w:ascii="EB Garamond" w:cs="EB Garamond" w:eastAsia="EB Garamond" w:hAnsi="EB Garamond"/>
          <w:sz w:val="24"/>
          <w:szCs w:val="24"/>
          <w:rtl w:val="0"/>
        </w:rPr>
        <w:t xml:space="preserve">Context, Purpose, Subject</w:t>
      </w:r>
    </w:p>
    <w:p w:rsidR="00000000" w:rsidDel="00000000" w:rsidP="00000000" w:rsidRDefault="00000000" w:rsidRPr="00000000" w14:paraId="00000007">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8">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Traditionally, illustrations are meant to communicate a predetermined subject through art, whereas fine art is personal work created solely for the artists’ satisfaction with no restriction of freedom. There are many other factors which can influence the categorisation of a piece of artwork, therefore can we use such black and white labels for all creators, or is it more of a grey area? </w:t>
        <w:tab/>
      </w:r>
    </w:p>
    <w:p w:rsidR="00000000" w:rsidDel="00000000" w:rsidP="00000000" w:rsidRDefault="00000000" w:rsidRPr="00000000" w14:paraId="00000009">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Apatoff (2011) quotes :</w:t>
      </w:r>
    </w:p>
    <w:p w:rsidR="00000000" w:rsidDel="00000000" w:rsidP="00000000" w:rsidRDefault="00000000" w:rsidRPr="00000000" w14:paraId="0000000A">
      <w:pPr>
        <w:spacing w:line="480" w:lineRule="auto"/>
        <w:ind w:left="540" w:firstLine="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The distinction lies in the fact that art is the idea (brought to life) while an illustration is a depiction (or explanation) of an idea. Fine Art is simply art for art’s sake. Even if you are doing a commission for a client, it would still be fine art. But illustration is illustrating a story or idea.</w:t>
      </w:r>
    </w:p>
    <w:p w:rsidR="00000000" w:rsidDel="00000000" w:rsidP="00000000" w:rsidRDefault="00000000" w:rsidRPr="00000000" w14:paraId="0000000B">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I am going to discuss the factors which typically determine whether a piece of artwork is labelled fine art or illustration as well as other types of visual art, what we associate with them and the connotations they come with.</w:t>
      </w:r>
    </w:p>
    <w:p w:rsidR="00000000" w:rsidDel="00000000" w:rsidP="00000000" w:rsidRDefault="00000000" w:rsidRPr="00000000" w14:paraId="0000000C">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D">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Context</w:t>
      </w:r>
    </w:p>
    <w:p w:rsidR="00000000" w:rsidDel="00000000" w:rsidP="00000000" w:rsidRDefault="00000000" w:rsidRPr="00000000" w14:paraId="0000000E">
      <w:pPr>
        <w:spacing w:line="480" w:lineRule="auto"/>
        <w:ind w:firstLine="54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The context of a piece of artwork is greatly important in the category it is labelled. For example, a painting hanging in a gallery would typically be considered fine art, and is usually worth a considerable amount of money. Contrary to this, an image accompanying an article in a magazine has clearly been created on commission and was given a brief to follow, this is what we typically consider an illustration, which is paid for by a mass audience in small proportions.  </w:t>
      </w:r>
    </w:p>
    <w:p w:rsidR="00000000" w:rsidDel="00000000" w:rsidP="00000000" w:rsidRDefault="00000000" w:rsidRPr="00000000" w14:paraId="0000000F">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It is arguable that progression in society and technology has changed the way we view art and artists. Works of fine art were once exclusive to those of a higher social class, and so, illustration was the art of the everyday. As summarised by Martignette:</w:t>
      </w:r>
    </w:p>
    <w:p w:rsidR="00000000" w:rsidDel="00000000" w:rsidP="00000000" w:rsidRDefault="00000000" w:rsidRPr="00000000" w14:paraId="00000010">
      <w:pPr>
        <w:spacing w:line="480" w:lineRule="auto"/>
        <w:ind w:left="540" w:firstLine="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Only a small portion of the general population was fortunate enough to be able to visit museums or have the opportunity to see gallery exhibitions or to attend art fairs. As a result, illustration art was, in fact, the art of the common man. (2009, p.9-10)</w:t>
      </w:r>
    </w:p>
    <w:p w:rsidR="00000000" w:rsidDel="00000000" w:rsidP="00000000" w:rsidRDefault="00000000" w:rsidRPr="00000000" w14:paraId="00000011">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The development of technology has greatly changed the business model for art and thus those who are able to access it. Firstly, modern technology has allowed us to create and distribute copies of artwork to large audiences. This means the exclusivity of the artwork is diminished and therefore the value is decreased. This development has allowed businesses to hire artists who they would not have been able to afford under the old business model. This is also possible due to the modern ability to collect small payments from large audiences. This now means that the artist is paid with the tiny fraction paid by consumers for the product their work is published in, e.g in a magazine. </w:t>
        <w:tab/>
        <w:tab/>
      </w:r>
    </w:p>
    <w:p w:rsidR="00000000" w:rsidDel="00000000" w:rsidP="00000000" w:rsidRDefault="00000000" w:rsidRPr="00000000" w14:paraId="00000012">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Illustrator Brad Holland believed that there should be no originals in art (quoted in Span, 1968) “They should be destroyed, so only the mass art, the reproduction, remained”.  This idea evokes a capitalistic motive behind selling original artworks and advocates mass reproduction to diminish exclusivity and snobbery in art, which would potentially subject all artists to equal status. </w:t>
      </w:r>
    </w:p>
    <w:p w:rsidR="00000000" w:rsidDel="00000000" w:rsidP="00000000" w:rsidRDefault="00000000" w:rsidRPr="00000000" w14:paraId="00000013">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Pr>
        <w:drawing>
          <wp:inline distB="114300" distT="114300" distL="114300" distR="114300">
            <wp:extent cx="2295525" cy="2867025"/>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295525" cy="2867025"/>
                    </a:xfrm>
                    <a:prstGeom prst="rect"/>
                    <a:ln/>
                  </pic:spPr>
                </pic:pic>
              </a:graphicData>
            </a:graphic>
          </wp:inline>
        </w:drawing>
      </w:r>
      <w:r w:rsidDel="00000000" w:rsidR="00000000" w:rsidRPr="00000000">
        <w:rPr>
          <w:rFonts w:ascii="EB Garamond" w:cs="EB Garamond" w:eastAsia="EB Garamond" w:hAnsi="EB Garamond"/>
          <w:sz w:val="24"/>
          <w:szCs w:val="24"/>
          <w:rtl w:val="0"/>
        </w:rPr>
        <w:t xml:space="preserve">  </w:t>
      </w:r>
    </w:p>
    <w:p w:rsidR="00000000" w:rsidDel="00000000" w:rsidP="00000000" w:rsidRDefault="00000000" w:rsidRPr="00000000" w14:paraId="00000014">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Norman Rockwell,</w:t>
      </w:r>
      <w:r w:rsidDel="00000000" w:rsidR="00000000" w:rsidRPr="00000000">
        <w:rPr>
          <w:rFonts w:ascii="EB Garamond" w:cs="EB Garamond" w:eastAsia="EB Garamond" w:hAnsi="EB Garamond"/>
          <w:i w:val="1"/>
          <w:sz w:val="24"/>
          <w:szCs w:val="24"/>
          <w:rtl w:val="0"/>
        </w:rPr>
        <w:t xml:space="preserve"> Boy Measuring Height </w:t>
      </w:r>
      <w:r w:rsidDel="00000000" w:rsidR="00000000" w:rsidRPr="00000000">
        <w:rPr>
          <w:rFonts w:ascii="EB Garamond" w:cs="EB Garamond" w:eastAsia="EB Garamond" w:hAnsi="EB Garamond"/>
          <w:sz w:val="24"/>
          <w:szCs w:val="24"/>
          <w:rtl w:val="0"/>
        </w:rPr>
        <w:t xml:space="preserve">Cover of </w:t>
      </w:r>
      <w:r w:rsidDel="00000000" w:rsidR="00000000" w:rsidRPr="00000000">
        <w:rPr>
          <w:rFonts w:ascii="EB Garamond" w:cs="EB Garamond" w:eastAsia="EB Garamond" w:hAnsi="EB Garamond"/>
          <w:i w:val="1"/>
          <w:sz w:val="24"/>
          <w:szCs w:val="24"/>
          <w:rtl w:val="0"/>
        </w:rPr>
        <w:t xml:space="preserve">The Saturday Evening Post</w:t>
      </w:r>
      <w:r w:rsidDel="00000000" w:rsidR="00000000" w:rsidRPr="00000000">
        <w:rPr>
          <w:rFonts w:ascii="EB Garamond" w:cs="EB Garamond" w:eastAsia="EB Garamond" w:hAnsi="EB Garamond"/>
          <w:sz w:val="24"/>
          <w:szCs w:val="24"/>
          <w:rtl w:val="0"/>
        </w:rPr>
        <w:t xml:space="preserve"> (1917)</w:t>
      </w:r>
    </w:p>
    <w:p w:rsidR="00000000" w:rsidDel="00000000" w:rsidP="00000000" w:rsidRDefault="00000000" w:rsidRPr="00000000" w14:paraId="00000015">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6">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Normal Rockwell was a famous illustrator who created hundreds of magazine covers in his lifetime; those of which established him as America’s favourite illustrator. Like Michelangelo, he was commissioned to paint, however due to the commercial motivation of his work, he was considered to be an illustrator. </w:t>
      </w:r>
    </w:p>
    <w:p w:rsidR="00000000" w:rsidDel="00000000" w:rsidP="00000000" w:rsidRDefault="00000000" w:rsidRPr="00000000" w14:paraId="00000017">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Rockwell’s </w:t>
      </w:r>
      <w:r w:rsidDel="00000000" w:rsidR="00000000" w:rsidRPr="00000000">
        <w:rPr>
          <w:rFonts w:ascii="EB Garamond" w:cs="EB Garamond" w:eastAsia="EB Garamond" w:hAnsi="EB Garamond"/>
          <w:i w:val="1"/>
          <w:sz w:val="24"/>
          <w:szCs w:val="24"/>
          <w:rtl w:val="0"/>
        </w:rPr>
        <w:t xml:space="preserve">Saying Grace</w:t>
      </w:r>
      <w:r w:rsidDel="00000000" w:rsidR="00000000" w:rsidRPr="00000000">
        <w:rPr>
          <w:rFonts w:ascii="EB Garamond" w:cs="EB Garamond" w:eastAsia="EB Garamond" w:hAnsi="EB Garamond"/>
          <w:sz w:val="24"/>
          <w:szCs w:val="24"/>
          <w:rtl w:val="0"/>
        </w:rPr>
        <w:t xml:space="preserve"> (1951) sold for $46 million. Does that price tag then elevate his work to a ‘fine art’ status? Apatoff (2011) quotes “In modern illustration the intent is most often the selling of a product. When something noble is put to ignoble ends, there is a deterioration of value.” However Rockwell makes a paradox of this as although his work was mass printed and available to the public, originals still sold for extortionate amounts of money, so it is almost impossible to pin him to one status, as arguably, it is any creator.  According to Rockwell, A. (2015) “it is Rockwell himself who kept publicly pronouncing, "I'm not a fine arts man, I'm an illustrator.”” </w:t>
      </w:r>
    </w:p>
    <w:p w:rsidR="00000000" w:rsidDel="00000000" w:rsidP="00000000" w:rsidRDefault="00000000" w:rsidRPr="00000000" w14:paraId="00000018">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r>
    </w:p>
    <w:p w:rsidR="00000000" w:rsidDel="00000000" w:rsidP="00000000" w:rsidRDefault="00000000" w:rsidRPr="00000000" w14:paraId="00000019">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The categorisation of artworks also typically associates it with a certain social class. Art that comes at a higher price tag and can only be viewed in galleries is deemed exclusive and associated with a higher social class. Illustration is widely distributed and is printed in the form of mass media meaning it is less exclusive.</w:t>
      </w:r>
    </w:p>
    <w:p w:rsidR="00000000" w:rsidDel="00000000" w:rsidP="00000000" w:rsidRDefault="00000000" w:rsidRPr="00000000" w14:paraId="0000001A">
      <w:pPr>
        <w:spacing w:line="480" w:lineRule="auto"/>
        <w:ind w:left="540" w:firstLine="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 Illustration has been described by many as </w:t>
      </w:r>
      <w:r w:rsidDel="00000000" w:rsidR="00000000" w:rsidRPr="00000000">
        <w:rPr>
          <w:rFonts w:ascii="EB Garamond" w:cs="EB Garamond" w:eastAsia="EB Garamond" w:hAnsi="EB Garamond"/>
          <w:i w:val="1"/>
          <w:sz w:val="24"/>
          <w:szCs w:val="24"/>
          <w:rtl w:val="0"/>
        </w:rPr>
        <w:t xml:space="preserve">art at the service of the people</w:t>
      </w:r>
      <w:r w:rsidDel="00000000" w:rsidR="00000000" w:rsidRPr="00000000">
        <w:rPr>
          <w:rFonts w:ascii="EB Garamond" w:cs="EB Garamond" w:eastAsia="EB Garamond" w:hAnsi="EB Garamond"/>
          <w:sz w:val="24"/>
          <w:szCs w:val="24"/>
          <w:rtl w:val="0"/>
        </w:rPr>
        <w:t xml:space="preserve"> presumably because of the growth and popularity of certain contexts and themes. One such theme is that of sequential fiction and entertainment, the most favoured aspects being comics, graphic novels, and animated films. This in turn gives illustration a cultural association with audiences of all description and demographic. (Male, 2019, p4)</w:t>
      </w:r>
    </w:p>
    <w:p w:rsidR="00000000" w:rsidDel="00000000" w:rsidP="00000000" w:rsidRDefault="00000000" w:rsidRPr="00000000" w14:paraId="0000001B">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Fine Art is typically deemed more beau monde as it is not reproduced. Holland (1996) mocks, “With commercial art you find out how much they're going to pay you, and you do the work. With fine art it’s the other way around.” You could also argue that the artist’s status is what determines the value. Illustrations often come with a sense of anonymity, and no one wants to pay a lot of money for an artist they’ve never heard of, despite the level of skill. </w:t>
      </w:r>
    </w:p>
    <w:p w:rsidR="00000000" w:rsidDel="00000000" w:rsidP="00000000" w:rsidRDefault="00000000" w:rsidRPr="00000000" w14:paraId="0000001C">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D">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1E">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Purpose</w:t>
      </w:r>
    </w:p>
    <w:p w:rsidR="00000000" w:rsidDel="00000000" w:rsidP="00000000" w:rsidRDefault="00000000" w:rsidRPr="00000000" w14:paraId="0000001F">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Another factor which contributes to the categorisation of artwork is the purpose of which it was created. The dictionary definition of fine art is “creative art, especially visual art whose products are to be appreciated primarily or solely for their imaginative, aesthetic, or intellectual context.” In other words, fine art is created purely for satisfaction. On the other hand, the definition of illustration is “a decoration, interpretation or visual explanation of a text, concept or process, designed for integration in published media.” This means that illustrations are typically created to accompany another form of media, often text, usually to aid in understanding or offer a visualisation of the subject at hand. These are primarily created by commission and often widely distributed to a large audience.  </w:t>
      </w:r>
      <w:r w:rsidDel="00000000" w:rsidR="00000000" w:rsidRPr="00000000">
        <w:drawing>
          <wp:anchor allowOverlap="1" behindDoc="0" distB="114300" distT="114300" distL="114300" distR="114300" hidden="0" layoutInCell="1" locked="0" relativeHeight="0" simplePos="0">
            <wp:simplePos x="0" y="0"/>
            <wp:positionH relativeFrom="column">
              <wp:posOffset>-276224</wp:posOffset>
            </wp:positionH>
            <wp:positionV relativeFrom="paragraph">
              <wp:posOffset>2867025</wp:posOffset>
            </wp:positionV>
            <wp:extent cx="2847975" cy="2847975"/>
            <wp:effectExtent b="0" l="0" r="0" t="0"/>
            <wp:wrapTopAndBottom distB="114300" distT="1143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47975" cy="2847975"/>
                    </a:xfrm>
                    <a:prstGeom prst="rect"/>
                    <a:ln/>
                  </pic:spPr>
                </pic:pic>
              </a:graphicData>
            </a:graphic>
          </wp:anchor>
        </w:drawing>
      </w:r>
    </w:p>
    <w:p w:rsidR="00000000" w:rsidDel="00000000" w:rsidP="00000000" w:rsidRDefault="00000000" w:rsidRPr="00000000" w14:paraId="00000020">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 </w:t>
      </w:r>
    </w:p>
    <w:p w:rsidR="00000000" w:rsidDel="00000000" w:rsidP="00000000" w:rsidRDefault="00000000" w:rsidRPr="00000000" w14:paraId="00000021">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William Morris, </w:t>
      </w:r>
      <w:r w:rsidDel="00000000" w:rsidR="00000000" w:rsidRPr="00000000">
        <w:rPr>
          <w:rFonts w:ascii="EB Garamond" w:cs="EB Garamond" w:eastAsia="EB Garamond" w:hAnsi="EB Garamond"/>
          <w:i w:val="1"/>
          <w:sz w:val="24"/>
          <w:szCs w:val="24"/>
          <w:rtl w:val="0"/>
        </w:rPr>
        <w:t xml:space="preserve">Golden Lily </w:t>
      </w:r>
      <w:r w:rsidDel="00000000" w:rsidR="00000000" w:rsidRPr="00000000">
        <w:rPr>
          <w:rFonts w:ascii="EB Garamond" w:cs="EB Garamond" w:eastAsia="EB Garamond" w:hAnsi="EB Garamond"/>
          <w:sz w:val="24"/>
          <w:szCs w:val="24"/>
          <w:rtl w:val="0"/>
        </w:rPr>
        <w:t xml:space="preserve">(1899)</w:t>
      </w:r>
    </w:p>
    <w:p w:rsidR="00000000" w:rsidDel="00000000" w:rsidP="00000000" w:rsidRDefault="00000000" w:rsidRPr="00000000" w14:paraId="00000022">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William Morris is one of the most influential textile designers and was a major contributor to the revival of traditional British textile arts and methods of production. Today, his designs are printed on an abundance of household objects from tea towels to oven gloves which are widely accessible and sold by many well respected British galleries, such as the Victoria and Albert Museum, which also holds an extensive collection of his works. Morris was the founder of the Art Nouveau movement which was a style of decorative art and was utilised primarily for commercial intent. The significance of his presence in the movement put his designs in high demand, despite his socialist views and his pursuit in making art ‘by the people, for the people’, granting everyone beauty in their homes. Ironically, “the successful sale of wallpapers, tapestries, rugs and furniture created the “Morris look” in British interiors, one zealously sought after by the middle classes and titled owners of fine houses.” (Morris and Kelvin, 1999, p5)</w:t>
      </w:r>
    </w:p>
    <w:p w:rsidR="00000000" w:rsidDel="00000000" w:rsidP="00000000" w:rsidRDefault="00000000" w:rsidRPr="00000000" w14:paraId="00000023">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To look at it in black and white terms, Morris was a commercial artist, but he was also a revolutionist who paved the way for modern design and demonstrated that “broad appeal to a popular audience is not incompatible with greatness.” (Apatoff, 2011)</w:t>
      </w:r>
    </w:p>
    <w:p w:rsidR="00000000" w:rsidDel="00000000" w:rsidP="00000000" w:rsidRDefault="00000000" w:rsidRPr="00000000" w14:paraId="00000024">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The purpose of Morris’ work was an altruistic one of noble intent and was not a means of personal satisfaction, however it was and still is appreciated solely for aesthetic purposes, and so to appoint Morris to a singular status is merely impossible, proposing we can not categorise a creator or their works based solely on their purpose. </w:t>
      </w:r>
    </w:p>
    <w:p w:rsidR="00000000" w:rsidDel="00000000" w:rsidP="00000000" w:rsidRDefault="00000000" w:rsidRPr="00000000" w14:paraId="00000025">
      <w:pPr>
        <w:spacing w:line="480" w:lineRule="auto"/>
        <w:ind w:left="540" w:firstLine="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26">
      <w:pPr>
        <w:spacing w:line="480" w:lineRule="auto"/>
        <w:ind w:left="540" w:firstLine="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In recording the literal image as it already appears in life, what line can you draw between art and illustration? When I come upon a sight that is already exciting in terms of color and design, I depict it as is, with little rearrangement and with no aesthetic reservations about whether it is to be framed and hung - or used as magazine illustration. (Weaver, 1956) </w:t>
      </w:r>
    </w:p>
    <w:p w:rsidR="00000000" w:rsidDel="00000000" w:rsidP="00000000" w:rsidRDefault="00000000" w:rsidRPr="00000000" w14:paraId="00000027">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To put this into perspective, it’s conceivable the boundary between art and illustration is one that does not exist, as it’s preposterous to categorise a piece of artwork created with no predetermined intent only after its purpose has been decided. However, it was Weaver (1956) who also said “Until the illustrator enjoys complete independence from outside pressure and direction, complete responsibility for his own work, and complete freedom to do whatever he deems fit - all necessaries in the making of art - then illustration cannot be art but only a branch of advertising.” suggesting that freedom is the key discrepancy between the two, so we can therefore argue whether subject matter is a consideration in this debate. </w:t>
        <w:tab/>
        <w:t xml:space="preserve"> </w:t>
      </w:r>
    </w:p>
    <w:p w:rsidR="00000000" w:rsidDel="00000000" w:rsidP="00000000" w:rsidRDefault="00000000" w:rsidRPr="00000000" w14:paraId="00000028">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29">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Subject</w:t>
      </w:r>
    </w:p>
    <w:p w:rsidR="00000000" w:rsidDel="00000000" w:rsidP="00000000" w:rsidRDefault="00000000" w:rsidRPr="00000000" w14:paraId="0000002A">
      <w:pPr>
        <w:spacing w:line="480" w:lineRule="auto"/>
        <w:ind w:firstLine="54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Lieu (2013) proposes the question “What’s the difference between a “fine artist” who communicates narrative themes and an “illustrator” who creates self-initiated works?” This encapsulates the deliberation of whether subject matter is a factor which influences the way we view art and how we categorise it.  </w:t>
      </w:r>
    </w:p>
    <w:p w:rsidR="00000000" w:rsidDel="00000000" w:rsidP="00000000" w:rsidRDefault="00000000" w:rsidRPr="00000000" w14:paraId="0000002B">
      <w:pPr>
        <w:spacing w:line="480" w:lineRule="auto"/>
        <w:ind w:firstLine="540"/>
        <w:rPr>
          <w:rFonts w:ascii="EB Garamond" w:cs="EB Garamond" w:eastAsia="EB Garamond" w:hAnsi="EB Garamond"/>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371475</wp:posOffset>
            </wp:positionV>
            <wp:extent cx="4591050" cy="2581275"/>
            <wp:effectExtent b="0" l="0" r="0" t="0"/>
            <wp:wrapTopAndBottom distB="114300" distT="11430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591050" cy="2581275"/>
                    </a:xfrm>
                    <a:prstGeom prst="rect"/>
                    <a:ln/>
                  </pic:spPr>
                </pic:pic>
              </a:graphicData>
            </a:graphic>
          </wp:anchor>
        </w:drawing>
      </w:r>
    </w:p>
    <w:p w:rsidR="00000000" w:rsidDel="00000000" w:rsidP="00000000" w:rsidRDefault="00000000" w:rsidRPr="00000000" w14:paraId="0000002C">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Michelangelo</w:t>
      </w:r>
      <w:r w:rsidDel="00000000" w:rsidR="00000000" w:rsidRPr="00000000">
        <w:rPr>
          <w:rFonts w:ascii="EB Garamond" w:cs="EB Garamond" w:eastAsia="EB Garamond" w:hAnsi="EB Garamond"/>
          <w:i w:val="1"/>
          <w:sz w:val="24"/>
          <w:szCs w:val="24"/>
          <w:rtl w:val="0"/>
        </w:rPr>
        <w:t xml:space="preserve">, The Sistine Chapel</w:t>
      </w:r>
      <w:r w:rsidDel="00000000" w:rsidR="00000000" w:rsidRPr="00000000">
        <w:rPr>
          <w:rFonts w:ascii="EB Garamond" w:cs="EB Garamond" w:eastAsia="EB Garamond" w:hAnsi="EB Garamond"/>
          <w:sz w:val="24"/>
          <w:szCs w:val="24"/>
          <w:rtl w:val="0"/>
        </w:rPr>
        <w:t xml:space="preserve"> (1508-1512)</w:t>
      </w:r>
    </w:p>
    <w:p w:rsidR="00000000" w:rsidDel="00000000" w:rsidP="00000000" w:rsidRDefault="00000000" w:rsidRPr="00000000" w14:paraId="0000002D">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2E">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The work by Michelangelo on The Sistine Chapel is considered to be one of the greatest works of art, however it was commissioned by a client, Pope Julius II and he was given the subject matter which is communicative, meaning it was painted for a certain purpose and not for self satisfaction.  The ceiling’s painting depicts nine scenes from </w:t>
      </w:r>
      <w:r w:rsidDel="00000000" w:rsidR="00000000" w:rsidRPr="00000000">
        <w:rPr>
          <w:rFonts w:ascii="EB Garamond" w:cs="EB Garamond" w:eastAsia="EB Garamond" w:hAnsi="EB Garamond"/>
          <w:i w:val="1"/>
          <w:sz w:val="24"/>
          <w:szCs w:val="24"/>
          <w:rtl w:val="0"/>
        </w:rPr>
        <w:t xml:space="preserve">The Book of Genesis, </w:t>
      </w:r>
      <w:r w:rsidDel="00000000" w:rsidR="00000000" w:rsidRPr="00000000">
        <w:rPr>
          <w:rFonts w:ascii="EB Garamond" w:cs="EB Garamond" w:eastAsia="EB Garamond" w:hAnsi="EB Garamond"/>
          <w:sz w:val="24"/>
          <w:szCs w:val="24"/>
          <w:rtl w:val="0"/>
        </w:rPr>
        <w:t xml:space="preserve">and therefore is based on a set narrative, just as many other renaissance paintings are inspired by Christianity. There is no self expression or personal desire behind the painting. This arguably fits the criteria of an illustration more so than a work of fine art. </w:t>
      </w:r>
    </w:p>
    <w:p w:rsidR="00000000" w:rsidDel="00000000" w:rsidP="00000000" w:rsidRDefault="00000000" w:rsidRPr="00000000" w14:paraId="0000002F">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However, according to Beuchner (1970), the illustration is “meant to be seen in mass reproduction," the fine artist's "in the original”, and of course in this instance, there are no reproductions.   </w:t>
      </w:r>
    </w:p>
    <w:p w:rsidR="00000000" w:rsidDel="00000000" w:rsidP="00000000" w:rsidRDefault="00000000" w:rsidRPr="00000000" w14:paraId="00000030">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r>
    </w:p>
    <w:p w:rsidR="00000000" w:rsidDel="00000000" w:rsidP="00000000" w:rsidRDefault="00000000" w:rsidRPr="00000000" w14:paraId="00000031">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The Modern Art movement saw artists begin to explore their subconscious, depicting subjects which challenged the notion that art must reflect the real world. This is the period that artists became more experimental with their materials and techniques, and arguably the movement which introduced imagination and challenged the conventions of art. A lot of people have questioned Picasso’s artistic ability due to his abstract approach, but is it not his pervasive ability to challenge perceptions that was the footing of his ingenuity. Many would argue that the marking of a true artist is to conceptualise what others can not. When given a subject matter for a commission a creator is not given entire freedom and it restricted in order to please the client, so we could argue that commercial art does not allow for creative control, and prevents one from being an artist. </w:t>
      </w:r>
    </w:p>
    <w:p w:rsidR="00000000" w:rsidDel="00000000" w:rsidP="00000000" w:rsidRDefault="00000000" w:rsidRPr="00000000" w14:paraId="00000032">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Furthermore, commissioning also plays a pivotal role in this uncertainty. William Morris was not commissioned for his designs and had full reign of what he produced, yet still his works were mass reproduced and commercially sold. Alternatively, Michelangelo was commissioned and briefed, leaving him with little creative freedom, however in this instance the purpose was for decorative aesthetic appreciation, and is not up for reproduction. Therefore, commissioned work does not always correlate with commercialism nor does creative independence always correlate with personal expression. </w:t>
      </w:r>
    </w:p>
    <w:p w:rsidR="00000000" w:rsidDel="00000000" w:rsidP="00000000" w:rsidRDefault="00000000" w:rsidRPr="00000000" w14:paraId="00000033">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34">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Holland (1996) wrote satirically about Postmodernism, and mocked that “almost everybody is an artist these days. The only people left in America who seem not to be artists are illustrators.” This opens a topic of debate, as there is no definition of what art can or can not be, and each individual has a varied perception of what art is and how it should look. Some may argue that art needs to be attractive to look at, however this notion challenges the works of many artists, such as Jenny Saville, who challenge typical conventions of beauty. Charlesworth (2012) argues that “”Private taste and subjective pleasure don’t really amount to much” and it is arguably at delegation of the artist and how they choose to identify their role, if at all. Established status also plays an important role, as a well known fine artist who then decided to create magazine illustrations, would still be considered an artist. </w:t>
      </w:r>
    </w:p>
    <w:p w:rsidR="00000000" w:rsidDel="00000000" w:rsidP="00000000" w:rsidRDefault="00000000" w:rsidRPr="00000000" w14:paraId="00000035">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Brad Holland spoke about this topic extensively. In an article for </w:t>
      </w:r>
      <w:r w:rsidDel="00000000" w:rsidR="00000000" w:rsidRPr="00000000">
        <w:rPr>
          <w:rFonts w:ascii="EB Garamond" w:cs="EB Garamond" w:eastAsia="EB Garamond" w:hAnsi="EB Garamond"/>
          <w:i w:val="1"/>
          <w:sz w:val="24"/>
          <w:szCs w:val="24"/>
          <w:rtl w:val="0"/>
        </w:rPr>
        <w:t xml:space="preserve">The Washington Post</w:t>
      </w:r>
      <w:r w:rsidDel="00000000" w:rsidR="00000000" w:rsidRPr="00000000">
        <w:rPr>
          <w:rFonts w:ascii="EB Garamond" w:cs="EB Garamond" w:eastAsia="EB Garamond" w:hAnsi="EB Garamond"/>
          <w:sz w:val="24"/>
          <w:szCs w:val="24"/>
          <w:rtl w:val="0"/>
        </w:rPr>
        <w:t xml:space="preserve">, it was said that:</w:t>
      </w:r>
    </w:p>
    <w:p w:rsidR="00000000" w:rsidDel="00000000" w:rsidP="00000000" w:rsidRDefault="00000000" w:rsidRPr="00000000" w14:paraId="00000036">
      <w:pPr>
        <w:spacing w:line="480" w:lineRule="auto"/>
        <w:ind w:left="540" w:firstLine="0"/>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He’s never bought the notion that the distinction between commercial and fine artists is worth remarking, or that it even exists. A real artist, he likes to say, is someone who doesn't care whether he's a fine artist or commercial artist. (Span, 1986)</w:t>
      </w:r>
    </w:p>
    <w:p w:rsidR="00000000" w:rsidDel="00000000" w:rsidP="00000000" w:rsidRDefault="00000000" w:rsidRPr="00000000" w14:paraId="00000037">
      <w:pPr>
        <w:spacing w:line="480" w:lineRule="auto"/>
        <w:ind w:left="540" w:firstLine="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38">
      <w:pPr>
        <w:spacing w:line="480" w:lineRule="auto"/>
        <w:ind w:left="540" w:firstLine="0"/>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39">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The deliberation on the boundaries that lie between different art forms, or whether they exist at all, is an exceptionally broad one and there are many factors and opinions to consider. As with all matters of art, all verdicts are ultimately subjective ones and continually open for debate. Of course there are many different factors which influence how we view works of art, as well as the creators who produce them, but many of those factors are contradictory, and therefore not all articles can be classified so categorically. </w:t>
      </w:r>
    </w:p>
    <w:p w:rsidR="00000000" w:rsidDel="00000000" w:rsidP="00000000" w:rsidRDefault="00000000" w:rsidRPr="00000000" w14:paraId="0000003A">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t xml:space="preserve">There are of course many other considerations to take into account; such as style, skillset, medium, recognition, and copious others, all of which provide a basis for personal contemplation. These all lead us to the question:</w:t>
      </w:r>
    </w:p>
    <w:p w:rsidR="00000000" w:rsidDel="00000000" w:rsidP="00000000" w:rsidRDefault="00000000" w:rsidRPr="00000000" w14:paraId="0000003B">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Is there a clear boundary between fine art from illustration and if so, what factors have an impact on the distinction between an artist or illustrator?</w:t>
      </w:r>
    </w:p>
    <w:p w:rsidR="00000000" w:rsidDel="00000000" w:rsidP="00000000" w:rsidRDefault="00000000" w:rsidRPr="00000000" w14:paraId="0000003C">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ab/>
      </w:r>
    </w:p>
    <w:p w:rsidR="00000000" w:rsidDel="00000000" w:rsidP="00000000" w:rsidRDefault="00000000" w:rsidRPr="00000000" w14:paraId="0000003D">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3E">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3F">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0">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1">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2">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3">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4">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5">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6">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7">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8">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9">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A">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B">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C">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D">
      <w:pPr>
        <w:spacing w:line="480" w:lineRule="auto"/>
        <w:rPr>
          <w:rFonts w:ascii="EB Garamond" w:cs="EB Garamond" w:eastAsia="EB Garamond" w:hAnsi="EB Garamond"/>
          <w:b w:val="1"/>
          <w:sz w:val="24"/>
          <w:szCs w:val="24"/>
        </w:rPr>
      </w:pPr>
      <w:r w:rsidDel="00000000" w:rsidR="00000000" w:rsidRPr="00000000">
        <w:rPr>
          <w:rFonts w:ascii="EB Garamond" w:cs="EB Garamond" w:eastAsia="EB Garamond" w:hAnsi="EB Garamond"/>
          <w:b w:val="1"/>
          <w:sz w:val="24"/>
          <w:szCs w:val="24"/>
          <w:rtl w:val="0"/>
        </w:rPr>
        <w:t xml:space="preserve">Bibliography</w:t>
      </w:r>
    </w:p>
    <w:p w:rsidR="00000000" w:rsidDel="00000000" w:rsidP="00000000" w:rsidRDefault="00000000" w:rsidRPr="00000000" w14:paraId="0000004E">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4F">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Apatoff, D. (2011) ‘The Old Question Finally Answered: “What Is The Difference Between Illustration And Fine Art?”’, </w:t>
      </w:r>
      <w:r w:rsidDel="00000000" w:rsidR="00000000" w:rsidRPr="00000000">
        <w:rPr>
          <w:rFonts w:ascii="EB Garamond" w:cs="EB Garamond" w:eastAsia="EB Garamond" w:hAnsi="EB Garamond"/>
          <w:i w:val="1"/>
          <w:sz w:val="24"/>
          <w:szCs w:val="24"/>
          <w:rtl w:val="0"/>
        </w:rPr>
        <w:t xml:space="preserve">Illustration Art </w:t>
      </w:r>
      <w:r w:rsidDel="00000000" w:rsidR="00000000" w:rsidRPr="00000000">
        <w:rPr>
          <w:rFonts w:ascii="EB Garamond" w:cs="EB Garamond" w:eastAsia="EB Garamond" w:hAnsi="EB Garamond"/>
          <w:sz w:val="24"/>
          <w:szCs w:val="24"/>
          <w:rtl w:val="0"/>
        </w:rPr>
        <w:t xml:space="preserve">[blog]. Available at:</w:t>
      </w:r>
      <w:hyperlink r:id="rId9">
        <w:r w:rsidDel="00000000" w:rsidR="00000000" w:rsidRPr="00000000">
          <w:rPr>
            <w:rFonts w:ascii="EB Garamond" w:cs="EB Garamond" w:eastAsia="EB Garamond" w:hAnsi="EB Garamond"/>
            <w:color w:val="1155cc"/>
            <w:sz w:val="24"/>
            <w:szCs w:val="24"/>
            <w:u w:val="single"/>
            <w:rtl w:val="0"/>
          </w:rPr>
          <w:t xml:space="preserve"> </w:t>
        </w:r>
      </w:hyperlink>
      <w:hyperlink r:id="rId10">
        <w:r w:rsidDel="00000000" w:rsidR="00000000" w:rsidRPr="00000000">
          <w:rPr>
            <w:rFonts w:ascii="EB Garamond" w:cs="EB Garamond" w:eastAsia="EB Garamond" w:hAnsi="EB Garamond"/>
            <w:i w:val="1"/>
            <w:color w:val="103cc0"/>
            <w:sz w:val="24"/>
            <w:szCs w:val="24"/>
            <w:u w:val="single"/>
            <w:rtl w:val="0"/>
          </w:rPr>
          <w:t xml:space="preserve">http://illustrationart.blogspot.com/2011/10/old-question-finally-answered.html</w:t>
        </w:r>
      </w:hyperlink>
      <w:r w:rsidDel="00000000" w:rsidR="00000000" w:rsidRPr="00000000">
        <w:rPr>
          <w:rFonts w:ascii="EB Garamond" w:cs="EB Garamond" w:eastAsia="EB Garamond" w:hAnsi="EB Garamond"/>
          <w:sz w:val="24"/>
          <w:szCs w:val="24"/>
          <w:rtl w:val="0"/>
        </w:rPr>
        <w:t xml:space="preserve"> (Accessed: April 3rd 2019)</w:t>
      </w:r>
    </w:p>
    <w:p w:rsidR="00000000" w:rsidDel="00000000" w:rsidP="00000000" w:rsidRDefault="00000000" w:rsidRPr="00000000" w14:paraId="00000050">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1">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Charlseworth, JJ (2016). ‘Does Beauty Still Matter in Art?’ Tate Etc. Issue 36. [Online] Available at:</w:t>
      </w:r>
      <w:hyperlink r:id="rId11">
        <w:r w:rsidDel="00000000" w:rsidR="00000000" w:rsidRPr="00000000">
          <w:rPr>
            <w:rFonts w:ascii="EB Garamond" w:cs="EB Garamond" w:eastAsia="EB Garamond" w:hAnsi="EB Garamond"/>
            <w:color w:val="1155cc"/>
            <w:sz w:val="24"/>
            <w:szCs w:val="24"/>
            <w:u w:val="single"/>
            <w:rtl w:val="0"/>
          </w:rPr>
          <w:t xml:space="preserve"> </w:t>
        </w:r>
      </w:hyperlink>
      <w:hyperlink r:id="rId12">
        <w:r w:rsidDel="00000000" w:rsidR="00000000" w:rsidRPr="00000000">
          <w:rPr>
            <w:rFonts w:ascii="EB Garamond" w:cs="EB Garamond" w:eastAsia="EB Garamond" w:hAnsi="EB Garamond"/>
            <w:color w:val="103cc0"/>
            <w:sz w:val="24"/>
            <w:szCs w:val="24"/>
            <w:u w:val="single"/>
            <w:rtl w:val="0"/>
          </w:rPr>
          <w:t xml:space="preserve">http://www.tate.org.uk/context-comment/articles/does-beauty-still-matter-art</w:t>
        </w:r>
      </w:hyperlink>
      <w:r w:rsidDel="00000000" w:rsidR="00000000" w:rsidRPr="00000000">
        <w:rPr>
          <w:rFonts w:ascii="EB Garamond" w:cs="EB Garamond" w:eastAsia="EB Garamond" w:hAnsi="EB Garamond"/>
          <w:sz w:val="24"/>
          <w:szCs w:val="24"/>
          <w:rtl w:val="0"/>
        </w:rPr>
        <w:t xml:space="preserve"> (Accessed: 20 February 2018)</w:t>
      </w:r>
    </w:p>
    <w:p w:rsidR="00000000" w:rsidDel="00000000" w:rsidP="00000000" w:rsidRDefault="00000000" w:rsidRPr="00000000" w14:paraId="00000052">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3">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Lieu, C. (2013) ‘Ask the Art Prof: What’s the Difference between Fine Arts and Visual Arts?’, </w:t>
      </w:r>
      <w:r w:rsidDel="00000000" w:rsidR="00000000" w:rsidRPr="00000000">
        <w:rPr>
          <w:rFonts w:ascii="EB Garamond" w:cs="EB Garamond" w:eastAsia="EB Garamond" w:hAnsi="EB Garamond"/>
          <w:i w:val="1"/>
          <w:sz w:val="24"/>
          <w:szCs w:val="24"/>
          <w:rtl w:val="0"/>
        </w:rPr>
        <w:t xml:space="preserve">Clara Lieu</w:t>
      </w:r>
      <w:r w:rsidDel="00000000" w:rsidR="00000000" w:rsidRPr="00000000">
        <w:rPr>
          <w:rFonts w:ascii="EB Garamond" w:cs="EB Garamond" w:eastAsia="EB Garamond" w:hAnsi="EB Garamond"/>
          <w:sz w:val="24"/>
          <w:szCs w:val="24"/>
          <w:rtl w:val="0"/>
        </w:rPr>
        <w:t xml:space="preserve"> [blog]. Available at:</w:t>
      </w:r>
      <w:hyperlink r:id="rId13">
        <w:r w:rsidDel="00000000" w:rsidR="00000000" w:rsidRPr="00000000">
          <w:rPr>
            <w:rFonts w:ascii="EB Garamond" w:cs="EB Garamond" w:eastAsia="EB Garamond" w:hAnsi="EB Garamond"/>
            <w:sz w:val="24"/>
            <w:szCs w:val="24"/>
            <w:rtl w:val="0"/>
          </w:rPr>
          <w:t xml:space="preserve"> </w:t>
        </w:r>
      </w:hyperlink>
      <w:hyperlink r:id="rId14">
        <w:r w:rsidDel="00000000" w:rsidR="00000000" w:rsidRPr="00000000">
          <w:rPr>
            <w:rFonts w:ascii="EB Garamond" w:cs="EB Garamond" w:eastAsia="EB Garamond" w:hAnsi="EB Garamond"/>
            <w:color w:val="103cc0"/>
            <w:sz w:val="24"/>
            <w:szCs w:val="24"/>
            <w:u w:val="single"/>
            <w:rtl w:val="0"/>
          </w:rPr>
          <w:t xml:space="preserve">https://claralieu.wordpress.com/2013/04/06/ask-the-art-professor-whats-the-difference-between-fine-arts-and-visual-arts/</w:t>
        </w:r>
      </w:hyperlink>
      <w:r w:rsidDel="00000000" w:rsidR="00000000" w:rsidRPr="00000000">
        <w:rPr>
          <w:rFonts w:ascii="EB Garamond" w:cs="EB Garamond" w:eastAsia="EB Garamond" w:hAnsi="EB Garamond"/>
          <w:sz w:val="24"/>
          <w:szCs w:val="24"/>
          <w:rtl w:val="0"/>
        </w:rPr>
        <w:t xml:space="preserve"> (Accessed: April 3rd 2019)</w:t>
      </w:r>
    </w:p>
    <w:p w:rsidR="00000000" w:rsidDel="00000000" w:rsidP="00000000" w:rsidRDefault="00000000" w:rsidRPr="00000000" w14:paraId="00000054">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5">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Male, A. (2019) </w:t>
      </w:r>
      <w:r w:rsidDel="00000000" w:rsidR="00000000" w:rsidRPr="00000000">
        <w:rPr>
          <w:rFonts w:ascii="EB Garamond" w:cs="EB Garamond" w:eastAsia="EB Garamond" w:hAnsi="EB Garamond"/>
          <w:i w:val="1"/>
          <w:sz w:val="24"/>
          <w:szCs w:val="24"/>
          <w:rtl w:val="0"/>
        </w:rPr>
        <w:t xml:space="preserve">A Companion to Illustration: Art and Theory.</w:t>
      </w:r>
      <w:r w:rsidDel="00000000" w:rsidR="00000000" w:rsidRPr="00000000">
        <w:rPr>
          <w:rFonts w:ascii="EB Garamond" w:cs="EB Garamond" w:eastAsia="EB Garamond" w:hAnsi="EB Garamond"/>
          <w:sz w:val="24"/>
          <w:szCs w:val="24"/>
          <w:rtl w:val="0"/>
        </w:rPr>
        <w:t xml:space="preserve"> John Wiley and Sons</w:t>
      </w:r>
    </w:p>
    <w:p w:rsidR="00000000" w:rsidDel="00000000" w:rsidP="00000000" w:rsidRDefault="00000000" w:rsidRPr="00000000" w14:paraId="00000056">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7">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Martignette, C. G. (2009) ‘The Real Art of America’ </w:t>
      </w:r>
      <w:r w:rsidDel="00000000" w:rsidR="00000000" w:rsidRPr="00000000">
        <w:rPr>
          <w:rFonts w:ascii="EB Garamond" w:cs="EB Garamond" w:eastAsia="EB Garamond" w:hAnsi="EB Garamond"/>
          <w:i w:val="1"/>
          <w:sz w:val="24"/>
          <w:szCs w:val="24"/>
          <w:rtl w:val="0"/>
        </w:rPr>
        <w:t xml:space="preserve">Heritage Illustration Art Auction</w:t>
      </w:r>
      <w:r w:rsidDel="00000000" w:rsidR="00000000" w:rsidRPr="00000000">
        <w:rPr>
          <w:rFonts w:ascii="EB Garamond" w:cs="EB Garamond" w:eastAsia="EB Garamond" w:hAnsi="EB Garamond"/>
          <w:sz w:val="24"/>
          <w:szCs w:val="24"/>
          <w:rtl w:val="0"/>
        </w:rPr>
        <w:t xml:space="preserve">. Issue 7010. pp.9-10</w:t>
      </w:r>
    </w:p>
    <w:p w:rsidR="00000000" w:rsidDel="00000000" w:rsidP="00000000" w:rsidRDefault="00000000" w:rsidRPr="00000000" w14:paraId="00000058">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9">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Morris, W. and Kelvin, N. (1999) </w:t>
      </w:r>
      <w:r w:rsidDel="00000000" w:rsidR="00000000" w:rsidRPr="00000000">
        <w:rPr>
          <w:rFonts w:ascii="EB Garamond" w:cs="EB Garamond" w:eastAsia="EB Garamond" w:hAnsi="EB Garamond"/>
          <w:i w:val="1"/>
          <w:sz w:val="24"/>
          <w:szCs w:val="24"/>
          <w:rtl w:val="0"/>
        </w:rPr>
        <w:t xml:space="preserve">William Morris on Art and Socialism.</w:t>
      </w:r>
      <w:r w:rsidDel="00000000" w:rsidR="00000000" w:rsidRPr="00000000">
        <w:rPr>
          <w:rFonts w:ascii="EB Garamond" w:cs="EB Garamond" w:eastAsia="EB Garamond" w:hAnsi="EB Garamond"/>
          <w:sz w:val="24"/>
          <w:szCs w:val="24"/>
          <w:rtl w:val="0"/>
        </w:rPr>
        <w:t xml:space="preserve"> Courier Corporation</w:t>
      </w:r>
    </w:p>
    <w:p w:rsidR="00000000" w:rsidDel="00000000" w:rsidP="00000000" w:rsidRDefault="00000000" w:rsidRPr="00000000" w14:paraId="0000005A">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B">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Rockwell, A (2015) ‘Norman Rockwell: Artist or Illustrator?’ </w:t>
      </w:r>
      <w:r w:rsidDel="00000000" w:rsidR="00000000" w:rsidRPr="00000000">
        <w:rPr>
          <w:rFonts w:ascii="EB Garamond" w:cs="EB Garamond" w:eastAsia="EB Garamond" w:hAnsi="EB Garamond"/>
          <w:i w:val="1"/>
          <w:sz w:val="24"/>
          <w:szCs w:val="24"/>
          <w:rtl w:val="0"/>
        </w:rPr>
        <w:t xml:space="preserve">Huffington Post </w:t>
      </w:r>
      <w:r w:rsidDel="00000000" w:rsidR="00000000" w:rsidRPr="00000000">
        <w:rPr>
          <w:rFonts w:ascii="EB Garamond" w:cs="EB Garamond" w:eastAsia="EB Garamond" w:hAnsi="EB Garamond"/>
          <w:sz w:val="24"/>
          <w:szCs w:val="24"/>
          <w:rtl w:val="0"/>
        </w:rPr>
        <w:t xml:space="preserve">[Online] Available at:</w:t>
      </w:r>
      <w:hyperlink r:id="rId15">
        <w:r w:rsidDel="00000000" w:rsidR="00000000" w:rsidRPr="00000000">
          <w:rPr>
            <w:rFonts w:ascii="EB Garamond" w:cs="EB Garamond" w:eastAsia="EB Garamond" w:hAnsi="EB Garamond"/>
            <w:sz w:val="24"/>
            <w:szCs w:val="24"/>
            <w:rtl w:val="0"/>
          </w:rPr>
          <w:t xml:space="preserve"> </w:t>
        </w:r>
      </w:hyperlink>
      <w:hyperlink r:id="rId16">
        <w:r w:rsidDel="00000000" w:rsidR="00000000" w:rsidRPr="00000000">
          <w:rPr>
            <w:rFonts w:ascii="EB Garamond" w:cs="EB Garamond" w:eastAsia="EB Garamond" w:hAnsi="EB Garamond"/>
            <w:color w:val="103cc0"/>
            <w:sz w:val="24"/>
            <w:szCs w:val="24"/>
            <w:u w:val="single"/>
            <w:rtl w:val="0"/>
          </w:rPr>
          <w:t xml:space="preserve">https://americanillustration.org/wp-content/uploads/2016/05/15.08.25_AbigailRockwell.pdf</w:t>
        </w:r>
      </w:hyperlink>
      <w:r w:rsidDel="00000000" w:rsidR="00000000" w:rsidRPr="00000000">
        <w:rPr>
          <w:rFonts w:ascii="EB Garamond" w:cs="EB Garamond" w:eastAsia="EB Garamond" w:hAnsi="EB Garamond"/>
          <w:sz w:val="24"/>
          <w:szCs w:val="24"/>
          <w:rtl w:val="0"/>
        </w:rPr>
        <w:t xml:space="preserve"> (Accessed: April 23rd 2019)</w:t>
      </w:r>
    </w:p>
    <w:p w:rsidR="00000000" w:rsidDel="00000000" w:rsidP="00000000" w:rsidRDefault="00000000" w:rsidRPr="00000000" w14:paraId="0000005C">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D">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Rockwell, N. and Beuchner, T. S. (1970) </w:t>
      </w:r>
      <w:r w:rsidDel="00000000" w:rsidR="00000000" w:rsidRPr="00000000">
        <w:rPr>
          <w:rFonts w:ascii="EB Garamond" w:cs="EB Garamond" w:eastAsia="EB Garamond" w:hAnsi="EB Garamond"/>
          <w:i w:val="1"/>
          <w:sz w:val="24"/>
          <w:szCs w:val="24"/>
          <w:rtl w:val="0"/>
        </w:rPr>
        <w:t xml:space="preserve">Normal Rockwell Artist and Illustrator. </w:t>
      </w:r>
      <w:r w:rsidDel="00000000" w:rsidR="00000000" w:rsidRPr="00000000">
        <w:rPr>
          <w:rFonts w:ascii="EB Garamond" w:cs="EB Garamond" w:eastAsia="EB Garamond" w:hAnsi="EB Garamond"/>
          <w:sz w:val="24"/>
          <w:szCs w:val="24"/>
          <w:rtl w:val="0"/>
        </w:rPr>
        <w:t xml:space="preserve">New York: Harry N. Abrams</w:t>
      </w:r>
    </w:p>
    <w:p w:rsidR="00000000" w:rsidDel="00000000" w:rsidP="00000000" w:rsidRDefault="00000000" w:rsidRPr="00000000" w14:paraId="0000005E">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5F">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Span, P. (1986) </w:t>
        <w:tab/>
        <w:t xml:space="preserve">‘Brad Holland: The Artist Uncovered’, </w:t>
      </w:r>
      <w:r w:rsidDel="00000000" w:rsidR="00000000" w:rsidRPr="00000000">
        <w:rPr>
          <w:rFonts w:ascii="EB Garamond" w:cs="EB Garamond" w:eastAsia="EB Garamond" w:hAnsi="EB Garamond"/>
          <w:i w:val="1"/>
          <w:sz w:val="24"/>
          <w:szCs w:val="24"/>
          <w:rtl w:val="0"/>
        </w:rPr>
        <w:t xml:space="preserve">The Washington Post. </w:t>
      </w:r>
      <w:r w:rsidDel="00000000" w:rsidR="00000000" w:rsidRPr="00000000">
        <w:rPr>
          <w:rFonts w:ascii="EB Garamond" w:cs="EB Garamond" w:eastAsia="EB Garamond" w:hAnsi="EB Garamond"/>
          <w:sz w:val="24"/>
          <w:szCs w:val="24"/>
          <w:rtl w:val="0"/>
        </w:rPr>
        <w:t xml:space="preserve">[Online]</w:t>
      </w:r>
      <w:r w:rsidDel="00000000" w:rsidR="00000000" w:rsidRPr="00000000">
        <w:rPr>
          <w:rFonts w:ascii="EB Garamond" w:cs="EB Garamond" w:eastAsia="EB Garamond" w:hAnsi="EB Garamond"/>
          <w:i w:val="1"/>
          <w:sz w:val="24"/>
          <w:szCs w:val="24"/>
          <w:rtl w:val="0"/>
        </w:rPr>
        <w:t xml:space="preserve"> </w:t>
      </w:r>
      <w:r w:rsidDel="00000000" w:rsidR="00000000" w:rsidRPr="00000000">
        <w:rPr>
          <w:rFonts w:ascii="EB Garamond" w:cs="EB Garamond" w:eastAsia="EB Garamond" w:hAnsi="EB Garamond"/>
          <w:sz w:val="24"/>
          <w:szCs w:val="24"/>
          <w:rtl w:val="0"/>
        </w:rPr>
        <w:t xml:space="preserve">Available at:</w:t>
      </w:r>
      <w:hyperlink r:id="rId17">
        <w:r w:rsidDel="00000000" w:rsidR="00000000" w:rsidRPr="00000000">
          <w:rPr>
            <w:rFonts w:ascii="EB Garamond" w:cs="EB Garamond" w:eastAsia="EB Garamond" w:hAnsi="EB Garamond"/>
            <w:i w:val="1"/>
            <w:color w:val="103cc0"/>
            <w:sz w:val="24"/>
            <w:szCs w:val="24"/>
            <w:u w:val="single"/>
            <w:rtl w:val="0"/>
          </w:rPr>
          <w:t xml:space="preserve">https://www.washingtonpost.com/archive/lifestyle/1986/05/06/brad-holland-the-artist-uncovered/a82b7e58-5a36-4da4-8959-c116c4d0c71c/?noredirect=on&amp;utm_term=.c32aa749684d</w:t>
        </w:r>
      </w:hyperlink>
      <w:r w:rsidDel="00000000" w:rsidR="00000000" w:rsidRPr="00000000">
        <w:rPr>
          <w:rFonts w:ascii="EB Garamond" w:cs="EB Garamond" w:eastAsia="EB Garamond" w:hAnsi="EB Garamond"/>
          <w:sz w:val="24"/>
          <w:szCs w:val="24"/>
          <w:rtl w:val="0"/>
        </w:rPr>
        <w:t xml:space="preserve">  (Accessed: May 1st 2019) </w:t>
      </w:r>
    </w:p>
    <w:p w:rsidR="00000000" w:rsidDel="00000000" w:rsidP="00000000" w:rsidRDefault="00000000" w:rsidRPr="00000000" w14:paraId="00000060">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61">
      <w:pPr>
        <w:spacing w:line="480" w:lineRule="auto"/>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Weaver, R. (1956) ‘Robert Weaver: Objective’, </w:t>
      </w:r>
      <w:r w:rsidDel="00000000" w:rsidR="00000000" w:rsidRPr="00000000">
        <w:rPr>
          <w:rFonts w:ascii="EB Garamond" w:cs="EB Garamond" w:eastAsia="EB Garamond" w:hAnsi="EB Garamond"/>
          <w:i w:val="1"/>
          <w:sz w:val="24"/>
          <w:szCs w:val="24"/>
          <w:rtl w:val="0"/>
        </w:rPr>
        <w:t xml:space="preserve">Esquire. </w:t>
      </w:r>
      <w:r w:rsidDel="00000000" w:rsidR="00000000" w:rsidRPr="00000000">
        <w:rPr>
          <w:rFonts w:ascii="EB Garamond" w:cs="EB Garamond" w:eastAsia="EB Garamond" w:hAnsi="EB Garamond"/>
          <w:sz w:val="24"/>
          <w:szCs w:val="24"/>
          <w:rtl w:val="0"/>
        </w:rPr>
        <w:t xml:space="preserve">Available at:</w:t>
      </w:r>
      <w:hyperlink r:id="rId18">
        <w:r w:rsidDel="00000000" w:rsidR="00000000" w:rsidRPr="00000000">
          <w:rPr>
            <w:rFonts w:ascii="EB Garamond" w:cs="EB Garamond" w:eastAsia="EB Garamond" w:hAnsi="EB Garamond"/>
            <w:color w:val="1155cc"/>
            <w:sz w:val="24"/>
            <w:szCs w:val="24"/>
            <w:u w:val="single"/>
            <w:rtl w:val="0"/>
          </w:rPr>
          <w:t xml:space="preserve"> </w:t>
        </w:r>
      </w:hyperlink>
      <w:hyperlink r:id="rId19">
        <w:r w:rsidDel="00000000" w:rsidR="00000000" w:rsidRPr="00000000">
          <w:rPr>
            <w:rFonts w:ascii="EB Garamond" w:cs="EB Garamond" w:eastAsia="EB Garamond" w:hAnsi="EB Garamond"/>
            <w:color w:val="103cc0"/>
            <w:sz w:val="24"/>
            <w:szCs w:val="24"/>
            <w:u w:val="single"/>
            <w:rtl w:val="0"/>
          </w:rPr>
          <w:t xml:space="preserve">https://classic.esquire.com/article/1956/12/1/robert-weaver-objective</w:t>
        </w:r>
      </w:hyperlink>
      <w:r w:rsidDel="00000000" w:rsidR="00000000" w:rsidRPr="00000000">
        <w:rPr>
          <w:rFonts w:ascii="EB Garamond" w:cs="EB Garamond" w:eastAsia="EB Garamond" w:hAnsi="EB Garamond"/>
          <w:sz w:val="24"/>
          <w:szCs w:val="24"/>
          <w:rtl w:val="0"/>
        </w:rPr>
        <w:t xml:space="preserve"> (Accessed: May 1st 2019)</w:t>
      </w:r>
    </w:p>
    <w:p w:rsidR="00000000" w:rsidDel="00000000" w:rsidP="00000000" w:rsidRDefault="00000000" w:rsidRPr="00000000" w14:paraId="00000062">
      <w:pPr>
        <w:spacing w:line="480" w:lineRule="auto"/>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63">
      <w:pPr>
        <w:spacing w:line="480" w:lineRule="auto"/>
        <w:rPr>
          <w:rFonts w:ascii="EB Garamond" w:cs="EB Garamond" w:eastAsia="EB Garamond" w:hAnsi="EB Garamond"/>
          <w:b w:val="1"/>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EB 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tate.org.uk/context-comment/articles/does-beauty-still-matter-art" TargetMode="External"/><Relationship Id="rId10" Type="http://schemas.openxmlformats.org/officeDocument/2006/relationships/hyperlink" Target="http://illustrationart.blogspot.com/2011/10/old-question-finally-answered.html" TargetMode="External"/><Relationship Id="rId13" Type="http://schemas.openxmlformats.org/officeDocument/2006/relationships/hyperlink" Target="https://claralieu.wordpress.com/2013/04/06/ask-the-art-professor-whats-the-difference-between-fine-arts-and-visual-arts/" TargetMode="External"/><Relationship Id="rId12" Type="http://schemas.openxmlformats.org/officeDocument/2006/relationships/hyperlink" Target="http://www.tate.org.uk/context-comment/articles/does-beauty-still-matter-a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illustrationart.blogspot.com/2011/10/old-question-finally-answered.html" TargetMode="External"/><Relationship Id="rId15" Type="http://schemas.openxmlformats.org/officeDocument/2006/relationships/hyperlink" Target="https://americanillustration.org/wp-content/uploads/2016/05/15.08.25_AbigailRockwell.pdf" TargetMode="External"/><Relationship Id="rId14" Type="http://schemas.openxmlformats.org/officeDocument/2006/relationships/hyperlink" Target="https://claralieu.wordpress.com/2013/04/06/ask-the-art-professor-whats-the-difference-between-fine-arts-and-visual-arts/" TargetMode="External"/><Relationship Id="rId17" Type="http://schemas.openxmlformats.org/officeDocument/2006/relationships/hyperlink" Target="https://www.washingtonpost.com/archive/lifestyle/1986/05/06/brad-holland-the-artist-uncovered/a82b7e58-5a36-4da4-8959-c116c4d0c71c/?noredirect=on&amp;utm_term=.c32aa749684d" TargetMode="External"/><Relationship Id="rId16" Type="http://schemas.openxmlformats.org/officeDocument/2006/relationships/hyperlink" Target="https://americanillustration.org/wp-content/uploads/2016/05/15.08.25_AbigailRockwell.pdf" TargetMode="External"/><Relationship Id="rId5" Type="http://schemas.openxmlformats.org/officeDocument/2006/relationships/styles" Target="styles.xml"/><Relationship Id="rId19" Type="http://schemas.openxmlformats.org/officeDocument/2006/relationships/hyperlink" Target="https://classic.esquire.com/article/1956/12/1/robert-weaver-objective" TargetMode="External"/><Relationship Id="rId6" Type="http://schemas.openxmlformats.org/officeDocument/2006/relationships/image" Target="media/image3.png"/><Relationship Id="rId18" Type="http://schemas.openxmlformats.org/officeDocument/2006/relationships/hyperlink" Target="https://classic.esquire.com/article/1956/12/1/robert-weaver-objective" TargetMode="Externa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EBGaramond-regular.ttf"/><Relationship Id="rId2" Type="http://schemas.openxmlformats.org/officeDocument/2006/relationships/font" Target="fonts/EBGaramond-bold.ttf"/><Relationship Id="rId3" Type="http://schemas.openxmlformats.org/officeDocument/2006/relationships/font" Target="fonts/EBGaramond-italic.ttf"/><Relationship Id="rId4" Type="http://schemas.openxmlformats.org/officeDocument/2006/relationships/font" Target="fonts/EB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