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27621" w14:textId="77777777" w:rsidR="00A57FED" w:rsidRPr="00636D8B" w:rsidRDefault="00A57FED" w:rsidP="00A57FED">
      <w:pPr>
        <w:spacing w:line="360" w:lineRule="auto"/>
        <w:jc w:val="center"/>
        <w:rPr>
          <w:rFonts w:ascii="Arial" w:hAnsi="Arial" w:cs="Arial"/>
          <w:b/>
          <w:sz w:val="24"/>
          <w:szCs w:val="24"/>
        </w:rPr>
      </w:pPr>
      <w:bookmarkStart w:id="0" w:name="_Toc109399234"/>
    </w:p>
    <w:p w14:paraId="7EBA9F09" w14:textId="77777777" w:rsidR="00A57FED" w:rsidRPr="00636D8B" w:rsidRDefault="00A57FED" w:rsidP="00A57FED">
      <w:pPr>
        <w:spacing w:line="360" w:lineRule="auto"/>
        <w:jc w:val="center"/>
        <w:rPr>
          <w:rFonts w:ascii="Arial" w:hAnsi="Arial" w:cs="Arial"/>
          <w:b/>
          <w:sz w:val="24"/>
          <w:szCs w:val="24"/>
        </w:rPr>
      </w:pPr>
      <w:r w:rsidRPr="00636D8B">
        <w:rPr>
          <w:rFonts w:ascii="Arial" w:hAnsi="Arial" w:cs="Arial"/>
          <w:noProof/>
          <w:sz w:val="24"/>
          <w:szCs w:val="24"/>
        </w:rPr>
        <w:drawing>
          <wp:inline distT="0" distB="0" distL="0" distR="0" wp14:anchorId="77B2DD7C" wp14:editId="23E7D436">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58740E4F" w14:textId="77777777" w:rsidR="00A57FED" w:rsidRPr="00636D8B" w:rsidRDefault="00A57FED" w:rsidP="00A57FED">
      <w:pPr>
        <w:spacing w:line="360" w:lineRule="auto"/>
        <w:jc w:val="center"/>
        <w:rPr>
          <w:rFonts w:ascii="Arial" w:hAnsi="Arial" w:cs="Arial"/>
          <w:b/>
          <w:sz w:val="24"/>
          <w:szCs w:val="24"/>
        </w:rPr>
      </w:pPr>
    </w:p>
    <w:p w14:paraId="7755D838" w14:textId="77777777" w:rsidR="00A57FED" w:rsidRPr="00636D8B" w:rsidRDefault="00A57FED" w:rsidP="00A57FED">
      <w:pPr>
        <w:spacing w:line="360" w:lineRule="auto"/>
        <w:jc w:val="center"/>
        <w:rPr>
          <w:rFonts w:ascii="Arial" w:hAnsi="Arial" w:cs="Arial"/>
          <w:b/>
          <w:sz w:val="24"/>
          <w:szCs w:val="24"/>
        </w:rPr>
      </w:pPr>
      <w:r w:rsidRPr="00636D8B">
        <w:rPr>
          <w:rFonts w:ascii="Arial" w:hAnsi="Arial" w:cs="Arial"/>
          <w:b/>
          <w:sz w:val="24"/>
          <w:szCs w:val="24"/>
        </w:rPr>
        <w:t>COMMUNITY ENGAGEMENT</w:t>
      </w:r>
    </w:p>
    <w:p w14:paraId="3354CF49" w14:textId="77777777" w:rsidR="00A57FED" w:rsidRPr="00636D8B" w:rsidRDefault="00A57FED" w:rsidP="00A57FED">
      <w:pPr>
        <w:spacing w:line="360" w:lineRule="auto"/>
        <w:jc w:val="center"/>
        <w:rPr>
          <w:rFonts w:ascii="Arial" w:hAnsi="Arial" w:cs="Arial"/>
          <w:b/>
          <w:sz w:val="24"/>
          <w:szCs w:val="24"/>
        </w:rPr>
      </w:pPr>
    </w:p>
    <w:p w14:paraId="57A0EF92" w14:textId="77777777" w:rsidR="00A57FED" w:rsidRPr="00636D8B" w:rsidRDefault="00A57FED" w:rsidP="00A57FED">
      <w:pPr>
        <w:spacing w:line="360" w:lineRule="auto"/>
        <w:jc w:val="center"/>
        <w:rPr>
          <w:rFonts w:ascii="Arial" w:hAnsi="Arial" w:cs="Arial"/>
          <w:b/>
          <w:sz w:val="24"/>
          <w:szCs w:val="24"/>
        </w:rPr>
      </w:pPr>
      <w:r w:rsidRPr="00636D8B">
        <w:rPr>
          <w:rFonts w:ascii="Arial" w:hAnsi="Arial" w:cs="Arial"/>
          <w:b/>
          <w:sz w:val="24"/>
          <w:szCs w:val="24"/>
        </w:rPr>
        <w:t>Assessment 2 - Reflective Evaluation</w:t>
      </w:r>
    </w:p>
    <w:p w14:paraId="54139BE4" w14:textId="77777777" w:rsidR="00A57FED" w:rsidRPr="00636D8B" w:rsidRDefault="00A57FED" w:rsidP="00A57FED">
      <w:pPr>
        <w:rPr>
          <w:rFonts w:ascii="Arial" w:hAnsi="Arial" w:cs="Arial"/>
          <w:b/>
          <w:sz w:val="24"/>
          <w:szCs w:val="24"/>
        </w:rPr>
      </w:pPr>
    </w:p>
    <w:p w14:paraId="0F504A3B" w14:textId="77777777" w:rsidR="00A57FED" w:rsidRPr="00636D8B" w:rsidRDefault="00A57FED" w:rsidP="00A57FED">
      <w:pPr>
        <w:spacing w:line="360" w:lineRule="auto"/>
        <w:jc w:val="center"/>
        <w:rPr>
          <w:rFonts w:ascii="Arial" w:hAnsi="Arial" w:cs="Arial"/>
          <w:b/>
          <w:sz w:val="24"/>
          <w:szCs w:val="24"/>
        </w:rPr>
      </w:pPr>
      <w:r w:rsidRPr="00636D8B">
        <w:rPr>
          <w:rFonts w:ascii="Arial" w:hAnsi="Arial" w:cs="Arial"/>
          <w:b/>
          <w:sz w:val="24"/>
          <w:szCs w:val="24"/>
        </w:rPr>
        <w:t>MODULE CODE: LCBB4002</w:t>
      </w:r>
    </w:p>
    <w:p w14:paraId="163C6917" w14:textId="77777777" w:rsidR="00A57FED" w:rsidRPr="00636D8B" w:rsidRDefault="00A57FED" w:rsidP="00A57FED">
      <w:pPr>
        <w:spacing w:line="360" w:lineRule="auto"/>
        <w:rPr>
          <w:rFonts w:ascii="Arial" w:hAnsi="Arial" w:cs="Arial"/>
          <w:b/>
          <w:sz w:val="24"/>
          <w:szCs w:val="24"/>
        </w:rPr>
      </w:pPr>
    </w:p>
    <w:p w14:paraId="26985EEA" w14:textId="77777777" w:rsidR="00A57FED" w:rsidRPr="00636D8B" w:rsidRDefault="00A57FED" w:rsidP="00A57FED">
      <w:pPr>
        <w:spacing w:line="360" w:lineRule="auto"/>
        <w:rPr>
          <w:rFonts w:ascii="Arial" w:hAnsi="Arial" w:cs="Arial"/>
          <w:b/>
          <w:sz w:val="24"/>
          <w:szCs w:val="24"/>
        </w:rPr>
      </w:pPr>
    </w:p>
    <w:p w14:paraId="3E7DFC64" w14:textId="77777777" w:rsidR="00A57FED" w:rsidRPr="00636D8B" w:rsidRDefault="00A57FED" w:rsidP="00A57FED">
      <w:pPr>
        <w:spacing w:line="360" w:lineRule="auto"/>
        <w:rPr>
          <w:rFonts w:ascii="Arial" w:hAnsi="Arial" w:cs="Arial"/>
          <w:b/>
          <w:sz w:val="24"/>
          <w:szCs w:val="24"/>
        </w:rPr>
      </w:pPr>
    </w:p>
    <w:p w14:paraId="024869D0" w14:textId="77777777" w:rsidR="00A57FED" w:rsidRPr="00636D8B" w:rsidRDefault="00A57FED" w:rsidP="00A57FED">
      <w:pPr>
        <w:spacing w:line="360" w:lineRule="auto"/>
        <w:jc w:val="center"/>
        <w:rPr>
          <w:rFonts w:ascii="Arial" w:hAnsi="Arial" w:cs="Arial"/>
          <w:b/>
          <w:sz w:val="24"/>
          <w:szCs w:val="24"/>
        </w:rPr>
      </w:pPr>
    </w:p>
    <w:p w14:paraId="2F10101A" w14:textId="77777777" w:rsidR="00A57FED" w:rsidRPr="00636D8B" w:rsidRDefault="00A57FED" w:rsidP="00A57FED">
      <w:pPr>
        <w:spacing w:line="360" w:lineRule="auto"/>
        <w:jc w:val="both"/>
        <w:rPr>
          <w:rFonts w:ascii="Arial" w:hAnsi="Arial" w:cs="Arial"/>
          <w:b/>
          <w:sz w:val="24"/>
          <w:szCs w:val="24"/>
        </w:rPr>
      </w:pPr>
      <w:r w:rsidRPr="00636D8B">
        <w:rPr>
          <w:rFonts w:ascii="Arial" w:hAnsi="Arial" w:cs="Arial"/>
          <w:b/>
          <w:sz w:val="24"/>
          <w:szCs w:val="24"/>
        </w:rPr>
        <w:t xml:space="preserve">  Student Name: Dan Joita</w:t>
      </w:r>
    </w:p>
    <w:p w14:paraId="1646907D" w14:textId="77777777" w:rsidR="00A57FED" w:rsidRPr="00636D8B" w:rsidRDefault="00A57FED" w:rsidP="00A57FED">
      <w:pPr>
        <w:spacing w:line="360" w:lineRule="auto"/>
        <w:jc w:val="both"/>
        <w:rPr>
          <w:rFonts w:ascii="Arial" w:hAnsi="Arial" w:cs="Arial"/>
          <w:b/>
          <w:sz w:val="24"/>
          <w:szCs w:val="24"/>
        </w:rPr>
      </w:pPr>
      <w:r w:rsidRPr="00636D8B">
        <w:rPr>
          <w:rFonts w:ascii="Arial" w:hAnsi="Arial" w:cs="Arial"/>
          <w:b/>
          <w:sz w:val="24"/>
          <w:szCs w:val="24"/>
        </w:rPr>
        <w:t xml:space="preserve">  Student ID: 2124449</w:t>
      </w:r>
    </w:p>
    <w:p w14:paraId="2C21CA20" w14:textId="77777777" w:rsidR="00A57FED" w:rsidRPr="00636D8B" w:rsidRDefault="00A57FED" w:rsidP="00A57FED">
      <w:pPr>
        <w:spacing w:line="360" w:lineRule="auto"/>
        <w:jc w:val="both"/>
        <w:rPr>
          <w:rFonts w:ascii="Arial" w:hAnsi="Arial" w:cs="Arial"/>
          <w:b/>
          <w:sz w:val="24"/>
          <w:szCs w:val="24"/>
        </w:rPr>
      </w:pPr>
      <w:r w:rsidRPr="00636D8B">
        <w:rPr>
          <w:rFonts w:ascii="Arial" w:hAnsi="Arial" w:cs="Arial"/>
          <w:b/>
          <w:sz w:val="24"/>
          <w:szCs w:val="24"/>
        </w:rPr>
        <w:t xml:space="preserve">  Lecturer: Anita Nan</w:t>
      </w:r>
    </w:p>
    <w:p w14:paraId="275408BD" w14:textId="77777777" w:rsidR="00A57FED" w:rsidRPr="00636D8B" w:rsidRDefault="00A57FED" w:rsidP="00A57FED">
      <w:pPr>
        <w:spacing w:line="360" w:lineRule="auto"/>
        <w:jc w:val="center"/>
        <w:rPr>
          <w:rFonts w:ascii="Arial" w:hAnsi="Arial" w:cs="Arial"/>
          <w:b/>
          <w:sz w:val="24"/>
          <w:szCs w:val="24"/>
        </w:rPr>
      </w:pPr>
    </w:p>
    <w:p w14:paraId="5DE00FB4" w14:textId="77777777" w:rsidR="00A57FED" w:rsidRPr="00636D8B" w:rsidRDefault="00A57FED" w:rsidP="00A57FED">
      <w:pPr>
        <w:spacing w:line="360" w:lineRule="auto"/>
        <w:jc w:val="center"/>
        <w:rPr>
          <w:rFonts w:ascii="Arial" w:hAnsi="Arial" w:cs="Arial"/>
          <w:b/>
          <w:sz w:val="24"/>
          <w:szCs w:val="24"/>
        </w:rPr>
      </w:pPr>
    </w:p>
    <w:p w14:paraId="77C74C72" w14:textId="77777777" w:rsidR="00A57FED" w:rsidRPr="00636D8B" w:rsidRDefault="00A57FED" w:rsidP="00A57FED">
      <w:pPr>
        <w:spacing w:line="360" w:lineRule="auto"/>
        <w:jc w:val="center"/>
        <w:rPr>
          <w:rFonts w:ascii="Arial" w:hAnsi="Arial" w:cs="Arial"/>
          <w:b/>
          <w:sz w:val="24"/>
          <w:szCs w:val="24"/>
        </w:rPr>
      </w:pPr>
    </w:p>
    <w:bookmarkEnd w:id="0"/>
    <w:p w14:paraId="33CCAC5F" w14:textId="77777777" w:rsidR="00A57FED" w:rsidRPr="00636D8B" w:rsidRDefault="00A57FED" w:rsidP="00A57FED">
      <w:pPr>
        <w:pStyle w:val="root-block-node"/>
        <w:spacing w:line="360" w:lineRule="auto"/>
        <w:rPr>
          <w:rFonts w:ascii="Arial" w:hAnsi="Arial" w:cs="Arial"/>
          <w:b/>
          <w:bCs/>
        </w:rPr>
      </w:pPr>
    </w:p>
    <w:sdt>
      <w:sdtPr>
        <w:rPr>
          <w:rFonts w:ascii="Arial" w:eastAsiaTheme="minorHAnsi" w:hAnsi="Arial" w:cs="Arial"/>
          <w:color w:val="auto"/>
          <w:sz w:val="24"/>
          <w:szCs w:val="24"/>
          <w:lang w:val="en-GB"/>
        </w:rPr>
        <w:id w:val="-404376562"/>
        <w:docPartObj>
          <w:docPartGallery w:val="Table of Contents"/>
          <w:docPartUnique/>
        </w:docPartObj>
      </w:sdtPr>
      <w:sdtEndPr>
        <w:rPr>
          <w:b/>
          <w:bCs/>
          <w:noProof/>
        </w:rPr>
      </w:sdtEndPr>
      <w:sdtContent>
        <w:p w14:paraId="4DFD9533" w14:textId="77777777" w:rsidR="00A57FED" w:rsidRPr="00636D8B" w:rsidRDefault="00A57FED" w:rsidP="00A57FED">
          <w:pPr>
            <w:pStyle w:val="TOCHeading"/>
            <w:rPr>
              <w:rFonts w:ascii="Arial" w:hAnsi="Arial" w:cs="Arial"/>
              <w:sz w:val="24"/>
              <w:szCs w:val="24"/>
            </w:rPr>
          </w:pPr>
          <w:r w:rsidRPr="00636D8B">
            <w:rPr>
              <w:rFonts w:ascii="Arial" w:hAnsi="Arial" w:cs="Arial"/>
              <w:sz w:val="24"/>
              <w:szCs w:val="24"/>
            </w:rPr>
            <w:t>Contents</w:t>
          </w:r>
        </w:p>
        <w:p w14:paraId="14519375" w14:textId="77777777" w:rsidR="00A57FED" w:rsidRPr="00636D8B" w:rsidRDefault="00A57FED" w:rsidP="00A57FED">
          <w:pPr>
            <w:pStyle w:val="TOC1"/>
            <w:tabs>
              <w:tab w:val="right" w:leader="dot" w:pos="9016"/>
            </w:tabs>
            <w:rPr>
              <w:rFonts w:ascii="Arial" w:eastAsiaTheme="minorEastAsia" w:hAnsi="Arial" w:cs="Arial"/>
              <w:noProof/>
              <w:sz w:val="24"/>
              <w:szCs w:val="24"/>
              <w:lang w:eastAsia="en-GB"/>
            </w:rPr>
          </w:pPr>
          <w:r w:rsidRPr="00636D8B">
            <w:rPr>
              <w:rFonts w:ascii="Arial" w:hAnsi="Arial" w:cs="Arial"/>
              <w:sz w:val="24"/>
              <w:szCs w:val="24"/>
            </w:rPr>
            <w:fldChar w:fldCharType="begin"/>
          </w:r>
          <w:r w:rsidRPr="00636D8B">
            <w:rPr>
              <w:rFonts w:ascii="Arial" w:hAnsi="Arial" w:cs="Arial"/>
              <w:sz w:val="24"/>
              <w:szCs w:val="24"/>
            </w:rPr>
            <w:instrText xml:space="preserve"> TOC \o "1-3" \h \z \u </w:instrText>
          </w:r>
          <w:r w:rsidRPr="00636D8B">
            <w:rPr>
              <w:rFonts w:ascii="Arial" w:hAnsi="Arial" w:cs="Arial"/>
              <w:sz w:val="24"/>
              <w:szCs w:val="24"/>
            </w:rPr>
            <w:fldChar w:fldCharType="separate"/>
          </w:r>
          <w:hyperlink w:anchor="_Toc113306639" w:history="1">
            <w:r w:rsidRPr="00636D8B">
              <w:rPr>
                <w:rStyle w:val="Hyperlink"/>
                <w:rFonts w:ascii="Arial" w:hAnsi="Arial" w:cs="Arial"/>
                <w:b/>
                <w:bCs/>
                <w:noProof/>
                <w:sz w:val="24"/>
                <w:szCs w:val="24"/>
              </w:rPr>
              <w:t>Introduction</w:t>
            </w:r>
            <w:r w:rsidRPr="00636D8B">
              <w:rPr>
                <w:rFonts w:ascii="Arial" w:hAnsi="Arial" w:cs="Arial"/>
                <w:noProof/>
                <w:webHidden/>
                <w:sz w:val="24"/>
                <w:szCs w:val="24"/>
              </w:rPr>
              <w:tab/>
            </w:r>
            <w:r w:rsidRPr="00636D8B">
              <w:rPr>
                <w:rFonts w:ascii="Arial" w:hAnsi="Arial" w:cs="Arial"/>
                <w:noProof/>
                <w:webHidden/>
                <w:sz w:val="24"/>
                <w:szCs w:val="24"/>
              </w:rPr>
              <w:fldChar w:fldCharType="begin"/>
            </w:r>
            <w:r w:rsidRPr="00636D8B">
              <w:rPr>
                <w:rFonts w:ascii="Arial" w:hAnsi="Arial" w:cs="Arial"/>
                <w:noProof/>
                <w:webHidden/>
                <w:sz w:val="24"/>
                <w:szCs w:val="24"/>
              </w:rPr>
              <w:instrText xml:space="preserve"> PAGEREF _Toc113306639 \h </w:instrText>
            </w:r>
            <w:r w:rsidRPr="00636D8B">
              <w:rPr>
                <w:rFonts w:ascii="Arial" w:hAnsi="Arial" w:cs="Arial"/>
                <w:noProof/>
                <w:webHidden/>
                <w:sz w:val="24"/>
                <w:szCs w:val="24"/>
              </w:rPr>
            </w:r>
            <w:r w:rsidRPr="00636D8B">
              <w:rPr>
                <w:rFonts w:ascii="Arial" w:hAnsi="Arial" w:cs="Arial"/>
                <w:noProof/>
                <w:webHidden/>
                <w:sz w:val="24"/>
                <w:szCs w:val="24"/>
              </w:rPr>
              <w:fldChar w:fldCharType="separate"/>
            </w:r>
            <w:r w:rsidRPr="00636D8B">
              <w:rPr>
                <w:rFonts w:ascii="Arial" w:hAnsi="Arial" w:cs="Arial"/>
                <w:noProof/>
                <w:webHidden/>
                <w:sz w:val="24"/>
                <w:szCs w:val="24"/>
              </w:rPr>
              <w:t>3</w:t>
            </w:r>
            <w:r w:rsidRPr="00636D8B">
              <w:rPr>
                <w:rFonts w:ascii="Arial" w:hAnsi="Arial" w:cs="Arial"/>
                <w:noProof/>
                <w:webHidden/>
                <w:sz w:val="24"/>
                <w:szCs w:val="24"/>
              </w:rPr>
              <w:fldChar w:fldCharType="end"/>
            </w:r>
          </w:hyperlink>
        </w:p>
        <w:p w14:paraId="18929F63" w14:textId="77777777" w:rsidR="00A57FED" w:rsidRPr="00636D8B" w:rsidRDefault="00A57FED" w:rsidP="00A57FED">
          <w:pPr>
            <w:pStyle w:val="TOC1"/>
            <w:tabs>
              <w:tab w:val="right" w:leader="dot" w:pos="9016"/>
            </w:tabs>
            <w:rPr>
              <w:rFonts w:ascii="Arial" w:eastAsiaTheme="minorEastAsia" w:hAnsi="Arial" w:cs="Arial"/>
              <w:noProof/>
              <w:sz w:val="24"/>
              <w:szCs w:val="24"/>
              <w:lang w:eastAsia="en-GB"/>
            </w:rPr>
          </w:pPr>
          <w:hyperlink w:anchor="_Toc113306640" w:history="1">
            <w:r w:rsidRPr="00636D8B">
              <w:rPr>
                <w:rStyle w:val="Hyperlink"/>
                <w:rFonts w:ascii="Arial" w:hAnsi="Arial" w:cs="Arial"/>
                <w:b/>
                <w:bCs/>
                <w:noProof/>
                <w:sz w:val="24"/>
                <w:szCs w:val="24"/>
              </w:rPr>
              <w:t>Discussion</w:t>
            </w:r>
            <w:r w:rsidRPr="00636D8B">
              <w:rPr>
                <w:rFonts w:ascii="Arial" w:hAnsi="Arial" w:cs="Arial"/>
                <w:noProof/>
                <w:webHidden/>
                <w:sz w:val="24"/>
                <w:szCs w:val="24"/>
              </w:rPr>
              <w:tab/>
            </w:r>
            <w:r w:rsidRPr="00636D8B">
              <w:rPr>
                <w:rFonts w:ascii="Arial" w:hAnsi="Arial" w:cs="Arial"/>
                <w:noProof/>
                <w:webHidden/>
                <w:sz w:val="24"/>
                <w:szCs w:val="24"/>
              </w:rPr>
              <w:fldChar w:fldCharType="begin"/>
            </w:r>
            <w:r w:rsidRPr="00636D8B">
              <w:rPr>
                <w:rFonts w:ascii="Arial" w:hAnsi="Arial" w:cs="Arial"/>
                <w:noProof/>
                <w:webHidden/>
                <w:sz w:val="24"/>
                <w:szCs w:val="24"/>
              </w:rPr>
              <w:instrText xml:space="preserve"> PAGEREF _Toc113306640 \h </w:instrText>
            </w:r>
            <w:r w:rsidRPr="00636D8B">
              <w:rPr>
                <w:rFonts w:ascii="Arial" w:hAnsi="Arial" w:cs="Arial"/>
                <w:noProof/>
                <w:webHidden/>
                <w:sz w:val="24"/>
                <w:szCs w:val="24"/>
              </w:rPr>
            </w:r>
            <w:r w:rsidRPr="00636D8B">
              <w:rPr>
                <w:rFonts w:ascii="Arial" w:hAnsi="Arial" w:cs="Arial"/>
                <w:noProof/>
                <w:webHidden/>
                <w:sz w:val="24"/>
                <w:szCs w:val="24"/>
              </w:rPr>
              <w:fldChar w:fldCharType="separate"/>
            </w:r>
            <w:r w:rsidRPr="00636D8B">
              <w:rPr>
                <w:rFonts w:ascii="Arial" w:hAnsi="Arial" w:cs="Arial"/>
                <w:noProof/>
                <w:webHidden/>
                <w:sz w:val="24"/>
                <w:szCs w:val="24"/>
              </w:rPr>
              <w:t>3</w:t>
            </w:r>
            <w:r w:rsidRPr="00636D8B">
              <w:rPr>
                <w:rFonts w:ascii="Arial" w:hAnsi="Arial" w:cs="Arial"/>
                <w:noProof/>
                <w:webHidden/>
                <w:sz w:val="24"/>
                <w:szCs w:val="24"/>
              </w:rPr>
              <w:fldChar w:fldCharType="end"/>
            </w:r>
          </w:hyperlink>
        </w:p>
        <w:p w14:paraId="4BF94F10" w14:textId="77777777" w:rsidR="00A57FED" w:rsidRPr="00636D8B" w:rsidRDefault="00A57FED" w:rsidP="00A57FED">
          <w:pPr>
            <w:pStyle w:val="TOC1"/>
            <w:tabs>
              <w:tab w:val="right" w:leader="dot" w:pos="9016"/>
            </w:tabs>
            <w:rPr>
              <w:rFonts w:ascii="Arial" w:eastAsiaTheme="minorEastAsia" w:hAnsi="Arial" w:cs="Arial"/>
              <w:noProof/>
              <w:sz w:val="24"/>
              <w:szCs w:val="24"/>
              <w:lang w:eastAsia="en-GB"/>
            </w:rPr>
          </w:pPr>
          <w:hyperlink w:anchor="_Toc113306641" w:history="1">
            <w:r w:rsidRPr="00636D8B">
              <w:rPr>
                <w:rStyle w:val="Hyperlink"/>
                <w:rFonts w:ascii="Arial" w:hAnsi="Arial" w:cs="Arial"/>
                <w:b/>
                <w:bCs/>
                <w:noProof/>
                <w:sz w:val="24"/>
                <w:szCs w:val="24"/>
              </w:rPr>
              <w:t>Conclusion</w:t>
            </w:r>
            <w:r w:rsidRPr="00636D8B">
              <w:rPr>
                <w:rFonts w:ascii="Arial" w:hAnsi="Arial" w:cs="Arial"/>
                <w:noProof/>
                <w:webHidden/>
                <w:sz w:val="24"/>
                <w:szCs w:val="24"/>
              </w:rPr>
              <w:tab/>
            </w:r>
            <w:r w:rsidRPr="00636D8B">
              <w:rPr>
                <w:rFonts w:ascii="Arial" w:hAnsi="Arial" w:cs="Arial"/>
                <w:noProof/>
                <w:webHidden/>
                <w:sz w:val="24"/>
                <w:szCs w:val="24"/>
              </w:rPr>
              <w:fldChar w:fldCharType="begin"/>
            </w:r>
            <w:r w:rsidRPr="00636D8B">
              <w:rPr>
                <w:rFonts w:ascii="Arial" w:hAnsi="Arial" w:cs="Arial"/>
                <w:noProof/>
                <w:webHidden/>
                <w:sz w:val="24"/>
                <w:szCs w:val="24"/>
              </w:rPr>
              <w:instrText xml:space="preserve"> PAGEREF _Toc113306641 \h </w:instrText>
            </w:r>
            <w:r w:rsidRPr="00636D8B">
              <w:rPr>
                <w:rFonts w:ascii="Arial" w:hAnsi="Arial" w:cs="Arial"/>
                <w:noProof/>
                <w:webHidden/>
                <w:sz w:val="24"/>
                <w:szCs w:val="24"/>
              </w:rPr>
            </w:r>
            <w:r w:rsidRPr="00636D8B">
              <w:rPr>
                <w:rFonts w:ascii="Arial" w:hAnsi="Arial" w:cs="Arial"/>
                <w:noProof/>
                <w:webHidden/>
                <w:sz w:val="24"/>
                <w:szCs w:val="24"/>
              </w:rPr>
              <w:fldChar w:fldCharType="separate"/>
            </w:r>
            <w:r w:rsidRPr="00636D8B">
              <w:rPr>
                <w:rFonts w:ascii="Arial" w:hAnsi="Arial" w:cs="Arial"/>
                <w:noProof/>
                <w:webHidden/>
                <w:sz w:val="24"/>
                <w:szCs w:val="24"/>
              </w:rPr>
              <w:t>7</w:t>
            </w:r>
            <w:r w:rsidRPr="00636D8B">
              <w:rPr>
                <w:rFonts w:ascii="Arial" w:hAnsi="Arial" w:cs="Arial"/>
                <w:noProof/>
                <w:webHidden/>
                <w:sz w:val="24"/>
                <w:szCs w:val="24"/>
              </w:rPr>
              <w:fldChar w:fldCharType="end"/>
            </w:r>
          </w:hyperlink>
        </w:p>
        <w:p w14:paraId="365AF832" w14:textId="77777777" w:rsidR="00A57FED" w:rsidRPr="00636D8B" w:rsidRDefault="00A57FED" w:rsidP="00A57FED">
          <w:pPr>
            <w:pStyle w:val="TOC1"/>
            <w:tabs>
              <w:tab w:val="right" w:leader="dot" w:pos="9016"/>
            </w:tabs>
            <w:rPr>
              <w:rFonts w:ascii="Arial" w:eastAsiaTheme="minorEastAsia" w:hAnsi="Arial" w:cs="Arial"/>
              <w:noProof/>
              <w:sz w:val="24"/>
              <w:szCs w:val="24"/>
              <w:lang w:eastAsia="en-GB"/>
            </w:rPr>
          </w:pPr>
          <w:hyperlink w:anchor="_Toc113306642" w:history="1">
            <w:r w:rsidRPr="00636D8B">
              <w:rPr>
                <w:rStyle w:val="Hyperlink"/>
                <w:rFonts w:ascii="Arial" w:hAnsi="Arial" w:cs="Arial"/>
                <w:b/>
                <w:bCs/>
                <w:noProof/>
                <w:sz w:val="24"/>
                <w:szCs w:val="24"/>
              </w:rPr>
              <w:t>References</w:t>
            </w:r>
            <w:r w:rsidRPr="00636D8B">
              <w:rPr>
                <w:rFonts w:ascii="Arial" w:hAnsi="Arial" w:cs="Arial"/>
                <w:noProof/>
                <w:webHidden/>
                <w:sz w:val="24"/>
                <w:szCs w:val="24"/>
              </w:rPr>
              <w:tab/>
            </w:r>
            <w:r w:rsidRPr="00636D8B">
              <w:rPr>
                <w:rFonts w:ascii="Arial" w:hAnsi="Arial" w:cs="Arial"/>
                <w:noProof/>
                <w:webHidden/>
                <w:sz w:val="24"/>
                <w:szCs w:val="24"/>
              </w:rPr>
              <w:fldChar w:fldCharType="begin"/>
            </w:r>
            <w:r w:rsidRPr="00636D8B">
              <w:rPr>
                <w:rFonts w:ascii="Arial" w:hAnsi="Arial" w:cs="Arial"/>
                <w:noProof/>
                <w:webHidden/>
                <w:sz w:val="24"/>
                <w:szCs w:val="24"/>
              </w:rPr>
              <w:instrText xml:space="preserve"> PAGEREF _Toc113306642 \h </w:instrText>
            </w:r>
            <w:r w:rsidRPr="00636D8B">
              <w:rPr>
                <w:rFonts w:ascii="Arial" w:hAnsi="Arial" w:cs="Arial"/>
                <w:noProof/>
                <w:webHidden/>
                <w:sz w:val="24"/>
                <w:szCs w:val="24"/>
              </w:rPr>
            </w:r>
            <w:r w:rsidRPr="00636D8B">
              <w:rPr>
                <w:rFonts w:ascii="Arial" w:hAnsi="Arial" w:cs="Arial"/>
                <w:noProof/>
                <w:webHidden/>
                <w:sz w:val="24"/>
                <w:szCs w:val="24"/>
              </w:rPr>
              <w:fldChar w:fldCharType="separate"/>
            </w:r>
            <w:r w:rsidRPr="00636D8B">
              <w:rPr>
                <w:rFonts w:ascii="Arial" w:hAnsi="Arial" w:cs="Arial"/>
                <w:noProof/>
                <w:webHidden/>
                <w:sz w:val="24"/>
                <w:szCs w:val="24"/>
              </w:rPr>
              <w:t>9</w:t>
            </w:r>
            <w:r w:rsidRPr="00636D8B">
              <w:rPr>
                <w:rFonts w:ascii="Arial" w:hAnsi="Arial" w:cs="Arial"/>
                <w:noProof/>
                <w:webHidden/>
                <w:sz w:val="24"/>
                <w:szCs w:val="24"/>
              </w:rPr>
              <w:fldChar w:fldCharType="end"/>
            </w:r>
          </w:hyperlink>
        </w:p>
        <w:p w14:paraId="5AF078C5" w14:textId="77777777" w:rsidR="00A57FED" w:rsidRPr="00636D8B" w:rsidRDefault="00A57FED" w:rsidP="00A57FED">
          <w:pPr>
            <w:rPr>
              <w:rFonts w:ascii="Arial" w:hAnsi="Arial" w:cs="Arial"/>
              <w:sz w:val="24"/>
              <w:szCs w:val="24"/>
            </w:rPr>
          </w:pPr>
          <w:r w:rsidRPr="00636D8B">
            <w:rPr>
              <w:rFonts w:ascii="Arial" w:hAnsi="Arial" w:cs="Arial"/>
              <w:b/>
              <w:bCs/>
              <w:noProof/>
              <w:sz w:val="24"/>
              <w:szCs w:val="24"/>
            </w:rPr>
            <w:fldChar w:fldCharType="end"/>
          </w:r>
        </w:p>
      </w:sdtContent>
    </w:sdt>
    <w:p w14:paraId="5655F8E7" w14:textId="77777777" w:rsidR="00A57FED" w:rsidRPr="00636D8B" w:rsidRDefault="00A57FED" w:rsidP="00A57FED">
      <w:pPr>
        <w:pStyle w:val="root-block-node"/>
        <w:spacing w:line="360" w:lineRule="auto"/>
        <w:rPr>
          <w:rFonts w:ascii="Arial" w:hAnsi="Arial" w:cs="Arial"/>
          <w:b/>
          <w:bCs/>
        </w:rPr>
      </w:pPr>
    </w:p>
    <w:p w14:paraId="3B3A9FDE" w14:textId="77777777" w:rsidR="00A57FED" w:rsidRPr="00636D8B" w:rsidRDefault="00A57FED" w:rsidP="00A57FED">
      <w:pPr>
        <w:pStyle w:val="root-block-node"/>
        <w:spacing w:line="360" w:lineRule="auto"/>
        <w:rPr>
          <w:rFonts w:ascii="Arial" w:hAnsi="Arial" w:cs="Arial"/>
          <w:b/>
          <w:bCs/>
        </w:rPr>
      </w:pPr>
    </w:p>
    <w:p w14:paraId="5313DB58" w14:textId="77777777" w:rsidR="00A57FED" w:rsidRPr="00636D8B" w:rsidRDefault="00A57FED" w:rsidP="00A57FED">
      <w:pPr>
        <w:pStyle w:val="root-block-node"/>
        <w:spacing w:line="360" w:lineRule="auto"/>
        <w:rPr>
          <w:rFonts w:ascii="Arial" w:hAnsi="Arial" w:cs="Arial"/>
          <w:b/>
          <w:bCs/>
        </w:rPr>
      </w:pPr>
    </w:p>
    <w:p w14:paraId="3BD294B0" w14:textId="77777777" w:rsidR="00A57FED" w:rsidRPr="00636D8B" w:rsidRDefault="00A57FED" w:rsidP="00A57FED">
      <w:pPr>
        <w:pStyle w:val="root-block-node"/>
        <w:spacing w:line="360" w:lineRule="auto"/>
        <w:rPr>
          <w:rFonts w:ascii="Arial" w:hAnsi="Arial" w:cs="Arial"/>
          <w:b/>
          <w:bCs/>
        </w:rPr>
      </w:pPr>
    </w:p>
    <w:p w14:paraId="189EF5FD" w14:textId="77777777" w:rsidR="00A57FED" w:rsidRPr="00636D8B" w:rsidRDefault="00A57FED" w:rsidP="00A57FED">
      <w:pPr>
        <w:pStyle w:val="root-block-node"/>
        <w:spacing w:line="360" w:lineRule="auto"/>
        <w:rPr>
          <w:rFonts w:ascii="Arial" w:hAnsi="Arial" w:cs="Arial"/>
          <w:b/>
          <w:bCs/>
        </w:rPr>
      </w:pPr>
    </w:p>
    <w:p w14:paraId="254F9A6B" w14:textId="77777777" w:rsidR="00A57FED" w:rsidRPr="00636D8B" w:rsidRDefault="00A57FED" w:rsidP="00A57FED">
      <w:pPr>
        <w:pStyle w:val="root-block-node"/>
        <w:spacing w:line="360" w:lineRule="auto"/>
        <w:rPr>
          <w:rFonts w:ascii="Arial" w:hAnsi="Arial" w:cs="Arial"/>
          <w:b/>
          <w:bCs/>
        </w:rPr>
      </w:pPr>
    </w:p>
    <w:p w14:paraId="79E3B47D" w14:textId="77777777" w:rsidR="00A57FED" w:rsidRPr="00636D8B" w:rsidRDefault="00A57FED" w:rsidP="00A57FED">
      <w:pPr>
        <w:pStyle w:val="root-block-node"/>
        <w:spacing w:line="360" w:lineRule="auto"/>
        <w:rPr>
          <w:rFonts w:ascii="Arial" w:hAnsi="Arial" w:cs="Arial"/>
          <w:b/>
          <w:bCs/>
        </w:rPr>
      </w:pPr>
    </w:p>
    <w:p w14:paraId="2F901367" w14:textId="77777777" w:rsidR="00A57FED" w:rsidRPr="00636D8B" w:rsidRDefault="00A57FED" w:rsidP="00A57FED">
      <w:pPr>
        <w:pStyle w:val="root-block-node"/>
        <w:spacing w:line="360" w:lineRule="auto"/>
        <w:rPr>
          <w:rFonts w:ascii="Arial" w:hAnsi="Arial" w:cs="Arial"/>
          <w:b/>
          <w:bCs/>
        </w:rPr>
      </w:pPr>
    </w:p>
    <w:p w14:paraId="454510CA" w14:textId="77777777" w:rsidR="00A57FED" w:rsidRPr="00636D8B" w:rsidRDefault="00A57FED" w:rsidP="00A57FED">
      <w:pPr>
        <w:pStyle w:val="root-block-node"/>
        <w:spacing w:line="360" w:lineRule="auto"/>
        <w:rPr>
          <w:rFonts w:ascii="Arial" w:hAnsi="Arial" w:cs="Arial"/>
          <w:b/>
          <w:bCs/>
        </w:rPr>
      </w:pPr>
    </w:p>
    <w:p w14:paraId="05A1DBF8" w14:textId="77777777" w:rsidR="00A57FED" w:rsidRPr="00636D8B" w:rsidRDefault="00A57FED" w:rsidP="00A57FED">
      <w:pPr>
        <w:pStyle w:val="root-block-node"/>
        <w:spacing w:line="360" w:lineRule="auto"/>
        <w:rPr>
          <w:rFonts w:ascii="Arial" w:hAnsi="Arial" w:cs="Arial"/>
          <w:b/>
          <w:bCs/>
        </w:rPr>
      </w:pPr>
    </w:p>
    <w:p w14:paraId="2D80709E" w14:textId="77777777" w:rsidR="00A57FED" w:rsidRPr="00636D8B" w:rsidRDefault="00A57FED" w:rsidP="00A57FED">
      <w:pPr>
        <w:pStyle w:val="root-block-node"/>
        <w:spacing w:line="360" w:lineRule="auto"/>
        <w:rPr>
          <w:rFonts w:ascii="Arial" w:hAnsi="Arial" w:cs="Arial"/>
          <w:b/>
          <w:bCs/>
        </w:rPr>
      </w:pPr>
    </w:p>
    <w:p w14:paraId="336D27BA" w14:textId="77777777" w:rsidR="00A57FED" w:rsidRPr="00636D8B" w:rsidRDefault="00A57FED" w:rsidP="00A57FED">
      <w:pPr>
        <w:pStyle w:val="root-block-node"/>
        <w:spacing w:line="360" w:lineRule="auto"/>
        <w:rPr>
          <w:rFonts w:ascii="Arial" w:hAnsi="Arial" w:cs="Arial"/>
          <w:b/>
          <w:bCs/>
        </w:rPr>
      </w:pPr>
    </w:p>
    <w:p w14:paraId="7D99EB99" w14:textId="77777777" w:rsidR="00A57FED" w:rsidRPr="00636D8B" w:rsidRDefault="00A57FED" w:rsidP="00A57FED">
      <w:pPr>
        <w:pStyle w:val="root-block-node"/>
        <w:spacing w:line="360" w:lineRule="auto"/>
        <w:rPr>
          <w:rFonts w:ascii="Arial" w:hAnsi="Arial" w:cs="Arial"/>
          <w:b/>
          <w:bCs/>
        </w:rPr>
      </w:pPr>
    </w:p>
    <w:p w14:paraId="14F05567" w14:textId="77777777" w:rsidR="00A57FED" w:rsidRPr="00636D8B" w:rsidRDefault="00A57FED" w:rsidP="00A57FED">
      <w:pPr>
        <w:pStyle w:val="root-block-node"/>
        <w:spacing w:line="360" w:lineRule="auto"/>
        <w:rPr>
          <w:rFonts w:ascii="Arial" w:hAnsi="Arial" w:cs="Arial"/>
          <w:b/>
          <w:bCs/>
        </w:rPr>
      </w:pPr>
    </w:p>
    <w:p w14:paraId="63091DF8" w14:textId="77777777" w:rsidR="00A57FED" w:rsidRPr="00636D8B" w:rsidRDefault="00A57FED" w:rsidP="00A57FED">
      <w:pPr>
        <w:pStyle w:val="root-block-node"/>
        <w:spacing w:line="360" w:lineRule="auto"/>
        <w:rPr>
          <w:rFonts w:ascii="Arial" w:hAnsi="Arial" w:cs="Arial"/>
          <w:b/>
          <w:bCs/>
        </w:rPr>
      </w:pPr>
    </w:p>
    <w:p w14:paraId="6FCF8CDB" w14:textId="77777777" w:rsidR="00A57FED" w:rsidRPr="00636D8B" w:rsidRDefault="00A57FED" w:rsidP="00A57FED">
      <w:pPr>
        <w:pStyle w:val="root-block-node"/>
        <w:spacing w:line="360" w:lineRule="auto"/>
        <w:rPr>
          <w:rFonts w:ascii="Arial" w:hAnsi="Arial" w:cs="Arial"/>
          <w:b/>
          <w:bCs/>
        </w:rPr>
      </w:pPr>
    </w:p>
    <w:p w14:paraId="085B9EA1" w14:textId="77777777" w:rsidR="00A57FED" w:rsidRPr="00636D8B" w:rsidRDefault="00A57FED" w:rsidP="00A57FED">
      <w:pPr>
        <w:pStyle w:val="root-block-node"/>
        <w:spacing w:line="360" w:lineRule="auto"/>
        <w:rPr>
          <w:rFonts w:ascii="Arial" w:hAnsi="Arial" w:cs="Arial"/>
          <w:b/>
          <w:bCs/>
        </w:rPr>
      </w:pPr>
    </w:p>
    <w:p w14:paraId="3DE13DB6" w14:textId="77777777" w:rsidR="00A57FED" w:rsidRPr="00636D8B" w:rsidRDefault="00A57FED" w:rsidP="00A57FED">
      <w:pPr>
        <w:pStyle w:val="root-block-node"/>
        <w:spacing w:line="360" w:lineRule="auto"/>
        <w:jc w:val="both"/>
        <w:outlineLvl w:val="0"/>
        <w:rPr>
          <w:rFonts w:ascii="Arial" w:hAnsi="Arial" w:cs="Arial"/>
          <w:b/>
          <w:bCs/>
        </w:rPr>
      </w:pPr>
      <w:bookmarkStart w:id="1" w:name="_Toc113306639"/>
      <w:r w:rsidRPr="00636D8B">
        <w:rPr>
          <w:rFonts w:ascii="Arial" w:hAnsi="Arial" w:cs="Arial"/>
          <w:b/>
          <w:bCs/>
        </w:rPr>
        <w:lastRenderedPageBreak/>
        <w:t>Introduction</w:t>
      </w:r>
      <w:bookmarkEnd w:id="1"/>
    </w:p>
    <w:p w14:paraId="050943F1"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Task 2, which is the reflective report, the report will be based on the case study of the Eden Project of engagement, which began in 2008, and which will be discussed basing it on the reflective theory and model of Gibbs. This will be done to reflect on how the community engagement was done in the case study and the aim of the community engagement. The identification of how to establish the relationship between the stakeholders and the strategies that are suitable for engaging them on social media will be discussed (</w:t>
      </w:r>
      <w:r w:rsidRPr="00636D8B">
        <w:rPr>
          <w:rFonts w:ascii="Arial" w:hAnsi="Arial" w:cs="Arial"/>
          <w:shd w:val="clear" w:color="auto" w:fill="FFFFFF"/>
        </w:rPr>
        <w:t>Finlayson et al., 2015)</w:t>
      </w:r>
      <w:r w:rsidRPr="00636D8B">
        <w:rPr>
          <w:rFonts w:ascii="Arial" w:hAnsi="Arial" w:cs="Arial"/>
        </w:rPr>
        <w:t>. This analysis is focused on the promotion of community participation, mentoring, coaching, collaboration, and the diversity and inclusion that enable socio-cultural integration and multiculturalism. The reflective report will be completed by the recommendations and the analysis of the reflective essay in terms of the summary.</w:t>
      </w:r>
    </w:p>
    <w:p w14:paraId="4F801957" w14:textId="77777777" w:rsidR="00A57FED" w:rsidRPr="00636D8B" w:rsidRDefault="00A57FED" w:rsidP="00A57FED">
      <w:pPr>
        <w:pStyle w:val="root-block-node"/>
        <w:spacing w:line="360" w:lineRule="auto"/>
        <w:jc w:val="both"/>
        <w:outlineLvl w:val="0"/>
        <w:rPr>
          <w:rFonts w:ascii="Arial" w:hAnsi="Arial" w:cs="Arial"/>
          <w:b/>
          <w:bCs/>
        </w:rPr>
      </w:pPr>
      <w:bookmarkStart w:id="2" w:name="_Toc113306640"/>
      <w:r w:rsidRPr="00636D8B">
        <w:rPr>
          <w:rFonts w:ascii="Arial" w:hAnsi="Arial" w:cs="Arial"/>
          <w:b/>
          <w:bCs/>
        </w:rPr>
        <w:t>Discussion</w:t>
      </w:r>
      <w:bookmarkEnd w:id="2"/>
    </w:p>
    <w:p w14:paraId="0058FF91"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According to the case study, Eden was involving the community in the retrieval of the land that they claimed belonged to them. The field, known as Ayr Park, is located on the upper side of St Ives Bay, which is well-known as a popular tourist destination in the southwest. According to the case study, Cornwall council was said to have purchased the land in the year 1914 for the use of the school playing field, although in 1980, the field was much underused, which made it the seasonal park before becoming the building company. The builders had to vacate the field in the year 2006 when the local community, including Eden, started a local campaign to retrieve the land. Hence, the land is by now owned by the Ayr field Community Group. Eden used the right method in her approach to the stakeholders who are the Ayr field group. The Ayr field group was to extend their existing community engagement by offering a play event that took the form of a community celebration (</w:t>
      </w:r>
      <w:r w:rsidRPr="00636D8B">
        <w:rPr>
          <w:rFonts w:ascii="Arial" w:hAnsi="Arial" w:cs="Arial"/>
          <w:shd w:val="clear" w:color="auto" w:fill="FFFFFF"/>
        </w:rPr>
        <w:t>Baldus et al., 2015)</w:t>
      </w:r>
      <w:r w:rsidRPr="00636D8B">
        <w:rPr>
          <w:rFonts w:ascii="Arial" w:hAnsi="Arial" w:cs="Arial"/>
        </w:rPr>
        <w:t>. Eden’s approach was effective as it involved the stakeholders who were able to strategize how the communities could be participative in the involvement of the community change.</w:t>
      </w:r>
    </w:p>
    <w:p w14:paraId="715112CC"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The approach that Eden and the stakeholders used in approaching the community was effective as there was more consultation done with the community on what would be more effective to be done on the field, and this helped in the avoidance of negative </w:t>
      </w:r>
      <w:r w:rsidRPr="00636D8B">
        <w:rPr>
          <w:rFonts w:ascii="Arial" w:hAnsi="Arial" w:cs="Arial"/>
        </w:rPr>
        <w:lastRenderedPageBreak/>
        <w:t>feedback and the negative standards that may be reflected in the community. The use of the consultation process by the stakeholders and Eden and the authentic engagement that was based on the children and young people’s experiences were taken into note (</w:t>
      </w:r>
      <w:r w:rsidRPr="00636D8B">
        <w:rPr>
          <w:rFonts w:ascii="Arial" w:hAnsi="Arial" w:cs="Arial"/>
          <w:shd w:val="clear" w:color="auto" w:fill="FFFFFF"/>
        </w:rPr>
        <w:t>Sinclair et al., 2011)</w:t>
      </w:r>
      <w:r w:rsidRPr="00636D8B">
        <w:rPr>
          <w:rFonts w:ascii="Arial" w:hAnsi="Arial" w:cs="Arial"/>
        </w:rPr>
        <w:t>. This led to the communicable decision on the engaging use of the playground for the children and the young individuals to undertake their laying activities.</w:t>
      </w:r>
    </w:p>
    <w:p w14:paraId="4E4B13FF"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Eden was given the job of mapping out every company site and identifying the </w:t>
      </w:r>
      <w:proofErr w:type="gramStart"/>
      <w:r w:rsidRPr="00636D8B">
        <w:rPr>
          <w:rFonts w:ascii="Arial" w:hAnsi="Arial" w:cs="Arial"/>
        </w:rPr>
        <w:t>particular areas</w:t>
      </w:r>
      <w:proofErr w:type="gramEnd"/>
      <w:r w:rsidRPr="00636D8B">
        <w:rPr>
          <w:rFonts w:ascii="Arial" w:hAnsi="Arial" w:cs="Arial"/>
        </w:rPr>
        <w:t xml:space="preserve"> where project operations are likely to have an impact. He needed to consider not just the primary project site but also all related amenities. Stakeholder mapping and analysis must be done in the affected regions </w:t>
      </w:r>
      <w:proofErr w:type="gramStart"/>
      <w:r w:rsidRPr="00636D8B">
        <w:rPr>
          <w:rFonts w:ascii="Arial" w:hAnsi="Arial" w:cs="Arial"/>
        </w:rPr>
        <w:t>as a result of</w:t>
      </w:r>
      <w:proofErr w:type="gramEnd"/>
      <w:r w:rsidRPr="00636D8B">
        <w:rPr>
          <w:rFonts w:ascii="Arial" w:hAnsi="Arial" w:cs="Arial"/>
        </w:rPr>
        <w:t xml:space="preserve"> this. Prior to beginning any new efforts, he needed to do a baseline assessment—or any other type of assessment—in the Ayr Park impacted zones to comprehend the pre-existing conditions (</w:t>
      </w:r>
      <w:r w:rsidRPr="00636D8B">
        <w:rPr>
          <w:rFonts w:ascii="Arial" w:hAnsi="Arial" w:cs="Arial"/>
          <w:shd w:val="clear" w:color="auto" w:fill="FFFFFF"/>
        </w:rPr>
        <w:t>Baldus et al., 2015)</w:t>
      </w:r>
      <w:r w:rsidRPr="00636D8B">
        <w:rPr>
          <w:rFonts w:ascii="Arial" w:hAnsi="Arial" w:cs="Arial"/>
        </w:rPr>
        <w:t xml:space="preserve">. Prior to involving the stakeholders, it was necessary to determine whether any pre-existing issues, such as historical injustice, issues from previous operations, the current state of human rights, social unrest (such as previous protests over land or resources), existing infrastructure, and the scope of public service provision, existed. Before </w:t>
      </w:r>
      <w:proofErr w:type="gramStart"/>
      <w:r w:rsidRPr="00636D8B">
        <w:rPr>
          <w:rFonts w:ascii="Arial" w:hAnsi="Arial" w:cs="Arial"/>
        </w:rPr>
        <w:t>entering into</w:t>
      </w:r>
      <w:proofErr w:type="gramEnd"/>
      <w:r w:rsidRPr="00636D8B">
        <w:rPr>
          <w:rFonts w:ascii="Arial" w:hAnsi="Arial" w:cs="Arial"/>
        </w:rPr>
        <w:t xml:space="preserve"> a joint venture with another company or taking over its operations, research and examine the historical connections between the local communities and the industries, particularly the other firm (</w:t>
      </w:r>
      <w:r w:rsidRPr="00636D8B">
        <w:rPr>
          <w:rFonts w:ascii="Arial" w:hAnsi="Arial" w:cs="Arial"/>
          <w:shd w:val="clear" w:color="auto" w:fill="FFFFFF"/>
        </w:rPr>
        <w:t>Finlayson et al., 2015)</w:t>
      </w:r>
      <w:r w:rsidRPr="00636D8B">
        <w:rPr>
          <w:rFonts w:ascii="Arial" w:hAnsi="Arial" w:cs="Arial"/>
        </w:rPr>
        <w:t>.</w:t>
      </w:r>
    </w:p>
    <w:p w14:paraId="314AF77A"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It is increasingly seen as crucial to begin engaging stakeholders as soon as firm employees or contractors step foot on the ground. It is also crucial to consult with local councils, other businesses, NGOs, international bodies, local staff members, and communities (such as traditional rulers, women, youth, minority groups, or other under-represented groups) to gain knowledge of the political context, power relationships, social order, interpersonal relationships, and other pertinent issues in the area (</w:t>
      </w:r>
      <w:proofErr w:type="spellStart"/>
      <w:r w:rsidRPr="00636D8B">
        <w:rPr>
          <w:rFonts w:ascii="Arial" w:hAnsi="Arial" w:cs="Arial"/>
          <w:shd w:val="clear" w:color="auto" w:fill="FFFFFF"/>
        </w:rPr>
        <w:t>Seering</w:t>
      </w:r>
      <w:proofErr w:type="spellEnd"/>
      <w:r w:rsidRPr="00636D8B">
        <w:rPr>
          <w:rFonts w:ascii="Arial" w:hAnsi="Arial" w:cs="Arial"/>
          <w:shd w:val="clear" w:color="auto" w:fill="FFFFFF"/>
        </w:rPr>
        <w:t xml:space="preserve"> et al., 2019)</w:t>
      </w:r>
      <w:r w:rsidRPr="00636D8B">
        <w:rPr>
          <w:rFonts w:ascii="Arial" w:hAnsi="Arial" w:cs="Arial"/>
        </w:rPr>
        <w:t>. Eden was tasked with gathering baseline information that is broken down by sex, age, and other factors, including socioeconomic position, race, and religion. To assist with the research, it is necessary to think about employing seasoned consultants who are familiar with international social evaluation standards and/or anthropologists with an understanding of the area's indigenous communities (</w:t>
      </w:r>
      <w:r w:rsidRPr="00636D8B">
        <w:rPr>
          <w:rFonts w:ascii="Arial" w:hAnsi="Arial" w:cs="Arial"/>
          <w:shd w:val="clear" w:color="auto" w:fill="FFFFFF"/>
        </w:rPr>
        <w:t>Zhang et al., 2019).</w:t>
      </w:r>
    </w:p>
    <w:p w14:paraId="2404D4FF"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lastRenderedPageBreak/>
        <w:t>Eden task in association with Ayr Field Group for engaging the community was effective, it could have been better if Eden used the social media method for engaging the community. The use of two methods, which are the old method of engaging the community and the use of social media, could have been effective as it is predicted to reach various individuals in the community to create awareness of the changes that were going to be made with the building of the playground (</w:t>
      </w:r>
      <w:r w:rsidRPr="00636D8B">
        <w:rPr>
          <w:rFonts w:ascii="Arial" w:hAnsi="Arial" w:cs="Arial"/>
          <w:shd w:val="clear" w:color="auto" w:fill="FFFFFF"/>
        </w:rPr>
        <w:t>Briones et al., 2011)</w:t>
      </w:r>
      <w:r w:rsidRPr="00636D8B">
        <w:rPr>
          <w:rFonts w:ascii="Arial" w:hAnsi="Arial" w:cs="Arial"/>
        </w:rPr>
        <w:t>. The individuals in the community would have turned out in large numbers in support of the project because most of the individuals rely on social media to get updates and information concerning the goings on in the community. Because manatees are prone to using social media such as Twitter, Facebook, and Instagram, the use of social media in the creation of the update and alert to the people in the community was effective. The use of social media may have also attracted other stakeholders who are interested in the community's development and engagement (</w:t>
      </w:r>
      <w:r w:rsidRPr="00636D8B">
        <w:rPr>
          <w:rFonts w:ascii="Arial" w:hAnsi="Arial" w:cs="Arial"/>
          <w:shd w:val="clear" w:color="auto" w:fill="FFFFFF"/>
        </w:rPr>
        <w:t>Conover et al., 2011)</w:t>
      </w:r>
      <w:r w:rsidRPr="00636D8B">
        <w:rPr>
          <w:rFonts w:ascii="Arial" w:hAnsi="Arial" w:cs="Arial"/>
        </w:rPr>
        <w:t>.</w:t>
      </w:r>
    </w:p>
    <w:p w14:paraId="686BEDA9"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Engagement entails including significant parties; keeping the community informed and engaged; and taking ownership of and responsibility for community development initiatives. The goals of engagement are not public relations or advancing a certain point of view or decision. Engagement works best when it takes place between people who have been friends for a long time and respect each other. Healthy ties must be fostered and maintained if participation and consultation efficiency are to be maximised as well as misunderstandings reduced (</w:t>
      </w:r>
      <w:proofErr w:type="spellStart"/>
      <w:r w:rsidRPr="00636D8B">
        <w:rPr>
          <w:rFonts w:ascii="Arial" w:hAnsi="Arial" w:cs="Arial"/>
          <w:shd w:val="clear" w:color="auto" w:fill="FFFFFF"/>
        </w:rPr>
        <w:t>Seering</w:t>
      </w:r>
      <w:proofErr w:type="spellEnd"/>
      <w:r w:rsidRPr="00636D8B">
        <w:rPr>
          <w:rFonts w:ascii="Arial" w:hAnsi="Arial" w:cs="Arial"/>
          <w:shd w:val="clear" w:color="auto" w:fill="FFFFFF"/>
        </w:rPr>
        <w:t xml:space="preserve"> et al., 2019)</w:t>
      </w:r>
      <w:r w:rsidRPr="00636D8B">
        <w:rPr>
          <w:rFonts w:ascii="Arial" w:hAnsi="Arial" w:cs="Arial"/>
        </w:rPr>
        <w:t>.</w:t>
      </w:r>
    </w:p>
    <w:p w14:paraId="0F8960FC"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For the reflective analysis on establishing the best relationship with stakeholders, I will be basing the reflection on the reflective model of Gibbs. In the age of social media activism and online media, effective stakeholder management is more important than ever (</w:t>
      </w:r>
      <w:proofErr w:type="spellStart"/>
      <w:r w:rsidRPr="00636D8B">
        <w:rPr>
          <w:rFonts w:ascii="Arial" w:hAnsi="Arial" w:cs="Arial"/>
          <w:shd w:val="clear" w:color="auto" w:fill="FFFFFF"/>
        </w:rPr>
        <w:t>Adeani</w:t>
      </w:r>
      <w:proofErr w:type="spellEnd"/>
      <w:r w:rsidRPr="00636D8B">
        <w:rPr>
          <w:rFonts w:ascii="Arial" w:hAnsi="Arial" w:cs="Arial"/>
          <w:shd w:val="clear" w:color="auto" w:fill="FFFFFF"/>
        </w:rPr>
        <w:t xml:space="preserve"> et al., 2020)</w:t>
      </w:r>
      <w:r w:rsidRPr="00636D8B">
        <w:rPr>
          <w:rFonts w:ascii="Arial" w:hAnsi="Arial" w:cs="Arial"/>
        </w:rPr>
        <w:t xml:space="preserve">. Stakeholders may have had a significant impact on Eden's project; if they hadn't been managed well, they may have caused delays, resource depletion, political interference, or even the project's cancellation. You will be better able to reduce risk, create customised mitigation measures, and successfully complete a project if you can recognise, understand, and manage your stakeholders, their triggers, and expectations. In action, I would look for and consider </w:t>
      </w:r>
      <w:proofErr w:type="gramStart"/>
      <w:r w:rsidRPr="00636D8B">
        <w:rPr>
          <w:rFonts w:ascii="Arial" w:hAnsi="Arial" w:cs="Arial"/>
        </w:rPr>
        <w:t>a number of</w:t>
      </w:r>
      <w:proofErr w:type="gramEnd"/>
      <w:r w:rsidRPr="00636D8B">
        <w:rPr>
          <w:rFonts w:ascii="Arial" w:hAnsi="Arial" w:cs="Arial"/>
        </w:rPr>
        <w:t xml:space="preserve"> important criteria, including the proximity to your project; demographics; interest in it; needs and concerns; expectations for your project; and any previous public comments. </w:t>
      </w:r>
      <w:proofErr w:type="gramStart"/>
      <w:r w:rsidRPr="00636D8B">
        <w:rPr>
          <w:rFonts w:ascii="Arial" w:hAnsi="Arial" w:cs="Arial"/>
        </w:rPr>
        <w:t>For the purpose of</w:t>
      </w:r>
      <w:proofErr w:type="gramEnd"/>
      <w:r w:rsidRPr="00636D8B">
        <w:rPr>
          <w:rFonts w:ascii="Arial" w:hAnsi="Arial" w:cs="Arial"/>
        </w:rPr>
        <w:t xml:space="preserve"> developing the community playground field, I could also find it </w:t>
      </w:r>
      <w:r w:rsidRPr="00636D8B">
        <w:rPr>
          <w:rFonts w:ascii="Arial" w:hAnsi="Arial" w:cs="Arial"/>
        </w:rPr>
        <w:lastRenderedPageBreak/>
        <w:t>useful to have a greater awareness of my internal stakeholders, such as my direct employees, suppliers, and contractors, as well as larger businesses or alliances and shareholders. By mapping the internal stakeholders, I was able to evaluate my resources and the viability of my team's strategy for including society or the community (</w:t>
      </w:r>
      <w:r w:rsidRPr="00636D8B">
        <w:rPr>
          <w:rFonts w:ascii="Arial" w:hAnsi="Arial" w:cs="Arial"/>
          <w:shd w:val="clear" w:color="auto" w:fill="FFFFFF"/>
        </w:rPr>
        <w:t>Zhang et al., 2019)</w:t>
      </w:r>
      <w:r w:rsidRPr="00636D8B">
        <w:rPr>
          <w:rFonts w:ascii="Arial" w:hAnsi="Arial" w:cs="Arial"/>
        </w:rPr>
        <w:t>.</w:t>
      </w:r>
    </w:p>
    <w:p w14:paraId="245A6F4D"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On my reflection, I will be able to foresee and monitor how a particular stakeholder may directly communicate with my project team or other parties if I am aware of the degrees of influence. The range of potential outcomes includes anything from encouragement and support to opposition and participation of other community members. To evaluate any potential effects, I'll rank the significance of each of my stakeholders on a scale from high to low.</w:t>
      </w:r>
    </w:p>
    <w:p w14:paraId="3C6CA8F3"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Stakeholders may respond differently to different project activities throughout the phase of identifying the triggers that might influence them, but by recognising the triggers and putting mitigation methods in place, I can minimise needless complaints. Stakeholders frequently respond when their assumptions about how a project will behave or the context in which it will operate alter. </w:t>
      </w:r>
      <w:proofErr w:type="gramStart"/>
      <w:r w:rsidRPr="00636D8B">
        <w:rPr>
          <w:rFonts w:ascii="Arial" w:hAnsi="Arial" w:cs="Arial"/>
        </w:rPr>
        <w:t>In order to</w:t>
      </w:r>
      <w:proofErr w:type="gramEnd"/>
      <w:r w:rsidRPr="00636D8B">
        <w:rPr>
          <w:rFonts w:ascii="Arial" w:hAnsi="Arial" w:cs="Arial"/>
        </w:rPr>
        <w:t xml:space="preserve"> identify possible triggers, such as obtrusive or dusty construction activities, effects on the visual amenity, or changes to their regular routines, in action plan, I will compare my list of stakeholders in order to determine whether focused communication, mitigation, or an alternate solution is needed (</w:t>
      </w:r>
      <w:r w:rsidRPr="00636D8B">
        <w:rPr>
          <w:rFonts w:ascii="Arial" w:hAnsi="Arial" w:cs="Arial"/>
          <w:shd w:val="clear" w:color="auto" w:fill="FFFFFF"/>
        </w:rPr>
        <w:t>Zhang et al., 2019)</w:t>
      </w:r>
      <w:r w:rsidRPr="00636D8B">
        <w:rPr>
          <w:rFonts w:ascii="Arial" w:hAnsi="Arial" w:cs="Arial"/>
        </w:rPr>
        <w:t>. I will provide an estimation of the effect these responses could have on the project or tactics for designing the playground.</w:t>
      </w:r>
    </w:p>
    <w:p w14:paraId="2F9A5329"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I feel like it could be alluring to focus on the stakeholders who are most likely to sabotage the project when exploring potential risk management avenues. The individuals who assist me or stand to benefit from my endeavour are equally important. Hence, this calls for the need of coaching for the project for it to be successful. I will identify these stakeholders and investigate prospective options </w:t>
      </w:r>
      <w:proofErr w:type="gramStart"/>
      <w:r w:rsidRPr="00636D8B">
        <w:rPr>
          <w:rFonts w:ascii="Arial" w:hAnsi="Arial" w:cs="Arial"/>
        </w:rPr>
        <w:t>in order to</w:t>
      </w:r>
      <w:proofErr w:type="gramEnd"/>
      <w:r w:rsidRPr="00636D8B">
        <w:rPr>
          <w:rFonts w:ascii="Arial" w:hAnsi="Arial" w:cs="Arial"/>
        </w:rPr>
        <w:t xml:space="preserve"> take advantage of their favourable view of the project as supporters. I would initially handle the proactive mitigation stage by understanding the impacts and triggers of the stakeholders before designing a mitigation plan (</w:t>
      </w:r>
      <w:proofErr w:type="spellStart"/>
      <w:r w:rsidRPr="00636D8B">
        <w:rPr>
          <w:rFonts w:ascii="Arial" w:hAnsi="Arial" w:cs="Arial"/>
          <w:shd w:val="clear" w:color="auto" w:fill="FFFFFF"/>
        </w:rPr>
        <w:t>Fageha</w:t>
      </w:r>
      <w:proofErr w:type="spellEnd"/>
      <w:r w:rsidRPr="00636D8B">
        <w:rPr>
          <w:rFonts w:ascii="Arial" w:hAnsi="Arial" w:cs="Arial"/>
          <w:shd w:val="clear" w:color="auto" w:fill="FFFFFF"/>
        </w:rPr>
        <w:t xml:space="preserve"> et al., 2013)</w:t>
      </w:r>
      <w:r w:rsidRPr="00636D8B">
        <w:rPr>
          <w:rFonts w:ascii="Arial" w:hAnsi="Arial" w:cs="Arial"/>
        </w:rPr>
        <w:t xml:space="preserve">. The risks you are prepared to take, share, or avoid are highlighted in this phase, along with any potential mitigation measures. Decide early on what is and is not negotiable for you. Additionally, it can entail selecting new construction techniques, haulage routes, or </w:t>
      </w:r>
      <w:r w:rsidRPr="00636D8B">
        <w:rPr>
          <w:rFonts w:ascii="Arial" w:hAnsi="Arial" w:cs="Arial"/>
        </w:rPr>
        <w:lastRenderedPageBreak/>
        <w:t xml:space="preserve">other alignments or noise reduction tactics. Using this technique will also enable me to collaborate more effectively with my stakeholders </w:t>
      </w:r>
      <w:proofErr w:type="gramStart"/>
      <w:r w:rsidRPr="00636D8B">
        <w:rPr>
          <w:rFonts w:ascii="Arial" w:hAnsi="Arial" w:cs="Arial"/>
        </w:rPr>
        <w:t>in order to</w:t>
      </w:r>
      <w:proofErr w:type="gramEnd"/>
      <w:r w:rsidRPr="00636D8B">
        <w:rPr>
          <w:rFonts w:ascii="Arial" w:hAnsi="Arial" w:cs="Arial"/>
        </w:rPr>
        <w:t xml:space="preserve"> improve project buy-in, credibility, and ownership of the mitigation action.</w:t>
      </w:r>
    </w:p>
    <w:p w14:paraId="4E75206A"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Through the following of these strategies, the promotion of community participation, their collaboration, diversity, and inclusion in enabling socio-cultural integration and multiculturalism will be attained in the project of establishing the playground in the </w:t>
      </w:r>
      <w:proofErr w:type="gramStart"/>
      <w:r w:rsidRPr="00636D8B">
        <w:rPr>
          <w:rFonts w:ascii="Arial" w:hAnsi="Arial" w:cs="Arial"/>
        </w:rPr>
        <w:t>Ives bay</w:t>
      </w:r>
      <w:proofErr w:type="gramEnd"/>
      <w:r w:rsidRPr="00636D8B">
        <w:rPr>
          <w:rFonts w:ascii="Arial" w:hAnsi="Arial" w:cs="Arial"/>
        </w:rPr>
        <w:t>. Eden is supposed to follow the steps for the effective and successful implementation of the play in the community as planned (</w:t>
      </w:r>
      <w:r w:rsidRPr="00636D8B">
        <w:rPr>
          <w:rFonts w:ascii="Arial" w:hAnsi="Arial" w:cs="Arial"/>
          <w:shd w:val="clear" w:color="auto" w:fill="FFFFFF"/>
        </w:rPr>
        <w:t>Amado et al., 2010)</w:t>
      </w:r>
      <w:r w:rsidRPr="00636D8B">
        <w:rPr>
          <w:rFonts w:ascii="Arial" w:hAnsi="Arial" w:cs="Arial"/>
        </w:rPr>
        <w:t>.</w:t>
      </w:r>
    </w:p>
    <w:p w14:paraId="7E695826"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On enabling the socio-cultural and multicultural perspective, I would consider various factors in supporting the project to be of sense in the area. This will be based on the community's culture and their preference. The basic regulations will be considered in engaging society or community </w:t>
      </w:r>
      <w:proofErr w:type="gramStart"/>
      <w:r w:rsidRPr="00636D8B">
        <w:rPr>
          <w:rFonts w:ascii="Arial" w:hAnsi="Arial" w:cs="Arial"/>
        </w:rPr>
        <w:t>as a result of</w:t>
      </w:r>
      <w:proofErr w:type="gramEnd"/>
      <w:r w:rsidRPr="00636D8B">
        <w:rPr>
          <w:rFonts w:ascii="Arial" w:hAnsi="Arial" w:cs="Arial"/>
        </w:rPr>
        <w:t xml:space="preserve"> the act of promoting engagement in society through the use of social media (</w:t>
      </w:r>
      <w:proofErr w:type="spellStart"/>
      <w:r w:rsidRPr="00636D8B">
        <w:rPr>
          <w:rFonts w:ascii="Arial" w:hAnsi="Arial" w:cs="Arial"/>
          <w:shd w:val="clear" w:color="auto" w:fill="FFFFFF"/>
        </w:rPr>
        <w:t>Fjellström</w:t>
      </w:r>
      <w:proofErr w:type="spellEnd"/>
      <w:r w:rsidRPr="00636D8B">
        <w:rPr>
          <w:rFonts w:ascii="Arial" w:hAnsi="Arial" w:cs="Arial"/>
          <w:shd w:val="clear" w:color="auto" w:fill="FFFFFF"/>
        </w:rPr>
        <w:t xml:space="preserve"> et al., 2016)</w:t>
      </w:r>
      <w:r w:rsidRPr="00636D8B">
        <w:rPr>
          <w:rFonts w:ascii="Arial" w:hAnsi="Arial" w:cs="Arial"/>
        </w:rPr>
        <w:t xml:space="preserve">. This is </w:t>
      </w:r>
      <w:proofErr w:type="gramStart"/>
      <w:r w:rsidRPr="00636D8B">
        <w:rPr>
          <w:rFonts w:ascii="Arial" w:hAnsi="Arial" w:cs="Arial"/>
        </w:rPr>
        <w:t>based on the fact that</w:t>
      </w:r>
      <w:proofErr w:type="gramEnd"/>
      <w:r w:rsidRPr="00636D8B">
        <w:rPr>
          <w:rFonts w:ascii="Arial" w:hAnsi="Arial" w:cs="Arial"/>
        </w:rPr>
        <w:t xml:space="preserve"> the community project is mostly concerned with the children's aspect and practices. I will be forced to use the most effective language and the use of pictures in engaging the immediate community on the project, as has been indicated in the case study.</w:t>
      </w:r>
    </w:p>
    <w:p w14:paraId="2A679B3F" w14:textId="77777777" w:rsidR="00A57FED" w:rsidRPr="00636D8B" w:rsidRDefault="00A57FED" w:rsidP="00A57FED">
      <w:pPr>
        <w:pStyle w:val="root-block-node"/>
        <w:spacing w:line="360" w:lineRule="auto"/>
        <w:jc w:val="both"/>
        <w:outlineLvl w:val="0"/>
        <w:rPr>
          <w:rFonts w:ascii="Arial" w:hAnsi="Arial" w:cs="Arial"/>
          <w:b/>
          <w:bCs/>
        </w:rPr>
      </w:pPr>
      <w:bookmarkStart w:id="3" w:name="_Toc113306641"/>
      <w:r w:rsidRPr="00636D8B">
        <w:rPr>
          <w:rFonts w:ascii="Arial" w:hAnsi="Arial" w:cs="Arial"/>
          <w:b/>
          <w:bCs/>
        </w:rPr>
        <w:t>Conclusion</w:t>
      </w:r>
      <w:bookmarkEnd w:id="3"/>
    </w:p>
    <w:p w14:paraId="63BB9A06"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xml:space="preserve">In conclusion, there is need of putting the effective strategies on how to relate and obtain the stakeholders in the project. In this reflective essay, I have discussed </w:t>
      </w:r>
      <w:proofErr w:type="gramStart"/>
      <w:r w:rsidRPr="00636D8B">
        <w:rPr>
          <w:rFonts w:ascii="Arial" w:hAnsi="Arial" w:cs="Arial"/>
        </w:rPr>
        <w:t>the most</w:t>
      </w:r>
      <w:proofErr w:type="gramEnd"/>
      <w:r w:rsidRPr="00636D8B">
        <w:rPr>
          <w:rFonts w:ascii="Arial" w:hAnsi="Arial" w:cs="Arial"/>
        </w:rPr>
        <w:t xml:space="preserve"> of the achievements and the relevant steps that Eden have used in the engaging the community in the implementation 0of the playground in the community land. This has been cohered to the suitable strategies that can be used in the engaging the stakeholders so that they can involve themselves in the implementation of the community engagement. This has been discussed through the outlining the effective steps that are associated to the engagement through the social media in the modern world.  The reflection on what is thinking that Eden has not done in the engagement of the community has been done. Hence, I recommend that Eden to engage the use of the social media in the engaging the society and attracting the stakeholders in the community to help in the implementation of the playground which </w:t>
      </w:r>
      <w:proofErr w:type="gramStart"/>
      <w:r w:rsidRPr="00636D8B">
        <w:rPr>
          <w:rFonts w:ascii="Arial" w:hAnsi="Arial" w:cs="Arial"/>
        </w:rPr>
        <w:t>is considered to be</w:t>
      </w:r>
      <w:proofErr w:type="gramEnd"/>
      <w:r w:rsidRPr="00636D8B">
        <w:rPr>
          <w:rFonts w:ascii="Arial" w:hAnsi="Arial" w:cs="Arial"/>
        </w:rPr>
        <w:t xml:space="preserve"> of importance to the younger generation in the community. This should be done in the </w:t>
      </w:r>
      <w:r w:rsidRPr="00636D8B">
        <w:rPr>
          <w:rFonts w:ascii="Arial" w:hAnsi="Arial" w:cs="Arial"/>
        </w:rPr>
        <w:lastRenderedPageBreak/>
        <w:t>high consideration of the multicultural and social factors in the community that is being engaged.</w:t>
      </w:r>
    </w:p>
    <w:p w14:paraId="2F10C5BA" w14:textId="77777777" w:rsidR="00A57FED" w:rsidRPr="00636D8B" w:rsidRDefault="00A57FED" w:rsidP="00A57FED">
      <w:pPr>
        <w:pStyle w:val="root-block-node"/>
        <w:spacing w:line="360" w:lineRule="auto"/>
        <w:jc w:val="both"/>
        <w:rPr>
          <w:rFonts w:ascii="Arial" w:hAnsi="Arial" w:cs="Arial"/>
        </w:rPr>
      </w:pPr>
      <w:r w:rsidRPr="00636D8B">
        <w:rPr>
          <w:rFonts w:ascii="Arial" w:hAnsi="Arial" w:cs="Arial"/>
        </w:rPr>
        <w:t> </w:t>
      </w:r>
    </w:p>
    <w:p w14:paraId="317E397A" w14:textId="77777777" w:rsidR="00A57FED" w:rsidRPr="00636D8B" w:rsidRDefault="00A57FED" w:rsidP="00A57FED">
      <w:pPr>
        <w:spacing w:line="360" w:lineRule="auto"/>
        <w:jc w:val="both"/>
        <w:rPr>
          <w:rFonts w:ascii="Arial" w:eastAsia="Times New Roman" w:hAnsi="Arial" w:cs="Arial"/>
          <w:sz w:val="24"/>
          <w:szCs w:val="24"/>
          <w:lang w:eastAsia="en-GB"/>
        </w:rPr>
      </w:pPr>
      <w:r w:rsidRPr="00636D8B">
        <w:rPr>
          <w:rFonts w:ascii="Arial" w:hAnsi="Arial" w:cs="Arial"/>
          <w:sz w:val="24"/>
          <w:szCs w:val="24"/>
        </w:rPr>
        <w:br w:type="page"/>
      </w:r>
    </w:p>
    <w:p w14:paraId="526FCD0B" w14:textId="77777777" w:rsidR="00A57FED" w:rsidRPr="00636D8B" w:rsidRDefault="00A57FED" w:rsidP="00A57FED">
      <w:pPr>
        <w:pStyle w:val="Heading1"/>
        <w:spacing w:line="360" w:lineRule="auto"/>
        <w:jc w:val="both"/>
        <w:rPr>
          <w:rFonts w:ascii="Arial" w:hAnsi="Arial" w:cs="Arial"/>
          <w:color w:val="auto"/>
          <w:sz w:val="24"/>
          <w:szCs w:val="24"/>
        </w:rPr>
      </w:pPr>
      <w:bookmarkStart w:id="4" w:name="_Toc109399235"/>
      <w:bookmarkStart w:id="5" w:name="_Toc113306642"/>
      <w:r w:rsidRPr="00636D8B">
        <w:rPr>
          <w:rFonts w:ascii="Arial" w:hAnsi="Arial" w:cs="Arial"/>
          <w:color w:val="auto"/>
          <w:sz w:val="24"/>
          <w:szCs w:val="24"/>
        </w:rPr>
        <w:lastRenderedPageBreak/>
        <w:t>REFERENCES</w:t>
      </w:r>
      <w:bookmarkEnd w:id="4"/>
      <w:bookmarkEnd w:id="5"/>
      <w:r w:rsidRPr="00636D8B">
        <w:rPr>
          <w:rFonts w:ascii="Arial" w:hAnsi="Arial" w:cs="Arial"/>
          <w:color w:val="auto"/>
          <w:sz w:val="24"/>
          <w:szCs w:val="24"/>
        </w:rPr>
        <w:t xml:space="preserve"> </w:t>
      </w:r>
    </w:p>
    <w:p w14:paraId="261A0307" w14:textId="77777777" w:rsidR="00A57FED" w:rsidRPr="00636D8B" w:rsidRDefault="00A57FED" w:rsidP="00A57FED">
      <w:pPr>
        <w:spacing w:line="360" w:lineRule="auto"/>
        <w:jc w:val="both"/>
        <w:rPr>
          <w:rFonts w:ascii="Arial" w:hAnsi="Arial" w:cs="Arial"/>
          <w:sz w:val="24"/>
          <w:szCs w:val="24"/>
          <w:shd w:val="clear" w:color="auto" w:fill="FFFFFF"/>
        </w:rPr>
      </w:pPr>
      <w:proofErr w:type="spellStart"/>
      <w:r w:rsidRPr="00636D8B">
        <w:rPr>
          <w:rFonts w:ascii="Arial" w:hAnsi="Arial" w:cs="Arial"/>
          <w:sz w:val="24"/>
          <w:szCs w:val="24"/>
          <w:shd w:val="clear" w:color="auto" w:fill="FFFFFF"/>
        </w:rPr>
        <w:t>Adeani</w:t>
      </w:r>
      <w:proofErr w:type="spellEnd"/>
      <w:r w:rsidRPr="00636D8B">
        <w:rPr>
          <w:rFonts w:ascii="Arial" w:hAnsi="Arial" w:cs="Arial"/>
          <w:sz w:val="24"/>
          <w:szCs w:val="24"/>
          <w:shd w:val="clear" w:color="auto" w:fill="FFFFFF"/>
        </w:rPr>
        <w:t xml:space="preserve">, </w:t>
      </w:r>
      <w:proofErr w:type="spellStart"/>
      <w:r w:rsidRPr="00636D8B">
        <w:rPr>
          <w:rFonts w:ascii="Arial" w:hAnsi="Arial" w:cs="Arial"/>
          <w:sz w:val="24"/>
          <w:szCs w:val="24"/>
          <w:shd w:val="clear" w:color="auto" w:fill="FFFFFF"/>
        </w:rPr>
        <w:t>Ikin</w:t>
      </w:r>
      <w:proofErr w:type="spellEnd"/>
      <w:r w:rsidRPr="00636D8B">
        <w:rPr>
          <w:rFonts w:ascii="Arial" w:hAnsi="Arial" w:cs="Arial"/>
          <w:sz w:val="24"/>
          <w:szCs w:val="24"/>
          <w:shd w:val="clear" w:color="auto" w:fill="FFFFFF"/>
        </w:rPr>
        <w:t xml:space="preserve"> </w:t>
      </w:r>
      <w:proofErr w:type="spellStart"/>
      <w:r w:rsidRPr="00636D8B">
        <w:rPr>
          <w:rFonts w:ascii="Arial" w:hAnsi="Arial" w:cs="Arial"/>
          <w:sz w:val="24"/>
          <w:szCs w:val="24"/>
          <w:shd w:val="clear" w:color="auto" w:fill="FFFFFF"/>
        </w:rPr>
        <w:t>Syamsudin</w:t>
      </w:r>
      <w:proofErr w:type="spellEnd"/>
      <w:r w:rsidRPr="00636D8B">
        <w:rPr>
          <w:rFonts w:ascii="Arial" w:hAnsi="Arial" w:cs="Arial"/>
          <w:sz w:val="24"/>
          <w:szCs w:val="24"/>
          <w:shd w:val="clear" w:color="auto" w:fill="FFFFFF"/>
        </w:rPr>
        <w:t xml:space="preserve">, R. Bunga </w:t>
      </w:r>
      <w:proofErr w:type="spellStart"/>
      <w:r w:rsidRPr="00636D8B">
        <w:rPr>
          <w:rFonts w:ascii="Arial" w:hAnsi="Arial" w:cs="Arial"/>
          <w:sz w:val="24"/>
          <w:szCs w:val="24"/>
          <w:shd w:val="clear" w:color="auto" w:fill="FFFFFF"/>
        </w:rPr>
        <w:t>Febriani</w:t>
      </w:r>
      <w:proofErr w:type="spellEnd"/>
      <w:r w:rsidRPr="00636D8B">
        <w:rPr>
          <w:rFonts w:ascii="Arial" w:hAnsi="Arial" w:cs="Arial"/>
          <w:sz w:val="24"/>
          <w:szCs w:val="24"/>
          <w:shd w:val="clear" w:color="auto" w:fill="FFFFFF"/>
        </w:rPr>
        <w:t xml:space="preserve">, and </w:t>
      </w:r>
      <w:proofErr w:type="spellStart"/>
      <w:r w:rsidRPr="00636D8B">
        <w:rPr>
          <w:rFonts w:ascii="Arial" w:hAnsi="Arial" w:cs="Arial"/>
          <w:sz w:val="24"/>
          <w:szCs w:val="24"/>
          <w:shd w:val="clear" w:color="auto" w:fill="FFFFFF"/>
        </w:rPr>
        <w:t>Syafryadin</w:t>
      </w:r>
      <w:proofErr w:type="spellEnd"/>
      <w:r w:rsidRPr="00636D8B">
        <w:rPr>
          <w:rFonts w:ascii="Arial" w:hAnsi="Arial" w:cs="Arial"/>
          <w:sz w:val="24"/>
          <w:szCs w:val="24"/>
          <w:shd w:val="clear" w:color="auto" w:fill="FFFFFF"/>
        </w:rPr>
        <w:t xml:space="preserve"> </w:t>
      </w:r>
      <w:proofErr w:type="spellStart"/>
      <w:r w:rsidRPr="00636D8B">
        <w:rPr>
          <w:rFonts w:ascii="Arial" w:hAnsi="Arial" w:cs="Arial"/>
          <w:sz w:val="24"/>
          <w:szCs w:val="24"/>
          <w:shd w:val="clear" w:color="auto" w:fill="FFFFFF"/>
        </w:rPr>
        <w:t>Syafryadin</w:t>
      </w:r>
      <w:proofErr w:type="spellEnd"/>
      <w:r w:rsidRPr="00636D8B">
        <w:rPr>
          <w:rFonts w:ascii="Arial" w:hAnsi="Arial" w:cs="Arial"/>
          <w:sz w:val="24"/>
          <w:szCs w:val="24"/>
          <w:shd w:val="clear" w:color="auto" w:fill="FFFFFF"/>
        </w:rPr>
        <w:t xml:space="preserve"> (2020). "USING GIBBS’REFLECTIVE CYCLE IN MAKING REFLECTIONS OF LITERARY ANALYSIS." </w:t>
      </w:r>
      <w:proofErr w:type="spellStart"/>
      <w:r w:rsidRPr="00636D8B">
        <w:rPr>
          <w:rFonts w:ascii="Arial" w:hAnsi="Arial" w:cs="Arial"/>
          <w:i/>
          <w:iCs/>
          <w:sz w:val="24"/>
          <w:szCs w:val="24"/>
          <w:shd w:val="clear" w:color="auto" w:fill="FFFFFF"/>
        </w:rPr>
        <w:t>IndonesianEFLJournal</w:t>
      </w:r>
      <w:proofErr w:type="spellEnd"/>
      <w:r w:rsidRPr="00636D8B">
        <w:rPr>
          <w:rFonts w:ascii="Arial" w:hAnsi="Arial" w:cs="Arial"/>
          <w:sz w:val="24"/>
          <w:szCs w:val="24"/>
          <w:shd w:val="clear" w:color="auto" w:fill="FFFFFF"/>
        </w:rPr>
        <w:t xml:space="preserve"> 6.2:139-148. </w:t>
      </w:r>
      <w:hyperlink r:id="rId5" w:tgtFrame="_blank" w:history="1">
        <w:r w:rsidRPr="00636D8B">
          <w:rPr>
            <w:rStyle w:val="Hyperlink"/>
            <w:rFonts w:ascii="Arial" w:hAnsi="Arial" w:cs="Arial"/>
            <w:color w:val="1A0DAB"/>
            <w:sz w:val="24"/>
            <w:szCs w:val="24"/>
            <w:shd w:val="clear" w:color="auto" w:fill="FFFFFF"/>
          </w:rPr>
          <w:t>https://journal.uniku.ac.id/index.php/IEFLJ/article/view/3382</w:t>
        </w:r>
      </w:hyperlink>
    </w:p>
    <w:p w14:paraId="4EF2E9D3"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Amado, M.P., Santos, C.V., Moura, E.B. and Silva, V.G., (2010). Public participation in sustainable urban planning. </w:t>
      </w:r>
      <w:r w:rsidRPr="00636D8B">
        <w:rPr>
          <w:rFonts w:ascii="Arial" w:hAnsi="Arial" w:cs="Arial"/>
          <w:i/>
          <w:iCs/>
          <w:sz w:val="24"/>
          <w:szCs w:val="24"/>
          <w:shd w:val="clear" w:color="auto" w:fill="FFFFFF"/>
        </w:rPr>
        <w:t>International journal of human and social sciences</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5</w:t>
      </w:r>
      <w:r w:rsidRPr="00636D8B">
        <w:rPr>
          <w:rFonts w:ascii="Arial" w:hAnsi="Arial" w:cs="Arial"/>
          <w:sz w:val="24"/>
          <w:szCs w:val="24"/>
          <w:shd w:val="clear" w:color="auto" w:fill="FFFFFF"/>
        </w:rPr>
        <w:t xml:space="preserve">(2), pp.102-108. </w:t>
      </w:r>
      <w:hyperlink r:id="rId6" w:history="1">
        <w:r w:rsidRPr="00636D8B">
          <w:rPr>
            <w:rStyle w:val="Hyperlink"/>
            <w:rFonts w:ascii="Arial" w:hAnsi="Arial" w:cs="Arial"/>
            <w:sz w:val="24"/>
            <w:szCs w:val="24"/>
            <w:shd w:val="clear" w:color="auto" w:fill="FFFFFF"/>
          </w:rPr>
          <w:t>https://publications.waset.org/15443/public-participation-in-sustainable-urban-planning</w:t>
        </w:r>
      </w:hyperlink>
    </w:p>
    <w:p w14:paraId="58012C07"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 xml:space="preserve">Baldus, B.J., Voorhees, C. and </w:t>
      </w:r>
      <w:proofErr w:type="spellStart"/>
      <w:r w:rsidRPr="00636D8B">
        <w:rPr>
          <w:rFonts w:ascii="Arial" w:hAnsi="Arial" w:cs="Arial"/>
          <w:sz w:val="24"/>
          <w:szCs w:val="24"/>
          <w:shd w:val="clear" w:color="auto" w:fill="FFFFFF"/>
        </w:rPr>
        <w:t>Calantone</w:t>
      </w:r>
      <w:proofErr w:type="spellEnd"/>
      <w:r w:rsidRPr="00636D8B">
        <w:rPr>
          <w:rFonts w:ascii="Arial" w:hAnsi="Arial" w:cs="Arial"/>
          <w:sz w:val="24"/>
          <w:szCs w:val="24"/>
          <w:shd w:val="clear" w:color="auto" w:fill="FFFFFF"/>
        </w:rPr>
        <w:t>, R., (2015). Online brand community engagement: Scale development and validation. </w:t>
      </w:r>
      <w:r w:rsidRPr="00636D8B">
        <w:rPr>
          <w:rFonts w:ascii="Arial" w:hAnsi="Arial" w:cs="Arial"/>
          <w:i/>
          <w:iCs/>
          <w:sz w:val="24"/>
          <w:szCs w:val="24"/>
          <w:shd w:val="clear" w:color="auto" w:fill="FFFFFF"/>
        </w:rPr>
        <w:t>Journal of business research</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68</w:t>
      </w:r>
      <w:r w:rsidRPr="00636D8B">
        <w:rPr>
          <w:rFonts w:ascii="Arial" w:hAnsi="Arial" w:cs="Arial"/>
          <w:sz w:val="24"/>
          <w:szCs w:val="24"/>
          <w:shd w:val="clear" w:color="auto" w:fill="FFFFFF"/>
        </w:rPr>
        <w:t xml:space="preserve">(5), pp.978-985. </w:t>
      </w:r>
      <w:hyperlink r:id="rId7" w:tgtFrame="_blank" w:history="1">
        <w:r w:rsidRPr="00636D8B">
          <w:rPr>
            <w:rStyle w:val="Hyperlink"/>
            <w:rFonts w:ascii="Arial" w:hAnsi="Arial" w:cs="Arial"/>
            <w:color w:val="1A0DAB"/>
            <w:sz w:val="24"/>
            <w:szCs w:val="24"/>
            <w:shd w:val="clear" w:color="auto" w:fill="FFFFFF"/>
          </w:rPr>
          <w:t>https://asset-pdf.scinapse.io/prod/2055336412/2055336412.pdf</w:t>
        </w:r>
      </w:hyperlink>
    </w:p>
    <w:p w14:paraId="4002E35B"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Briones, Rowena L. (2011). "Keeping up with the digital age: How the American Red Cross uses social media to build relationships." </w:t>
      </w:r>
      <w:r w:rsidRPr="00636D8B">
        <w:rPr>
          <w:rFonts w:ascii="Arial" w:hAnsi="Arial" w:cs="Arial"/>
          <w:i/>
          <w:iCs/>
          <w:sz w:val="24"/>
          <w:szCs w:val="24"/>
          <w:shd w:val="clear" w:color="auto" w:fill="FFFFFF"/>
        </w:rPr>
        <w:t>Public relations review</w:t>
      </w:r>
      <w:r w:rsidRPr="00636D8B">
        <w:rPr>
          <w:rFonts w:ascii="Arial" w:hAnsi="Arial" w:cs="Arial"/>
          <w:sz w:val="24"/>
          <w:szCs w:val="24"/>
          <w:shd w:val="clear" w:color="auto" w:fill="FFFFFF"/>
        </w:rPr>
        <w:t> </w:t>
      </w:r>
      <w:proofErr w:type="gramStart"/>
      <w:r w:rsidRPr="00636D8B">
        <w:rPr>
          <w:rFonts w:ascii="Arial" w:hAnsi="Arial" w:cs="Arial"/>
          <w:sz w:val="24"/>
          <w:szCs w:val="24"/>
          <w:shd w:val="clear" w:color="auto" w:fill="FFFFFF"/>
        </w:rPr>
        <w:t>37.1 :</w:t>
      </w:r>
      <w:proofErr w:type="gramEnd"/>
      <w:r w:rsidRPr="00636D8B">
        <w:rPr>
          <w:rFonts w:ascii="Arial" w:hAnsi="Arial" w:cs="Arial"/>
          <w:sz w:val="24"/>
          <w:szCs w:val="24"/>
          <w:shd w:val="clear" w:color="auto" w:fill="FFFFFF"/>
        </w:rPr>
        <w:t xml:space="preserve"> 37-43.</w:t>
      </w:r>
      <w:r w:rsidRPr="00636D8B">
        <w:rPr>
          <w:rFonts w:ascii="Arial" w:hAnsi="Arial" w:cs="Arial"/>
          <w:sz w:val="24"/>
          <w:szCs w:val="24"/>
        </w:rPr>
        <w:t xml:space="preserve"> </w:t>
      </w:r>
      <w:hyperlink r:id="rId8" w:tgtFrame="_blank" w:history="1">
        <w:r w:rsidRPr="00636D8B">
          <w:rPr>
            <w:rStyle w:val="Hyperlink"/>
            <w:rFonts w:ascii="Arial" w:hAnsi="Arial" w:cs="Arial"/>
            <w:color w:val="1A0DAB"/>
            <w:sz w:val="24"/>
            <w:szCs w:val="24"/>
            <w:shd w:val="clear" w:color="auto" w:fill="FFFFFF"/>
          </w:rPr>
          <w:t>https://web-app.usc.edu/soc/syllabus/20221/11463.doc</w:t>
        </w:r>
      </w:hyperlink>
    </w:p>
    <w:p w14:paraId="49D8F998"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 xml:space="preserve">Conover, Michael D., Bruno Gonçalves, Jacob </w:t>
      </w:r>
      <w:proofErr w:type="spellStart"/>
      <w:r w:rsidRPr="00636D8B">
        <w:rPr>
          <w:rFonts w:ascii="Arial" w:hAnsi="Arial" w:cs="Arial"/>
          <w:sz w:val="24"/>
          <w:szCs w:val="24"/>
          <w:shd w:val="clear" w:color="auto" w:fill="FFFFFF"/>
        </w:rPr>
        <w:t>Ratkiewicz</w:t>
      </w:r>
      <w:proofErr w:type="spellEnd"/>
      <w:r w:rsidRPr="00636D8B">
        <w:rPr>
          <w:rFonts w:ascii="Arial" w:hAnsi="Arial" w:cs="Arial"/>
          <w:sz w:val="24"/>
          <w:szCs w:val="24"/>
          <w:shd w:val="clear" w:color="auto" w:fill="FFFFFF"/>
        </w:rPr>
        <w:t xml:space="preserve">, Alessandro </w:t>
      </w:r>
      <w:proofErr w:type="spellStart"/>
      <w:r w:rsidRPr="00636D8B">
        <w:rPr>
          <w:rFonts w:ascii="Arial" w:hAnsi="Arial" w:cs="Arial"/>
          <w:sz w:val="24"/>
          <w:szCs w:val="24"/>
          <w:shd w:val="clear" w:color="auto" w:fill="FFFFFF"/>
        </w:rPr>
        <w:t>Flammini</w:t>
      </w:r>
      <w:proofErr w:type="spellEnd"/>
      <w:r w:rsidRPr="00636D8B">
        <w:rPr>
          <w:rFonts w:ascii="Arial" w:hAnsi="Arial" w:cs="Arial"/>
          <w:sz w:val="24"/>
          <w:szCs w:val="24"/>
          <w:shd w:val="clear" w:color="auto" w:fill="FFFFFF"/>
        </w:rPr>
        <w:t xml:space="preserve">, and Filippo </w:t>
      </w:r>
      <w:proofErr w:type="spellStart"/>
      <w:r w:rsidRPr="00636D8B">
        <w:rPr>
          <w:rFonts w:ascii="Arial" w:hAnsi="Arial" w:cs="Arial"/>
          <w:sz w:val="24"/>
          <w:szCs w:val="24"/>
          <w:shd w:val="clear" w:color="auto" w:fill="FFFFFF"/>
        </w:rPr>
        <w:t>Menczer</w:t>
      </w:r>
      <w:proofErr w:type="spellEnd"/>
      <w:r w:rsidRPr="00636D8B">
        <w:rPr>
          <w:rFonts w:ascii="Arial" w:hAnsi="Arial" w:cs="Arial"/>
          <w:sz w:val="24"/>
          <w:szCs w:val="24"/>
          <w:shd w:val="clear" w:color="auto" w:fill="FFFFFF"/>
        </w:rPr>
        <w:t xml:space="preserve"> (2011). "Predicting the political alignment of twitter users." In </w:t>
      </w:r>
      <w:r w:rsidRPr="00636D8B">
        <w:rPr>
          <w:rFonts w:ascii="Arial" w:hAnsi="Arial" w:cs="Arial"/>
          <w:i/>
          <w:iCs/>
          <w:sz w:val="24"/>
          <w:szCs w:val="24"/>
          <w:shd w:val="clear" w:color="auto" w:fill="FFFFFF"/>
        </w:rPr>
        <w:t xml:space="preserve">2011 IEEE third international conference on privacy, security, </w:t>
      </w:r>
      <w:proofErr w:type="gramStart"/>
      <w:r w:rsidRPr="00636D8B">
        <w:rPr>
          <w:rFonts w:ascii="Arial" w:hAnsi="Arial" w:cs="Arial"/>
          <w:i/>
          <w:iCs/>
          <w:sz w:val="24"/>
          <w:szCs w:val="24"/>
          <w:shd w:val="clear" w:color="auto" w:fill="FFFFFF"/>
        </w:rPr>
        <w:t>risk</w:t>
      </w:r>
      <w:proofErr w:type="gramEnd"/>
      <w:r w:rsidRPr="00636D8B">
        <w:rPr>
          <w:rFonts w:ascii="Arial" w:hAnsi="Arial" w:cs="Arial"/>
          <w:i/>
          <w:iCs/>
          <w:sz w:val="24"/>
          <w:szCs w:val="24"/>
          <w:shd w:val="clear" w:color="auto" w:fill="FFFFFF"/>
        </w:rPr>
        <w:t xml:space="preserve"> and trust and 2011 IEEE third international conference on social computing</w:t>
      </w:r>
      <w:r w:rsidRPr="00636D8B">
        <w:rPr>
          <w:rFonts w:ascii="Arial" w:hAnsi="Arial" w:cs="Arial"/>
          <w:sz w:val="24"/>
          <w:szCs w:val="24"/>
          <w:shd w:val="clear" w:color="auto" w:fill="FFFFFF"/>
        </w:rPr>
        <w:t xml:space="preserve">, pp. 192-199. IEEE, </w:t>
      </w:r>
      <w:hyperlink r:id="rId9" w:tgtFrame="_blank" w:history="1">
        <w:r w:rsidRPr="00636D8B">
          <w:rPr>
            <w:rStyle w:val="Hyperlink"/>
            <w:rFonts w:ascii="Arial" w:hAnsi="Arial" w:cs="Arial"/>
            <w:color w:val="1A0DAB"/>
            <w:sz w:val="24"/>
            <w:szCs w:val="24"/>
            <w:shd w:val="clear" w:color="auto" w:fill="FFFFFF"/>
          </w:rPr>
          <w:t>https://ieeexplore.ieee.org/document/6113114</w:t>
        </w:r>
      </w:hyperlink>
    </w:p>
    <w:p w14:paraId="23EC0666" w14:textId="77777777" w:rsidR="00A57FED" w:rsidRPr="00636D8B" w:rsidRDefault="00A57FED" w:rsidP="00A57FED">
      <w:pPr>
        <w:spacing w:line="360" w:lineRule="auto"/>
        <w:jc w:val="both"/>
        <w:rPr>
          <w:rFonts w:ascii="Arial" w:hAnsi="Arial" w:cs="Arial"/>
          <w:sz w:val="24"/>
          <w:szCs w:val="24"/>
          <w:shd w:val="clear" w:color="auto" w:fill="FFFFFF"/>
        </w:rPr>
      </w:pPr>
      <w:proofErr w:type="spellStart"/>
      <w:r w:rsidRPr="00636D8B">
        <w:rPr>
          <w:rFonts w:ascii="Arial" w:hAnsi="Arial" w:cs="Arial"/>
          <w:sz w:val="24"/>
          <w:szCs w:val="24"/>
          <w:shd w:val="clear" w:color="auto" w:fill="FFFFFF"/>
        </w:rPr>
        <w:t>Fageha</w:t>
      </w:r>
      <w:proofErr w:type="spellEnd"/>
      <w:r w:rsidRPr="00636D8B">
        <w:rPr>
          <w:rFonts w:ascii="Arial" w:hAnsi="Arial" w:cs="Arial"/>
          <w:sz w:val="24"/>
          <w:szCs w:val="24"/>
          <w:shd w:val="clear" w:color="auto" w:fill="FFFFFF"/>
        </w:rPr>
        <w:t xml:space="preserve">, M. K., &amp; </w:t>
      </w:r>
      <w:proofErr w:type="spellStart"/>
      <w:r w:rsidRPr="00636D8B">
        <w:rPr>
          <w:rFonts w:ascii="Arial" w:hAnsi="Arial" w:cs="Arial"/>
          <w:sz w:val="24"/>
          <w:szCs w:val="24"/>
          <w:shd w:val="clear" w:color="auto" w:fill="FFFFFF"/>
        </w:rPr>
        <w:t>Aibinu</w:t>
      </w:r>
      <w:proofErr w:type="spellEnd"/>
      <w:r w:rsidRPr="00636D8B">
        <w:rPr>
          <w:rFonts w:ascii="Arial" w:hAnsi="Arial" w:cs="Arial"/>
          <w:sz w:val="24"/>
          <w:szCs w:val="24"/>
          <w:shd w:val="clear" w:color="auto" w:fill="FFFFFF"/>
        </w:rPr>
        <w:t>, A. A. (2013). Managing project scope definition to improve stakeholders’ participation and enhance project outcome. </w:t>
      </w:r>
      <w:r w:rsidRPr="00636D8B">
        <w:rPr>
          <w:rFonts w:ascii="Arial" w:hAnsi="Arial" w:cs="Arial"/>
          <w:i/>
          <w:iCs/>
          <w:sz w:val="24"/>
          <w:szCs w:val="24"/>
          <w:shd w:val="clear" w:color="auto" w:fill="FFFFFF"/>
        </w:rPr>
        <w:t xml:space="preserve">Procedia-Social and </w:t>
      </w:r>
      <w:proofErr w:type="spellStart"/>
      <w:r w:rsidRPr="00636D8B">
        <w:rPr>
          <w:rFonts w:ascii="Arial" w:hAnsi="Arial" w:cs="Arial"/>
          <w:i/>
          <w:iCs/>
          <w:sz w:val="24"/>
          <w:szCs w:val="24"/>
          <w:shd w:val="clear" w:color="auto" w:fill="FFFFFF"/>
        </w:rPr>
        <w:t>BehavioralSciences</w:t>
      </w:r>
      <w:proofErr w:type="spellEnd"/>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74</w:t>
      </w:r>
      <w:r w:rsidRPr="00636D8B">
        <w:rPr>
          <w:rFonts w:ascii="Arial" w:hAnsi="Arial" w:cs="Arial"/>
          <w:sz w:val="24"/>
          <w:szCs w:val="24"/>
          <w:shd w:val="clear" w:color="auto" w:fill="FFFFFF"/>
        </w:rPr>
        <w:t xml:space="preserve">,154-164. </w:t>
      </w:r>
      <w:hyperlink r:id="rId10" w:history="1">
        <w:r w:rsidRPr="00636D8B">
          <w:rPr>
            <w:rStyle w:val="Hyperlink"/>
            <w:rFonts w:ascii="Arial" w:hAnsi="Arial" w:cs="Arial"/>
            <w:sz w:val="24"/>
            <w:szCs w:val="24"/>
            <w:shd w:val="clear" w:color="auto" w:fill="FFFFFF"/>
          </w:rPr>
          <w:t>https://www.academia.edu/3472424/Managing_Project_Scope_Definition_to_Improve_Stakeholders_Participation_and_Enhance_Project_Outcome</w:t>
        </w:r>
      </w:hyperlink>
    </w:p>
    <w:p w14:paraId="30BE4A27"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 xml:space="preserve">Finlayson, </w:t>
      </w:r>
      <w:proofErr w:type="gramStart"/>
      <w:r w:rsidRPr="00636D8B">
        <w:rPr>
          <w:rFonts w:ascii="Arial" w:hAnsi="Arial" w:cs="Arial"/>
          <w:sz w:val="24"/>
          <w:szCs w:val="24"/>
          <w:shd w:val="clear" w:color="auto" w:fill="FFFFFF"/>
        </w:rPr>
        <w:t>A.(</w:t>
      </w:r>
      <w:proofErr w:type="gramEnd"/>
      <w:r w:rsidRPr="00636D8B">
        <w:rPr>
          <w:rFonts w:ascii="Arial" w:hAnsi="Arial" w:cs="Arial"/>
          <w:sz w:val="24"/>
          <w:szCs w:val="24"/>
          <w:shd w:val="clear" w:color="auto" w:fill="FFFFFF"/>
        </w:rPr>
        <w:t xml:space="preserve">2015). Reflective practice: has it really changed over </w:t>
      </w:r>
      <w:proofErr w:type="gramStart"/>
      <w:r w:rsidRPr="00636D8B">
        <w:rPr>
          <w:rFonts w:ascii="Arial" w:hAnsi="Arial" w:cs="Arial"/>
          <w:sz w:val="24"/>
          <w:szCs w:val="24"/>
          <w:shd w:val="clear" w:color="auto" w:fill="FFFFFF"/>
        </w:rPr>
        <w:t>time?.</w:t>
      </w:r>
      <w:proofErr w:type="gramEnd"/>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Reflective Practice</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16</w:t>
      </w:r>
      <w:r w:rsidRPr="00636D8B">
        <w:rPr>
          <w:rFonts w:ascii="Arial" w:hAnsi="Arial" w:cs="Arial"/>
          <w:sz w:val="24"/>
          <w:szCs w:val="24"/>
          <w:shd w:val="clear" w:color="auto" w:fill="FFFFFF"/>
        </w:rPr>
        <w:t xml:space="preserve">(6),717-730. </w:t>
      </w:r>
      <w:hyperlink r:id="rId11" w:tgtFrame="_blank" w:history="1">
        <w:r w:rsidRPr="00636D8B">
          <w:rPr>
            <w:rStyle w:val="Hyperlink"/>
            <w:rFonts w:ascii="Arial" w:hAnsi="Arial" w:cs="Arial"/>
            <w:color w:val="1A0DAB"/>
            <w:sz w:val="24"/>
            <w:szCs w:val="24"/>
            <w:shd w:val="clear" w:color="auto" w:fill="FFFFFF"/>
          </w:rPr>
          <w:t>https://www.tandfonline.com/doi/abs/10.1080/14623943.2015.1095723</w:t>
        </w:r>
      </w:hyperlink>
    </w:p>
    <w:p w14:paraId="0F2F7E82" w14:textId="77777777" w:rsidR="00A57FED" w:rsidRPr="00636D8B" w:rsidRDefault="00A57FED" w:rsidP="00A57FED">
      <w:pPr>
        <w:spacing w:line="360" w:lineRule="auto"/>
        <w:jc w:val="both"/>
        <w:rPr>
          <w:rFonts w:ascii="Arial" w:hAnsi="Arial" w:cs="Arial"/>
          <w:sz w:val="24"/>
          <w:szCs w:val="24"/>
          <w:shd w:val="clear" w:color="auto" w:fill="FFFFFF"/>
        </w:rPr>
      </w:pPr>
      <w:proofErr w:type="spellStart"/>
      <w:r w:rsidRPr="00636D8B">
        <w:rPr>
          <w:rFonts w:ascii="Arial" w:hAnsi="Arial" w:cs="Arial"/>
          <w:sz w:val="24"/>
          <w:szCs w:val="24"/>
          <w:shd w:val="clear" w:color="auto" w:fill="FFFFFF"/>
        </w:rPr>
        <w:t>Fjellström</w:t>
      </w:r>
      <w:proofErr w:type="spellEnd"/>
      <w:r w:rsidRPr="00636D8B">
        <w:rPr>
          <w:rFonts w:ascii="Arial" w:hAnsi="Arial" w:cs="Arial"/>
          <w:sz w:val="24"/>
          <w:szCs w:val="24"/>
          <w:shd w:val="clear" w:color="auto" w:fill="FFFFFF"/>
        </w:rPr>
        <w:t xml:space="preserve">, D., &amp; </w:t>
      </w:r>
      <w:proofErr w:type="spellStart"/>
      <w:r w:rsidRPr="00636D8B">
        <w:rPr>
          <w:rFonts w:ascii="Arial" w:hAnsi="Arial" w:cs="Arial"/>
          <w:sz w:val="24"/>
          <w:szCs w:val="24"/>
          <w:shd w:val="clear" w:color="auto" w:fill="FFFFFF"/>
        </w:rPr>
        <w:t>Guttormsen</w:t>
      </w:r>
      <w:proofErr w:type="spellEnd"/>
      <w:r w:rsidRPr="00636D8B">
        <w:rPr>
          <w:rFonts w:ascii="Arial" w:hAnsi="Arial" w:cs="Arial"/>
          <w:sz w:val="24"/>
          <w:szCs w:val="24"/>
          <w:shd w:val="clear" w:color="auto" w:fill="FFFFFF"/>
        </w:rPr>
        <w:t xml:space="preserve">, D. S. (2016). A critical exploration of “access” in qualitative international business field research: Towards a concept of socio-cultural </w:t>
      </w:r>
      <w:r w:rsidRPr="00636D8B">
        <w:rPr>
          <w:rFonts w:ascii="Arial" w:hAnsi="Arial" w:cs="Arial"/>
          <w:sz w:val="24"/>
          <w:szCs w:val="24"/>
          <w:shd w:val="clear" w:color="auto" w:fill="FFFFFF"/>
        </w:rPr>
        <w:lastRenderedPageBreak/>
        <w:t>and multidimensional research practice. </w:t>
      </w:r>
      <w:r w:rsidRPr="00636D8B">
        <w:rPr>
          <w:rFonts w:ascii="Arial" w:hAnsi="Arial" w:cs="Arial"/>
          <w:i/>
          <w:iCs/>
          <w:sz w:val="24"/>
          <w:szCs w:val="24"/>
          <w:shd w:val="clear" w:color="auto" w:fill="FFFFFF"/>
        </w:rPr>
        <w:t>Qualitative Research in Organizations and Management: An International Journal</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11</w:t>
      </w:r>
      <w:r w:rsidRPr="00636D8B">
        <w:rPr>
          <w:rFonts w:ascii="Arial" w:hAnsi="Arial" w:cs="Arial"/>
          <w:sz w:val="24"/>
          <w:szCs w:val="24"/>
          <w:shd w:val="clear" w:color="auto" w:fill="FFFFFF"/>
        </w:rPr>
        <w:t>(2), 110-126.</w:t>
      </w:r>
      <w:r w:rsidRPr="00636D8B">
        <w:rPr>
          <w:rFonts w:ascii="Arial" w:hAnsi="Arial" w:cs="Arial"/>
          <w:sz w:val="24"/>
          <w:szCs w:val="24"/>
        </w:rPr>
        <w:t xml:space="preserve"> </w:t>
      </w:r>
      <w:hyperlink r:id="rId12" w:tgtFrame="_blank" w:history="1">
        <w:r w:rsidRPr="00636D8B">
          <w:rPr>
            <w:rStyle w:val="Hyperlink"/>
            <w:rFonts w:ascii="Arial" w:hAnsi="Arial" w:cs="Arial"/>
            <w:color w:val="1A0DAB"/>
            <w:sz w:val="24"/>
            <w:szCs w:val="24"/>
            <w:shd w:val="clear" w:color="auto" w:fill="FFFFFF"/>
          </w:rPr>
          <w:t>https://www.academia.edu/37867255/Crabb_draft_Feb_18</w:t>
        </w:r>
      </w:hyperlink>
    </w:p>
    <w:p w14:paraId="2C14E784" w14:textId="77777777" w:rsidR="00A57FED" w:rsidRPr="00636D8B" w:rsidRDefault="00A57FED" w:rsidP="00A57FED">
      <w:pPr>
        <w:spacing w:line="360" w:lineRule="auto"/>
        <w:jc w:val="both"/>
        <w:rPr>
          <w:rFonts w:ascii="Arial" w:hAnsi="Arial" w:cs="Arial"/>
          <w:sz w:val="24"/>
          <w:szCs w:val="24"/>
          <w:shd w:val="clear" w:color="auto" w:fill="FFFFFF"/>
        </w:rPr>
      </w:pPr>
      <w:proofErr w:type="spellStart"/>
      <w:r w:rsidRPr="00636D8B">
        <w:rPr>
          <w:rFonts w:ascii="Arial" w:hAnsi="Arial" w:cs="Arial"/>
          <w:sz w:val="24"/>
          <w:szCs w:val="24"/>
          <w:shd w:val="clear" w:color="auto" w:fill="FFFFFF"/>
        </w:rPr>
        <w:t>Seering</w:t>
      </w:r>
      <w:proofErr w:type="spellEnd"/>
      <w:r w:rsidRPr="00636D8B">
        <w:rPr>
          <w:rFonts w:ascii="Arial" w:hAnsi="Arial" w:cs="Arial"/>
          <w:sz w:val="24"/>
          <w:szCs w:val="24"/>
          <w:shd w:val="clear" w:color="auto" w:fill="FFFFFF"/>
        </w:rPr>
        <w:t>, J., Wang, T., Yoon, J. and Kaufman, G., (2019). Moderator engagement and community development in the age of algorithms. </w:t>
      </w:r>
      <w:r w:rsidRPr="00636D8B">
        <w:rPr>
          <w:rFonts w:ascii="Arial" w:hAnsi="Arial" w:cs="Arial"/>
          <w:i/>
          <w:iCs/>
          <w:sz w:val="24"/>
          <w:szCs w:val="24"/>
          <w:shd w:val="clear" w:color="auto" w:fill="FFFFFF"/>
        </w:rPr>
        <w:t>New Media &amp; Society</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21</w:t>
      </w:r>
      <w:r w:rsidRPr="00636D8B">
        <w:rPr>
          <w:rFonts w:ascii="Arial" w:hAnsi="Arial" w:cs="Arial"/>
          <w:sz w:val="24"/>
          <w:szCs w:val="24"/>
          <w:shd w:val="clear" w:color="auto" w:fill="FFFFFF"/>
        </w:rPr>
        <w:t>(7), pp.1417-1443.</w:t>
      </w:r>
      <w:r w:rsidRPr="00636D8B">
        <w:rPr>
          <w:rFonts w:ascii="Arial" w:hAnsi="Arial" w:cs="Arial"/>
          <w:sz w:val="24"/>
          <w:szCs w:val="24"/>
        </w:rPr>
        <w:t xml:space="preserve"> </w:t>
      </w:r>
      <w:hyperlink r:id="rId13" w:tgtFrame="_blank" w:history="1">
        <w:r w:rsidRPr="00636D8B">
          <w:rPr>
            <w:rStyle w:val="Hyperlink"/>
            <w:rFonts w:ascii="Arial" w:hAnsi="Arial" w:cs="Arial"/>
            <w:color w:val="1A0DAB"/>
            <w:sz w:val="24"/>
            <w:szCs w:val="24"/>
            <w:shd w:val="clear" w:color="auto" w:fill="FFFFFF"/>
          </w:rPr>
          <w:t>https://journals.sagepub.com/doi/abs/10.1177/1461444818821316</w:t>
        </w:r>
      </w:hyperlink>
    </w:p>
    <w:p w14:paraId="390285D3"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Sinclair, M.L., (2011). Developing a Model for Effective Stakeholder Engagement Management. </w:t>
      </w:r>
      <w:r w:rsidRPr="00636D8B">
        <w:rPr>
          <w:rFonts w:ascii="Arial" w:hAnsi="Arial" w:cs="Arial"/>
          <w:i/>
          <w:iCs/>
          <w:sz w:val="24"/>
          <w:szCs w:val="24"/>
          <w:shd w:val="clear" w:color="auto" w:fill="FFFFFF"/>
        </w:rPr>
        <w:t>Asia Pacific Public Relations Journal</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12</w:t>
      </w:r>
      <w:r w:rsidRPr="00636D8B">
        <w:rPr>
          <w:rFonts w:ascii="Arial" w:hAnsi="Arial" w:cs="Arial"/>
          <w:sz w:val="24"/>
          <w:szCs w:val="24"/>
          <w:shd w:val="clear" w:color="auto" w:fill="FFFFFF"/>
        </w:rPr>
        <w:t>(2).</w:t>
      </w:r>
      <w:r w:rsidRPr="00636D8B">
        <w:rPr>
          <w:rFonts w:ascii="Arial" w:hAnsi="Arial" w:cs="Arial"/>
          <w:sz w:val="24"/>
          <w:szCs w:val="24"/>
        </w:rPr>
        <w:t xml:space="preserve"> </w:t>
      </w:r>
      <w:hyperlink r:id="rId14" w:tgtFrame="_blank" w:history="1">
        <w:r w:rsidRPr="00636D8B">
          <w:rPr>
            <w:rStyle w:val="Hyperlink"/>
            <w:rFonts w:ascii="Arial" w:hAnsi="Arial" w:cs="Arial"/>
            <w:color w:val="1A0DAB"/>
            <w:sz w:val="24"/>
            <w:szCs w:val="24"/>
            <w:shd w:val="clear" w:color="auto" w:fill="FFFFFF"/>
          </w:rPr>
          <w:t>https://blogs.deakin.edu.au/apprj/wp-content/uploads/sites/33/2014/02/12-sinclair.pdf</w:t>
        </w:r>
      </w:hyperlink>
    </w:p>
    <w:p w14:paraId="30D4C572" w14:textId="77777777" w:rsidR="00A57FED" w:rsidRPr="00636D8B" w:rsidRDefault="00A57FED" w:rsidP="00A57FED">
      <w:pPr>
        <w:spacing w:line="360" w:lineRule="auto"/>
        <w:jc w:val="both"/>
        <w:rPr>
          <w:rFonts w:ascii="Arial" w:hAnsi="Arial" w:cs="Arial"/>
          <w:sz w:val="24"/>
          <w:szCs w:val="24"/>
          <w:shd w:val="clear" w:color="auto" w:fill="FFFFFF"/>
        </w:rPr>
      </w:pPr>
      <w:r w:rsidRPr="00636D8B">
        <w:rPr>
          <w:rFonts w:ascii="Arial" w:hAnsi="Arial" w:cs="Arial"/>
          <w:sz w:val="24"/>
          <w:szCs w:val="24"/>
          <w:shd w:val="clear" w:color="auto" w:fill="FFFFFF"/>
        </w:rPr>
        <w:t>Zhang, F. and Zhu, L., (2019). Enhancing corporate sustainable development: Stakeholder pressures, organizational learning, and green innovation. </w:t>
      </w:r>
      <w:r w:rsidRPr="00636D8B">
        <w:rPr>
          <w:rFonts w:ascii="Arial" w:hAnsi="Arial" w:cs="Arial"/>
          <w:i/>
          <w:iCs/>
          <w:sz w:val="24"/>
          <w:szCs w:val="24"/>
          <w:shd w:val="clear" w:color="auto" w:fill="FFFFFF"/>
        </w:rPr>
        <w:t>Business Strategy and the Environment</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28</w:t>
      </w:r>
      <w:r w:rsidRPr="00636D8B">
        <w:rPr>
          <w:rFonts w:ascii="Arial" w:hAnsi="Arial" w:cs="Arial"/>
          <w:sz w:val="24"/>
          <w:szCs w:val="24"/>
          <w:shd w:val="clear" w:color="auto" w:fill="FFFFFF"/>
        </w:rPr>
        <w:t>(6), pp.1012-1026.</w:t>
      </w:r>
      <w:r w:rsidRPr="00636D8B">
        <w:rPr>
          <w:rFonts w:ascii="Arial" w:hAnsi="Arial" w:cs="Arial"/>
          <w:sz w:val="24"/>
          <w:szCs w:val="24"/>
        </w:rPr>
        <w:t xml:space="preserve"> </w:t>
      </w:r>
      <w:hyperlink r:id="rId15" w:tgtFrame="_blank" w:history="1">
        <w:r w:rsidRPr="00636D8B">
          <w:rPr>
            <w:rStyle w:val="Hyperlink"/>
            <w:rFonts w:ascii="Arial" w:hAnsi="Arial" w:cs="Arial"/>
            <w:color w:val="1A0DAB"/>
            <w:sz w:val="24"/>
            <w:szCs w:val="24"/>
            <w:shd w:val="clear" w:color="auto" w:fill="FFFFFF"/>
          </w:rPr>
          <w:t>https://onlinelibrary.wiley.com/doi/abs/10.1002/bse.2298</w:t>
        </w:r>
      </w:hyperlink>
    </w:p>
    <w:p w14:paraId="6DA77F6D" w14:textId="77777777" w:rsidR="00A57FED" w:rsidRPr="00636D8B" w:rsidRDefault="00A57FED" w:rsidP="00A57FED">
      <w:pPr>
        <w:spacing w:line="360" w:lineRule="auto"/>
        <w:jc w:val="both"/>
        <w:rPr>
          <w:rFonts w:ascii="Arial" w:hAnsi="Arial" w:cs="Arial"/>
          <w:sz w:val="24"/>
          <w:szCs w:val="24"/>
        </w:rPr>
      </w:pPr>
      <w:r w:rsidRPr="00636D8B">
        <w:rPr>
          <w:rFonts w:ascii="Arial" w:hAnsi="Arial" w:cs="Arial"/>
          <w:sz w:val="24"/>
          <w:szCs w:val="24"/>
          <w:shd w:val="clear" w:color="auto" w:fill="FFFFFF"/>
        </w:rPr>
        <w:t>Zhang, F. and Zhu, L., (2019). Enhancing corporate sustainable development: Stakeholder pressures, organizational learning, and green innovation. </w:t>
      </w:r>
      <w:r w:rsidRPr="00636D8B">
        <w:rPr>
          <w:rFonts w:ascii="Arial" w:hAnsi="Arial" w:cs="Arial"/>
          <w:i/>
          <w:iCs/>
          <w:sz w:val="24"/>
          <w:szCs w:val="24"/>
          <w:shd w:val="clear" w:color="auto" w:fill="FFFFFF"/>
        </w:rPr>
        <w:t>Business Strategy and the Environment</w:t>
      </w:r>
      <w:r w:rsidRPr="00636D8B">
        <w:rPr>
          <w:rFonts w:ascii="Arial" w:hAnsi="Arial" w:cs="Arial"/>
          <w:sz w:val="24"/>
          <w:szCs w:val="24"/>
          <w:shd w:val="clear" w:color="auto" w:fill="FFFFFF"/>
        </w:rPr>
        <w:t>, </w:t>
      </w:r>
      <w:r w:rsidRPr="00636D8B">
        <w:rPr>
          <w:rFonts w:ascii="Arial" w:hAnsi="Arial" w:cs="Arial"/>
          <w:i/>
          <w:iCs/>
          <w:sz w:val="24"/>
          <w:szCs w:val="24"/>
          <w:shd w:val="clear" w:color="auto" w:fill="FFFFFF"/>
        </w:rPr>
        <w:t>28</w:t>
      </w:r>
      <w:r w:rsidRPr="00636D8B">
        <w:rPr>
          <w:rFonts w:ascii="Arial" w:hAnsi="Arial" w:cs="Arial"/>
          <w:sz w:val="24"/>
          <w:szCs w:val="24"/>
          <w:shd w:val="clear" w:color="auto" w:fill="FFFFFF"/>
        </w:rPr>
        <w:t>(6), pp.1012-1026.</w:t>
      </w:r>
      <w:r w:rsidRPr="00636D8B">
        <w:rPr>
          <w:rFonts w:ascii="Arial" w:hAnsi="Arial" w:cs="Arial"/>
          <w:sz w:val="24"/>
          <w:szCs w:val="24"/>
        </w:rPr>
        <w:t xml:space="preserve"> </w:t>
      </w:r>
      <w:hyperlink r:id="rId16" w:tgtFrame="_blank" w:history="1">
        <w:r w:rsidRPr="00636D8B">
          <w:rPr>
            <w:rStyle w:val="Hyperlink"/>
            <w:rFonts w:ascii="Arial" w:hAnsi="Arial" w:cs="Arial"/>
            <w:color w:val="1A0DAB"/>
            <w:sz w:val="24"/>
            <w:szCs w:val="24"/>
            <w:shd w:val="clear" w:color="auto" w:fill="FFFFFF"/>
          </w:rPr>
          <w:t>https://onlinelibrary.wiley.com/doi/abs/10.1002/bse.2298</w:t>
        </w:r>
      </w:hyperlink>
    </w:p>
    <w:p w14:paraId="4DD070B5" w14:textId="77777777" w:rsidR="00A57FED" w:rsidRPr="00636D8B" w:rsidRDefault="00A57FED" w:rsidP="00A57FED">
      <w:pPr>
        <w:pStyle w:val="root-block-node"/>
        <w:spacing w:line="360" w:lineRule="auto"/>
        <w:jc w:val="both"/>
        <w:rPr>
          <w:rFonts w:ascii="Arial" w:hAnsi="Arial" w:cs="Arial"/>
        </w:rPr>
      </w:pPr>
    </w:p>
    <w:p w14:paraId="5080B030" w14:textId="77777777" w:rsidR="00A57FED" w:rsidRPr="00636D8B" w:rsidRDefault="00A57FED" w:rsidP="00A57FED">
      <w:pPr>
        <w:spacing w:line="360" w:lineRule="auto"/>
        <w:jc w:val="both"/>
        <w:rPr>
          <w:rFonts w:ascii="Arial" w:hAnsi="Arial" w:cs="Arial"/>
          <w:sz w:val="24"/>
          <w:szCs w:val="24"/>
        </w:rPr>
      </w:pPr>
    </w:p>
    <w:p w14:paraId="73F3F282" w14:textId="77777777" w:rsidR="00A57FED" w:rsidRPr="00636D8B" w:rsidRDefault="00A57FED" w:rsidP="00A57FED">
      <w:pPr>
        <w:spacing w:line="360" w:lineRule="auto"/>
        <w:jc w:val="both"/>
        <w:rPr>
          <w:rFonts w:ascii="Arial" w:hAnsi="Arial" w:cs="Arial"/>
          <w:sz w:val="24"/>
          <w:szCs w:val="24"/>
        </w:rPr>
      </w:pPr>
    </w:p>
    <w:p w14:paraId="70AB5398" w14:textId="77777777" w:rsidR="00A57FED" w:rsidRPr="00636D8B" w:rsidRDefault="00A57FED" w:rsidP="00A57FED">
      <w:pPr>
        <w:jc w:val="both"/>
        <w:rPr>
          <w:rFonts w:ascii="Arial" w:hAnsi="Arial" w:cs="Arial"/>
          <w:sz w:val="24"/>
          <w:szCs w:val="24"/>
        </w:rPr>
      </w:pPr>
    </w:p>
    <w:p w14:paraId="58DE5B36" w14:textId="77777777" w:rsidR="00754314" w:rsidRPr="00636D8B" w:rsidRDefault="00754314">
      <w:pPr>
        <w:rPr>
          <w:rFonts w:ascii="Arial" w:hAnsi="Arial" w:cs="Arial"/>
          <w:sz w:val="24"/>
          <w:szCs w:val="24"/>
        </w:rPr>
      </w:pPr>
    </w:p>
    <w:sectPr w:rsidR="00754314" w:rsidRPr="00636D8B" w:rsidSect="009A61F5">
      <w:footerReference w:type="default" r:id="rI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31884"/>
      <w:docPartObj>
        <w:docPartGallery w:val="Page Numbers (Bottom of Page)"/>
        <w:docPartUnique/>
      </w:docPartObj>
    </w:sdtPr>
    <w:sdtEndPr/>
    <w:sdtContent>
      <w:p w14:paraId="0FC4E054" w14:textId="77777777" w:rsidR="00F96421" w:rsidRDefault="00636D8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EDEBFA6" w14:textId="77777777" w:rsidR="00F96421" w:rsidRDefault="00636D8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FED"/>
    <w:rsid w:val="00636D8B"/>
    <w:rsid w:val="00754314"/>
    <w:rsid w:val="00A57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1E0E"/>
  <w15:chartTrackingRefBased/>
  <w15:docId w15:val="{546619BB-E457-4233-8BF5-2544F042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FED"/>
    <w:pPr>
      <w:spacing w:after="200" w:line="276" w:lineRule="auto"/>
    </w:pPr>
  </w:style>
  <w:style w:type="paragraph" w:styleId="Heading1">
    <w:name w:val="heading 1"/>
    <w:basedOn w:val="Normal"/>
    <w:next w:val="Normal"/>
    <w:link w:val="Heading1Char"/>
    <w:uiPriority w:val="9"/>
    <w:qFormat/>
    <w:rsid w:val="00A57FE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FED"/>
    <w:rPr>
      <w:rFonts w:asciiTheme="majorHAnsi" w:eastAsiaTheme="majorEastAsia" w:hAnsiTheme="majorHAnsi" w:cstheme="majorBidi"/>
      <w:b/>
      <w:bCs/>
      <w:color w:val="2F5496" w:themeColor="accent1" w:themeShade="BF"/>
      <w:sz w:val="28"/>
      <w:szCs w:val="28"/>
    </w:rPr>
  </w:style>
  <w:style w:type="paragraph" w:customStyle="1" w:styleId="root-block-node">
    <w:name w:val="root-block-node"/>
    <w:basedOn w:val="Normal"/>
    <w:rsid w:val="00A57F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57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FED"/>
  </w:style>
  <w:style w:type="character" w:styleId="Hyperlink">
    <w:name w:val="Hyperlink"/>
    <w:basedOn w:val="DefaultParagraphFont"/>
    <w:uiPriority w:val="99"/>
    <w:unhideWhenUsed/>
    <w:rsid w:val="00A57FED"/>
    <w:rPr>
      <w:color w:val="0000FF"/>
      <w:u w:val="single"/>
    </w:rPr>
  </w:style>
  <w:style w:type="paragraph" w:styleId="TOCHeading">
    <w:name w:val="TOC Heading"/>
    <w:basedOn w:val="Heading1"/>
    <w:next w:val="Normal"/>
    <w:uiPriority w:val="39"/>
    <w:unhideWhenUsed/>
    <w:qFormat/>
    <w:rsid w:val="00A57FED"/>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57F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pp.usc.edu/soc/syllabus/20221/11463.doc" TargetMode="External"/><Relationship Id="rId13" Type="http://schemas.openxmlformats.org/officeDocument/2006/relationships/hyperlink" Target="https://journals.sagepub.com/doi/abs/10.1177/1461444818821316"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sset-pdf.scinapse.io/prod/2055336412/2055336412.pdf" TargetMode="External"/><Relationship Id="rId12" Type="http://schemas.openxmlformats.org/officeDocument/2006/relationships/hyperlink" Target="https://www.academia.edu/37867255/Crabb_draft_Feb_18"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onlinelibrary.wiley.com/doi/abs/10.1002/bse.2298" TargetMode="External"/><Relationship Id="rId1" Type="http://schemas.openxmlformats.org/officeDocument/2006/relationships/styles" Target="styles.xml"/><Relationship Id="rId6" Type="http://schemas.openxmlformats.org/officeDocument/2006/relationships/hyperlink" Target="https://publications.waset.org/15443/public-participation-in-sustainable-urban-planning" TargetMode="External"/><Relationship Id="rId11" Type="http://schemas.openxmlformats.org/officeDocument/2006/relationships/hyperlink" Target="https://www.tandfonline.com/doi/abs/10.1080/14623943.2015.1095723" TargetMode="External"/><Relationship Id="rId5" Type="http://schemas.openxmlformats.org/officeDocument/2006/relationships/hyperlink" Target="https://journal.uniku.ac.id/index.php/IEFLJ/article/view/3382" TargetMode="External"/><Relationship Id="rId15" Type="http://schemas.openxmlformats.org/officeDocument/2006/relationships/hyperlink" Target="https://onlinelibrary.wiley.com/doi/abs/10.1002/bse.2298" TargetMode="External"/><Relationship Id="rId10" Type="http://schemas.openxmlformats.org/officeDocument/2006/relationships/hyperlink" Target="https://www.academia.edu/3472424/Managing_Project_Scope_Definition_to_Improve_Stakeholders_Participation_and_Enhance_Project_Outcome"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ieeexplore.ieee.org/document/6113114" TargetMode="External"/><Relationship Id="rId14" Type="http://schemas.openxmlformats.org/officeDocument/2006/relationships/hyperlink" Target="https://blogs.deakin.edu.au/apprj/wp-content/uploads/sites/33/2014/02/12-sinclai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2608</Words>
  <Characters>14869</Characters>
  <Application>Microsoft Office Word</Application>
  <DocSecurity>0</DocSecurity>
  <Lines>123</Lines>
  <Paragraphs>34</Paragraphs>
  <ScaleCrop>false</ScaleCrop>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cp:lastModifiedBy>
  <cp:revision>2</cp:revision>
  <dcterms:created xsi:type="dcterms:W3CDTF">2022-09-06T20:53:00Z</dcterms:created>
  <dcterms:modified xsi:type="dcterms:W3CDTF">2022-09-06T20:56:00Z</dcterms:modified>
</cp:coreProperties>
</file>