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73BB7D" w14:textId="79F34D79" w:rsidR="00981F62" w:rsidRPr="00724FA8" w:rsidRDefault="00981F62" w:rsidP="00CB203E">
      <w:pPr>
        <w:spacing w:line="240" w:lineRule="auto"/>
        <w:jc w:val="both"/>
        <w:rPr>
          <w:rFonts w:ascii="Times New Roman" w:hAnsi="Times New Roman" w:cs="Times New Roman"/>
          <w:b/>
          <w:bCs/>
          <w:sz w:val="28"/>
          <w:szCs w:val="28"/>
          <w:lang w:val="en-GB"/>
        </w:rPr>
      </w:pPr>
      <w:r w:rsidRPr="00724FA8">
        <w:rPr>
          <w:rFonts w:ascii="Times New Roman" w:hAnsi="Times New Roman" w:cs="Times New Roman"/>
          <w:b/>
          <w:bCs/>
          <w:sz w:val="28"/>
          <w:szCs w:val="28"/>
          <w:lang w:val="en-GB"/>
        </w:rPr>
        <w:t>Journal article</w:t>
      </w:r>
    </w:p>
    <w:p w14:paraId="641826BD" w14:textId="77777777" w:rsidR="00AA3F47" w:rsidRDefault="00AA3F47" w:rsidP="00CB203E">
      <w:pPr>
        <w:spacing w:line="240" w:lineRule="auto"/>
        <w:jc w:val="both"/>
        <w:rPr>
          <w:rFonts w:ascii="Times New Roman" w:hAnsi="Times New Roman" w:cs="Times New Roman"/>
          <w:b/>
          <w:bCs/>
          <w:sz w:val="24"/>
          <w:szCs w:val="24"/>
          <w:lang w:val="en-GB"/>
        </w:rPr>
      </w:pPr>
    </w:p>
    <w:p w14:paraId="6A8E4D31" w14:textId="5866272F" w:rsidR="00455899" w:rsidRPr="00455899" w:rsidRDefault="00DB603D" w:rsidP="00CB203E">
      <w:pPr>
        <w:spacing w:line="240" w:lineRule="auto"/>
        <w:jc w:val="both"/>
        <w:rPr>
          <w:rFonts w:ascii="Times New Roman" w:hAnsi="Times New Roman" w:cs="Times New Roman"/>
          <w:sz w:val="24"/>
          <w:szCs w:val="24"/>
          <w:lang w:val="en-GB"/>
        </w:rPr>
      </w:pPr>
      <w:r w:rsidRPr="00DB603D">
        <w:rPr>
          <w:rFonts w:ascii="Times New Roman" w:hAnsi="Times New Roman" w:cs="Times New Roman"/>
          <w:b/>
          <w:bCs/>
          <w:sz w:val="24"/>
          <w:szCs w:val="24"/>
          <w:lang w:val="en-GB"/>
        </w:rPr>
        <w:t xml:space="preserve">Title: </w:t>
      </w:r>
      <w:r w:rsidRPr="00DB603D">
        <w:rPr>
          <w:rFonts w:ascii="Times New Roman" w:hAnsi="Times New Roman" w:cs="Times New Roman"/>
          <w:sz w:val="24"/>
          <w:szCs w:val="24"/>
          <w:lang w:val="en-GB"/>
        </w:rPr>
        <w:t>Nurturing Classroom Inclusivity: A Qualitative Study of</w:t>
      </w:r>
      <w:r w:rsidR="0070679D">
        <w:rPr>
          <w:rFonts w:ascii="Times New Roman" w:hAnsi="Times New Roman" w:cs="Times New Roman"/>
          <w:sz w:val="24"/>
          <w:szCs w:val="24"/>
          <w:lang w:val="en-GB"/>
        </w:rPr>
        <w:t xml:space="preserve"> </w:t>
      </w:r>
      <w:r w:rsidR="008B17C9">
        <w:rPr>
          <w:rFonts w:ascii="Times New Roman" w:hAnsi="Times New Roman" w:cs="Times New Roman"/>
          <w:sz w:val="24"/>
          <w:szCs w:val="24"/>
          <w:lang w:val="en-GB"/>
        </w:rPr>
        <w:t>T</w:t>
      </w:r>
      <w:r w:rsidR="0070679D">
        <w:rPr>
          <w:rFonts w:ascii="Times New Roman" w:hAnsi="Times New Roman" w:cs="Times New Roman"/>
          <w:sz w:val="24"/>
          <w:szCs w:val="24"/>
          <w:lang w:val="en-GB"/>
        </w:rPr>
        <w:t>eachers’</w:t>
      </w:r>
      <w:r w:rsidRPr="00DB603D">
        <w:rPr>
          <w:rFonts w:ascii="Times New Roman" w:hAnsi="Times New Roman" w:cs="Times New Roman"/>
          <w:sz w:val="24"/>
          <w:szCs w:val="24"/>
          <w:lang w:val="en-GB"/>
        </w:rPr>
        <w:t xml:space="preserve"> Leadership Practices in High schools</w:t>
      </w:r>
    </w:p>
    <w:p w14:paraId="6562084B" w14:textId="7E73336C" w:rsidR="00DB603D" w:rsidRPr="00DB603D" w:rsidRDefault="00DB603D" w:rsidP="00CB203E">
      <w:pPr>
        <w:spacing w:line="240" w:lineRule="auto"/>
        <w:jc w:val="both"/>
        <w:rPr>
          <w:rFonts w:ascii="Times New Roman" w:hAnsi="Times New Roman" w:cs="Times New Roman"/>
          <w:b/>
          <w:bCs/>
          <w:sz w:val="24"/>
          <w:szCs w:val="24"/>
          <w:lang w:val="en-GB"/>
        </w:rPr>
      </w:pPr>
      <w:r w:rsidRPr="00DB603D">
        <w:rPr>
          <w:rFonts w:ascii="Times New Roman" w:hAnsi="Times New Roman" w:cs="Times New Roman"/>
          <w:b/>
          <w:bCs/>
          <w:sz w:val="24"/>
          <w:szCs w:val="24"/>
          <w:lang w:val="en-GB"/>
        </w:rPr>
        <w:t xml:space="preserve">Name: </w:t>
      </w:r>
      <w:r w:rsidRPr="00DB603D">
        <w:rPr>
          <w:rFonts w:ascii="Times New Roman" w:hAnsi="Times New Roman" w:cs="Times New Roman"/>
          <w:sz w:val="24"/>
          <w:szCs w:val="24"/>
          <w:lang w:val="en-GB"/>
        </w:rPr>
        <w:t>Arthur E</w:t>
      </w:r>
      <w:r w:rsidR="00DC421D">
        <w:rPr>
          <w:rFonts w:ascii="Times New Roman" w:hAnsi="Times New Roman" w:cs="Times New Roman"/>
          <w:sz w:val="24"/>
          <w:szCs w:val="24"/>
          <w:lang w:val="en-GB"/>
        </w:rPr>
        <w:t>mmanuel</w:t>
      </w:r>
      <w:r w:rsidR="002D3BE4">
        <w:rPr>
          <w:rFonts w:ascii="Times New Roman" w:hAnsi="Times New Roman" w:cs="Times New Roman"/>
          <w:sz w:val="24"/>
          <w:szCs w:val="24"/>
          <w:lang w:val="en-GB"/>
        </w:rPr>
        <w:t xml:space="preserve"> Nkalubo</w:t>
      </w:r>
    </w:p>
    <w:p w14:paraId="7CE501B4" w14:textId="77777777" w:rsidR="00DB603D" w:rsidRPr="00DB603D" w:rsidRDefault="00DB603D" w:rsidP="00CB203E">
      <w:pPr>
        <w:spacing w:line="240" w:lineRule="auto"/>
        <w:jc w:val="both"/>
        <w:rPr>
          <w:rFonts w:ascii="Times New Roman" w:hAnsi="Times New Roman" w:cs="Times New Roman"/>
          <w:b/>
          <w:bCs/>
          <w:sz w:val="24"/>
          <w:szCs w:val="24"/>
          <w:lang w:val="en-GB"/>
        </w:rPr>
      </w:pPr>
      <w:r w:rsidRPr="00DB603D">
        <w:rPr>
          <w:rFonts w:ascii="Times New Roman" w:hAnsi="Times New Roman" w:cs="Times New Roman"/>
          <w:b/>
          <w:bCs/>
          <w:sz w:val="24"/>
          <w:szCs w:val="24"/>
          <w:lang w:val="en-GB"/>
        </w:rPr>
        <w:t xml:space="preserve">Student number: </w:t>
      </w:r>
      <w:r w:rsidRPr="00DB603D">
        <w:rPr>
          <w:rFonts w:ascii="Times New Roman" w:hAnsi="Times New Roman" w:cs="Times New Roman"/>
          <w:sz w:val="24"/>
          <w:szCs w:val="24"/>
          <w:lang w:val="en-GB"/>
        </w:rPr>
        <w:t>2211172</w:t>
      </w:r>
    </w:p>
    <w:p w14:paraId="787F5C22" w14:textId="422B8073" w:rsidR="00DB603D" w:rsidRPr="00DB603D" w:rsidRDefault="00DB603D" w:rsidP="00CB203E">
      <w:pPr>
        <w:spacing w:line="240" w:lineRule="auto"/>
        <w:jc w:val="both"/>
        <w:rPr>
          <w:rFonts w:ascii="Times New Roman" w:hAnsi="Times New Roman" w:cs="Times New Roman"/>
          <w:b/>
          <w:bCs/>
          <w:sz w:val="24"/>
          <w:szCs w:val="24"/>
          <w:lang w:val="en-GB"/>
        </w:rPr>
      </w:pPr>
      <w:r w:rsidRPr="00DB603D">
        <w:rPr>
          <w:rFonts w:ascii="Times New Roman" w:hAnsi="Times New Roman" w:cs="Times New Roman"/>
          <w:b/>
          <w:bCs/>
          <w:sz w:val="24"/>
          <w:szCs w:val="24"/>
          <w:lang w:val="en-GB"/>
        </w:rPr>
        <w:t xml:space="preserve">Course: </w:t>
      </w:r>
      <w:r w:rsidR="00A72676">
        <w:rPr>
          <w:rFonts w:ascii="Times New Roman" w:hAnsi="Times New Roman" w:cs="Times New Roman"/>
          <w:sz w:val="24"/>
          <w:szCs w:val="24"/>
          <w:lang w:val="en-GB"/>
        </w:rPr>
        <w:t xml:space="preserve">Qualitative </w:t>
      </w:r>
      <w:r w:rsidR="005A4774">
        <w:rPr>
          <w:rFonts w:ascii="Times New Roman" w:hAnsi="Times New Roman" w:cs="Times New Roman"/>
          <w:sz w:val="24"/>
          <w:szCs w:val="24"/>
          <w:lang w:val="en-GB"/>
        </w:rPr>
        <w:t>R</w:t>
      </w:r>
      <w:r w:rsidR="00A72676">
        <w:rPr>
          <w:rFonts w:ascii="Times New Roman" w:hAnsi="Times New Roman" w:cs="Times New Roman"/>
          <w:sz w:val="24"/>
          <w:szCs w:val="24"/>
          <w:lang w:val="en-GB"/>
        </w:rPr>
        <w:t xml:space="preserve">esearch </w:t>
      </w:r>
      <w:r w:rsidR="005A4774">
        <w:rPr>
          <w:rFonts w:ascii="Times New Roman" w:hAnsi="Times New Roman" w:cs="Times New Roman"/>
          <w:sz w:val="24"/>
          <w:szCs w:val="24"/>
          <w:lang w:val="en-GB"/>
        </w:rPr>
        <w:t xml:space="preserve">Methods </w:t>
      </w:r>
      <w:r w:rsidR="00D70FAF">
        <w:rPr>
          <w:rFonts w:ascii="Times New Roman" w:hAnsi="Times New Roman" w:cs="Times New Roman"/>
          <w:sz w:val="24"/>
          <w:szCs w:val="24"/>
          <w:lang w:val="en-GB"/>
        </w:rPr>
        <w:t>(</w:t>
      </w:r>
      <w:r w:rsidR="00604CE7">
        <w:rPr>
          <w:rFonts w:ascii="Times New Roman" w:hAnsi="Times New Roman" w:cs="Times New Roman"/>
          <w:sz w:val="24"/>
          <w:szCs w:val="24"/>
          <w:lang w:val="en-GB"/>
        </w:rPr>
        <w:t>BMDP</w:t>
      </w:r>
      <w:r w:rsidR="000C6AEA">
        <w:rPr>
          <w:rFonts w:ascii="Times New Roman" w:hAnsi="Times New Roman" w:cs="Times New Roman"/>
          <w:sz w:val="24"/>
          <w:szCs w:val="24"/>
          <w:lang w:val="en-GB"/>
        </w:rPr>
        <w:t>7008</w:t>
      </w:r>
      <w:r w:rsidR="00D70FAF">
        <w:rPr>
          <w:rFonts w:ascii="Times New Roman" w:hAnsi="Times New Roman" w:cs="Times New Roman"/>
          <w:sz w:val="24"/>
          <w:szCs w:val="24"/>
          <w:lang w:val="en-GB"/>
        </w:rPr>
        <w:t>)</w:t>
      </w:r>
    </w:p>
    <w:p w14:paraId="3111DDB8" w14:textId="029718EE" w:rsidR="00AA180F" w:rsidRPr="00095412" w:rsidRDefault="00DB603D" w:rsidP="00CB203E">
      <w:pPr>
        <w:spacing w:line="240" w:lineRule="auto"/>
        <w:jc w:val="both"/>
        <w:rPr>
          <w:rFonts w:ascii="Times New Roman" w:hAnsi="Times New Roman" w:cs="Times New Roman"/>
          <w:sz w:val="24"/>
          <w:szCs w:val="24"/>
          <w:lang w:val="en-GB"/>
        </w:rPr>
      </w:pPr>
      <w:r w:rsidRPr="00DB603D">
        <w:rPr>
          <w:rFonts w:ascii="Times New Roman" w:hAnsi="Times New Roman" w:cs="Times New Roman"/>
          <w:b/>
          <w:bCs/>
          <w:sz w:val="24"/>
          <w:szCs w:val="24"/>
          <w:lang w:val="en-GB"/>
        </w:rPr>
        <w:t xml:space="preserve">Word count: </w:t>
      </w:r>
      <w:r w:rsidR="00095412" w:rsidRPr="00095412">
        <w:rPr>
          <w:rFonts w:ascii="Times New Roman" w:hAnsi="Times New Roman" w:cs="Times New Roman"/>
          <w:sz w:val="24"/>
          <w:szCs w:val="24"/>
          <w:lang w:val="en-GB"/>
        </w:rPr>
        <w:t>75</w:t>
      </w:r>
      <w:r w:rsidR="00112173">
        <w:rPr>
          <w:rFonts w:ascii="Times New Roman" w:hAnsi="Times New Roman" w:cs="Times New Roman"/>
          <w:sz w:val="24"/>
          <w:szCs w:val="24"/>
          <w:lang w:val="en-GB"/>
        </w:rPr>
        <w:t>28</w:t>
      </w:r>
    </w:p>
    <w:p w14:paraId="2167874B" w14:textId="77777777" w:rsidR="00AA3F47" w:rsidRDefault="00AA3F47" w:rsidP="00CB203E">
      <w:pPr>
        <w:spacing w:line="240" w:lineRule="auto"/>
        <w:jc w:val="both"/>
        <w:rPr>
          <w:rFonts w:ascii="Times New Roman" w:hAnsi="Times New Roman" w:cs="Times New Roman"/>
          <w:b/>
          <w:bCs/>
          <w:sz w:val="24"/>
          <w:szCs w:val="24"/>
          <w:lang w:val="en-GB"/>
        </w:rPr>
      </w:pPr>
    </w:p>
    <w:p w14:paraId="7A8B9E14" w14:textId="77777777" w:rsidR="00455899" w:rsidRDefault="00455899" w:rsidP="00CB203E">
      <w:pPr>
        <w:spacing w:line="240" w:lineRule="auto"/>
        <w:jc w:val="both"/>
        <w:rPr>
          <w:rFonts w:ascii="Times New Roman" w:hAnsi="Times New Roman" w:cs="Times New Roman"/>
          <w:b/>
          <w:bCs/>
          <w:sz w:val="24"/>
          <w:szCs w:val="24"/>
          <w:lang w:val="en-GB"/>
        </w:rPr>
      </w:pPr>
    </w:p>
    <w:p w14:paraId="79F1423C" w14:textId="77777777" w:rsidR="00455899" w:rsidRDefault="00455899" w:rsidP="00CB203E">
      <w:pPr>
        <w:spacing w:line="240" w:lineRule="auto"/>
        <w:jc w:val="both"/>
        <w:rPr>
          <w:rFonts w:ascii="Times New Roman" w:hAnsi="Times New Roman" w:cs="Times New Roman"/>
          <w:b/>
          <w:bCs/>
          <w:sz w:val="24"/>
          <w:szCs w:val="24"/>
          <w:lang w:val="en-GB"/>
        </w:rPr>
      </w:pPr>
    </w:p>
    <w:p w14:paraId="508302B5" w14:textId="77777777" w:rsidR="00455899" w:rsidRDefault="00455899" w:rsidP="00CB203E">
      <w:pPr>
        <w:spacing w:line="240" w:lineRule="auto"/>
        <w:jc w:val="both"/>
        <w:rPr>
          <w:rFonts w:ascii="Times New Roman" w:hAnsi="Times New Roman" w:cs="Times New Roman"/>
          <w:b/>
          <w:bCs/>
          <w:sz w:val="24"/>
          <w:szCs w:val="24"/>
          <w:lang w:val="en-GB"/>
        </w:rPr>
      </w:pPr>
    </w:p>
    <w:p w14:paraId="57822288" w14:textId="77777777" w:rsidR="00455899" w:rsidRDefault="00455899" w:rsidP="00CB203E">
      <w:pPr>
        <w:spacing w:line="240" w:lineRule="auto"/>
        <w:jc w:val="both"/>
        <w:rPr>
          <w:rFonts w:ascii="Times New Roman" w:hAnsi="Times New Roman" w:cs="Times New Roman"/>
          <w:b/>
          <w:bCs/>
          <w:sz w:val="24"/>
          <w:szCs w:val="24"/>
          <w:lang w:val="en-GB"/>
        </w:rPr>
      </w:pPr>
    </w:p>
    <w:p w14:paraId="0EA99B9A" w14:textId="77777777" w:rsidR="00455899" w:rsidRDefault="00455899" w:rsidP="00CB203E">
      <w:pPr>
        <w:spacing w:line="240" w:lineRule="auto"/>
        <w:jc w:val="both"/>
        <w:rPr>
          <w:rFonts w:ascii="Times New Roman" w:hAnsi="Times New Roman" w:cs="Times New Roman"/>
          <w:b/>
          <w:bCs/>
          <w:sz w:val="24"/>
          <w:szCs w:val="24"/>
          <w:lang w:val="en-GB"/>
        </w:rPr>
      </w:pPr>
    </w:p>
    <w:p w14:paraId="25122C7D" w14:textId="77777777" w:rsidR="00455899" w:rsidRDefault="00455899" w:rsidP="00CB203E">
      <w:pPr>
        <w:spacing w:line="240" w:lineRule="auto"/>
        <w:jc w:val="both"/>
        <w:rPr>
          <w:rFonts w:ascii="Times New Roman" w:hAnsi="Times New Roman" w:cs="Times New Roman"/>
          <w:b/>
          <w:bCs/>
          <w:sz w:val="24"/>
          <w:szCs w:val="24"/>
          <w:lang w:val="en-GB"/>
        </w:rPr>
      </w:pPr>
    </w:p>
    <w:p w14:paraId="7B38266A" w14:textId="77777777" w:rsidR="00455899" w:rsidRDefault="00455899" w:rsidP="00CB203E">
      <w:pPr>
        <w:spacing w:line="240" w:lineRule="auto"/>
        <w:jc w:val="both"/>
        <w:rPr>
          <w:rFonts w:ascii="Times New Roman" w:hAnsi="Times New Roman" w:cs="Times New Roman"/>
          <w:b/>
          <w:bCs/>
          <w:sz w:val="24"/>
          <w:szCs w:val="24"/>
          <w:lang w:val="en-GB"/>
        </w:rPr>
      </w:pPr>
    </w:p>
    <w:p w14:paraId="4CE595F6" w14:textId="77777777" w:rsidR="00455899" w:rsidRDefault="00455899" w:rsidP="00CB203E">
      <w:pPr>
        <w:spacing w:line="240" w:lineRule="auto"/>
        <w:jc w:val="both"/>
        <w:rPr>
          <w:rFonts w:ascii="Times New Roman" w:hAnsi="Times New Roman" w:cs="Times New Roman"/>
          <w:b/>
          <w:bCs/>
          <w:sz w:val="24"/>
          <w:szCs w:val="24"/>
          <w:lang w:val="en-GB"/>
        </w:rPr>
      </w:pPr>
    </w:p>
    <w:p w14:paraId="69FB3F1E" w14:textId="77777777" w:rsidR="00455899" w:rsidRDefault="00455899" w:rsidP="00CB203E">
      <w:pPr>
        <w:spacing w:line="240" w:lineRule="auto"/>
        <w:jc w:val="both"/>
        <w:rPr>
          <w:rFonts w:ascii="Times New Roman" w:hAnsi="Times New Roman" w:cs="Times New Roman"/>
          <w:b/>
          <w:bCs/>
          <w:sz w:val="24"/>
          <w:szCs w:val="24"/>
          <w:lang w:val="en-GB"/>
        </w:rPr>
      </w:pPr>
    </w:p>
    <w:p w14:paraId="3D6F383B" w14:textId="77777777" w:rsidR="00455899" w:rsidRDefault="00455899" w:rsidP="00CB203E">
      <w:pPr>
        <w:spacing w:line="240" w:lineRule="auto"/>
        <w:jc w:val="both"/>
        <w:rPr>
          <w:rFonts w:ascii="Times New Roman" w:hAnsi="Times New Roman" w:cs="Times New Roman"/>
          <w:b/>
          <w:bCs/>
          <w:sz w:val="24"/>
          <w:szCs w:val="24"/>
          <w:lang w:val="en-GB"/>
        </w:rPr>
      </w:pPr>
    </w:p>
    <w:p w14:paraId="4A513AF5" w14:textId="77777777" w:rsidR="00455899" w:rsidRDefault="00455899" w:rsidP="00CB203E">
      <w:pPr>
        <w:spacing w:line="240" w:lineRule="auto"/>
        <w:jc w:val="both"/>
        <w:rPr>
          <w:rFonts w:ascii="Times New Roman" w:hAnsi="Times New Roman" w:cs="Times New Roman"/>
          <w:b/>
          <w:bCs/>
          <w:sz w:val="24"/>
          <w:szCs w:val="24"/>
          <w:lang w:val="en-GB"/>
        </w:rPr>
      </w:pPr>
    </w:p>
    <w:p w14:paraId="6D555F17" w14:textId="77777777" w:rsidR="00455899" w:rsidRDefault="00455899" w:rsidP="00CB203E">
      <w:pPr>
        <w:spacing w:line="240" w:lineRule="auto"/>
        <w:jc w:val="both"/>
        <w:rPr>
          <w:rFonts w:ascii="Times New Roman" w:hAnsi="Times New Roman" w:cs="Times New Roman"/>
          <w:b/>
          <w:bCs/>
          <w:sz w:val="24"/>
          <w:szCs w:val="24"/>
          <w:lang w:val="en-GB"/>
        </w:rPr>
      </w:pPr>
    </w:p>
    <w:p w14:paraId="1DB1690C" w14:textId="77777777" w:rsidR="00455899" w:rsidRDefault="00455899" w:rsidP="00CB203E">
      <w:pPr>
        <w:spacing w:line="240" w:lineRule="auto"/>
        <w:jc w:val="both"/>
        <w:rPr>
          <w:rFonts w:ascii="Times New Roman" w:hAnsi="Times New Roman" w:cs="Times New Roman"/>
          <w:b/>
          <w:bCs/>
          <w:sz w:val="24"/>
          <w:szCs w:val="24"/>
          <w:lang w:val="en-GB"/>
        </w:rPr>
      </w:pPr>
    </w:p>
    <w:p w14:paraId="3C0F49E4" w14:textId="77777777" w:rsidR="00455899" w:rsidRDefault="00455899" w:rsidP="00CB203E">
      <w:pPr>
        <w:spacing w:line="240" w:lineRule="auto"/>
        <w:jc w:val="both"/>
        <w:rPr>
          <w:rFonts w:ascii="Times New Roman" w:hAnsi="Times New Roman" w:cs="Times New Roman"/>
          <w:b/>
          <w:bCs/>
          <w:sz w:val="24"/>
          <w:szCs w:val="24"/>
          <w:lang w:val="en-GB"/>
        </w:rPr>
      </w:pPr>
    </w:p>
    <w:p w14:paraId="5EBAEB27" w14:textId="77777777" w:rsidR="00455899" w:rsidRDefault="00455899" w:rsidP="00CB203E">
      <w:pPr>
        <w:spacing w:line="240" w:lineRule="auto"/>
        <w:jc w:val="both"/>
        <w:rPr>
          <w:rFonts w:ascii="Times New Roman" w:hAnsi="Times New Roman" w:cs="Times New Roman"/>
          <w:b/>
          <w:bCs/>
          <w:sz w:val="24"/>
          <w:szCs w:val="24"/>
          <w:lang w:val="en-GB"/>
        </w:rPr>
      </w:pPr>
    </w:p>
    <w:p w14:paraId="6E5CB630" w14:textId="77777777" w:rsidR="00455899" w:rsidRDefault="00455899" w:rsidP="00CB203E">
      <w:pPr>
        <w:spacing w:line="240" w:lineRule="auto"/>
        <w:jc w:val="both"/>
        <w:rPr>
          <w:rFonts w:ascii="Times New Roman" w:hAnsi="Times New Roman" w:cs="Times New Roman"/>
          <w:b/>
          <w:bCs/>
          <w:sz w:val="24"/>
          <w:szCs w:val="24"/>
          <w:lang w:val="en-GB"/>
        </w:rPr>
      </w:pPr>
    </w:p>
    <w:p w14:paraId="504C81F8" w14:textId="77777777" w:rsidR="00455899" w:rsidRDefault="00455899" w:rsidP="00CB203E">
      <w:pPr>
        <w:spacing w:line="240" w:lineRule="auto"/>
        <w:jc w:val="both"/>
        <w:rPr>
          <w:rFonts w:ascii="Times New Roman" w:hAnsi="Times New Roman" w:cs="Times New Roman"/>
          <w:b/>
          <w:bCs/>
          <w:sz w:val="24"/>
          <w:szCs w:val="24"/>
          <w:lang w:val="en-GB"/>
        </w:rPr>
      </w:pPr>
    </w:p>
    <w:p w14:paraId="2DBD5246" w14:textId="77777777" w:rsidR="00455899" w:rsidRDefault="00455899" w:rsidP="00CB203E">
      <w:pPr>
        <w:spacing w:line="240" w:lineRule="auto"/>
        <w:jc w:val="both"/>
        <w:rPr>
          <w:rFonts w:ascii="Times New Roman" w:hAnsi="Times New Roman" w:cs="Times New Roman"/>
          <w:b/>
          <w:bCs/>
          <w:sz w:val="24"/>
          <w:szCs w:val="24"/>
          <w:lang w:val="en-GB"/>
        </w:rPr>
      </w:pPr>
    </w:p>
    <w:p w14:paraId="47351F88" w14:textId="77777777" w:rsidR="00455899" w:rsidRDefault="00455899" w:rsidP="00CB203E">
      <w:pPr>
        <w:spacing w:line="240" w:lineRule="auto"/>
        <w:jc w:val="both"/>
        <w:rPr>
          <w:rFonts w:ascii="Times New Roman" w:hAnsi="Times New Roman" w:cs="Times New Roman"/>
          <w:b/>
          <w:bCs/>
          <w:sz w:val="24"/>
          <w:szCs w:val="24"/>
          <w:lang w:val="en-GB"/>
        </w:rPr>
      </w:pPr>
    </w:p>
    <w:p w14:paraId="258BD3AF" w14:textId="77777777" w:rsidR="00455899" w:rsidRDefault="00455899" w:rsidP="00CB203E">
      <w:pPr>
        <w:spacing w:line="240" w:lineRule="auto"/>
        <w:jc w:val="both"/>
        <w:rPr>
          <w:rFonts w:ascii="Times New Roman" w:hAnsi="Times New Roman" w:cs="Times New Roman"/>
          <w:b/>
          <w:bCs/>
          <w:sz w:val="24"/>
          <w:szCs w:val="24"/>
          <w:lang w:val="en-GB"/>
        </w:rPr>
      </w:pPr>
    </w:p>
    <w:p w14:paraId="633DF964" w14:textId="77777777" w:rsidR="00455899" w:rsidRDefault="00455899" w:rsidP="00CB203E">
      <w:pPr>
        <w:spacing w:line="240" w:lineRule="auto"/>
        <w:jc w:val="both"/>
        <w:rPr>
          <w:rFonts w:ascii="Times New Roman" w:hAnsi="Times New Roman" w:cs="Times New Roman"/>
          <w:b/>
          <w:bCs/>
          <w:sz w:val="24"/>
          <w:szCs w:val="24"/>
          <w:lang w:val="en-GB"/>
        </w:rPr>
      </w:pPr>
    </w:p>
    <w:p w14:paraId="0C79ADC4" w14:textId="77777777" w:rsidR="00455899" w:rsidRDefault="00455899" w:rsidP="00CB203E">
      <w:pPr>
        <w:spacing w:line="240" w:lineRule="auto"/>
        <w:jc w:val="both"/>
        <w:rPr>
          <w:rFonts w:ascii="Times New Roman" w:hAnsi="Times New Roman" w:cs="Times New Roman"/>
          <w:b/>
          <w:bCs/>
          <w:sz w:val="24"/>
          <w:szCs w:val="24"/>
          <w:lang w:val="en-GB"/>
        </w:rPr>
      </w:pPr>
    </w:p>
    <w:p w14:paraId="4784E989" w14:textId="69EA830B" w:rsidR="0095148C" w:rsidRPr="00AA3F47" w:rsidRDefault="0095148C" w:rsidP="00202618">
      <w:pPr>
        <w:pStyle w:val="Normalwebb"/>
        <w:spacing w:line="360" w:lineRule="auto"/>
        <w:jc w:val="both"/>
        <w:rPr>
          <w:rFonts w:eastAsiaTheme="majorEastAsia"/>
          <w:b/>
          <w:bCs/>
          <w:lang w:val="en-GB"/>
        </w:rPr>
      </w:pPr>
      <w:r w:rsidRPr="0095148C">
        <w:rPr>
          <w:rStyle w:val="Stark"/>
          <w:rFonts w:eastAsiaTheme="majorEastAsia"/>
          <w:lang w:val="en-GB"/>
        </w:rPr>
        <w:lastRenderedPageBreak/>
        <w:t>Abstract</w:t>
      </w:r>
      <w:r w:rsidRPr="0095148C">
        <w:rPr>
          <w:lang w:val="en-GB"/>
        </w:rPr>
        <w:br/>
        <w:t xml:space="preserve">This phenomenological study examines how teachers’ leadership practices in high school classrooms contribute to inclusive learning environments where all students feel valued and supported. Although inclusion is a central focus in contemporary education, its implementation remains open to interpretation, with teachers employing varied pedagogical approaches to engage diverse learners. </w:t>
      </w:r>
      <w:r w:rsidR="004230FD">
        <w:rPr>
          <w:lang w:val="en-GB"/>
        </w:rPr>
        <w:t>Invoking</w:t>
      </w:r>
      <w:r w:rsidRPr="0095148C">
        <w:rPr>
          <w:lang w:val="en-GB"/>
        </w:rPr>
        <w:t xml:space="preserve"> an inclusivity framework, the study explores how teachers enact pedagogical leadership to promote belonging, participation, and engagement among diverse students.</w:t>
      </w:r>
    </w:p>
    <w:p w14:paraId="51000688" w14:textId="77777777" w:rsidR="0095148C" w:rsidRPr="0095148C" w:rsidRDefault="0095148C" w:rsidP="00202618">
      <w:pPr>
        <w:pStyle w:val="Normalwebb"/>
        <w:spacing w:line="360" w:lineRule="auto"/>
        <w:jc w:val="both"/>
        <w:rPr>
          <w:lang w:val="en-GB"/>
        </w:rPr>
      </w:pPr>
      <w:r w:rsidRPr="0095148C">
        <w:rPr>
          <w:lang w:val="en-GB"/>
        </w:rPr>
        <w:t>Using a qualitative phenomenological design, data were collected through structured interviews with three experienced high school teachers from two semi-urban schools in Stockholm. The analysis focuses on teachers’ perceptions of inclusion and how these shape classroom practices. The findings highlight the central role of teacher leadership in creating inclusive classroom climates and identify key practices, including fostering mutual respect and equitable participation, maintaining cultural awareness through responsive communication, and implementing inclusive learning strategies.</w:t>
      </w:r>
    </w:p>
    <w:p w14:paraId="41E019E5" w14:textId="27C2EA03" w:rsidR="0095148C" w:rsidRPr="005D09CB" w:rsidRDefault="0095148C" w:rsidP="00202618">
      <w:pPr>
        <w:pStyle w:val="Normalwebb"/>
        <w:spacing w:line="360" w:lineRule="auto"/>
        <w:jc w:val="both"/>
        <w:rPr>
          <w:lang w:val="en-GB"/>
        </w:rPr>
      </w:pPr>
      <w:r w:rsidRPr="0095148C">
        <w:rPr>
          <w:lang w:val="en-GB"/>
        </w:rPr>
        <w:t>Overall, the findings contribute to understanding inclusivity as a broad, context-dependent concept and underscore the need to further develop inclusive pedagogical practices in diverse classroom settings.</w:t>
      </w:r>
    </w:p>
    <w:p w14:paraId="71F6E996" w14:textId="77777777" w:rsidR="0037333D" w:rsidRDefault="004A01C1" w:rsidP="00CB203E">
      <w:pPr>
        <w:spacing w:line="360" w:lineRule="auto"/>
        <w:jc w:val="both"/>
        <w:rPr>
          <w:rFonts w:ascii="Times New Roman" w:hAnsi="Times New Roman" w:cs="Times New Roman"/>
          <w:b/>
          <w:bCs/>
          <w:sz w:val="24"/>
          <w:szCs w:val="24"/>
          <w:lang w:val="en-GB"/>
        </w:rPr>
      </w:pPr>
      <w:r w:rsidRPr="00D302B7">
        <w:rPr>
          <w:rFonts w:ascii="Times New Roman" w:hAnsi="Times New Roman" w:cs="Times New Roman"/>
          <w:b/>
          <w:bCs/>
          <w:sz w:val="24"/>
          <w:szCs w:val="24"/>
          <w:lang w:val="en-GB"/>
        </w:rPr>
        <w:t>Key words</w:t>
      </w:r>
    </w:p>
    <w:p w14:paraId="46154AFB" w14:textId="14927E01" w:rsidR="00AA3F47" w:rsidRPr="00ED22D9" w:rsidRDefault="0037333D" w:rsidP="00765C5E">
      <w:pPr>
        <w:spacing w:line="360" w:lineRule="auto"/>
        <w:jc w:val="both"/>
        <w:rPr>
          <w:rFonts w:ascii="Times New Roman" w:hAnsi="Times New Roman" w:cs="Times New Roman"/>
          <w:sz w:val="24"/>
          <w:szCs w:val="24"/>
          <w:lang w:val="en-GB"/>
        </w:rPr>
      </w:pPr>
      <w:r w:rsidRPr="00ED22D9">
        <w:rPr>
          <w:rFonts w:ascii="Times New Roman" w:hAnsi="Times New Roman" w:cs="Times New Roman"/>
          <w:sz w:val="24"/>
          <w:szCs w:val="24"/>
          <w:lang w:val="en-GB"/>
        </w:rPr>
        <w:t>C</w:t>
      </w:r>
      <w:r w:rsidR="004A01C1" w:rsidRPr="00ED22D9">
        <w:rPr>
          <w:rFonts w:ascii="Times New Roman" w:hAnsi="Times New Roman" w:cs="Times New Roman"/>
          <w:sz w:val="24"/>
          <w:szCs w:val="24"/>
          <w:lang w:val="en-GB"/>
        </w:rPr>
        <w:t xml:space="preserve">lassroom </w:t>
      </w:r>
      <w:r w:rsidR="00CB203E" w:rsidRPr="00ED22D9">
        <w:rPr>
          <w:rFonts w:ascii="Times New Roman" w:hAnsi="Times New Roman" w:cs="Times New Roman"/>
          <w:sz w:val="24"/>
          <w:szCs w:val="24"/>
          <w:lang w:val="en-GB"/>
        </w:rPr>
        <w:t>environment</w:t>
      </w:r>
      <w:r w:rsidR="00EC00E9" w:rsidRPr="00ED22D9">
        <w:rPr>
          <w:rFonts w:ascii="Times New Roman" w:hAnsi="Times New Roman" w:cs="Times New Roman"/>
          <w:sz w:val="24"/>
          <w:szCs w:val="24"/>
          <w:lang w:val="en-GB"/>
        </w:rPr>
        <w:t>;</w:t>
      </w:r>
      <w:r w:rsidR="00CB203E" w:rsidRPr="00ED22D9">
        <w:rPr>
          <w:rFonts w:ascii="Times New Roman" w:hAnsi="Times New Roman" w:cs="Times New Roman"/>
          <w:sz w:val="24"/>
          <w:szCs w:val="24"/>
          <w:lang w:val="en-GB"/>
        </w:rPr>
        <w:t xml:space="preserve"> </w:t>
      </w:r>
      <w:r w:rsidR="00A5290E" w:rsidRPr="00ED22D9">
        <w:rPr>
          <w:rFonts w:ascii="Times New Roman" w:hAnsi="Times New Roman" w:cs="Times New Roman"/>
          <w:sz w:val="24"/>
          <w:szCs w:val="24"/>
          <w:lang w:val="en-GB"/>
        </w:rPr>
        <w:t>E</w:t>
      </w:r>
      <w:r w:rsidR="00EC00E9" w:rsidRPr="00ED22D9">
        <w:rPr>
          <w:rFonts w:ascii="Times New Roman" w:hAnsi="Times New Roman" w:cs="Times New Roman"/>
          <w:sz w:val="24"/>
          <w:szCs w:val="24"/>
          <w:lang w:val="en-GB"/>
        </w:rPr>
        <w:t>ducational</w:t>
      </w:r>
      <w:r w:rsidR="0007211E" w:rsidRPr="00ED22D9">
        <w:rPr>
          <w:rFonts w:ascii="Times New Roman" w:hAnsi="Times New Roman" w:cs="Times New Roman"/>
          <w:sz w:val="24"/>
          <w:szCs w:val="24"/>
          <w:lang w:val="en-GB"/>
        </w:rPr>
        <w:t xml:space="preserve"> leadership</w:t>
      </w:r>
      <w:r w:rsidR="00EC00E9" w:rsidRPr="00ED22D9">
        <w:rPr>
          <w:rFonts w:ascii="Times New Roman" w:hAnsi="Times New Roman" w:cs="Times New Roman"/>
          <w:sz w:val="24"/>
          <w:szCs w:val="24"/>
          <w:lang w:val="en-GB"/>
        </w:rPr>
        <w:t>;</w:t>
      </w:r>
      <w:r w:rsidR="00DD3343" w:rsidRPr="00ED22D9">
        <w:rPr>
          <w:rFonts w:ascii="Times New Roman" w:hAnsi="Times New Roman" w:cs="Times New Roman"/>
          <w:sz w:val="24"/>
          <w:szCs w:val="24"/>
          <w:lang w:val="en-GB"/>
        </w:rPr>
        <w:t xml:space="preserve"> Inclusive education; Teacher leadership; Classroom inclusivity; Diverse learners; Pedagogical practices; High school education</w:t>
      </w:r>
    </w:p>
    <w:p w14:paraId="0B6619BD" w14:textId="6F984784" w:rsidR="004653A7" w:rsidRPr="00FA70D3" w:rsidRDefault="004653A7" w:rsidP="00765C5E">
      <w:pPr>
        <w:spacing w:line="360" w:lineRule="auto"/>
        <w:jc w:val="both"/>
        <w:rPr>
          <w:rFonts w:ascii="Times New Roman" w:hAnsi="Times New Roman" w:cs="Times New Roman"/>
          <w:b/>
          <w:bCs/>
          <w:sz w:val="24"/>
          <w:szCs w:val="24"/>
          <w:lang w:val="en-GB"/>
        </w:rPr>
      </w:pPr>
      <w:r w:rsidRPr="00FA70D3">
        <w:rPr>
          <w:rFonts w:ascii="Times New Roman" w:hAnsi="Times New Roman" w:cs="Times New Roman"/>
          <w:b/>
          <w:bCs/>
          <w:sz w:val="24"/>
          <w:szCs w:val="24"/>
          <w:lang w:val="en-GB"/>
        </w:rPr>
        <w:t>Introduction</w:t>
      </w:r>
    </w:p>
    <w:p w14:paraId="468AD5D0" w14:textId="77777777" w:rsidR="00407AE1" w:rsidRPr="005E4959" w:rsidRDefault="00407AE1" w:rsidP="005E4959">
      <w:pPr>
        <w:pStyle w:val="Normalwebb"/>
        <w:spacing w:line="360" w:lineRule="auto"/>
        <w:jc w:val="both"/>
        <w:rPr>
          <w:lang w:val="en-GB"/>
        </w:rPr>
      </w:pPr>
      <w:r w:rsidRPr="005E4959">
        <w:rPr>
          <w:lang w:val="en-GB"/>
        </w:rPr>
        <w:t xml:space="preserve">Globally, inclusive education has emerged as a significant and persistent challenge within contemporary education systems, prompting many countries to re-evaluate and reform their educational policies and practices to better accommodate diversity (Jia, Tan and Santi, 2022). Despite widespread recognition of inclusion as a fundamental educational principle, schools continue to encounter barriers in its implementation. These barriers often manifested in forms of intolerance, marginalisation, and unequal access to learning opportunities, underscoring the need to critically examine how inclusivity is enacted in everyday educational practice. In this context, exploring teachers’ experiences and perceptions of inclusion is particularly important, </w:t>
      </w:r>
      <w:r w:rsidRPr="005E4959">
        <w:rPr>
          <w:lang w:val="en-GB"/>
        </w:rPr>
        <w:lastRenderedPageBreak/>
        <w:t>as teachers play a central role in addressing diversity and shaping students’ academic and social development within the classroom.</w:t>
      </w:r>
    </w:p>
    <w:p w14:paraId="573978FC" w14:textId="6F306BB0" w:rsidR="00407AE1" w:rsidRPr="005E4959" w:rsidRDefault="00407AE1" w:rsidP="005E4959">
      <w:pPr>
        <w:pStyle w:val="Normalwebb"/>
        <w:spacing w:line="360" w:lineRule="auto"/>
        <w:jc w:val="both"/>
        <w:rPr>
          <w:lang w:val="en-GB"/>
        </w:rPr>
      </w:pPr>
      <w:r w:rsidRPr="005E4959">
        <w:rPr>
          <w:lang w:val="en-GB"/>
        </w:rPr>
        <w:t xml:space="preserve">High school teachers occupy a pivotal position in fostering inclusive learning environments, given their influence on </w:t>
      </w:r>
      <w:r w:rsidR="00176E43" w:rsidRPr="005E4959">
        <w:rPr>
          <w:lang w:val="en-GB"/>
        </w:rPr>
        <w:t>students</w:t>
      </w:r>
      <w:r w:rsidRPr="005E4959">
        <w:rPr>
          <w:lang w:val="en-GB"/>
        </w:rPr>
        <w:t>’ character formation, identity development, and social interactions (Armiyati et al., 2025). Through their classroom leadership practices, teachers not only transmit academic knowledge but als</w:t>
      </w:r>
      <w:r w:rsidR="00AB59DA">
        <w:rPr>
          <w:lang w:val="en-GB"/>
        </w:rPr>
        <w:t xml:space="preserve">o </w:t>
      </w:r>
      <w:r w:rsidR="00F43E5D">
        <w:rPr>
          <w:lang w:val="en-GB"/>
        </w:rPr>
        <w:t>in</w:t>
      </w:r>
      <w:r w:rsidR="008C4105">
        <w:rPr>
          <w:lang w:val="en-GB"/>
        </w:rPr>
        <w:t>culcate</w:t>
      </w:r>
      <w:r w:rsidR="00AB59DA">
        <w:rPr>
          <w:lang w:val="en-GB"/>
        </w:rPr>
        <w:t xml:space="preserve"> </w:t>
      </w:r>
      <w:r w:rsidR="00F43E5D">
        <w:rPr>
          <w:lang w:val="en-GB"/>
        </w:rPr>
        <w:t xml:space="preserve">values such </w:t>
      </w:r>
      <w:r w:rsidR="00056E98">
        <w:rPr>
          <w:lang w:val="en-GB"/>
        </w:rPr>
        <w:t xml:space="preserve">as </w:t>
      </w:r>
      <w:r w:rsidR="00056E98" w:rsidRPr="005E4959">
        <w:rPr>
          <w:lang w:val="en-GB"/>
        </w:rPr>
        <w:t>respect</w:t>
      </w:r>
      <w:r w:rsidRPr="005E4959">
        <w:rPr>
          <w:lang w:val="en-GB"/>
        </w:rPr>
        <w:t xml:space="preserve">, equity, and belonging. Inclusive education, therefore, extends beyond instructional strategies to encompass the broader social and relational dimensions of teaching. </w:t>
      </w:r>
      <w:r w:rsidR="005457F6">
        <w:rPr>
          <w:lang w:val="en-GB"/>
        </w:rPr>
        <w:t>Inclusive education</w:t>
      </w:r>
      <w:r w:rsidRPr="005E4959">
        <w:rPr>
          <w:lang w:val="en-GB"/>
        </w:rPr>
        <w:t xml:space="preserve"> aims </w:t>
      </w:r>
      <w:r w:rsidR="00BE0881">
        <w:rPr>
          <w:lang w:val="en-GB"/>
        </w:rPr>
        <w:t>at</w:t>
      </w:r>
      <w:r w:rsidRPr="005E4959">
        <w:rPr>
          <w:lang w:val="en-GB"/>
        </w:rPr>
        <w:t xml:space="preserve"> recognis</w:t>
      </w:r>
      <w:r w:rsidR="00BE0881">
        <w:rPr>
          <w:lang w:val="en-GB"/>
        </w:rPr>
        <w:t xml:space="preserve">ing </w:t>
      </w:r>
      <w:r w:rsidRPr="005E4959">
        <w:rPr>
          <w:lang w:val="en-GB"/>
        </w:rPr>
        <w:t>and valu</w:t>
      </w:r>
      <w:r w:rsidR="00BE0881">
        <w:rPr>
          <w:lang w:val="en-GB"/>
        </w:rPr>
        <w:t>ing</w:t>
      </w:r>
      <w:r w:rsidRPr="005E4959">
        <w:rPr>
          <w:lang w:val="en-GB"/>
        </w:rPr>
        <w:t xml:space="preserve"> diversity among students, ensuring that all learners feel acknowledged and supported regardless of background (Nepal et al., 2021).</w:t>
      </w:r>
    </w:p>
    <w:p w14:paraId="52E32F04" w14:textId="77777777" w:rsidR="00407AE1" w:rsidRPr="005E4959" w:rsidRDefault="00407AE1" w:rsidP="005E4959">
      <w:pPr>
        <w:pStyle w:val="Normalwebb"/>
        <w:spacing w:line="360" w:lineRule="auto"/>
        <w:jc w:val="both"/>
        <w:rPr>
          <w:lang w:val="en-GB"/>
        </w:rPr>
      </w:pPr>
      <w:r w:rsidRPr="005E4959">
        <w:rPr>
          <w:lang w:val="en-GB"/>
        </w:rPr>
        <w:t>The literature consistently highlights the importance of both teachers and school leadership in promoting inclusive and diverse educational environments. Schools function as the nucleus of society, where norms, values, and attitudes are constructed and reinforced. Consequently, teachers’ responses to cultural, linguistic, and social diversity have had a significant impact on the overall school climate and the success of inclusivity initiatives (Bordeaux, 2024). Teachers’ everyday interactions with students can either challenge or perpetuate exclusionary practices, making their leadership within the classroom a critical area of inquiry. In this sense, inclusion is not merely a policy objective, but a lived practice shaped by teachers’ beliefs, values, and pedagogical choices.</w:t>
      </w:r>
    </w:p>
    <w:p w14:paraId="708F93A0" w14:textId="77777777" w:rsidR="00407AE1" w:rsidRPr="005E4959" w:rsidRDefault="00407AE1" w:rsidP="005E4959">
      <w:pPr>
        <w:pStyle w:val="Normalwebb"/>
        <w:spacing w:line="360" w:lineRule="auto"/>
        <w:jc w:val="both"/>
        <w:rPr>
          <w:lang w:val="en-GB"/>
        </w:rPr>
      </w:pPr>
      <w:r w:rsidRPr="005E4959">
        <w:rPr>
          <w:lang w:val="en-GB"/>
        </w:rPr>
        <w:t>These social and ethical responsibilities of schooling are also reflected in national curricula. In Sweden, inclusivity and the appreciation of cultural diversity are central to the curriculum’s core mission and value base. The Swedish school curriculum positions schools as social and cultural institutions with the potential to strengthen democratic values and promote social cohesion among all stakeholders within the education system (Skolverket.se, 2025). It emphasises the importance of fostering understanding, empathy, and respect for others, while explicitly rejecting all forms of discrimination and degrading treatment. Education, according to the curriculum, should be characterised by openness and respect for human differences, including but not limited to gender, ethnicity, religion or belief, sexual orientation, age, disability, and socio-economic background. Moreover, tendencies towards intolerance, oppression, and violence are to be actively counteracted through knowledge-based and proactive measures (Skolverket.se, 2025).</w:t>
      </w:r>
    </w:p>
    <w:p w14:paraId="4F1F65E6" w14:textId="77777777" w:rsidR="00407AE1" w:rsidRPr="005E4959" w:rsidRDefault="00407AE1" w:rsidP="005E4959">
      <w:pPr>
        <w:pStyle w:val="Normalwebb"/>
        <w:spacing w:line="360" w:lineRule="auto"/>
        <w:jc w:val="both"/>
        <w:rPr>
          <w:lang w:val="en-GB"/>
        </w:rPr>
      </w:pPr>
      <w:r w:rsidRPr="005E4959">
        <w:rPr>
          <w:lang w:val="en-GB"/>
        </w:rPr>
        <w:lastRenderedPageBreak/>
        <w:t>Beyond national policy frameworks, international legislation and educational agendas have increasingly focused on challenging exclusionary practices and promoting equity and access to quality education for all learners. These global initiatives emphasise inclusion as a human rights issue and highlight the moral and social imperative of ensuring that education systems respond effectively to growing diversity (Jia, Tan and Santi, 2022). In response, some schools have developed targeted equity initiatives, such as racial equity plans, aimed at promoting fairness and improving access to educational resources and opportunities for marginalised groups. Teachers involved in these initiatives are often expected to adopt equity-oriented leadership roles, engaging in experiential and reflective learning to support inclusive practices within their classrooms (Grooms et al., 2024).</w:t>
      </w:r>
    </w:p>
    <w:p w14:paraId="0294FD4D" w14:textId="77777777" w:rsidR="00407AE1" w:rsidRPr="005E4959" w:rsidRDefault="00407AE1" w:rsidP="005E4959">
      <w:pPr>
        <w:pStyle w:val="Normalwebb"/>
        <w:spacing w:line="360" w:lineRule="auto"/>
        <w:jc w:val="both"/>
        <w:rPr>
          <w:lang w:val="en-GB"/>
        </w:rPr>
      </w:pPr>
      <w:r w:rsidRPr="005E4959">
        <w:rPr>
          <w:lang w:val="en-GB"/>
        </w:rPr>
        <w:t>The emphasis on inclusivity within education systems reflects a broader shift towards more equitable, learner-centred approaches to teaching and learning. Inclusive education seeks to transform traditional educational structures by recognising individual differences and addressing systemic inequalities (Jia, Tan and Santi, 2022). As a result, equity, diversity, and inclusion have become central concerns in educational policy and practice across many countries. While inclusion was historically associated primarily with the education of students with disabilities, the concept has since expanded significantly. Contemporary understandings of inclusive education encompass a wide range of learner differences, including ethnicity, language, gender, socio-economic status, and cultural background. Inclusive education is now commonly defined as education that is relevant, accessible, and meaningful for all students, moving beyond a deficit-based focus on disability towards a broader recognition of diversity (Atanasova and Papen, 2025; Pearl, 2024).</w:t>
      </w:r>
    </w:p>
    <w:p w14:paraId="28C63729" w14:textId="77777777" w:rsidR="00407AE1" w:rsidRPr="005E4959" w:rsidRDefault="00407AE1" w:rsidP="005E4959">
      <w:pPr>
        <w:pStyle w:val="Normalwebb"/>
        <w:spacing w:line="360" w:lineRule="auto"/>
        <w:jc w:val="both"/>
        <w:rPr>
          <w:lang w:val="en-GB"/>
        </w:rPr>
      </w:pPr>
      <w:r w:rsidRPr="005E4959">
        <w:rPr>
          <w:lang w:val="en-GB"/>
        </w:rPr>
        <w:t>This expanded understanding of inclusion has become increasingly important considering changing classroom demographics. Many schools now serve student populations characterised by growing racial, linguistic, and socio-economic diversity. These demographic shifts have intensified the need for teaching and learning practices that support inclusion and positively influence students’ academic and social outcomes (Grooms et al., 2024). Teachers are therefore required to adapt their pedagogical approaches to accommodate diverse learning needs while maintaining high expectations for all students. This task is complex and demands not only pedagogical competence but also strong classroom leadership and reflective practice.</w:t>
      </w:r>
    </w:p>
    <w:p w14:paraId="573EDE9C" w14:textId="77777777" w:rsidR="00407AE1" w:rsidRPr="005E4959" w:rsidRDefault="00407AE1" w:rsidP="005E4959">
      <w:pPr>
        <w:pStyle w:val="Normalwebb"/>
        <w:spacing w:line="360" w:lineRule="auto"/>
        <w:jc w:val="both"/>
        <w:rPr>
          <w:lang w:val="en-GB"/>
        </w:rPr>
      </w:pPr>
      <w:r w:rsidRPr="005E4959">
        <w:rPr>
          <w:lang w:val="en-GB"/>
        </w:rPr>
        <w:t xml:space="preserve">Despite the growing body of literature on inclusive education, there remains a need for further research that examines how teachers nurture inclusivity within their everyday classroom </w:t>
      </w:r>
      <w:r w:rsidRPr="005E4959">
        <w:rPr>
          <w:lang w:val="en-GB"/>
        </w:rPr>
        <w:lastRenderedPageBreak/>
        <w:t>practices. Particularly, there is limited empirical insight into how teachers interpret and translate inclusive education policies into practice at the classroom level. Exploring teachers’ perceptions of inclusion and their pedagogical responses to diversity is essential for understanding the extent to which inclusive policies align with the realities of teaching and learning in diverse classrooms (Armiyati et al., 2025). Teachers often find themselves navigating a complex landscape in which they must balance curriculum requirements, institutional expectations, and the diverse needs of their students.</w:t>
      </w:r>
    </w:p>
    <w:p w14:paraId="21EEF8CA" w14:textId="77777777" w:rsidR="00407AE1" w:rsidRPr="005E4959" w:rsidRDefault="00407AE1" w:rsidP="005E4959">
      <w:pPr>
        <w:pStyle w:val="Normalwebb"/>
        <w:spacing w:line="360" w:lineRule="auto"/>
        <w:jc w:val="both"/>
        <w:rPr>
          <w:lang w:val="en-GB"/>
        </w:rPr>
      </w:pPr>
      <w:r w:rsidRPr="005E4959">
        <w:rPr>
          <w:lang w:val="en-GB"/>
        </w:rPr>
        <w:t>This balancing act can place teachers in challenging and sometimes conflicting positions. On the one hand, they are expected to promote inclusivity and equity; on the other hand, they must adhere to curriculum standards, assessment requirements, and performance expectations. These competing demands may create dilemmas for teachers, particularly when inclusive practices appear to conflict with prescribed educational objectives or with teachers’ own beliefs and values (Bordeaux, 2024). As a result, inclusivity in schools continues to be a significant and ongoing challenge within educational systems worldwide, prompting renewed efforts by policymakers, school leaders, and educators to make education more inclusive and responsive to diversity (Atanasova and Papen, 2025).</w:t>
      </w:r>
    </w:p>
    <w:p w14:paraId="008C0271" w14:textId="3EF17929" w:rsidR="00407AE1" w:rsidRDefault="00407AE1" w:rsidP="00D83939">
      <w:pPr>
        <w:pStyle w:val="Normalwebb"/>
        <w:spacing w:line="360" w:lineRule="auto"/>
        <w:jc w:val="both"/>
        <w:rPr>
          <w:lang w:val="en-GB"/>
        </w:rPr>
      </w:pPr>
      <w:r w:rsidRPr="005E4959">
        <w:rPr>
          <w:lang w:val="en-GB"/>
        </w:rPr>
        <w:t xml:space="preserve">Within this broader global and national context, the present study seeks to contribute to the understanding of inclusive education by examining how teachers’ classroom leadership practices in high school settings nurture inclusive learning environments. By focusing on </w:t>
      </w:r>
      <w:proofErr w:type="gramStart"/>
      <w:r w:rsidRPr="005E4959">
        <w:rPr>
          <w:lang w:val="en-GB"/>
        </w:rPr>
        <w:t>teachers’</w:t>
      </w:r>
      <w:proofErr w:type="gramEnd"/>
      <w:r w:rsidRPr="005E4959">
        <w:rPr>
          <w:lang w:val="en-GB"/>
        </w:rPr>
        <w:t xml:space="preserve"> lived experiences and interpretations of inclusion, the study aims to provide a contextualised and practice-oriented perspective on how inclusivity is enacted in diverse classrooms. In doing so, it addresses an important gap in the literature and offers insights that may inform teacher professional development, school leadership practices, and future research on inclusive education.</w:t>
      </w:r>
    </w:p>
    <w:p w14:paraId="7F3AF86A" w14:textId="4E997514" w:rsidR="00FF037A" w:rsidRPr="00C74363" w:rsidRDefault="00F335D5" w:rsidP="003A6633">
      <w:pPr>
        <w:spacing w:line="360" w:lineRule="auto"/>
        <w:jc w:val="both"/>
        <w:rPr>
          <w:rFonts w:ascii="Times New Roman" w:hAnsi="Times New Roman" w:cs="Times New Roman"/>
          <w:b/>
          <w:bCs/>
          <w:sz w:val="24"/>
          <w:szCs w:val="24"/>
          <w:lang w:val="en-GB"/>
        </w:rPr>
      </w:pPr>
      <w:r w:rsidRPr="00C74363">
        <w:rPr>
          <w:rFonts w:ascii="Times New Roman" w:hAnsi="Times New Roman" w:cs="Times New Roman"/>
          <w:b/>
          <w:bCs/>
          <w:sz w:val="24"/>
          <w:szCs w:val="24"/>
          <w:lang w:val="en-GB"/>
        </w:rPr>
        <w:t>Aims</w:t>
      </w:r>
    </w:p>
    <w:p w14:paraId="2B226A7E" w14:textId="4F9B988F" w:rsidR="004B0DC7" w:rsidRDefault="004B0DC7" w:rsidP="000D16B7">
      <w:pPr>
        <w:spacing w:line="360" w:lineRule="auto"/>
        <w:jc w:val="both"/>
        <w:rPr>
          <w:rFonts w:ascii="Times New Roman" w:hAnsi="Times New Roman" w:cs="Times New Roman"/>
          <w:sz w:val="24"/>
          <w:szCs w:val="24"/>
          <w:lang w:val="en-GB"/>
        </w:rPr>
      </w:pPr>
      <w:r w:rsidRPr="000D16B7">
        <w:rPr>
          <w:rFonts w:ascii="Times New Roman" w:hAnsi="Times New Roman" w:cs="Times New Roman"/>
          <w:sz w:val="24"/>
          <w:szCs w:val="24"/>
          <w:lang w:val="en-GB"/>
        </w:rPr>
        <w:t xml:space="preserve">The primary aim of this study </w:t>
      </w:r>
      <w:r w:rsidR="00344D33">
        <w:rPr>
          <w:rFonts w:ascii="Times New Roman" w:hAnsi="Times New Roman" w:cs="Times New Roman"/>
          <w:sz w:val="24"/>
          <w:szCs w:val="24"/>
          <w:lang w:val="en-GB"/>
        </w:rPr>
        <w:t>i</w:t>
      </w:r>
      <w:r w:rsidRPr="000D16B7">
        <w:rPr>
          <w:rFonts w:ascii="Times New Roman" w:hAnsi="Times New Roman" w:cs="Times New Roman"/>
          <w:sz w:val="24"/>
          <w:szCs w:val="24"/>
          <w:lang w:val="en-GB"/>
        </w:rPr>
        <w:t>s to examine how teachers’ classroom leadership practices in high school settings contribute to the nurturing of inclusive learning environments in which all students fe</w:t>
      </w:r>
      <w:r w:rsidR="00A40634">
        <w:rPr>
          <w:rFonts w:ascii="Times New Roman" w:hAnsi="Times New Roman" w:cs="Times New Roman"/>
          <w:sz w:val="24"/>
          <w:szCs w:val="24"/>
          <w:lang w:val="en-GB"/>
        </w:rPr>
        <w:t>el</w:t>
      </w:r>
      <w:r w:rsidRPr="000D16B7">
        <w:rPr>
          <w:rFonts w:ascii="Times New Roman" w:hAnsi="Times New Roman" w:cs="Times New Roman"/>
          <w:sz w:val="24"/>
          <w:szCs w:val="24"/>
          <w:lang w:val="en-GB"/>
        </w:rPr>
        <w:t xml:space="preserve"> valued and supported. Focusing on two suburban schools in Sweden, the study s</w:t>
      </w:r>
      <w:r w:rsidR="000472B1">
        <w:rPr>
          <w:rFonts w:ascii="Times New Roman" w:hAnsi="Times New Roman" w:cs="Times New Roman"/>
          <w:sz w:val="24"/>
          <w:szCs w:val="24"/>
          <w:lang w:val="en-GB"/>
        </w:rPr>
        <w:t>eeks</w:t>
      </w:r>
      <w:r w:rsidRPr="000D16B7">
        <w:rPr>
          <w:rFonts w:ascii="Times New Roman" w:hAnsi="Times New Roman" w:cs="Times New Roman"/>
          <w:sz w:val="24"/>
          <w:szCs w:val="24"/>
          <w:lang w:val="en-GB"/>
        </w:rPr>
        <w:t xml:space="preserve"> to </w:t>
      </w:r>
      <w:r w:rsidR="001B6905" w:rsidRPr="000D16B7">
        <w:rPr>
          <w:rFonts w:ascii="Times New Roman" w:hAnsi="Times New Roman" w:cs="Times New Roman"/>
          <w:sz w:val="24"/>
          <w:szCs w:val="24"/>
          <w:lang w:val="en-GB"/>
        </w:rPr>
        <w:t>provide a</w:t>
      </w:r>
      <w:r w:rsidRPr="000D16B7">
        <w:rPr>
          <w:rFonts w:ascii="Times New Roman" w:hAnsi="Times New Roman" w:cs="Times New Roman"/>
          <w:sz w:val="24"/>
          <w:szCs w:val="24"/>
          <w:lang w:val="en-GB"/>
        </w:rPr>
        <w:t xml:space="preserve"> contextualised understanding of inclusive education at the classroom level. </w:t>
      </w:r>
      <w:r w:rsidR="000472B1">
        <w:rPr>
          <w:rFonts w:ascii="Times New Roman" w:hAnsi="Times New Roman" w:cs="Times New Roman"/>
          <w:sz w:val="24"/>
          <w:szCs w:val="24"/>
          <w:lang w:val="en-GB"/>
        </w:rPr>
        <w:t>A</w:t>
      </w:r>
      <w:r w:rsidRPr="000D16B7">
        <w:rPr>
          <w:rFonts w:ascii="Times New Roman" w:hAnsi="Times New Roman" w:cs="Times New Roman"/>
          <w:sz w:val="24"/>
          <w:szCs w:val="24"/>
          <w:lang w:val="en-GB"/>
        </w:rPr>
        <w:t>ddition</w:t>
      </w:r>
      <w:r w:rsidR="000472B1">
        <w:rPr>
          <w:rFonts w:ascii="Times New Roman" w:hAnsi="Times New Roman" w:cs="Times New Roman"/>
          <w:sz w:val="24"/>
          <w:szCs w:val="24"/>
          <w:lang w:val="en-GB"/>
        </w:rPr>
        <w:t>ally</w:t>
      </w:r>
      <w:r w:rsidRPr="000D16B7">
        <w:rPr>
          <w:rFonts w:ascii="Times New Roman" w:hAnsi="Times New Roman" w:cs="Times New Roman"/>
          <w:sz w:val="24"/>
          <w:szCs w:val="24"/>
          <w:lang w:val="en-GB"/>
        </w:rPr>
        <w:t>, the study aim</w:t>
      </w:r>
      <w:r w:rsidR="000472B1">
        <w:rPr>
          <w:rFonts w:ascii="Times New Roman" w:hAnsi="Times New Roman" w:cs="Times New Roman"/>
          <w:sz w:val="24"/>
          <w:szCs w:val="24"/>
          <w:lang w:val="en-GB"/>
        </w:rPr>
        <w:t>s at</w:t>
      </w:r>
      <w:r w:rsidRPr="000D16B7">
        <w:rPr>
          <w:rFonts w:ascii="Times New Roman" w:hAnsi="Times New Roman" w:cs="Times New Roman"/>
          <w:sz w:val="24"/>
          <w:szCs w:val="24"/>
          <w:lang w:val="en-GB"/>
        </w:rPr>
        <w:t xml:space="preserve"> explor</w:t>
      </w:r>
      <w:r w:rsidR="000472B1">
        <w:rPr>
          <w:rFonts w:ascii="Times New Roman" w:hAnsi="Times New Roman" w:cs="Times New Roman"/>
          <w:sz w:val="24"/>
          <w:szCs w:val="24"/>
          <w:lang w:val="en-GB"/>
        </w:rPr>
        <w:t>ing</w:t>
      </w:r>
      <w:r w:rsidRPr="000D16B7">
        <w:rPr>
          <w:rFonts w:ascii="Times New Roman" w:hAnsi="Times New Roman" w:cs="Times New Roman"/>
          <w:sz w:val="24"/>
          <w:szCs w:val="24"/>
          <w:lang w:val="en-GB"/>
        </w:rPr>
        <w:t xml:space="preserve"> how teachers navigate the relationship between curriculum expectations </w:t>
      </w:r>
      <w:r w:rsidR="008436EE">
        <w:rPr>
          <w:rFonts w:ascii="Times New Roman" w:hAnsi="Times New Roman" w:cs="Times New Roman"/>
          <w:sz w:val="24"/>
          <w:szCs w:val="24"/>
          <w:lang w:val="en-GB"/>
        </w:rPr>
        <w:t>on</w:t>
      </w:r>
      <w:r w:rsidRPr="000D16B7">
        <w:rPr>
          <w:rFonts w:ascii="Times New Roman" w:hAnsi="Times New Roman" w:cs="Times New Roman"/>
          <w:sz w:val="24"/>
          <w:szCs w:val="24"/>
          <w:lang w:val="en-GB"/>
        </w:rPr>
        <w:t xml:space="preserve"> inclusion and the pedagogical realities </w:t>
      </w:r>
      <w:r w:rsidRPr="00A44FC5">
        <w:rPr>
          <w:rFonts w:ascii="Times New Roman" w:hAnsi="Times New Roman" w:cs="Times New Roman"/>
          <w:sz w:val="24"/>
          <w:szCs w:val="24"/>
          <w:lang w:val="en-GB"/>
        </w:rPr>
        <w:t xml:space="preserve">of culturally and </w:t>
      </w:r>
      <w:r w:rsidRPr="00A44FC5">
        <w:rPr>
          <w:rFonts w:ascii="Times New Roman" w:hAnsi="Times New Roman" w:cs="Times New Roman"/>
          <w:sz w:val="24"/>
          <w:szCs w:val="24"/>
          <w:lang w:val="en-GB"/>
        </w:rPr>
        <w:lastRenderedPageBreak/>
        <w:t>linguistically</w:t>
      </w:r>
      <w:r w:rsidRPr="000D16B7">
        <w:rPr>
          <w:rFonts w:ascii="Times New Roman" w:hAnsi="Times New Roman" w:cs="Times New Roman"/>
          <w:sz w:val="24"/>
          <w:szCs w:val="24"/>
          <w:lang w:val="en-GB"/>
        </w:rPr>
        <w:t xml:space="preserve"> diverse classrooms. Finally, the study aim</w:t>
      </w:r>
      <w:r w:rsidR="006D39AF">
        <w:rPr>
          <w:rFonts w:ascii="Times New Roman" w:hAnsi="Times New Roman" w:cs="Times New Roman"/>
          <w:sz w:val="24"/>
          <w:szCs w:val="24"/>
          <w:lang w:val="en-GB"/>
        </w:rPr>
        <w:t>s</w:t>
      </w:r>
      <w:r w:rsidRPr="000D16B7">
        <w:rPr>
          <w:rFonts w:ascii="Times New Roman" w:hAnsi="Times New Roman" w:cs="Times New Roman"/>
          <w:sz w:val="24"/>
          <w:szCs w:val="24"/>
          <w:lang w:val="en-GB"/>
        </w:rPr>
        <w:t xml:space="preserve"> </w:t>
      </w:r>
      <w:r w:rsidR="006D39AF">
        <w:rPr>
          <w:rFonts w:ascii="Times New Roman" w:hAnsi="Times New Roman" w:cs="Times New Roman"/>
          <w:sz w:val="24"/>
          <w:szCs w:val="24"/>
          <w:lang w:val="en-GB"/>
        </w:rPr>
        <w:t>at</w:t>
      </w:r>
      <w:r w:rsidRPr="000D16B7">
        <w:rPr>
          <w:rFonts w:ascii="Times New Roman" w:hAnsi="Times New Roman" w:cs="Times New Roman"/>
          <w:sz w:val="24"/>
          <w:szCs w:val="24"/>
          <w:lang w:val="en-GB"/>
        </w:rPr>
        <w:t xml:space="preserve"> contribut</w:t>
      </w:r>
      <w:r w:rsidR="006D39AF">
        <w:rPr>
          <w:rFonts w:ascii="Times New Roman" w:hAnsi="Times New Roman" w:cs="Times New Roman"/>
          <w:sz w:val="24"/>
          <w:szCs w:val="24"/>
          <w:lang w:val="en-GB"/>
        </w:rPr>
        <w:t>ing</w:t>
      </w:r>
      <w:r w:rsidRPr="000D16B7">
        <w:rPr>
          <w:rFonts w:ascii="Times New Roman" w:hAnsi="Times New Roman" w:cs="Times New Roman"/>
          <w:sz w:val="24"/>
          <w:szCs w:val="24"/>
          <w:lang w:val="en-GB"/>
        </w:rPr>
        <w:t xml:space="preserve"> to existing knowledge on inclusive classroom practices by offering insights into how inclusive principles can be </w:t>
      </w:r>
      <w:r w:rsidR="000D16B7" w:rsidRPr="000D16B7">
        <w:rPr>
          <w:rFonts w:ascii="Times New Roman" w:hAnsi="Times New Roman" w:cs="Times New Roman"/>
          <w:sz w:val="24"/>
          <w:szCs w:val="24"/>
          <w:lang w:val="en-GB"/>
        </w:rPr>
        <w:t>effectivel</w:t>
      </w:r>
      <w:r w:rsidRPr="000D16B7">
        <w:rPr>
          <w:rFonts w:ascii="Times New Roman" w:hAnsi="Times New Roman" w:cs="Times New Roman"/>
          <w:sz w:val="24"/>
          <w:szCs w:val="24"/>
          <w:lang w:val="en-GB"/>
        </w:rPr>
        <w:t xml:space="preserve">y </w:t>
      </w:r>
      <w:r w:rsidR="000D16B7" w:rsidRPr="000D16B7">
        <w:rPr>
          <w:rFonts w:ascii="Times New Roman" w:hAnsi="Times New Roman" w:cs="Times New Roman"/>
          <w:sz w:val="24"/>
          <w:szCs w:val="24"/>
          <w:lang w:val="en-GB"/>
        </w:rPr>
        <w:t>applied</w:t>
      </w:r>
      <w:r w:rsidRPr="000D16B7">
        <w:rPr>
          <w:rFonts w:ascii="Times New Roman" w:hAnsi="Times New Roman" w:cs="Times New Roman"/>
          <w:sz w:val="24"/>
          <w:szCs w:val="24"/>
          <w:lang w:val="en-GB"/>
        </w:rPr>
        <w:t xml:space="preserve"> in everyday teaching across diverse learning contexts.</w:t>
      </w:r>
    </w:p>
    <w:p w14:paraId="224D26BE" w14:textId="682AD6A2" w:rsidR="008021AB" w:rsidRPr="006B25F2" w:rsidRDefault="00205239" w:rsidP="00765C5E">
      <w:pPr>
        <w:spacing w:line="360" w:lineRule="auto"/>
        <w:jc w:val="both"/>
        <w:rPr>
          <w:rFonts w:ascii="Times New Roman" w:hAnsi="Times New Roman" w:cs="Times New Roman"/>
          <w:b/>
          <w:bCs/>
          <w:sz w:val="24"/>
          <w:szCs w:val="24"/>
          <w:lang w:val="en-GB"/>
        </w:rPr>
      </w:pPr>
      <w:r w:rsidRPr="006B25F2">
        <w:rPr>
          <w:rFonts w:ascii="Times New Roman" w:hAnsi="Times New Roman" w:cs="Times New Roman"/>
          <w:b/>
          <w:bCs/>
          <w:sz w:val="24"/>
          <w:szCs w:val="24"/>
          <w:lang w:val="en-GB"/>
        </w:rPr>
        <w:t>Research question</w:t>
      </w:r>
    </w:p>
    <w:p w14:paraId="2E76D5C8" w14:textId="7FB5BE68" w:rsidR="00C10ABA" w:rsidRDefault="00205239" w:rsidP="00765C5E">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main issue being analysed in this study </w:t>
      </w:r>
      <w:r w:rsidR="00AD7098">
        <w:rPr>
          <w:rFonts w:ascii="Times New Roman" w:hAnsi="Times New Roman" w:cs="Times New Roman"/>
          <w:sz w:val="24"/>
          <w:szCs w:val="24"/>
          <w:lang w:val="en-GB"/>
        </w:rPr>
        <w:t>i</w:t>
      </w:r>
      <w:r w:rsidR="003B74EA">
        <w:rPr>
          <w:rFonts w:ascii="Times New Roman" w:hAnsi="Times New Roman" w:cs="Times New Roman"/>
          <w:sz w:val="24"/>
          <w:szCs w:val="24"/>
          <w:lang w:val="en-GB"/>
        </w:rPr>
        <w:t>s</w:t>
      </w:r>
      <w:r w:rsidR="00BD4C11">
        <w:rPr>
          <w:rFonts w:ascii="Times New Roman" w:hAnsi="Times New Roman" w:cs="Times New Roman"/>
          <w:sz w:val="24"/>
          <w:szCs w:val="24"/>
          <w:lang w:val="en-GB"/>
        </w:rPr>
        <w:t>:</w:t>
      </w:r>
    </w:p>
    <w:p w14:paraId="2EA46939" w14:textId="26EA1533" w:rsidR="00870396" w:rsidRPr="00870396" w:rsidRDefault="00870396" w:rsidP="00765C5E">
      <w:pPr>
        <w:spacing w:line="360" w:lineRule="auto"/>
        <w:jc w:val="both"/>
        <w:rPr>
          <w:rFonts w:ascii="Times New Roman" w:hAnsi="Times New Roman" w:cs="Times New Roman"/>
          <w:sz w:val="24"/>
          <w:szCs w:val="24"/>
          <w:lang w:val="en-GB"/>
        </w:rPr>
      </w:pPr>
      <w:bookmarkStart w:id="0" w:name="_Hlk215917045"/>
      <w:r w:rsidRPr="00870396">
        <w:rPr>
          <w:rFonts w:ascii="Times New Roman" w:hAnsi="Times New Roman" w:cs="Times New Roman"/>
          <w:sz w:val="24"/>
          <w:szCs w:val="24"/>
          <w:lang w:val="en-GB"/>
        </w:rPr>
        <w:t>How teachers’ leadership practices in diverse high school classrooms nurture inclusive learning environments where all students feel valued and supported?</w:t>
      </w:r>
    </w:p>
    <w:p w14:paraId="4CD49A02" w14:textId="0A794DC1" w:rsidR="00776E49" w:rsidRDefault="00776E49" w:rsidP="00E239BB">
      <w:pPr>
        <w:pStyle w:val="Normalwebb"/>
        <w:spacing w:line="360" w:lineRule="auto"/>
        <w:jc w:val="both"/>
        <w:rPr>
          <w:lang w:val="en-GB"/>
        </w:rPr>
      </w:pPr>
      <w:r w:rsidRPr="00776E49">
        <w:rPr>
          <w:lang w:val="en-GB"/>
        </w:rPr>
        <w:t>To address this question, the study adopt</w:t>
      </w:r>
      <w:r w:rsidR="00804F16">
        <w:rPr>
          <w:lang w:val="en-GB"/>
        </w:rPr>
        <w:t>s</w:t>
      </w:r>
      <w:r w:rsidRPr="00776E49">
        <w:rPr>
          <w:lang w:val="en-GB"/>
        </w:rPr>
        <w:t xml:space="preserve"> a qualitative phenomenological approach. Data </w:t>
      </w:r>
      <w:r w:rsidR="005C55BB">
        <w:rPr>
          <w:lang w:val="en-GB"/>
        </w:rPr>
        <w:t>is</w:t>
      </w:r>
      <w:r w:rsidRPr="00776E49">
        <w:rPr>
          <w:lang w:val="en-GB"/>
        </w:rPr>
        <w:t xml:space="preserve"> generated through interviews with three high school teachers from two suburban schools in Stockholm, focusing on their perceptions and interpretations of inclusion and inclusive classroom practices. Exploring teachers’ lived experiences o</w:t>
      </w:r>
      <w:r w:rsidR="00954DB6">
        <w:rPr>
          <w:lang w:val="en-GB"/>
        </w:rPr>
        <w:t>n</w:t>
      </w:r>
      <w:r w:rsidRPr="00776E49">
        <w:rPr>
          <w:lang w:val="en-GB"/>
        </w:rPr>
        <w:t xml:space="preserve"> inclusivity provide</w:t>
      </w:r>
      <w:r w:rsidR="00954DB6">
        <w:rPr>
          <w:lang w:val="en-GB"/>
        </w:rPr>
        <w:t>s</w:t>
      </w:r>
      <w:r w:rsidRPr="00776E49">
        <w:rPr>
          <w:lang w:val="en-GB"/>
        </w:rPr>
        <w:t xml:space="preserve"> insights into how inclusive teaching methods </w:t>
      </w:r>
      <w:r w:rsidR="00954DB6">
        <w:rPr>
          <w:lang w:val="en-GB"/>
        </w:rPr>
        <w:t>are</w:t>
      </w:r>
      <w:r w:rsidR="00A615AE">
        <w:rPr>
          <w:lang w:val="en-GB"/>
        </w:rPr>
        <w:t xml:space="preserve"> effectively applied</w:t>
      </w:r>
      <w:r w:rsidRPr="00776E49">
        <w:rPr>
          <w:lang w:val="en-GB"/>
        </w:rPr>
        <w:t xml:space="preserve"> in practice and </w:t>
      </w:r>
      <w:r w:rsidR="00954DB6">
        <w:rPr>
          <w:lang w:val="en-GB"/>
        </w:rPr>
        <w:t>underpins</w:t>
      </w:r>
      <w:r w:rsidRPr="00776E49">
        <w:rPr>
          <w:lang w:val="en-GB"/>
        </w:rPr>
        <w:t xml:space="preserve"> the importance of advancing inclusive pedagogical </w:t>
      </w:r>
      <w:r w:rsidR="00BF1F99">
        <w:rPr>
          <w:lang w:val="en-GB"/>
        </w:rPr>
        <w:t>practices</w:t>
      </w:r>
      <w:r w:rsidRPr="00776E49">
        <w:rPr>
          <w:lang w:val="en-GB"/>
        </w:rPr>
        <w:t xml:space="preserve"> in response to increasing classroom diversity, as suggested by the literature.</w:t>
      </w:r>
    </w:p>
    <w:p w14:paraId="4021E20E" w14:textId="77777777" w:rsidR="00F57EB4" w:rsidRPr="00F57EB4" w:rsidRDefault="00F57EB4" w:rsidP="00F57EB4">
      <w:pPr>
        <w:spacing w:before="100" w:beforeAutospacing="1" w:after="100" w:afterAutospacing="1" w:line="360" w:lineRule="auto"/>
        <w:jc w:val="both"/>
        <w:outlineLvl w:val="2"/>
        <w:rPr>
          <w:rFonts w:ascii="Times New Roman" w:eastAsia="Times New Roman" w:hAnsi="Times New Roman" w:cs="Times New Roman"/>
          <w:b/>
          <w:bCs/>
          <w:sz w:val="27"/>
          <w:szCs w:val="27"/>
          <w:lang w:val="en-GB" w:eastAsia="sv-SE"/>
        </w:rPr>
      </w:pPr>
      <w:bookmarkStart w:id="1" w:name="_Hlk215056577"/>
      <w:bookmarkEnd w:id="0"/>
      <w:r w:rsidRPr="00F57EB4">
        <w:rPr>
          <w:rFonts w:ascii="Times New Roman" w:eastAsia="Times New Roman" w:hAnsi="Times New Roman" w:cs="Times New Roman"/>
          <w:b/>
          <w:bCs/>
          <w:sz w:val="27"/>
          <w:szCs w:val="27"/>
          <w:lang w:val="en-GB" w:eastAsia="sv-SE"/>
        </w:rPr>
        <w:t>Literature Review</w:t>
      </w:r>
    </w:p>
    <w:p w14:paraId="6EEA0102" w14:textId="15B0D4B0" w:rsidR="00F57EB4" w:rsidRPr="00F57EB4" w:rsidRDefault="00F57EB4" w:rsidP="00F57EB4">
      <w:pPr>
        <w:spacing w:before="100" w:beforeAutospacing="1" w:after="100" w:afterAutospacing="1" w:line="360" w:lineRule="auto"/>
        <w:jc w:val="both"/>
        <w:rPr>
          <w:rFonts w:ascii="Times New Roman" w:eastAsia="Times New Roman" w:hAnsi="Times New Roman" w:cs="Times New Roman"/>
          <w:sz w:val="24"/>
          <w:szCs w:val="24"/>
          <w:lang w:val="en-GB" w:eastAsia="sv-SE"/>
        </w:rPr>
      </w:pPr>
      <w:r w:rsidRPr="00F57EB4">
        <w:rPr>
          <w:rFonts w:ascii="Times New Roman" w:eastAsia="Times New Roman" w:hAnsi="Times New Roman" w:cs="Times New Roman"/>
          <w:sz w:val="24"/>
          <w:szCs w:val="24"/>
          <w:lang w:val="en-GB" w:eastAsia="sv-SE"/>
        </w:rPr>
        <w:t xml:space="preserve">Initially confined to addressing the needs of students with disabilities, inclusivity in education has evolved to encompass all learners, regardless of background. This shift reflects a growing global commitment to equality, diversity, and inclusion within schools. Inclusive education has been firmly embedded in educational policy through international frameworks such as UNESCO’s Salamanca Statement, which establishes inclusion as a fundamental principle of education (Atanasova &amp; Papen, 2025; Jia, Tan &amp; Santi, 2022). International law similarly positions inclusive schooling as the most effective means of countering discrimination, emphasising the need for education systems to adapt </w:t>
      </w:r>
      <w:r w:rsidR="00633772">
        <w:rPr>
          <w:rFonts w:ascii="Times New Roman" w:eastAsia="Times New Roman" w:hAnsi="Times New Roman" w:cs="Times New Roman"/>
          <w:sz w:val="24"/>
          <w:szCs w:val="24"/>
          <w:lang w:val="en-GB" w:eastAsia="sv-SE"/>
        </w:rPr>
        <w:t xml:space="preserve">and </w:t>
      </w:r>
      <w:r w:rsidRPr="00F57EB4">
        <w:rPr>
          <w:rFonts w:ascii="Times New Roman" w:eastAsia="Times New Roman" w:hAnsi="Times New Roman" w:cs="Times New Roman"/>
          <w:sz w:val="24"/>
          <w:szCs w:val="24"/>
          <w:lang w:val="en-GB" w:eastAsia="sv-SE"/>
        </w:rPr>
        <w:t xml:space="preserve">accommodate learners’ diverse needs. </w:t>
      </w:r>
      <w:r w:rsidR="0044203F">
        <w:rPr>
          <w:rFonts w:ascii="Times New Roman" w:eastAsia="Times New Roman" w:hAnsi="Times New Roman" w:cs="Times New Roman"/>
          <w:sz w:val="24"/>
          <w:szCs w:val="24"/>
          <w:lang w:val="en-GB" w:eastAsia="sv-SE"/>
        </w:rPr>
        <w:t xml:space="preserve">The UN </w:t>
      </w:r>
      <w:r w:rsidRPr="00F57EB4">
        <w:rPr>
          <w:rFonts w:ascii="Times New Roman" w:eastAsia="Times New Roman" w:hAnsi="Times New Roman" w:cs="Times New Roman"/>
          <w:sz w:val="24"/>
          <w:szCs w:val="24"/>
          <w:lang w:val="en-GB" w:eastAsia="sv-SE"/>
        </w:rPr>
        <w:t>further defines inclusive education as a process of systemic reform aimed at ensuring equitable participation and learning opportunities for all students (Jia, Tan &amp; Santi, 2022).</w:t>
      </w:r>
    </w:p>
    <w:p w14:paraId="7F3AE769" w14:textId="1DD9A6B7" w:rsidR="00F57EB4" w:rsidRPr="00F57EB4" w:rsidRDefault="00F57EB4" w:rsidP="00135876">
      <w:pPr>
        <w:spacing w:before="100" w:beforeAutospacing="1" w:after="100" w:afterAutospacing="1" w:line="360" w:lineRule="auto"/>
        <w:jc w:val="both"/>
        <w:rPr>
          <w:rFonts w:ascii="Times New Roman" w:eastAsia="Times New Roman" w:hAnsi="Times New Roman" w:cs="Times New Roman"/>
          <w:sz w:val="24"/>
          <w:szCs w:val="24"/>
          <w:lang w:val="en-GB" w:eastAsia="sv-SE"/>
        </w:rPr>
      </w:pPr>
      <w:r w:rsidRPr="00F57EB4">
        <w:rPr>
          <w:rFonts w:ascii="Times New Roman" w:eastAsia="Times New Roman" w:hAnsi="Times New Roman" w:cs="Times New Roman"/>
          <w:sz w:val="24"/>
          <w:szCs w:val="24"/>
          <w:lang w:val="en-GB" w:eastAsia="sv-SE"/>
        </w:rPr>
        <w:t xml:space="preserve">Beyond policy, inclusive education is grounded in the principle that every learner may require support at different stages, underscoring the importance of skilled teachers who demonstrate leadership within the classroom (Dovigo, 2020). Inclusivity also involves recognising, valuing, and respecting diversity. Through inclusive education, schools seek to eliminate discrimination and provide equitable opportunities for all students (Armiyati et al., 2025). However, the </w:t>
      </w:r>
      <w:r w:rsidRPr="00F57EB4">
        <w:rPr>
          <w:rFonts w:ascii="Times New Roman" w:eastAsia="Times New Roman" w:hAnsi="Times New Roman" w:cs="Times New Roman"/>
          <w:sz w:val="24"/>
          <w:szCs w:val="24"/>
          <w:lang w:val="en-GB" w:eastAsia="sv-SE"/>
        </w:rPr>
        <w:lastRenderedPageBreak/>
        <w:t>development of inclusive schools is challenged by inconsistent definitions, limited resources, and insufficient professional learning opportunities (Brennan &amp; Pennycook, 2025). At a global level, divergent scholarly interpretations of inclusive education have resulted in conceptual ambiguity, highlighting the need for further research to establish clearer definitions</w:t>
      </w:r>
      <w:r w:rsidR="00BF7C6A">
        <w:rPr>
          <w:rFonts w:ascii="Times New Roman" w:eastAsia="Times New Roman" w:hAnsi="Times New Roman" w:cs="Times New Roman"/>
          <w:sz w:val="24"/>
          <w:szCs w:val="24"/>
          <w:lang w:val="en-GB" w:eastAsia="sv-SE"/>
        </w:rPr>
        <w:t xml:space="preserve"> on inclusivity</w:t>
      </w:r>
      <w:r w:rsidRPr="00F57EB4">
        <w:rPr>
          <w:rFonts w:ascii="Times New Roman" w:eastAsia="Times New Roman" w:hAnsi="Times New Roman" w:cs="Times New Roman"/>
          <w:sz w:val="24"/>
          <w:szCs w:val="24"/>
          <w:lang w:val="en-GB" w:eastAsia="sv-SE"/>
        </w:rPr>
        <w:t xml:space="preserve"> (Jia, Tan &amp; Santi, 2022).</w:t>
      </w:r>
    </w:p>
    <w:p w14:paraId="11CCB3DD" w14:textId="77777777" w:rsidR="00F57EB4" w:rsidRPr="00F57EB4" w:rsidRDefault="00F57EB4" w:rsidP="00F57EB4">
      <w:pPr>
        <w:spacing w:before="100" w:beforeAutospacing="1" w:after="100" w:afterAutospacing="1" w:line="360" w:lineRule="auto"/>
        <w:jc w:val="both"/>
        <w:outlineLvl w:val="2"/>
        <w:rPr>
          <w:rFonts w:ascii="Times New Roman" w:eastAsia="Times New Roman" w:hAnsi="Times New Roman" w:cs="Times New Roman"/>
          <w:b/>
          <w:bCs/>
          <w:sz w:val="27"/>
          <w:szCs w:val="27"/>
          <w:lang w:val="en-GB" w:eastAsia="sv-SE"/>
        </w:rPr>
      </w:pPr>
      <w:r w:rsidRPr="00F57EB4">
        <w:rPr>
          <w:rFonts w:ascii="Times New Roman" w:eastAsia="Times New Roman" w:hAnsi="Times New Roman" w:cs="Times New Roman"/>
          <w:b/>
          <w:bCs/>
          <w:sz w:val="27"/>
          <w:szCs w:val="27"/>
          <w:lang w:val="en-GB" w:eastAsia="sv-SE"/>
        </w:rPr>
        <w:t>Understanding Inclusive Practices</w:t>
      </w:r>
    </w:p>
    <w:p w14:paraId="751CDD8E" w14:textId="77777777" w:rsidR="00F57EB4" w:rsidRPr="00F57EB4" w:rsidRDefault="00F57EB4" w:rsidP="00F57EB4">
      <w:pPr>
        <w:spacing w:before="100" w:beforeAutospacing="1" w:after="100" w:afterAutospacing="1" w:line="360" w:lineRule="auto"/>
        <w:jc w:val="both"/>
        <w:rPr>
          <w:rFonts w:ascii="Times New Roman" w:eastAsia="Times New Roman" w:hAnsi="Times New Roman" w:cs="Times New Roman"/>
          <w:sz w:val="24"/>
          <w:szCs w:val="24"/>
          <w:lang w:val="en-GB" w:eastAsia="sv-SE"/>
        </w:rPr>
      </w:pPr>
      <w:r w:rsidRPr="00F57EB4">
        <w:rPr>
          <w:rFonts w:ascii="Times New Roman" w:eastAsia="Times New Roman" w:hAnsi="Times New Roman" w:cs="Times New Roman"/>
          <w:sz w:val="24"/>
          <w:szCs w:val="24"/>
          <w:lang w:val="en-GB" w:eastAsia="sv-SE"/>
        </w:rPr>
        <w:t>Historically, schools have employed practices that segregated students with learning difficulties or disabilities, leading to exclusion and inequality (Pearl, 2024). Although inclusive education is now widely promoted, uncertainty remains regarding its definition, implementation, and outcomes, particularly in school-based practice (Jia, Tan &amp; Santi, 2022). Teachers, as educational leaders, play a central role in creating inclusive classroom environments that respond to cultural diversity and the varied needs of students (Bordeaux, 2024).</w:t>
      </w:r>
    </w:p>
    <w:p w14:paraId="6F6C7A3B" w14:textId="77777777" w:rsidR="00F57EB4" w:rsidRPr="00F57EB4" w:rsidRDefault="00F57EB4" w:rsidP="00F57EB4">
      <w:pPr>
        <w:spacing w:before="100" w:beforeAutospacing="1" w:after="100" w:afterAutospacing="1" w:line="360" w:lineRule="auto"/>
        <w:jc w:val="both"/>
        <w:rPr>
          <w:rFonts w:ascii="Times New Roman" w:eastAsia="Times New Roman" w:hAnsi="Times New Roman" w:cs="Times New Roman"/>
          <w:sz w:val="24"/>
          <w:szCs w:val="24"/>
          <w:lang w:val="en-GB" w:eastAsia="sv-SE"/>
        </w:rPr>
      </w:pPr>
      <w:r w:rsidRPr="00F57EB4">
        <w:rPr>
          <w:rFonts w:ascii="Times New Roman" w:eastAsia="Times New Roman" w:hAnsi="Times New Roman" w:cs="Times New Roman"/>
          <w:sz w:val="24"/>
          <w:szCs w:val="24"/>
          <w:lang w:val="en-GB" w:eastAsia="sv-SE"/>
        </w:rPr>
        <w:t>International consensus increasingly frames inclusion as a holistic concept that extends beyond disability to encompass attributes such as culture, language, gender, ethnicity, and socio-economic background (Atanasova &amp; Papen, 2025). Inclusive education is therefore viewed as enhancing learning for all students by recognising individual contributions and preparing learners for participation in diverse societies (Pearl, 2024). This broader approach shifts the focus from integrating students with disabilities into mainstream settings to addressing systemic barriers through improved teaching practices and whole-school approaches (Grooms et al., 2024; Dovigo, 2020).</w:t>
      </w:r>
    </w:p>
    <w:p w14:paraId="2F9A2E22" w14:textId="77777777" w:rsidR="00F57EB4" w:rsidRPr="00F57EB4" w:rsidRDefault="00F57EB4" w:rsidP="00F57EB4">
      <w:pPr>
        <w:spacing w:before="100" w:beforeAutospacing="1" w:after="100" w:afterAutospacing="1" w:line="360" w:lineRule="auto"/>
        <w:jc w:val="both"/>
        <w:rPr>
          <w:rFonts w:ascii="Times New Roman" w:eastAsia="Times New Roman" w:hAnsi="Times New Roman" w:cs="Times New Roman"/>
          <w:sz w:val="24"/>
          <w:szCs w:val="24"/>
          <w:lang w:val="en-GB" w:eastAsia="sv-SE"/>
        </w:rPr>
      </w:pPr>
      <w:r w:rsidRPr="00F57EB4">
        <w:rPr>
          <w:rFonts w:ascii="Times New Roman" w:eastAsia="Times New Roman" w:hAnsi="Times New Roman" w:cs="Times New Roman"/>
          <w:sz w:val="24"/>
          <w:szCs w:val="24"/>
          <w:lang w:val="en-GB" w:eastAsia="sv-SE"/>
        </w:rPr>
        <w:t>Despite these advances, the expansion of inclusivity to encompass diversity has attracted criticism, with some scholars arguing that diversity represents a broader and more complex set of concerns than those traditionally addressed within special education (Atanasova &amp; Papen, 2025). Consequently, inclusive education remains contested, lacking a universally accepted definition. While some perspectives emphasise the placement of students with disabilities in mainstream classrooms, others define inclusion as ensuring high-quality education for all learners, irrespective of background (Jia, Tan &amp; Santi, 2022).</w:t>
      </w:r>
    </w:p>
    <w:p w14:paraId="3DBB44B4" w14:textId="11282AA7" w:rsidR="00CE5408" w:rsidRPr="00CE5408" w:rsidRDefault="00F57EB4" w:rsidP="00F56292">
      <w:pPr>
        <w:spacing w:before="100" w:beforeAutospacing="1" w:after="100" w:afterAutospacing="1" w:line="360" w:lineRule="auto"/>
        <w:jc w:val="both"/>
        <w:rPr>
          <w:rFonts w:ascii="Times New Roman" w:eastAsia="Times New Roman" w:hAnsi="Times New Roman" w:cs="Times New Roman"/>
          <w:sz w:val="24"/>
          <w:szCs w:val="24"/>
          <w:lang w:val="en-GB" w:eastAsia="sv-SE"/>
        </w:rPr>
      </w:pPr>
      <w:r w:rsidRPr="00F57EB4">
        <w:rPr>
          <w:rFonts w:ascii="Times New Roman" w:eastAsia="Times New Roman" w:hAnsi="Times New Roman" w:cs="Times New Roman"/>
          <w:sz w:val="24"/>
          <w:szCs w:val="24"/>
          <w:lang w:val="en-GB" w:eastAsia="sv-SE"/>
        </w:rPr>
        <w:t xml:space="preserve">Effective inclusion requires collaborative </w:t>
      </w:r>
      <w:r w:rsidR="000441AA">
        <w:rPr>
          <w:rFonts w:ascii="Times New Roman" w:eastAsia="Times New Roman" w:hAnsi="Times New Roman" w:cs="Times New Roman"/>
          <w:sz w:val="24"/>
          <w:szCs w:val="24"/>
          <w:lang w:val="en-GB" w:eastAsia="sv-SE"/>
        </w:rPr>
        <w:t xml:space="preserve">educational </w:t>
      </w:r>
      <w:r w:rsidRPr="00F57EB4">
        <w:rPr>
          <w:rFonts w:ascii="Times New Roman" w:eastAsia="Times New Roman" w:hAnsi="Times New Roman" w:cs="Times New Roman"/>
          <w:sz w:val="24"/>
          <w:szCs w:val="24"/>
          <w:lang w:val="en-GB" w:eastAsia="sv-SE"/>
        </w:rPr>
        <w:t xml:space="preserve">leadership that engages families, communities, and educators in evidence-informed decision-making grounded in cultural and historical awareness (Pearl, 2024; Grooms et al., 2024). Educational leaders are therefore tasked </w:t>
      </w:r>
      <w:r w:rsidRPr="00F57EB4">
        <w:rPr>
          <w:rFonts w:ascii="Times New Roman" w:eastAsia="Times New Roman" w:hAnsi="Times New Roman" w:cs="Times New Roman"/>
          <w:sz w:val="24"/>
          <w:szCs w:val="24"/>
          <w:lang w:val="en-GB" w:eastAsia="sv-SE"/>
        </w:rPr>
        <w:lastRenderedPageBreak/>
        <w:t xml:space="preserve">with promoting cultural literacy and parental engagement to better address diverse student needs (Bordeaux, 2024). Establishing mutual respect within school environments can disrupt power imbalances and enhance student autonomy and equity (Hegseth, 2024). </w:t>
      </w:r>
      <w:r w:rsidR="00CE5408" w:rsidRPr="00CE5408">
        <w:rPr>
          <w:rFonts w:ascii="Times New Roman" w:eastAsia="Times New Roman" w:hAnsi="Times New Roman" w:cs="Times New Roman"/>
          <w:sz w:val="24"/>
          <w:szCs w:val="24"/>
          <w:lang w:val="en-GB" w:eastAsia="sv-SE"/>
        </w:rPr>
        <w:t>However, efforts to achieve educational equity are often constrained by narrow definitions that place disproportionate responsibility on teachers, pointing to the absence of leadership strategies that promote shared responsibility and systemic approaches to equity (Teemant et al., 2020).</w:t>
      </w:r>
    </w:p>
    <w:p w14:paraId="5E3999D7" w14:textId="77777777" w:rsidR="00F57EB4" w:rsidRPr="00F57EB4" w:rsidRDefault="00F57EB4" w:rsidP="00F57EB4">
      <w:pPr>
        <w:spacing w:before="100" w:beforeAutospacing="1" w:after="100" w:afterAutospacing="1" w:line="360" w:lineRule="auto"/>
        <w:jc w:val="both"/>
        <w:outlineLvl w:val="2"/>
        <w:rPr>
          <w:rFonts w:ascii="Times New Roman" w:eastAsia="Times New Roman" w:hAnsi="Times New Roman" w:cs="Times New Roman"/>
          <w:b/>
          <w:bCs/>
          <w:sz w:val="27"/>
          <w:szCs w:val="27"/>
          <w:lang w:val="en-GB" w:eastAsia="sv-SE"/>
        </w:rPr>
      </w:pPr>
      <w:r w:rsidRPr="00F57EB4">
        <w:rPr>
          <w:rFonts w:ascii="Times New Roman" w:eastAsia="Times New Roman" w:hAnsi="Times New Roman" w:cs="Times New Roman"/>
          <w:b/>
          <w:bCs/>
          <w:sz w:val="27"/>
          <w:szCs w:val="27"/>
          <w:lang w:val="en-GB" w:eastAsia="sv-SE"/>
        </w:rPr>
        <w:t>Leadership Strategies for Inclusion</w:t>
      </w:r>
    </w:p>
    <w:p w14:paraId="4391A33C" w14:textId="443DEDE6" w:rsidR="00EC0391" w:rsidRPr="00EC0391" w:rsidRDefault="00EC0391" w:rsidP="00135876">
      <w:pPr>
        <w:spacing w:before="100" w:beforeAutospacing="1" w:after="100" w:afterAutospacing="1" w:line="360" w:lineRule="auto"/>
        <w:jc w:val="both"/>
        <w:rPr>
          <w:rFonts w:ascii="Times New Roman" w:eastAsia="Times New Roman" w:hAnsi="Times New Roman" w:cs="Times New Roman"/>
          <w:sz w:val="24"/>
          <w:szCs w:val="24"/>
          <w:lang w:val="en-GB" w:eastAsia="sv-SE"/>
        </w:rPr>
      </w:pPr>
      <w:r w:rsidRPr="00EC0391">
        <w:rPr>
          <w:rFonts w:ascii="Times New Roman" w:eastAsia="Times New Roman" w:hAnsi="Times New Roman" w:cs="Times New Roman"/>
          <w:sz w:val="24"/>
          <w:szCs w:val="24"/>
          <w:lang w:val="en-GB" w:eastAsia="sv-SE"/>
        </w:rPr>
        <w:t>Teachers play a pivotal role in advancing inclusive education through leadership shaped by their beliefs and understanding of inclusive practices. Effective inclusion depends on teachers’ capacity and willingness to engage all learners meaningfully (Jia, Tan &amp; Santi, 2022). Trust-based relationships, reflective practice, and openness to feedback are therefore central to teachers’ roles as instructional leaders (Grooms et al., 2024).</w:t>
      </w:r>
    </w:p>
    <w:p w14:paraId="6EAE8931" w14:textId="65A105AE" w:rsidR="004D22C1" w:rsidRPr="004D22C1" w:rsidRDefault="004D22C1" w:rsidP="00FD5843">
      <w:pPr>
        <w:pStyle w:val="Normalwebb"/>
        <w:spacing w:line="360" w:lineRule="auto"/>
        <w:jc w:val="both"/>
        <w:rPr>
          <w:lang w:val="en-GB"/>
        </w:rPr>
      </w:pPr>
      <w:r w:rsidRPr="004D22C1">
        <w:rPr>
          <w:lang w:val="en-GB"/>
        </w:rPr>
        <w:t xml:space="preserve">Educational leadership that prioritises culturally responsive practices is effective in addressing systemic inequities and promoting sustainable change (Bordeaux, 2024). Teachers’ leadership supports positive classroom cultures by strengthening relationships with </w:t>
      </w:r>
      <w:r w:rsidR="00AD200C" w:rsidRPr="004D22C1">
        <w:rPr>
          <w:lang w:val="en-GB"/>
        </w:rPr>
        <w:t>students and</w:t>
      </w:r>
      <w:r w:rsidRPr="004D22C1">
        <w:rPr>
          <w:lang w:val="en-GB"/>
        </w:rPr>
        <w:t xml:space="preserve"> embedding culturally inclusive practices in teaching (Grooms et al., 2024). Professional development remains essential, as uncertainty around inclusive practice undermine</w:t>
      </w:r>
      <w:r w:rsidR="00AD200C">
        <w:rPr>
          <w:lang w:val="en-GB"/>
        </w:rPr>
        <w:t>s</w:t>
      </w:r>
      <w:r w:rsidRPr="004D22C1">
        <w:rPr>
          <w:lang w:val="en-GB"/>
        </w:rPr>
        <w:t xml:space="preserve"> teachers’ confidence and effectiveness (Dovigo, 2020).</w:t>
      </w:r>
    </w:p>
    <w:p w14:paraId="1521E439" w14:textId="69665756" w:rsidR="00DB14E7" w:rsidRDefault="004D22C1" w:rsidP="004C3CFB">
      <w:pPr>
        <w:pStyle w:val="Normalwebb"/>
        <w:spacing w:line="360" w:lineRule="auto"/>
        <w:jc w:val="both"/>
        <w:rPr>
          <w:lang w:val="en-GB"/>
        </w:rPr>
      </w:pPr>
      <w:r w:rsidRPr="004D22C1">
        <w:rPr>
          <w:lang w:val="en-GB"/>
        </w:rPr>
        <w:t xml:space="preserve">However, ambiguity persists around the definition of teacher leadership and the distinction between professional knowledge and beliefs (Brennan &amp; Pennycook, 2025; Weger, 2025). Although many teachers endorse inclusive strategies such as differentiation, additional training is often needed to implement personalised learning effectively (Nepal et al., 2021). Teachers’ attitudes towards cultural diversity strongly influence school climate and the success of inclusion efforts (Bordeaux, 2024), while diverse teaching strategies promote mutual understanding, respect, and tolerance among students (Rrustemi &amp; Kurteshi, 2025). </w:t>
      </w:r>
      <w:r w:rsidR="000A5830" w:rsidRPr="000A5830">
        <w:rPr>
          <w:lang w:val="en-GB"/>
        </w:rPr>
        <w:t>Effective leadership that promotes equity and cultural literacy thus enables teachers to adapt their practices to meet the demands of increasingly diverse schools (Grooms et al., 2024).</w:t>
      </w:r>
      <w:bookmarkStart w:id="2" w:name="_Hlk215060519"/>
      <w:bookmarkEnd w:id="1"/>
    </w:p>
    <w:p w14:paraId="040BEA3F" w14:textId="77777777" w:rsidR="004C3CFB" w:rsidRDefault="004C3CFB" w:rsidP="004C3CFB">
      <w:pPr>
        <w:pStyle w:val="Normalwebb"/>
        <w:spacing w:line="360" w:lineRule="auto"/>
        <w:jc w:val="both"/>
        <w:rPr>
          <w:lang w:val="en-GB"/>
        </w:rPr>
      </w:pPr>
    </w:p>
    <w:p w14:paraId="4872A84A" w14:textId="77777777" w:rsidR="004C3CFB" w:rsidRPr="004C3CFB" w:rsidRDefault="004C3CFB" w:rsidP="004C3CFB">
      <w:pPr>
        <w:pStyle w:val="Normalwebb"/>
        <w:spacing w:line="360" w:lineRule="auto"/>
        <w:jc w:val="both"/>
        <w:rPr>
          <w:lang w:val="en-GB"/>
        </w:rPr>
      </w:pPr>
    </w:p>
    <w:p w14:paraId="6121CF58" w14:textId="21CEC9D6" w:rsidR="00BE7A58" w:rsidRPr="005D624F" w:rsidRDefault="008256CE" w:rsidP="005D624F">
      <w:pPr>
        <w:spacing w:before="100" w:beforeAutospacing="1" w:after="100" w:afterAutospacing="1" w:line="360" w:lineRule="auto"/>
        <w:jc w:val="both"/>
        <w:outlineLvl w:val="2"/>
        <w:rPr>
          <w:rFonts w:ascii="Times New Roman" w:eastAsia="Times New Roman" w:hAnsi="Times New Roman" w:cs="Times New Roman"/>
          <w:b/>
          <w:bCs/>
          <w:sz w:val="27"/>
          <w:szCs w:val="27"/>
          <w:lang w:val="en-GB" w:eastAsia="sv-SE"/>
        </w:rPr>
      </w:pPr>
      <w:r w:rsidRPr="008256CE">
        <w:rPr>
          <w:rFonts w:ascii="Times New Roman" w:eastAsia="Times New Roman" w:hAnsi="Times New Roman" w:cs="Times New Roman"/>
          <w:b/>
          <w:bCs/>
          <w:sz w:val="27"/>
          <w:szCs w:val="27"/>
          <w:lang w:val="en-GB" w:eastAsia="sv-SE"/>
        </w:rPr>
        <w:lastRenderedPageBreak/>
        <w:t>Adapting to Diversity</w:t>
      </w:r>
    </w:p>
    <w:p w14:paraId="7DE47724" w14:textId="77777777" w:rsidR="00BE7A58" w:rsidRPr="00BE7A58" w:rsidRDefault="00BE7A58" w:rsidP="000E3EBF">
      <w:pPr>
        <w:pStyle w:val="Normalwebb"/>
        <w:spacing w:line="360" w:lineRule="auto"/>
        <w:jc w:val="both"/>
        <w:rPr>
          <w:lang w:val="en-GB"/>
        </w:rPr>
      </w:pPr>
      <w:r w:rsidRPr="00BE7A58">
        <w:rPr>
          <w:lang w:val="en-GB"/>
        </w:rPr>
        <w:t>The increasing diversity of student populations has intensified the complexity of contemporary classrooms, as learners bring varied cognitive, social, emotional, and cultural backgrounds that shape their knowledge, skills, and learning priorities (Nepal et al., 2021). As a result, education has reached a critical point where inclusivity and adaptability must guide its development (Segura, Canale &amp; Prenovost, 2025). Growing ethnic, socioeconomic, and linguistic diversity requires teachers to rethink leadership practices and adopt equitable, culturally responsive approaches that support student success (Grooms et al., 2024). Promoting equity involves teachers acting as agents of inclusion through value-driven mindsets and socially inclusive practices that support marginalised learners (Teemant et al., 2020). Teachers also have the capacity to create flexible classroom environments that respond to students’ evolving needs and provide equal learning opportunities (Wolfe, 2024). Consequently, teachers’ professional competence remains central to instructional quality and student learning outcomes (Weger, 2025), particularly when teaching draws on students’ cultural and experiential contexts (Barton &amp; Riddle, 2022).</w:t>
      </w:r>
    </w:p>
    <w:p w14:paraId="40BBA946" w14:textId="77777777" w:rsidR="00BE7A58" w:rsidRPr="00BE7A58" w:rsidRDefault="00BE7A58" w:rsidP="000E3EBF">
      <w:pPr>
        <w:pStyle w:val="Normalwebb"/>
        <w:spacing w:line="360" w:lineRule="auto"/>
        <w:jc w:val="both"/>
        <w:rPr>
          <w:lang w:val="en-GB"/>
        </w:rPr>
      </w:pPr>
      <w:r w:rsidRPr="00BE7A58">
        <w:rPr>
          <w:lang w:val="en-GB"/>
        </w:rPr>
        <w:t>However, expanding inclusivity to include ethnicity, gender, and socioeconomic background has raised concerns that the needs of students with disabilities and special educational needs may be overlooked (Atanasova &amp; Papen, 2025). Although many teachers support inclusive education in principle, uncertainty around its implementation persists, underscoring the need for stronger preparation and ongoing professional development (Dovigo, 2020). Targeted training is therefore essential to equip teachers with the skills and strategies required to remove learning barriers and foster inclusive environments (Pearl, 2024). Viewing teaching as a professional calling further highlights the importance of ethical practice, empathy, and sustained relationship-building (Grooms et al., 2023).</w:t>
      </w:r>
    </w:p>
    <w:p w14:paraId="7A59AC61" w14:textId="2354FBC1" w:rsidR="00BE7A58" w:rsidRPr="00BE7A58" w:rsidRDefault="00BE7A58" w:rsidP="000E3EBF">
      <w:pPr>
        <w:pStyle w:val="Normalwebb"/>
        <w:spacing w:line="360" w:lineRule="auto"/>
        <w:jc w:val="both"/>
        <w:rPr>
          <w:lang w:val="en-GB"/>
        </w:rPr>
      </w:pPr>
      <w:r w:rsidRPr="00BE7A58">
        <w:rPr>
          <w:lang w:val="en-GB"/>
        </w:rPr>
        <w:t xml:space="preserve">Relationship-building remains central to inclusive education, as it supports welcoming environments that value students’ identities and address both academic and social-emotional needs (Pearl, 2024). School leadership plays a key role in promoting inclusive cultures where every learner is regarded as a valued member of the educational community (Jia, Tan &amp; Santi, 2022). Such environments encourage collaboration, peer learning, and a sense of belonging (Pearl, 2024), while leaders shape school climate through equitable practices that strengthen relationships and learning conditions (Grooms et al., 2024). Prioritising diversity and inclusion </w:t>
      </w:r>
      <w:r w:rsidR="00412EB3">
        <w:rPr>
          <w:lang w:val="en-GB"/>
        </w:rPr>
        <w:t>fosters</w:t>
      </w:r>
      <w:r w:rsidRPr="00BE7A58">
        <w:rPr>
          <w:lang w:val="en-GB"/>
        </w:rPr>
        <w:t xml:space="preserve"> positive attitudes towards multiculturalism and enhances students’ cultural competence </w:t>
      </w:r>
      <w:r w:rsidRPr="00BE7A58">
        <w:rPr>
          <w:lang w:val="en-GB"/>
        </w:rPr>
        <w:lastRenderedPageBreak/>
        <w:t>and empathy, helping to reduce systemic barriers (Bordeaux, 2024). Ultimately, inclusive education seeks to promote equity, participation, achievement, and belonging by flexibly responding to individual differences and supporting all learners (Nepal et al., 2021).</w:t>
      </w:r>
    </w:p>
    <w:p w14:paraId="739FFE7E" w14:textId="77777777" w:rsidR="00FC6F8B" w:rsidRPr="00FC6F8B" w:rsidRDefault="00FC6F8B" w:rsidP="000E3EBF">
      <w:pPr>
        <w:pStyle w:val="Normalwebb"/>
        <w:spacing w:line="360" w:lineRule="auto"/>
        <w:jc w:val="both"/>
        <w:rPr>
          <w:lang w:val="en-GB"/>
        </w:rPr>
      </w:pPr>
      <w:r w:rsidRPr="00FC6F8B">
        <w:rPr>
          <w:lang w:val="en-GB"/>
        </w:rPr>
        <w:t>In response to increasing learner diversity, inclusive approaches such as differentiated instruction have gained prominence. Differentiation involves adapting content, process, and learning outcomes to students’ readiness, interests, and learning profiles to ensure access and participation for all learners (Nepal et al., 2021). As a pedagogical approach, it supports social justice and equity by addressing diverse needs within mainstream classrooms (Paulsrud, 2022). However, many teachers report uncertainty and limited confidence in implementing differentiation effectively, often due to unclear guidance and inconsistent practices (Nepal et al., 2021). Differentiation encompasses a range of strategies shaped by contextual assumptions about inclusion (Graham et al., 2024), and teachers frequently rely on self-developed materials, increasing planning and assessment demands (Kahmann, Mienke Droop &amp; Lazonder, 2024). Critics also caution that grouping practices may reinforce student categorisation and negatively affect learning outcomes, highlighting the need for strong school leadership to ensure equitable implementation and high expectations for all learners (Lüddeckens, 2025).</w:t>
      </w:r>
    </w:p>
    <w:p w14:paraId="39FED7D5" w14:textId="6A6975BA" w:rsidR="00BE7A58" w:rsidRPr="008256CE" w:rsidRDefault="00FC6F8B" w:rsidP="000E3EBF">
      <w:pPr>
        <w:pStyle w:val="Normalwebb"/>
        <w:spacing w:line="360" w:lineRule="auto"/>
        <w:jc w:val="both"/>
        <w:rPr>
          <w:lang w:val="en-GB"/>
        </w:rPr>
      </w:pPr>
      <w:r w:rsidRPr="00FC6F8B">
        <w:rPr>
          <w:lang w:val="en-GB"/>
        </w:rPr>
        <w:t>While existing literature emphasises inclusive education and outlines various instructional strategies, much of it focuses on policy rather than classroom practice (Grooms et al., 2024). Limited attention has been paid to teachers’ lived experiences and decision-making in responding to learner diversity, indicating the need for further research on how inclusive practices are enacted in diverse classrooms.</w:t>
      </w:r>
    </w:p>
    <w:p w14:paraId="3BDB6A42" w14:textId="36845CFD" w:rsidR="007E627A" w:rsidRPr="00B35F97" w:rsidRDefault="00313C96" w:rsidP="00375FDE">
      <w:pPr>
        <w:spacing w:line="360" w:lineRule="auto"/>
        <w:jc w:val="both"/>
        <w:rPr>
          <w:rFonts w:ascii="Times New Roman" w:eastAsia="Calibri" w:hAnsi="Times New Roman" w:cs="Times New Roman"/>
          <w:b/>
          <w:bCs/>
          <w:sz w:val="24"/>
          <w:szCs w:val="24"/>
          <w:lang w:val="en-GB"/>
        </w:rPr>
      </w:pPr>
      <w:r w:rsidRPr="00B35F97">
        <w:rPr>
          <w:rFonts w:ascii="Times New Roman" w:eastAsia="Calibri" w:hAnsi="Times New Roman" w:cs="Times New Roman"/>
          <w:b/>
          <w:bCs/>
          <w:sz w:val="24"/>
          <w:szCs w:val="24"/>
          <w:lang w:val="en-GB"/>
        </w:rPr>
        <w:t>Methodology</w:t>
      </w:r>
    </w:p>
    <w:p w14:paraId="5A117D97" w14:textId="20F98688" w:rsidR="00F536C2" w:rsidRPr="009371C2" w:rsidRDefault="009371C2" w:rsidP="00947464">
      <w:pPr>
        <w:spacing w:before="100" w:beforeAutospacing="1" w:after="100" w:afterAutospacing="1" w:line="360" w:lineRule="auto"/>
        <w:jc w:val="both"/>
        <w:rPr>
          <w:rFonts w:ascii="Times New Roman" w:eastAsia="Times New Roman" w:hAnsi="Times New Roman" w:cs="Times New Roman"/>
          <w:sz w:val="24"/>
          <w:szCs w:val="24"/>
          <w:lang w:val="en-GB" w:eastAsia="sv-SE"/>
        </w:rPr>
      </w:pPr>
      <w:r w:rsidRPr="009371C2">
        <w:rPr>
          <w:rFonts w:ascii="Times New Roman" w:eastAsia="Times New Roman" w:hAnsi="Times New Roman" w:cs="Times New Roman"/>
          <w:sz w:val="24"/>
          <w:szCs w:val="24"/>
          <w:lang w:val="en-GB" w:eastAsia="sv-SE"/>
        </w:rPr>
        <w:t xml:space="preserve">This study employed a qualitative phenomenological research design to explore how teachers’ leadership practices nurture inclusive learning environments in diverse high school classrooms. </w:t>
      </w:r>
      <w:r w:rsidR="00D44A73" w:rsidRPr="00D44A73">
        <w:rPr>
          <w:rFonts w:ascii="Times New Roman" w:eastAsia="Times New Roman" w:hAnsi="Times New Roman" w:cs="Times New Roman"/>
          <w:sz w:val="24"/>
          <w:szCs w:val="24"/>
          <w:lang w:val="en-GB" w:eastAsia="sv-SE"/>
        </w:rPr>
        <w:t>Phenomenology aims at describing experience and what experience means to those who have lived it. Therefore, phenomenologists are more concerned with understanding and describing a phenomenon rather than explaining it (Männistö and Moate, 2023). Particularly, a phenomenologist approach facilitated a nuanced exploration of the perceptions, interpretations of teachers and how teachers apply inclusive pedagogy in the professional practice. Since understanding phenomenology is vital to understanding the general structure or essence of the lived experience of the participants (Stolz,2023).</w:t>
      </w:r>
      <w:r w:rsidR="00B407EA">
        <w:rPr>
          <w:rFonts w:ascii="Times New Roman" w:eastAsia="Times New Roman" w:hAnsi="Times New Roman" w:cs="Times New Roman"/>
          <w:sz w:val="24"/>
          <w:szCs w:val="24"/>
          <w:lang w:val="en-GB" w:eastAsia="sv-SE"/>
        </w:rPr>
        <w:t xml:space="preserve"> </w:t>
      </w:r>
      <w:r w:rsidRPr="009371C2">
        <w:rPr>
          <w:rFonts w:ascii="Times New Roman" w:eastAsia="Times New Roman" w:hAnsi="Times New Roman" w:cs="Times New Roman"/>
          <w:sz w:val="24"/>
          <w:szCs w:val="24"/>
          <w:lang w:val="en-GB" w:eastAsia="sv-SE"/>
        </w:rPr>
        <w:t xml:space="preserve">Phenomenology </w:t>
      </w:r>
      <w:r w:rsidR="001F34B5">
        <w:rPr>
          <w:rFonts w:ascii="Times New Roman" w:eastAsia="Times New Roman" w:hAnsi="Times New Roman" w:cs="Times New Roman"/>
          <w:sz w:val="24"/>
          <w:szCs w:val="24"/>
          <w:lang w:val="en-GB" w:eastAsia="sv-SE"/>
        </w:rPr>
        <w:t xml:space="preserve">as well </w:t>
      </w:r>
      <w:r w:rsidRPr="009371C2">
        <w:rPr>
          <w:rFonts w:ascii="Times New Roman" w:eastAsia="Times New Roman" w:hAnsi="Times New Roman" w:cs="Times New Roman"/>
          <w:sz w:val="24"/>
          <w:szCs w:val="24"/>
          <w:lang w:val="en-GB" w:eastAsia="sv-SE"/>
        </w:rPr>
        <w:t>is a well</w:t>
      </w:r>
      <w:r w:rsidRPr="009371C2">
        <w:rPr>
          <w:rFonts w:ascii="Times New Roman" w:eastAsia="Times New Roman" w:hAnsi="Times New Roman" w:cs="Times New Roman"/>
          <w:sz w:val="24"/>
          <w:szCs w:val="24"/>
          <w:lang w:val="en-GB" w:eastAsia="sv-SE"/>
        </w:rPr>
        <w:noBreakHyphen/>
        <w:t xml:space="preserve">established </w:t>
      </w:r>
      <w:r w:rsidRPr="009371C2">
        <w:rPr>
          <w:rFonts w:ascii="Times New Roman" w:eastAsia="Times New Roman" w:hAnsi="Times New Roman" w:cs="Times New Roman"/>
          <w:sz w:val="24"/>
          <w:szCs w:val="24"/>
          <w:lang w:val="en-GB" w:eastAsia="sv-SE"/>
        </w:rPr>
        <w:lastRenderedPageBreak/>
        <w:t xml:space="preserve">qualitative approach that seeks to </w:t>
      </w:r>
      <w:r w:rsidR="001F34B5">
        <w:rPr>
          <w:rFonts w:ascii="Times New Roman" w:eastAsia="Times New Roman" w:hAnsi="Times New Roman" w:cs="Times New Roman"/>
          <w:sz w:val="24"/>
          <w:szCs w:val="24"/>
          <w:lang w:val="en-GB" w:eastAsia="sv-SE"/>
        </w:rPr>
        <w:t xml:space="preserve">both </w:t>
      </w:r>
      <w:r w:rsidRPr="009371C2">
        <w:rPr>
          <w:rFonts w:ascii="Times New Roman" w:eastAsia="Times New Roman" w:hAnsi="Times New Roman" w:cs="Times New Roman"/>
          <w:sz w:val="24"/>
          <w:szCs w:val="24"/>
          <w:lang w:val="en-GB" w:eastAsia="sv-SE"/>
        </w:rPr>
        <w:t>describe and interpret the lived experiences of individuals to understand the essence of a phenomenon from participants’ perspectives (</w:t>
      </w:r>
      <w:r w:rsidR="00122917" w:rsidRPr="00D86AD9">
        <w:rPr>
          <w:rFonts w:ascii="Times New Roman" w:eastAsia="Times New Roman" w:hAnsi="Times New Roman" w:cs="Times New Roman"/>
          <w:sz w:val="24"/>
          <w:szCs w:val="24"/>
          <w:lang w:val="en-GB" w:eastAsia="sv-SE"/>
        </w:rPr>
        <w:t>Crum</w:t>
      </w:r>
      <w:r w:rsidRPr="009371C2">
        <w:rPr>
          <w:rFonts w:ascii="Times New Roman" w:eastAsia="Times New Roman" w:hAnsi="Times New Roman" w:cs="Times New Roman"/>
          <w:sz w:val="24"/>
          <w:szCs w:val="24"/>
          <w:lang w:val="en-GB" w:eastAsia="sv-SE"/>
        </w:rPr>
        <w:t>,2024). In educational research, phenomenology is particularly useful for examining subjective experiences, meanings, and interpretations that cannot be captured through quantitative methods alone</w:t>
      </w:r>
      <w:r w:rsidR="004C1BAE">
        <w:rPr>
          <w:rFonts w:ascii="Times New Roman" w:eastAsia="Times New Roman" w:hAnsi="Times New Roman" w:cs="Times New Roman"/>
          <w:sz w:val="24"/>
          <w:szCs w:val="24"/>
          <w:lang w:val="en-GB" w:eastAsia="sv-SE"/>
        </w:rPr>
        <w:t xml:space="preserve"> </w:t>
      </w:r>
      <w:r w:rsidR="004C1BAE" w:rsidRPr="00B23DFB">
        <w:rPr>
          <w:rFonts w:ascii="Times New Roman" w:eastAsia="Times New Roman" w:hAnsi="Times New Roman" w:cs="Times New Roman"/>
          <w:sz w:val="24"/>
          <w:szCs w:val="24"/>
          <w:lang w:val="en-GB" w:eastAsia="sv-SE"/>
        </w:rPr>
        <w:t>(Brziak &amp; Urban, 2025).</w:t>
      </w:r>
    </w:p>
    <w:p w14:paraId="6D2C546C" w14:textId="77777777" w:rsidR="009371C2" w:rsidRPr="009371C2" w:rsidRDefault="009371C2" w:rsidP="00947464">
      <w:pPr>
        <w:spacing w:before="100" w:beforeAutospacing="1" w:after="100" w:afterAutospacing="1" w:line="360" w:lineRule="auto"/>
        <w:jc w:val="both"/>
        <w:outlineLvl w:val="3"/>
        <w:rPr>
          <w:rFonts w:ascii="Times New Roman" w:eastAsia="Times New Roman" w:hAnsi="Times New Roman" w:cs="Times New Roman"/>
          <w:b/>
          <w:bCs/>
          <w:sz w:val="24"/>
          <w:szCs w:val="24"/>
          <w:lang w:val="en-GB" w:eastAsia="sv-SE"/>
        </w:rPr>
      </w:pPr>
      <w:r w:rsidRPr="009371C2">
        <w:rPr>
          <w:rFonts w:ascii="Times New Roman" w:eastAsia="Times New Roman" w:hAnsi="Times New Roman" w:cs="Times New Roman"/>
          <w:b/>
          <w:bCs/>
          <w:sz w:val="24"/>
          <w:szCs w:val="24"/>
          <w:lang w:val="en-GB" w:eastAsia="sv-SE"/>
        </w:rPr>
        <w:t>Research Design</w:t>
      </w:r>
    </w:p>
    <w:p w14:paraId="58AFA666" w14:textId="03D89DF9" w:rsidR="009371C2" w:rsidRPr="009371C2" w:rsidRDefault="009371C2" w:rsidP="00947464">
      <w:pPr>
        <w:spacing w:before="100" w:beforeAutospacing="1" w:after="100" w:afterAutospacing="1" w:line="360" w:lineRule="auto"/>
        <w:jc w:val="both"/>
        <w:rPr>
          <w:rFonts w:ascii="Times New Roman" w:eastAsia="Times New Roman" w:hAnsi="Times New Roman" w:cs="Times New Roman"/>
          <w:sz w:val="24"/>
          <w:szCs w:val="24"/>
          <w:lang w:val="en-GB" w:eastAsia="sv-SE"/>
        </w:rPr>
      </w:pPr>
      <w:r w:rsidRPr="009371C2">
        <w:rPr>
          <w:rFonts w:ascii="Times New Roman" w:eastAsia="Times New Roman" w:hAnsi="Times New Roman" w:cs="Times New Roman"/>
          <w:sz w:val="24"/>
          <w:szCs w:val="24"/>
          <w:lang w:val="en-GB" w:eastAsia="sv-SE"/>
        </w:rPr>
        <w:t xml:space="preserve">Qualitative phenomenological inquiry prioritises the participants’ experiences, focusing on how individuals perceive and make sense of phenomena within their lived contexts. This approach allowed the study to capture teachers’ personal understandings of inclusion, how they </w:t>
      </w:r>
      <w:r w:rsidR="00B35FB6" w:rsidRPr="00D86AD9">
        <w:rPr>
          <w:rFonts w:ascii="Times New Roman" w:eastAsia="Times New Roman" w:hAnsi="Times New Roman" w:cs="Times New Roman"/>
          <w:sz w:val="24"/>
          <w:szCs w:val="24"/>
          <w:lang w:val="en-GB" w:eastAsia="sv-SE"/>
        </w:rPr>
        <w:t>apply</w:t>
      </w:r>
      <w:r w:rsidRPr="009371C2">
        <w:rPr>
          <w:rFonts w:ascii="Times New Roman" w:eastAsia="Times New Roman" w:hAnsi="Times New Roman" w:cs="Times New Roman"/>
          <w:sz w:val="24"/>
          <w:szCs w:val="24"/>
          <w:lang w:val="en-GB" w:eastAsia="sv-SE"/>
        </w:rPr>
        <w:t xml:space="preserve"> inclusive practices, and the pedagogical leadership strategies they use in diverse classroom settings. Phenomenological design emphasises rich, contextualised data and deep engagement with participants’ narratives, making it especially suitable for the study’s aims</w:t>
      </w:r>
      <w:r w:rsidR="000B193F" w:rsidRPr="00D86AD9">
        <w:rPr>
          <w:rFonts w:ascii="Times New Roman" w:eastAsia="Times New Roman" w:hAnsi="Times New Roman" w:cs="Times New Roman"/>
          <w:sz w:val="24"/>
          <w:szCs w:val="24"/>
          <w:lang w:val="en-GB" w:eastAsia="sv-SE"/>
        </w:rPr>
        <w:t>.</w:t>
      </w:r>
      <w:r w:rsidRPr="009371C2">
        <w:rPr>
          <w:rFonts w:ascii="Times New Roman" w:eastAsia="Times New Roman" w:hAnsi="Times New Roman" w:cs="Times New Roman"/>
          <w:sz w:val="24"/>
          <w:szCs w:val="24"/>
          <w:lang w:val="en-GB" w:eastAsia="sv-SE"/>
        </w:rPr>
        <w:t xml:space="preserve"> </w:t>
      </w:r>
      <w:r w:rsidR="00AC3C49" w:rsidRPr="00D86AD9">
        <w:rPr>
          <w:rFonts w:ascii="Times New Roman" w:eastAsia="Times New Roman" w:hAnsi="Times New Roman" w:cs="Times New Roman"/>
          <w:sz w:val="24"/>
          <w:szCs w:val="24"/>
          <w:lang w:val="en-GB" w:eastAsia="sv-SE"/>
        </w:rPr>
        <w:t>Through conscious</w:t>
      </w:r>
      <w:r w:rsidR="001C01A2" w:rsidRPr="00D86AD9">
        <w:rPr>
          <w:rFonts w:ascii="Times New Roman" w:eastAsia="Times New Roman" w:hAnsi="Times New Roman" w:cs="Times New Roman"/>
          <w:sz w:val="24"/>
          <w:szCs w:val="24"/>
          <w:lang w:val="en-GB" w:eastAsia="sv-SE"/>
        </w:rPr>
        <w:t xml:space="preserve"> efforts, each participant’s life experiences and meanings, specific issues that </w:t>
      </w:r>
      <w:r w:rsidR="00AC3C49" w:rsidRPr="00D86AD9">
        <w:rPr>
          <w:rFonts w:ascii="Times New Roman" w:eastAsia="Times New Roman" w:hAnsi="Times New Roman" w:cs="Times New Roman"/>
          <w:sz w:val="24"/>
          <w:szCs w:val="24"/>
          <w:lang w:val="en-GB" w:eastAsia="sv-SE"/>
        </w:rPr>
        <w:t>appear salient</w:t>
      </w:r>
      <w:r w:rsidR="001C01A2" w:rsidRPr="00D86AD9">
        <w:rPr>
          <w:rFonts w:ascii="Times New Roman" w:eastAsia="Times New Roman" w:hAnsi="Times New Roman" w:cs="Times New Roman"/>
          <w:sz w:val="24"/>
          <w:szCs w:val="24"/>
          <w:lang w:val="en-GB" w:eastAsia="sv-SE"/>
        </w:rPr>
        <w:t xml:space="preserve">, and interpretations deriving from narratives and transcribed notes </w:t>
      </w:r>
      <w:r w:rsidR="004546E3" w:rsidRPr="00D86AD9">
        <w:rPr>
          <w:rFonts w:ascii="Times New Roman" w:eastAsia="Times New Roman" w:hAnsi="Times New Roman" w:cs="Times New Roman"/>
          <w:sz w:val="24"/>
          <w:szCs w:val="24"/>
          <w:lang w:val="en-GB" w:eastAsia="sv-SE"/>
        </w:rPr>
        <w:t>are</w:t>
      </w:r>
      <w:r w:rsidR="001C01A2" w:rsidRPr="00D86AD9">
        <w:rPr>
          <w:rFonts w:ascii="Times New Roman" w:eastAsia="Times New Roman" w:hAnsi="Times New Roman" w:cs="Times New Roman"/>
          <w:sz w:val="24"/>
          <w:szCs w:val="24"/>
          <w:lang w:val="en-GB" w:eastAsia="sv-SE"/>
        </w:rPr>
        <w:t xml:space="preserve"> successfully</w:t>
      </w:r>
      <w:r w:rsidR="009B52B6" w:rsidRPr="00D86AD9">
        <w:rPr>
          <w:rFonts w:ascii="Times New Roman" w:eastAsia="Times New Roman" w:hAnsi="Times New Roman" w:cs="Times New Roman"/>
          <w:sz w:val="24"/>
          <w:szCs w:val="24"/>
          <w:lang w:val="en-GB" w:eastAsia="sv-SE"/>
        </w:rPr>
        <w:t xml:space="preserve"> developed. Data</w:t>
      </w:r>
      <w:r w:rsidR="001C01A2" w:rsidRPr="00D86AD9">
        <w:rPr>
          <w:rFonts w:ascii="Times New Roman" w:eastAsia="Times New Roman" w:hAnsi="Times New Roman" w:cs="Times New Roman"/>
          <w:sz w:val="24"/>
          <w:szCs w:val="24"/>
          <w:lang w:val="en-GB" w:eastAsia="sv-SE"/>
        </w:rPr>
        <w:t xml:space="preserve"> </w:t>
      </w:r>
      <w:r w:rsidR="00233B5E" w:rsidRPr="00D86AD9">
        <w:rPr>
          <w:rFonts w:ascii="Times New Roman" w:eastAsia="Times New Roman" w:hAnsi="Times New Roman" w:cs="Times New Roman"/>
          <w:sz w:val="24"/>
          <w:szCs w:val="24"/>
          <w:lang w:val="en-GB" w:eastAsia="sv-SE"/>
        </w:rPr>
        <w:t>is</w:t>
      </w:r>
      <w:r w:rsidR="001C01A2" w:rsidRPr="00D86AD9">
        <w:rPr>
          <w:rFonts w:ascii="Times New Roman" w:eastAsia="Times New Roman" w:hAnsi="Times New Roman" w:cs="Times New Roman"/>
          <w:sz w:val="24"/>
          <w:szCs w:val="24"/>
          <w:lang w:val="en-GB" w:eastAsia="sv-SE"/>
        </w:rPr>
        <w:t xml:space="preserve"> built progressively while developing the understanding of how participants </w:t>
      </w:r>
      <w:r w:rsidR="00233B5E" w:rsidRPr="00D86AD9">
        <w:rPr>
          <w:rFonts w:ascii="Times New Roman" w:eastAsia="Times New Roman" w:hAnsi="Times New Roman" w:cs="Times New Roman"/>
          <w:sz w:val="24"/>
          <w:szCs w:val="24"/>
          <w:lang w:val="en-GB" w:eastAsia="sv-SE"/>
        </w:rPr>
        <w:t>experience the</w:t>
      </w:r>
      <w:r w:rsidR="001C01A2" w:rsidRPr="00D86AD9">
        <w:rPr>
          <w:rFonts w:ascii="Times New Roman" w:eastAsia="Times New Roman" w:hAnsi="Times New Roman" w:cs="Times New Roman"/>
          <w:sz w:val="24"/>
          <w:szCs w:val="24"/>
          <w:lang w:val="en-GB" w:eastAsia="sv-SE"/>
        </w:rPr>
        <w:t xml:space="preserve"> same phenomenon differently</w:t>
      </w:r>
      <w:r w:rsidR="006F11BA">
        <w:rPr>
          <w:rFonts w:ascii="Times New Roman" w:eastAsia="Times New Roman" w:hAnsi="Times New Roman" w:cs="Times New Roman"/>
          <w:sz w:val="24"/>
          <w:szCs w:val="24"/>
          <w:lang w:val="en-GB" w:eastAsia="sv-SE"/>
        </w:rPr>
        <w:t xml:space="preserve"> </w:t>
      </w:r>
      <w:r w:rsidR="00697CAE" w:rsidRPr="00D86AD9">
        <w:rPr>
          <w:rFonts w:ascii="Times New Roman" w:hAnsi="Times New Roman" w:cs="Times New Roman"/>
          <w:color w:val="2C3E50"/>
          <w:sz w:val="24"/>
          <w:szCs w:val="24"/>
          <w:shd w:val="clear" w:color="auto" w:fill="FFFFFF"/>
          <w:lang w:val="en-GB"/>
        </w:rPr>
        <w:t>(Sathiyaseelan, 2021)</w:t>
      </w:r>
      <w:r w:rsidR="00697CAE" w:rsidRPr="00D86AD9">
        <w:rPr>
          <w:rFonts w:ascii="Times New Roman" w:eastAsia="Times New Roman" w:hAnsi="Times New Roman" w:cs="Times New Roman"/>
          <w:sz w:val="24"/>
          <w:szCs w:val="24"/>
          <w:lang w:val="en-GB" w:eastAsia="sv-SE"/>
        </w:rPr>
        <w:t>.</w:t>
      </w:r>
    </w:p>
    <w:p w14:paraId="658F77EF" w14:textId="77777777" w:rsidR="009371C2" w:rsidRPr="009371C2" w:rsidRDefault="009371C2" w:rsidP="00947464">
      <w:pPr>
        <w:spacing w:before="100" w:beforeAutospacing="1" w:after="100" w:afterAutospacing="1" w:line="360" w:lineRule="auto"/>
        <w:jc w:val="both"/>
        <w:outlineLvl w:val="3"/>
        <w:rPr>
          <w:rFonts w:ascii="Times New Roman" w:eastAsia="Times New Roman" w:hAnsi="Times New Roman" w:cs="Times New Roman"/>
          <w:b/>
          <w:bCs/>
          <w:sz w:val="24"/>
          <w:szCs w:val="24"/>
          <w:lang w:val="en-GB" w:eastAsia="sv-SE"/>
        </w:rPr>
      </w:pPr>
      <w:r w:rsidRPr="009371C2">
        <w:rPr>
          <w:rFonts w:ascii="Times New Roman" w:eastAsia="Times New Roman" w:hAnsi="Times New Roman" w:cs="Times New Roman"/>
          <w:b/>
          <w:bCs/>
          <w:sz w:val="24"/>
          <w:szCs w:val="24"/>
          <w:lang w:val="en-GB" w:eastAsia="sv-SE"/>
        </w:rPr>
        <w:t>Participant Selection</w:t>
      </w:r>
    </w:p>
    <w:p w14:paraId="4BF906B5" w14:textId="2E67A5B3" w:rsidR="009371C2" w:rsidRPr="009371C2" w:rsidRDefault="009371C2" w:rsidP="00E3573D">
      <w:pPr>
        <w:spacing w:before="100" w:beforeAutospacing="1" w:after="100" w:afterAutospacing="1" w:line="360" w:lineRule="auto"/>
        <w:jc w:val="both"/>
        <w:rPr>
          <w:rFonts w:ascii="Times New Roman" w:eastAsia="Times New Roman" w:hAnsi="Times New Roman" w:cs="Times New Roman"/>
          <w:sz w:val="24"/>
          <w:szCs w:val="24"/>
          <w:lang w:val="en-GB" w:eastAsia="sv-SE"/>
        </w:rPr>
      </w:pPr>
      <w:r w:rsidRPr="009371C2">
        <w:rPr>
          <w:rFonts w:ascii="Times New Roman" w:eastAsia="Times New Roman" w:hAnsi="Times New Roman" w:cs="Times New Roman"/>
          <w:sz w:val="24"/>
          <w:szCs w:val="24"/>
          <w:lang w:val="en-GB" w:eastAsia="sv-SE"/>
        </w:rPr>
        <w:t>Participants were three high school teachers working in two suburban schools in Stockholm</w:t>
      </w:r>
      <w:r w:rsidRPr="009371C2">
        <w:rPr>
          <w:rFonts w:ascii="Times New Roman" w:eastAsia="Times New Roman" w:hAnsi="Times New Roman" w:cs="Times New Roman"/>
          <w:b/>
          <w:bCs/>
          <w:sz w:val="24"/>
          <w:szCs w:val="24"/>
          <w:lang w:val="en-GB" w:eastAsia="sv-SE"/>
        </w:rPr>
        <w:t xml:space="preserve">, </w:t>
      </w:r>
      <w:r w:rsidRPr="009371C2">
        <w:rPr>
          <w:rFonts w:ascii="Times New Roman" w:eastAsia="Times New Roman" w:hAnsi="Times New Roman" w:cs="Times New Roman"/>
          <w:sz w:val="24"/>
          <w:szCs w:val="24"/>
          <w:lang w:val="en-GB" w:eastAsia="sv-SE"/>
        </w:rPr>
        <w:t>Sweden. A purposeful sampling strategy was adopted to ensure that participants had substantial experience with culturally and linguistically diverse classrooms, enabling them to offer detailed insights into inclusive practices. Purposeful sampling is widely recognised in qualitative research for its ability to select individuals who are particularly knowledgeable about the research topic, thereby enhancing the depth and relevance of data</w:t>
      </w:r>
      <w:r w:rsidR="00E3573D" w:rsidRPr="00D86AD9">
        <w:rPr>
          <w:rFonts w:ascii="Times New Roman" w:eastAsia="Times New Roman" w:hAnsi="Times New Roman" w:cs="Times New Roman"/>
          <w:sz w:val="24"/>
          <w:szCs w:val="24"/>
          <w:lang w:val="en-GB" w:eastAsia="sv-SE"/>
        </w:rPr>
        <w:t>.</w:t>
      </w:r>
      <w:r w:rsidR="00E3573D" w:rsidRPr="00E3573D">
        <w:rPr>
          <w:lang w:val="en-GB"/>
        </w:rPr>
        <w:t xml:space="preserve"> </w:t>
      </w:r>
      <w:r w:rsidR="003F40F8" w:rsidRPr="00BA4AA4">
        <w:rPr>
          <w:rFonts w:ascii="Times New Roman" w:hAnsi="Times New Roman" w:cs="Times New Roman"/>
          <w:sz w:val="24"/>
          <w:szCs w:val="24"/>
          <w:lang w:val="en-GB"/>
        </w:rPr>
        <w:t xml:space="preserve">Purposeful </w:t>
      </w:r>
      <w:r w:rsidR="00E3573D" w:rsidRPr="00E3573D">
        <w:rPr>
          <w:rFonts w:ascii="Times New Roman" w:eastAsia="Times New Roman" w:hAnsi="Times New Roman" w:cs="Times New Roman"/>
          <w:sz w:val="24"/>
          <w:szCs w:val="24"/>
          <w:lang w:val="en-GB" w:eastAsia="sv-SE"/>
        </w:rPr>
        <w:t xml:space="preserve">sampling method permitted the primary investigator to conduct face-to-face interviews </w:t>
      </w:r>
      <w:r w:rsidR="00D86AD9">
        <w:rPr>
          <w:rFonts w:ascii="Times New Roman" w:eastAsia="Times New Roman" w:hAnsi="Times New Roman" w:cs="Times New Roman"/>
          <w:sz w:val="24"/>
          <w:szCs w:val="24"/>
          <w:lang w:val="en-GB" w:eastAsia="sv-SE"/>
        </w:rPr>
        <w:t>with the participants</w:t>
      </w:r>
      <w:r w:rsidR="00E3573D" w:rsidRPr="00E3573D">
        <w:rPr>
          <w:rFonts w:ascii="Times New Roman" w:eastAsia="Times New Roman" w:hAnsi="Times New Roman" w:cs="Times New Roman"/>
          <w:sz w:val="24"/>
          <w:szCs w:val="24"/>
          <w:lang w:val="en-GB" w:eastAsia="sv-SE"/>
        </w:rPr>
        <w:t xml:space="preserve"> </w:t>
      </w:r>
      <w:bookmarkStart w:id="3" w:name="_Hlk218980115"/>
      <w:r w:rsidR="00A13376" w:rsidRPr="00A13376">
        <w:rPr>
          <w:rFonts w:ascii="Times New Roman" w:hAnsi="Times New Roman" w:cs="Times New Roman"/>
          <w:color w:val="2C3E50"/>
          <w:sz w:val="24"/>
          <w:szCs w:val="24"/>
          <w:shd w:val="clear" w:color="auto" w:fill="FFFFFF"/>
          <w:lang w:val="en-GB"/>
        </w:rPr>
        <w:t>(Johnson and Purgason, 2021)</w:t>
      </w:r>
      <w:r w:rsidR="00D86AD9">
        <w:rPr>
          <w:rFonts w:ascii="Times New Roman" w:eastAsia="Times New Roman" w:hAnsi="Times New Roman" w:cs="Times New Roman"/>
          <w:sz w:val="24"/>
          <w:szCs w:val="24"/>
          <w:lang w:val="en-GB" w:eastAsia="sv-SE"/>
        </w:rPr>
        <w:t>.</w:t>
      </w:r>
      <w:bookmarkEnd w:id="3"/>
    </w:p>
    <w:p w14:paraId="2B832366" w14:textId="77777777" w:rsidR="009371C2" w:rsidRPr="009371C2" w:rsidRDefault="009371C2" w:rsidP="00947464">
      <w:pPr>
        <w:spacing w:before="100" w:beforeAutospacing="1" w:after="100" w:afterAutospacing="1" w:line="360" w:lineRule="auto"/>
        <w:jc w:val="both"/>
        <w:outlineLvl w:val="3"/>
        <w:rPr>
          <w:rFonts w:ascii="Times New Roman" w:eastAsia="Times New Roman" w:hAnsi="Times New Roman" w:cs="Times New Roman"/>
          <w:b/>
          <w:bCs/>
          <w:sz w:val="24"/>
          <w:szCs w:val="24"/>
          <w:lang w:val="en-GB" w:eastAsia="sv-SE"/>
        </w:rPr>
      </w:pPr>
      <w:r w:rsidRPr="009371C2">
        <w:rPr>
          <w:rFonts w:ascii="Times New Roman" w:eastAsia="Times New Roman" w:hAnsi="Times New Roman" w:cs="Times New Roman"/>
          <w:b/>
          <w:bCs/>
          <w:sz w:val="24"/>
          <w:szCs w:val="24"/>
          <w:lang w:val="en-GB" w:eastAsia="sv-SE"/>
        </w:rPr>
        <w:t>Data Collection</w:t>
      </w:r>
    </w:p>
    <w:p w14:paraId="6DD62789" w14:textId="77777777" w:rsidR="004065C6" w:rsidRDefault="009371C2" w:rsidP="00947464">
      <w:pPr>
        <w:spacing w:before="100" w:beforeAutospacing="1" w:after="100" w:afterAutospacing="1" w:line="360" w:lineRule="auto"/>
        <w:jc w:val="both"/>
        <w:rPr>
          <w:rFonts w:ascii="Times New Roman" w:eastAsia="Times New Roman" w:hAnsi="Times New Roman" w:cs="Times New Roman"/>
          <w:sz w:val="24"/>
          <w:szCs w:val="24"/>
          <w:lang w:val="en-GB" w:eastAsia="sv-SE"/>
        </w:rPr>
      </w:pPr>
      <w:r w:rsidRPr="009371C2">
        <w:rPr>
          <w:rFonts w:ascii="Times New Roman" w:eastAsia="Times New Roman" w:hAnsi="Times New Roman" w:cs="Times New Roman"/>
          <w:sz w:val="24"/>
          <w:szCs w:val="24"/>
          <w:lang w:val="en-GB" w:eastAsia="sv-SE"/>
        </w:rPr>
        <w:t>Data were collected using semi</w:t>
      </w:r>
      <w:r w:rsidRPr="009371C2">
        <w:rPr>
          <w:rFonts w:ascii="Times New Roman" w:eastAsia="Times New Roman" w:hAnsi="Times New Roman" w:cs="Times New Roman"/>
          <w:sz w:val="24"/>
          <w:szCs w:val="24"/>
          <w:lang w:val="en-GB" w:eastAsia="sv-SE"/>
        </w:rPr>
        <w:noBreakHyphen/>
        <w:t>structured interviews, which provided a flexible yet systematic way to explore participants’ perspectives on inclusive education. Semi</w:t>
      </w:r>
      <w:r w:rsidRPr="009371C2">
        <w:rPr>
          <w:rFonts w:ascii="Times New Roman" w:eastAsia="Times New Roman" w:hAnsi="Times New Roman" w:cs="Times New Roman"/>
          <w:sz w:val="24"/>
          <w:szCs w:val="24"/>
          <w:lang w:val="en-GB" w:eastAsia="sv-SE"/>
        </w:rPr>
        <w:noBreakHyphen/>
        <w:t>structured interviews facilitate in</w:t>
      </w:r>
      <w:r w:rsidRPr="009371C2">
        <w:rPr>
          <w:rFonts w:ascii="Times New Roman" w:eastAsia="Times New Roman" w:hAnsi="Times New Roman" w:cs="Times New Roman"/>
          <w:sz w:val="24"/>
          <w:szCs w:val="24"/>
          <w:lang w:val="en-GB" w:eastAsia="sv-SE"/>
        </w:rPr>
        <w:noBreakHyphen/>
        <w:t xml:space="preserve">depth exploration of lived experience, allowing participants to articulate nuanced </w:t>
      </w:r>
      <w:r w:rsidRPr="009371C2">
        <w:rPr>
          <w:rFonts w:ascii="Times New Roman" w:eastAsia="Times New Roman" w:hAnsi="Times New Roman" w:cs="Times New Roman"/>
          <w:sz w:val="24"/>
          <w:szCs w:val="24"/>
          <w:lang w:val="en-GB" w:eastAsia="sv-SE"/>
        </w:rPr>
        <w:lastRenderedPageBreak/>
        <w:t xml:space="preserve">views on </w:t>
      </w:r>
      <w:r w:rsidR="00FF7658">
        <w:rPr>
          <w:rFonts w:ascii="Times New Roman" w:eastAsia="Times New Roman" w:hAnsi="Times New Roman" w:cs="Times New Roman"/>
          <w:sz w:val="24"/>
          <w:szCs w:val="24"/>
          <w:lang w:val="en-GB" w:eastAsia="sv-SE"/>
        </w:rPr>
        <w:t>their professional</w:t>
      </w:r>
      <w:r w:rsidRPr="009371C2">
        <w:rPr>
          <w:rFonts w:ascii="Times New Roman" w:eastAsia="Times New Roman" w:hAnsi="Times New Roman" w:cs="Times New Roman"/>
          <w:sz w:val="24"/>
          <w:szCs w:val="24"/>
          <w:lang w:val="en-GB" w:eastAsia="sv-SE"/>
        </w:rPr>
        <w:t xml:space="preserve"> practices, and </w:t>
      </w:r>
      <w:r w:rsidR="000826CE">
        <w:rPr>
          <w:rFonts w:ascii="Times New Roman" w:eastAsia="Times New Roman" w:hAnsi="Times New Roman" w:cs="Times New Roman"/>
          <w:sz w:val="24"/>
          <w:szCs w:val="24"/>
          <w:lang w:val="en-GB" w:eastAsia="sv-SE"/>
        </w:rPr>
        <w:t xml:space="preserve">how they navigate round their </w:t>
      </w:r>
      <w:r w:rsidR="00C41867">
        <w:rPr>
          <w:rFonts w:ascii="Times New Roman" w:eastAsia="Times New Roman" w:hAnsi="Times New Roman" w:cs="Times New Roman"/>
          <w:sz w:val="24"/>
          <w:szCs w:val="24"/>
          <w:lang w:val="en-GB" w:eastAsia="sv-SE"/>
        </w:rPr>
        <w:t>decision-making</w:t>
      </w:r>
      <w:r w:rsidR="007F2ADC" w:rsidRPr="007F2ADC">
        <w:rPr>
          <w:rFonts w:ascii="Times New Roman" w:eastAsia="Times New Roman" w:hAnsi="Times New Roman" w:cs="Times New Roman"/>
          <w:sz w:val="24"/>
          <w:szCs w:val="24"/>
          <w:lang w:val="en-GB" w:eastAsia="sv-SE"/>
        </w:rPr>
        <w:t xml:space="preserve"> </w:t>
      </w:r>
      <w:r w:rsidR="007F2ADC" w:rsidRPr="00A13376">
        <w:rPr>
          <w:rFonts w:ascii="Times New Roman" w:hAnsi="Times New Roman" w:cs="Times New Roman"/>
          <w:color w:val="2C3E50"/>
          <w:sz w:val="24"/>
          <w:szCs w:val="24"/>
          <w:shd w:val="clear" w:color="auto" w:fill="FFFFFF"/>
          <w:lang w:val="en-GB"/>
        </w:rPr>
        <w:t>(Johnson and Purgason, 2021)</w:t>
      </w:r>
      <w:r w:rsidR="007F2ADC">
        <w:rPr>
          <w:rFonts w:ascii="Times New Roman" w:eastAsia="Times New Roman" w:hAnsi="Times New Roman" w:cs="Times New Roman"/>
          <w:sz w:val="24"/>
          <w:szCs w:val="24"/>
          <w:lang w:val="en-GB" w:eastAsia="sv-SE"/>
        </w:rPr>
        <w:t>.</w:t>
      </w:r>
      <w:r w:rsidRPr="009371C2">
        <w:rPr>
          <w:rFonts w:ascii="Times New Roman" w:eastAsia="Times New Roman" w:hAnsi="Times New Roman" w:cs="Times New Roman"/>
          <w:sz w:val="24"/>
          <w:szCs w:val="24"/>
          <w:lang w:val="en-GB" w:eastAsia="sv-SE"/>
        </w:rPr>
        <w:t xml:space="preserve"> </w:t>
      </w:r>
    </w:p>
    <w:p w14:paraId="60F1CB22" w14:textId="208A1F0E" w:rsidR="009371C2" w:rsidRPr="004065C6" w:rsidRDefault="009371C2" w:rsidP="00947464">
      <w:pPr>
        <w:spacing w:before="100" w:beforeAutospacing="1" w:after="100" w:afterAutospacing="1" w:line="360" w:lineRule="auto"/>
        <w:jc w:val="both"/>
        <w:rPr>
          <w:rFonts w:ascii="Times New Roman" w:eastAsia="Times New Roman" w:hAnsi="Times New Roman" w:cs="Times New Roman"/>
          <w:sz w:val="24"/>
          <w:szCs w:val="24"/>
          <w:lang w:val="en-GB" w:eastAsia="sv-SE"/>
        </w:rPr>
      </w:pPr>
      <w:r w:rsidRPr="009371C2">
        <w:rPr>
          <w:rFonts w:ascii="Times New Roman" w:eastAsia="Times New Roman" w:hAnsi="Times New Roman" w:cs="Times New Roman"/>
          <w:sz w:val="24"/>
          <w:szCs w:val="24"/>
          <w:lang w:val="en-GB" w:eastAsia="sv-SE"/>
        </w:rPr>
        <w:t>Core interview topics included:</w:t>
      </w:r>
    </w:p>
    <w:p w14:paraId="370AB157" w14:textId="77777777" w:rsidR="009371C2" w:rsidRPr="009371C2" w:rsidRDefault="009371C2" w:rsidP="00947464">
      <w:pPr>
        <w:numPr>
          <w:ilvl w:val="0"/>
          <w:numId w:val="22"/>
        </w:numPr>
        <w:spacing w:before="100" w:beforeAutospacing="1" w:after="100" w:afterAutospacing="1" w:line="360" w:lineRule="auto"/>
        <w:jc w:val="both"/>
        <w:rPr>
          <w:rFonts w:ascii="Times New Roman" w:eastAsia="Times New Roman" w:hAnsi="Times New Roman" w:cs="Times New Roman"/>
          <w:sz w:val="24"/>
          <w:szCs w:val="24"/>
          <w:lang w:val="en-GB" w:eastAsia="sv-SE"/>
        </w:rPr>
      </w:pPr>
      <w:r w:rsidRPr="009371C2">
        <w:rPr>
          <w:rFonts w:ascii="Times New Roman" w:eastAsia="Times New Roman" w:hAnsi="Times New Roman" w:cs="Times New Roman"/>
          <w:sz w:val="24"/>
          <w:szCs w:val="24"/>
          <w:lang w:val="en-GB" w:eastAsia="sv-SE"/>
        </w:rPr>
        <w:t>Teachers’ definitions and interpretations of inclusion</w:t>
      </w:r>
    </w:p>
    <w:p w14:paraId="30423637" w14:textId="77777777" w:rsidR="009371C2" w:rsidRPr="009371C2" w:rsidRDefault="009371C2" w:rsidP="00947464">
      <w:pPr>
        <w:numPr>
          <w:ilvl w:val="0"/>
          <w:numId w:val="22"/>
        </w:numPr>
        <w:spacing w:before="100" w:beforeAutospacing="1" w:after="100" w:afterAutospacing="1" w:line="360" w:lineRule="auto"/>
        <w:jc w:val="both"/>
        <w:rPr>
          <w:rFonts w:ascii="Times New Roman" w:eastAsia="Times New Roman" w:hAnsi="Times New Roman" w:cs="Times New Roman"/>
          <w:sz w:val="24"/>
          <w:szCs w:val="24"/>
          <w:lang w:val="en-GB" w:eastAsia="sv-SE"/>
        </w:rPr>
      </w:pPr>
      <w:r w:rsidRPr="009371C2">
        <w:rPr>
          <w:rFonts w:ascii="Times New Roman" w:eastAsia="Times New Roman" w:hAnsi="Times New Roman" w:cs="Times New Roman"/>
          <w:sz w:val="24"/>
          <w:szCs w:val="24"/>
          <w:lang w:val="en-GB" w:eastAsia="sv-SE"/>
        </w:rPr>
        <w:t>Leadership practices used to foster engagement, respect, and belonging</w:t>
      </w:r>
    </w:p>
    <w:p w14:paraId="7726AD20" w14:textId="77777777" w:rsidR="009371C2" w:rsidRPr="009371C2" w:rsidRDefault="009371C2" w:rsidP="00947464">
      <w:pPr>
        <w:numPr>
          <w:ilvl w:val="0"/>
          <w:numId w:val="22"/>
        </w:numPr>
        <w:spacing w:before="100" w:beforeAutospacing="1" w:after="100" w:afterAutospacing="1" w:line="360" w:lineRule="auto"/>
        <w:jc w:val="both"/>
        <w:rPr>
          <w:rFonts w:ascii="Times New Roman" w:eastAsia="Times New Roman" w:hAnsi="Times New Roman" w:cs="Times New Roman"/>
          <w:sz w:val="24"/>
          <w:szCs w:val="24"/>
          <w:lang w:val="en-GB" w:eastAsia="sv-SE"/>
        </w:rPr>
      </w:pPr>
      <w:r w:rsidRPr="009371C2">
        <w:rPr>
          <w:rFonts w:ascii="Times New Roman" w:eastAsia="Times New Roman" w:hAnsi="Times New Roman" w:cs="Times New Roman"/>
          <w:sz w:val="24"/>
          <w:szCs w:val="24"/>
          <w:lang w:val="en-GB" w:eastAsia="sv-SE"/>
        </w:rPr>
        <w:t>Pedagogical strategies for addressing linguistic, cultural, and socio</w:t>
      </w:r>
      <w:r w:rsidRPr="009371C2">
        <w:rPr>
          <w:rFonts w:ascii="Times New Roman" w:eastAsia="Times New Roman" w:hAnsi="Times New Roman" w:cs="Times New Roman"/>
          <w:sz w:val="24"/>
          <w:szCs w:val="24"/>
          <w:lang w:val="en-GB" w:eastAsia="sv-SE"/>
        </w:rPr>
        <w:noBreakHyphen/>
        <w:t>economic diversity</w:t>
      </w:r>
    </w:p>
    <w:p w14:paraId="21CC99F7" w14:textId="77777777" w:rsidR="009371C2" w:rsidRPr="009371C2" w:rsidRDefault="009371C2" w:rsidP="00947464">
      <w:pPr>
        <w:numPr>
          <w:ilvl w:val="0"/>
          <w:numId w:val="22"/>
        </w:numPr>
        <w:spacing w:before="100" w:beforeAutospacing="1" w:after="100" w:afterAutospacing="1" w:line="360" w:lineRule="auto"/>
        <w:jc w:val="both"/>
        <w:rPr>
          <w:rFonts w:ascii="Times New Roman" w:eastAsia="Times New Roman" w:hAnsi="Times New Roman" w:cs="Times New Roman"/>
          <w:sz w:val="24"/>
          <w:szCs w:val="24"/>
          <w:lang w:val="en-GB" w:eastAsia="sv-SE"/>
        </w:rPr>
      </w:pPr>
      <w:r w:rsidRPr="009371C2">
        <w:rPr>
          <w:rFonts w:ascii="Times New Roman" w:eastAsia="Times New Roman" w:hAnsi="Times New Roman" w:cs="Times New Roman"/>
          <w:sz w:val="24"/>
          <w:szCs w:val="24"/>
          <w:lang w:val="en-GB" w:eastAsia="sv-SE"/>
        </w:rPr>
        <w:t>Challenges encountered in balancing curriculum demands with inclusive practices</w:t>
      </w:r>
    </w:p>
    <w:p w14:paraId="552B4DE6" w14:textId="6AFD6F5B" w:rsidR="00B35F97" w:rsidRPr="009371C2" w:rsidRDefault="009371C2" w:rsidP="00947464">
      <w:pPr>
        <w:spacing w:before="100" w:beforeAutospacing="1" w:after="100" w:afterAutospacing="1" w:line="360" w:lineRule="auto"/>
        <w:jc w:val="both"/>
        <w:rPr>
          <w:rFonts w:ascii="Times New Roman" w:eastAsia="Times New Roman" w:hAnsi="Times New Roman" w:cs="Times New Roman"/>
          <w:sz w:val="24"/>
          <w:szCs w:val="24"/>
          <w:lang w:val="en-GB" w:eastAsia="sv-SE"/>
        </w:rPr>
      </w:pPr>
      <w:r w:rsidRPr="009371C2">
        <w:rPr>
          <w:rFonts w:ascii="Times New Roman" w:eastAsia="Times New Roman" w:hAnsi="Times New Roman" w:cs="Times New Roman"/>
          <w:sz w:val="24"/>
          <w:szCs w:val="24"/>
          <w:lang w:val="en-GB" w:eastAsia="sv-SE"/>
        </w:rPr>
        <w:t xml:space="preserve">Each interview lasted approximately </w:t>
      </w:r>
      <w:r w:rsidR="000A2198">
        <w:rPr>
          <w:rFonts w:ascii="Times New Roman" w:eastAsia="Times New Roman" w:hAnsi="Times New Roman" w:cs="Times New Roman"/>
          <w:sz w:val="24"/>
          <w:szCs w:val="24"/>
          <w:lang w:val="en-GB" w:eastAsia="sv-SE"/>
        </w:rPr>
        <w:t>3</w:t>
      </w:r>
      <w:r w:rsidRPr="009371C2">
        <w:rPr>
          <w:rFonts w:ascii="Times New Roman" w:eastAsia="Times New Roman" w:hAnsi="Times New Roman" w:cs="Times New Roman"/>
          <w:sz w:val="24"/>
          <w:szCs w:val="24"/>
          <w:lang w:val="en-GB" w:eastAsia="sv-SE"/>
        </w:rPr>
        <w:t>0–</w:t>
      </w:r>
      <w:r w:rsidR="000A2198">
        <w:rPr>
          <w:rFonts w:ascii="Times New Roman" w:eastAsia="Times New Roman" w:hAnsi="Times New Roman" w:cs="Times New Roman"/>
          <w:sz w:val="24"/>
          <w:szCs w:val="24"/>
          <w:lang w:val="en-GB" w:eastAsia="sv-SE"/>
        </w:rPr>
        <w:t>45</w:t>
      </w:r>
      <w:r w:rsidRPr="009371C2">
        <w:rPr>
          <w:rFonts w:ascii="Times New Roman" w:eastAsia="Times New Roman" w:hAnsi="Times New Roman" w:cs="Times New Roman"/>
          <w:sz w:val="24"/>
          <w:szCs w:val="24"/>
          <w:lang w:val="en-GB" w:eastAsia="sv-SE"/>
        </w:rPr>
        <w:t xml:space="preserve"> minutes and was audio</w:t>
      </w:r>
      <w:r w:rsidRPr="009371C2">
        <w:rPr>
          <w:rFonts w:ascii="Times New Roman" w:eastAsia="Times New Roman" w:hAnsi="Times New Roman" w:cs="Times New Roman"/>
          <w:sz w:val="24"/>
          <w:szCs w:val="24"/>
          <w:lang w:val="en-GB" w:eastAsia="sv-SE"/>
        </w:rPr>
        <w:noBreakHyphen/>
        <w:t>recorded with participants’ consent. Audio recordings were then transcribed verbatim to ensure fidelity to participants’ responses and to support rigorous analysis</w:t>
      </w:r>
      <w:r w:rsidR="0043278A">
        <w:rPr>
          <w:rFonts w:ascii="Times New Roman" w:eastAsia="Times New Roman" w:hAnsi="Times New Roman" w:cs="Times New Roman"/>
          <w:sz w:val="24"/>
          <w:szCs w:val="24"/>
          <w:lang w:val="en-GB" w:eastAsia="sv-SE"/>
        </w:rPr>
        <w:t xml:space="preserve">. </w:t>
      </w:r>
      <w:r w:rsidR="00A1754C">
        <w:rPr>
          <w:rFonts w:ascii="Times New Roman" w:eastAsia="Times New Roman" w:hAnsi="Times New Roman" w:cs="Times New Roman"/>
          <w:sz w:val="24"/>
          <w:szCs w:val="24"/>
          <w:lang w:val="en-GB" w:eastAsia="sv-SE"/>
        </w:rPr>
        <w:t xml:space="preserve">Audio recordings can be useful </w:t>
      </w:r>
      <w:r w:rsidR="00BD1E0C">
        <w:rPr>
          <w:rFonts w:ascii="Times New Roman" w:eastAsia="Times New Roman" w:hAnsi="Times New Roman" w:cs="Times New Roman"/>
          <w:sz w:val="24"/>
          <w:szCs w:val="24"/>
          <w:lang w:val="en-GB" w:eastAsia="sv-SE"/>
        </w:rPr>
        <w:t>in collecting data about teacher</w:t>
      </w:r>
      <w:r w:rsidR="003043F8">
        <w:rPr>
          <w:rFonts w:ascii="Times New Roman" w:eastAsia="Times New Roman" w:hAnsi="Times New Roman" w:cs="Times New Roman"/>
          <w:sz w:val="24"/>
          <w:szCs w:val="24"/>
          <w:lang w:val="en-GB" w:eastAsia="sv-SE"/>
        </w:rPr>
        <w:t>s in their practice</w:t>
      </w:r>
      <w:r w:rsidR="00DC5F1A" w:rsidRPr="00DC5F1A">
        <w:rPr>
          <w:rFonts w:ascii="Roboto" w:hAnsi="Roboto"/>
          <w:color w:val="2C3E50"/>
          <w:sz w:val="23"/>
          <w:szCs w:val="23"/>
          <w:shd w:val="clear" w:color="auto" w:fill="FFFFFF"/>
          <w:lang w:val="en-GB"/>
        </w:rPr>
        <w:t> </w:t>
      </w:r>
      <w:r w:rsidR="00DC5F1A" w:rsidRPr="00DC5F1A">
        <w:rPr>
          <w:rFonts w:ascii="Times New Roman" w:hAnsi="Times New Roman" w:cs="Times New Roman"/>
          <w:color w:val="2C3E50"/>
          <w:sz w:val="24"/>
          <w:szCs w:val="24"/>
          <w:shd w:val="clear" w:color="auto" w:fill="FFFFFF"/>
          <w:lang w:val="en-GB"/>
        </w:rPr>
        <w:t>(Didion et al., 2023).</w:t>
      </w:r>
      <w:r w:rsidR="00A1754C">
        <w:rPr>
          <w:rFonts w:ascii="Times New Roman" w:eastAsia="Times New Roman" w:hAnsi="Times New Roman" w:cs="Times New Roman"/>
          <w:sz w:val="24"/>
          <w:szCs w:val="24"/>
          <w:lang w:val="en-GB" w:eastAsia="sv-SE"/>
        </w:rPr>
        <w:t xml:space="preserve"> </w:t>
      </w:r>
    </w:p>
    <w:p w14:paraId="1D8240ED" w14:textId="77777777" w:rsidR="009371C2" w:rsidRPr="009371C2" w:rsidRDefault="009371C2" w:rsidP="00947464">
      <w:pPr>
        <w:spacing w:before="100" w:beforeAutospacing="1" w:after="100" w:afterAutospacing="1" w:line="360" w:lineRule="auto"/>
        <w:jc w:val="both"/>
        <w:outlineLvl w:val="3"/>
        <w:rPr>
          <w:rFonts w:ascii="Times New Roman" w:eastAsia="Times New Roman" w:hAnsi="Times New Roman" w:cs="Times New Roman"/>
          <w:b/>
          <w:bCs/>
          <w:sz w:val="24"/>
          <w:szCs w:val="24"/>
          <w:lang w:val="en-GB" w:eastAsia="sv-SE"/>
        </w:rPr>
      </w:pPr>
      <w:r w:rsidRPr="009371C2">
        <w:rPr>
          <w:rFonts w:ascii="Times New Roman" w:eastAsia="Times New Roman" w:hAnsi="Times New Roman" w:cs="Times New Roman"/>
          <w:b/>
          <w:bCs/>
          <w:sz w:val="24"/>
          <w:szCs w:val="24"/>
          <w:lang w:val="en-GB" w:eastAsia="sv-SE"/>
        </w:rPr>
        <w:t>Data Analysis</w:t>
      </w:r>
    </w:p>
    <w:p w14:paraId="29017A1F" w14:textId="27B2CFF9" w:rsidR="009371C2" w:rsidRPr="009371C2" w:rsidRDefault="009371C2" w:rsidP="00947464">
      <w:pPr>
        <w:spacing w:before="100" w:beforeAutospacing="1" w:after="100" w:afterAutospacing="1" w:line="360" w:lineRule="auto"/>
        <w:jc w:val="both"/>
        <w:rPr>
          <w:rFonts w:ascii="Times New Roman" w:eastAsia="Times New Roman" w:hAnsi="Times New Roman" w:cs="Times New Roman"/>
          <w:sz w:val="24"/>
          <w:szCs w:val="24"/>
          <w:lang w:val="en-GB" w:eastAsia="sv-SE"/>
        </w:rPr>
      </w:pPr>
      <w:r w:rsidRPr="009371C2">
        <w:rPr>
          <w:rFonts w:ascii="Times New Roman" w:eastAsia="Times New Roman" w:hAnsi="Times New Roman" w:cs="Times New Roman"/>
          <w:sz w:val="24"/>
          <w:szCs w:val="24"/>
          <w:lang w:val="en-GB" w:eastAsia="sv-SE"/>
        </w:rPr>
        <w:t>The data w</w:t>
      </w:r>
      <w:r w:rsidR="002B0C5C">
        <w:rPr>
          <w:rFonts w:ascii="Times New Roman" w:eastAsia="Times New Roman" w:hAnsi="Times New Roman" w:cs="Times New Roman"/>
          <w:sz w:val="24"/>
          <w:szCs w:val="24"/>
          <w:lang w:val="en-GB" w:eastAsia="sv-SE"/>
        </w:rPr>
        <w:t>as</w:t>
      </w:r>
      <w:r w:rsidRPr="009371C2">
        <w:rPr>
          <w:rFonts w:ascii="Times New Roman" w:eastAsia="Times New Roman" w:hAnsi="Times New Roman" w:cs="Times New Roman"/>
          <w:sz w:val="24"/>
          <w:szCs w:val="24"/>
          <w:lang w:val="en-GB" w:eastAsia="sv-SE"/>
        </w:rPr>
        <w:t xml:space="preserve"> analysed using thematic analysis, a method that involves identifying, analysing, and reporting patterns within qualitative data. Thematic analysis is compatible with phenomenological research, as it facilitates the extraction of core meanings and insights from </w:t>
      </w:r>
      <w:r w:rsidR="001E4B89">
        <w:rPr>
          <w:rFonts w:ascii="Times New Roman" w:eastAsia="Times New Roman" w:hAnsi="Times New Roman" w:cs="Times New Roman"/>
          <w:sz w:val="24"/>
          <w:szCs w:val="24"/>
          <w:lang w:val="en-GB" w:eastAsia="sv-SE"/>
        </w:rPr>
        <w:t xml:space="preserve">the </w:t>
      </w:r>
      <w:r w:rsidRPr="009371C2">
        <w:rPr>
          <w:rFonts w:ascii="Times New Roman" w:eastAsia="Times New Roman" w:hAnsi="Times New Roman" w:cs="Times New Roman"/>
          <w:sz w:val="24"/>
          <w:szCs w:val="24"/>
          <w:lang w:val="en-GB" w:eastAsia="sv-SE"/>
        </w:rPr>
        <w:t>participants’ lived experiences</w:t>
      </w:r>
      <w:r w:rsidR="003566E4" w:rsidRPr="00851C37">
        <w:rPr>
          <w:rFonts w:ascii="Times New Roman" w:eastAsia="Times New Roman" w:hAnsi="Times New Roman" w:cs="Times New Roman"/>
          <w:sz w:val="24"/>
          <w:szCs w:val="24"/>
          <w:lang w:val="en-GB" w:eastAsia="sv-SE"/>
        </w:rPr>
        <w:t> (Roseveare, 2023)</w:t>
      </w:r>
      <w:r w:rsidR="00851C37">
        <w:rPr>
          <w:rFonts w:ascii="Times New Roman" w:eastAsia="Times New Roman" w:hAnsi="Times New Roman" w:cs="Times New Roman"/>
          <w:sz w:val="24"/>
          <w:szCs w:val="24"/>
          <w:lang w:val="en-GB" w:eastAsia="sv-SE"/>
        </w:rPr>
        <w:t>.</w:t>
      </w:r>
      <w:r w:rsidR="003566E4">
        <w:rPr>
          <w:rFonts w:ascii="Times New Roman" w:eastAsia="Times New Roman" w:hAnsi="Times New Roman" w:cs="Times New Roman"/>
          <w:sz w:val="24"/>
          <w:szCs w:val="24"/>
          <w:lang w:val="en-GB" w:eastAsia="sv-SE"/>
        </w:rPr>
        <w:t xml:space="preserve"> </w:t>
      </w:r>
      <w:r w:rsidRPr="009371C2">
        <w:rPr>
          <w:rFonts w:ascii="Times New Roman" w:eastAsia="Times New Roman" w:hAnsi="Times New Roman" w:cs="Times New Roman"/>
          <w:sz w:val="24"/>
          <w:szCs w:val="24"/>
          <w:lang w:val="en-GB" w:eastAsia="sv-SE"/>
        </w:rPr>
        <w:t>The analytic process comprised the following stages:</w:t>
      </w:r>
    </w:p>
    <w:p w14:paraId="38B6CFAE" w14:textId="77777777" w:rsidR="009371C2" w:rsidRPr="009371C2" w:rsidRDefault="009371C2" w:rsidP="00947464">
      <w:pPr>
        <w:numPr>
          <w:ilvl w:val="0"/>
          <w:numId w:val="23"/>
        </w:numPr>
        <w:spacing w:before="100" w:beforeAutospacing="1" w:after="100" w:afterAutospacing="1" w:line="360" w:lineRule="auto"/>
        <w:jc w:val="both"/>
        <w:rPr>
          <w:rFonts w:ascii="Times New Roman" w:eastAsia="Times New Roman" w:hAnsi="Times New Roman" w:cs="Times New Roman"/>
          <w:sz w:val="24"/>
          <w:szCs w:val="24"/>
          <w:lang w:val="en-GB" w:eastAsia="sv-SE"/>
        </w:rPr>
      </w:pPr>
      <w:r w:rsidRPr="009371C2">
        <w:rPr>
          <w:rFonts w:ascii="Times New Roman" w:eastAsia="Times New Roman" w:hAnsi="Times New Roman" w:cs="Times New Roman"/>
          <w:b/>
          <w:bCs/>
          <w:sz w:val="24"/>
          <w:szCs w:val="24"/>
          <w:lang w:val="en-GB" w:eastAsia="sv-SE"/>
        </w:rPr>
        <w:t>Familiarisation with the data</w:t>
      </w:r>
      <w:r w:rsidRPr="009371C2">
        <w:rPr>
          <w:rFonts w:ascii="Times New Roman" w:eastAsia="Times New Roman" w:hAnsi="Times New Roman" w:cs="Times New Roman"/>
          <w:sz w:val="24"/>
          <w:szCs w:val="24"/>
          <w:lang w:val="en-GB" w:eastAsia="sv-SE"/>
        </w:rPr>
        <w:t xml:space="preserve"> – Reading and re</w:t>
      </w:r>
      <w:r w:rsidRPr="009371C2">
        <w:rPr>
          <w:rFonts w:ascii="Times New Roman" w:eastAsia="Times New Roman" w:hAnsi="Times New Roman" w:cs="Times New Roman"/>
          <w:sz w:val="24"/>
          <w:szCs w:val="24"/>
          <w:lang w:val="en-GB" w:eastAsia="sv-SE"/>
        </w:rPr>
        <w:noBreakHyphen/>
        <w:t>reading transcripts to gain an in</w:t>
      </w:r>
      <w:r w:rsidRPr="009371C2">
        <w:rPr>
          <w:rFonts w:ascii="Times New Roman" w:eastAsia="Times New Roman" w:hAnsi="Times New Roman" w:cs="Times New Roman"/>
          <w:sz w:val="24"/>
          <w:szCs w:val="24"/>
          <w:lang w:val="en-GB" w:eastAsia="sv-SE"/>
        </w:rPr>
        <w:noBreakHyphen/>
        <w:t>depth understanding of participants’ accounts.</w:t>
      </w:r>
    </w:p>
    <w:p w14:paraId="584A0693" w14:textId="77777777" w:rsidR="009371C2" w:rsidRPr="009371C2" w:rsidRDefault="009371C2" w:rsidP="00947464">
      <w:pPr>
        <w:numPr>
          <w:ilvl w:val="0"/>
          <w:numId w:val="23"/>
        </w:numPr>
        <w:spacing w:before="100" w:beforeAutospacing="1" w:after="100" w:afterAutospacing="1" w:line="360" w:lineRule="auto"/>
        <w:jc w:val="both"/>
        <w:rPr>
          <w:rFonts w:ascii="Times New Roman" w:eastAsia="Times New Roman" w:hAnsi="Times New Roman" w:cs="Times New Roman"/>
          <w:sz w:val="24"/>
          <w:szCs w:val="24"/>
          <w:lang w:val="en-GB" w:eastAsia="sv-SE"/>
        </w:rPr>
      </w:pPr>
      <w:r w:rsidRPr="009371C2">
        <w:rPr>
          <w:rFonts w:ascii="Times New Roman" w:eastAsia="Times New Roman" w:hAnsi="Times New Roman" w:cs="Times New Roman"/>
          <w:b/>
          <w:bCs/>
          <w:sz w:val="24"/>
          <w:szCs w:val="24"/>
          <w:lang w:val="en-GB" w:eastAsia="sv-SE"/>
        </w:rPr>
        <w:t>Coding</w:t>
      </w:r>
      <w:r w:rsidRPr="009371C2">
        <w:rPr>
          <w:rFonts w:ascii="Times New Roman" w:eastAsia="Times New Roman" w:hAnsi="Times New Roman" w:cs="Times New Roman"/>
          <w:sz w:val="24"/>
          <w:szCs w:val="24"/>
          <w:lang w:val="en-GB" w:eastAsia="sv-SE"/>
        </w:rPr>
        <w:t xml:space="preserve"> – Systematically labelling key concepts and significant statements related to inclusion and leadership practices.</w:t>
      </w:r>
    </w:p>
    <w:p w14:paraId="2AEB105E" w14:textId="77777777" w:rsidR="009371C2" w:rsidRPr="009371C2" w:rsidRDefault="009371C2" w:rsidP="00947464">
      <w:pPr>
        <w:numPr>
          <w:ilvl w:val="0"/>
          <w:numId w:val="23"/>
        </w:numPr>
        <w:spacing w:before="100" w:beforeAutospacing="1" w:after="100" w:afterAutospacing="1" w:line="360" w:lineRule="auto"/>
        <w:jc w:val="both"/>
        <w:rPr>
          <w:rFonts w:ascii="Times New Roman" w:eastAsia="Times New Roman" w:hAnsi="Times New Roman" w:cs="Times New Roman"/>
          <w:sz w:val="24"/>
          <w:szCs w:val="24"/>
          <w:lang w:val="en-GB" w:eastAsia="sv-SE"/>
        </w:rPr>
      </w:pPr>
      <w:r w:rsidRPr="009371C2">
        <w:rPr>
          <w:rFonts w:ascii="Times New Roman" w:eastAsia="Times New Roman" w:hAnsi="Times New Roman" w:cs="Times New Roman"/>
          <w:b/>
          <w:bCs/>
          <w:sz w:val="24"/>
          <w:szCs w:val="24"/>
          <w:lang w:val="en-GB" w:eastAsia="sv-SE"/>
        </w:rPr>
        <w:t>Theme development</w:t>
      </w:r>
      <w:r w:rsidRPr="009371C2">
        <w:rPr>
          <w:rFonts w:ascii="Times New Roman" w:eastAsia="Times New Roman" w:hAnsi="Times New Roman" w:cs="Times New Roman"/>
          <w:sz w:val="24"/>
          <w:szCs w:val="24"/>
          <w:lang w:val="en-GB" w:eastAsia="sv-SE"/>
        </w:rPr>
        <w:t xml:space="preserve"> – Grouping related codes into broader themes that encapsulate recurring patterns and meanings.</w:t>
      </w:r>
    </w:p>
    <w:p w14:paraId="16DFAD42" w14:textId="77777777" w:rsidR="009371C2" w:rsidRPr="009371C2" w:rsidRDefault="009371C2" w:rsidP="00947464">
      <w:pPr>
        <w:numPr>
          <w:ilvl w:val="0"/>
          <w:numId w:val="23"/>
        </w:numPr>
        <w:spacing w:before="100" w:beforeAutospacing="1" w:after="100" w:afterAutospacing="1" w:line="360" w:lineRule="auto"/>
        <w:jc w:val="both"/>
        <w:rPr>
          <w:rFonts w:ascii="Times New Roman" w:eastAsia="Times New Roman" w:hAnsi="Times New Roman" w:cs="Times New Roman"/>
          <w:sz w:val="24"/>
          <w:szCs w:val="24"/>
          <w:lang w:val="en-GB" w:eastAsia="sv-SE"/>
        </w:rPr>
      </w:pPr>
      <w:r w:rsidRPr="009371C2">
        <w:rPr>
          <w:rFonts w:ascii="Times New Roman" w:eastAsia="Times New Roman" w:hAnsi="Times New Roman" w:cs="Times New Roman"/>
          <w:b/>
          <w:bCs/>
          <w:sz w:val="24"/>
          <w:szCs w:val="24"/>
          <w:lang w:val="en-GB" w:eastAsia="sv-SE"/>
        </w:rPr>
        <w:t>Interpretation</w:t>
      </w:r>
      <w:r w:rsidRPr="009371C2">
        <w:rPr>
          <w:rFonts w:ascii="Times New Roman" w:eastAsia="Times New Roman" w:hAnsi="Times New Roman" w:cs="Times New Roman"/>
          <w:sz w:val="24"/>
          <w:szCs w:val="24"/>
          <w:lang w:val="en-GB" w:eastAsia="sv-SE"/>
        </w:rPr>
        <w:t xml:space="preserve"> – Relating identified themes back to the research question and existing literature, allowing for the emergence of insights grounded in both data and theory.</w:t>
      </w:r>
    </w:p>
    <w:p w14:paraId="1E067EEA" w14:textId="77777777" w:rsidR="009371C2" w:rsidRPr="009371C2" w:rsidRDefault="009371C2" w:rsidP="00947464">
      <w:pPr>
        <w:spacing w:before="100" w:beforeAutospacing="1" w:after="100" w:afterAutospacing="1" w:line="360" w:lineRule="auto"/>
        <w:jc w:val="both"/>
        <w:rPr>
          <w:rFonts w:ascii="Times New Roman" w:eastAsia="Times New Roman" w:hAnsi="Times New Roman" w:cs="Times New Roman"/>
          <w:sz w:val="24"/>
          <w:szCs w:val="24"/>
          <w:lang w:val="en-GB" w:eastAsia="sv-SE"/>
        </w:rPr>
      </w:pPr>
      <w:r w:rsidRPr="009371C2">
        <w:rPr>
          <w:rFonts w:ascii="Times New Roman" w:eastAsia="Times New Roman" w:hAnsi="Times New Roman" w:cs="Times New Roman"/>
          <w:sz w:val="24"/>
          <w:szCs w:val="24"/>
          <w:lang w:val="en-GB" w:eastAsia="sv-SE"/>
        </w:rPr>
        <w:t>The aim of thematic analysis was to produce a coherent account of how teachers experienced and enacted inclusive practices and to highlight shared meanings across participants while remaining sensitive to individual differences.</w:t>
      </w:r>
    </w:p>
    <w:p w14:paraId="7A3FAAD9" w14:textId="77777777" w:rsidR="009371C2" w:rsidRPr="009371C2" w:rsidRDefault="009371C2" w:rsidP="00947464">
      <w:pPr>
        <w:spacing w:before="100" w:beforeAutospacing="1" w:after="100" w:afterAutospacing="1" w:line="360" w:lineRule="auto"/>
        <w:jc w:val="both"/>
        <w:outlineLvl w:val="3"/>
        <w:rPr>
          <w:rFonts w:ascii="Times New Roman" w:eastAsia="Times New Roman" w:hAnsi="Times New Roman" w:cs="Times New Roman"/>
          <w:b/>
          <w:bCs/>
          <w:sz w:val="24"/>
          <w:szCs w:val="24"/>
          <w:lang w:val="en-GB" w:eastAsia="sv-SE"/>
        </w:rPr>
      </w:pPr>
      <w:r w:rsidRPr="009371C2">
        <w:rPr>
          <w:rFonts w:ascii="Times New Roman" w:eastAsia="Times New Roman" w:hAnsi="Times New Roman" w:cs="Times New Roman"/>
          <w:b/>
          <w:bCs/>
          <w:sz w:val="24"/>
          <w:szCs w:val="24"/>
          <w:lang w:val="en-GB" w:eastAsia="sv-SE"/>
        </w:rPr>
        <w:lastRenderedPageBreak/>
        <w:t>Ethical Considerations</w:t>
      </w:r>
    </w:p>
    <w:p w14:paraId="444AA9C0" w14:textId="4DF439C3" w:rsidR="009D0ADC" w:rsidRPr="009371C2" w:rsidRDefault="001850D1" w:rsidP="00947464">
      <w:pPr>
        <w:spacing w:before="100" w:beforeAutospacing="1" w:after="100" w:afterAutospacing="1" w:line="360" w:lineRule="auto"/>
        <w:jc w:val="both"/>
        <w:rPr>
          <w:rFonts w:ascii="Times New Roman" w:eastAsia="Times New Roman" w:hAnsi="Times New Roman" w:cs="Times New Roman"/>
          <w:sz w:val="24"/>
          <w:szCs w:val="24"/>
          <w:lang w:val="en-GB" w:eastAsia="sv-SE"/>
        </w:rPr>
      </w:pPr>
      <w:r w:rsidRPr="001850D1">
        <w:rPr>
          <w:rFonts w:ascii="Times New Roman" w:eastAsia="Times New Roman" w:hAnsi="Times New Roman" w:cs="Times New Roman"/>
          <w:sz w:val="24"/>
          <w:szCs w:val="24"/>
          <w:lang w:val="en-GB" w:eastAsia="sv-SE"/>
        </w:rPr>
        <w:t>Ethical approval was obtained from the relevant institutional review board at the University of Wales Trinity Saint David prior to data collection. Participants received clear information about the study’s aims, procedures, and ethical safeguards, and informed consent was obtained. Confidentiality was maintained by anonymising transcripts, and participants were informed of their right to withdraw at any time without penalty, in line with established ethical research protocols</w:t>
      </w:r>
      <w:r w:rsidR="009371C2" w:rsidRPr="009371C2">
        <w:rPr>
          <w:rFonts w:ascii="Times New Roman" w:eastAsia="Times New Roman" w:hAnsi="Times New Roman" w:cs="Times New Roman"/>
          <w:sz w:val="24"/>
          <w:szCs w:val="24"/>
          <w:lang w:val="en-GB" w:eastAsia="sv-SE"/>
        </w:rPr>
        <w:t>.</w:t>
      </w:r>
    </w:p>
    <w:p w14:paraId="14A6F605" w14:textId="6739C513" w:rsidR="0015555D" w:rsidRPr="009371C2" w:rsidRDefault="009371C2" w:rsidP="00947464">
      <w:pPr>
        <w:spacing w:before="100" w:beforeAutospacing="1" w:after="100" w:afterAutospacing="1" w:line="360" w:lineRule="auto"/>
        <w:jc w:val="both"/>
        <w:outlineLvl w:val="3"/>
        <w:rPr>
          <w:rFonts w:ascii="Times New Roman" w:eastAsia="Times New Roman" w:hAnsi="Times New Roman" w:cs="Times New Roman"/>
          <w:b/>
          <w:bCs/>
          <w:sz w:val="24"/>
          <w:szCs w:val="24"/>
          <w:lang w:val="en-GB" w:eastAsia="sv-SE"/>
        </w:rPr>
      </w:pPr>
      <w:r w:rsidRPr="009371C2">
        <w:rPr>
          <w:rFonts w:ascii="Times New Roman" w:eastAsia="Times New Roman" w:hAnsi="Times New Roman" w:cs="Times New Roman"/>
          <w:b/>
          <w:bCs/>
          <w:sz w:val="24"/>
          <w:szCs w:val="24"/>
          <w:lang w:val="en-GB" w:eastAsia="sv-SE"/>
        </w:rPr>
        <w:t xml:space="preserve">Trustworthiness </w:t>
      </w:r>
    </w:p>
    <w:p w14:paraId="629CE76E" w14:textId="77777777" w:rsidR="009371C2" w:rsidRPr="0089523B" w:rsidRDefault="009371C2" w:rsidP="0089523B">
      <w:pPr>
        <w:spacing w:before="100" w:beforeAutospacing="1" w:after="100" w:afterAutospacing="1" w:line="360" w:lineRule="auto"/>
        <w:rPr>
          <w:rFonts w:ascii="Times New Roman" w:eastAsia="Times New Roman" w:hAnsi="Times New Roman" w:cs="Times New Roman"/>
          <w:sz w:val="24"/>
          <w:szCs w:val="24"/>
          <w:lang w:val="en-GB" w:eastAsia="sv-SE"/>
        </w:rPr>
      </w:pPr>
      <w:r w:rsidRPr="0089523B">
        <w:rPr>
          <w:rFonts w:ascii="Times New Roman" w:eastAsia="Times New Roman" w:hAnsi="Times New Roman" w:cs="Times New Roman"/>
          <w:sz w:val="24"/>
          <w:szCs w:val="24"/>
          <w:lang w:val="en-GB" w:eastAsia="sv-SE"/>
        </w:rPr>
        <w:t>To enhance the trustworthiness of the study’s findings, several qualitative research standards were applied:</w:t>
      </w:r>
    </w:p>
    <w:p w14:paraId="386764FE" w14:textId="77777777" w:rsidR="009371C2" w:rsidRPr="009371C2" w:rsidRDefault="009371C2" w:rsidP="00D54599">
      <w:pPr>
        <w:numPr>
          <w:ilvl w:val="0"/>
          <w:numId w:val="26"/>
        </w:numPr>
        <w:spacing w:before="100" w:beforeAutospacing="1" w:after="100" w:afterAutospacing="1" w:line="360" w:lineRule="auto"/>
        <w:rPr>
          <w:rFonts w:ascii="Times New Roman" w:eastAsia="Times New Roman" w:hAnsi="Times New Roman" w:cs="Times New Roman"/>
          <w:sz w:val="24"/>
          <w:szCs w:val="24"/>
          <w:lang w:val="en-GB" w:eastAsia="sv-SE"/>
        </w:rPr>
      </w:pPr>
      <w:r w:rsidRPr="009371C2">
        <w:rPr>
          <w:rFonts w:ascii="Times New Roman" w:eastAsia="Times New Roman" w:hAnsi="Times New Roman" w:cs="Times New Roman"/>
          <w:b/>
          <w:bCs/>
          <w:sz w:val="24"/>
          <w:szCs w:val="24"/>
          <w:lang w:val="en-GB" w:eastAsia="sv-SE"/>
        </w:rPr>
        <w:t>Credibility:</w:t>
      </w:r>
      <w:r w:rsidRPr="009371C2">
        <w:rPr>
          <w:rFonts w:ascii="Times New Roman" w:eastAsia="Times New Roman" w:hAnsi="Times New Roman" w:cs="Times New Roman"/>
          <w:sz w:val="24"/>
          <w:szCs w:val="24"/>
          <w:lang w:val="en-GB" w:eastAsia="sv-SE"/>
        </w:rPr>
        <w:t xml:space="preserve"> Participants were offered the opportunity for follow</w:t>
      </w:r>
      <w:r w:rsidRPr="009371C2">
        <w:rPr>
          <w:rFonts w:ascii="Times New Roman" w:eastAsia="Times New Roman" w:hAnsi="Times New Roman" w:cs="Times New Roman"/>
          <w:sz w:val="24"/>
          <w:szCs w:val="24"/>
          <w:lang w:val="en-GB" w:eastAsia="sv-SE"/>
        </w:rPr>
        <w:noBreakHyphen/>
        <w:t>up clarification and member checking to confirm that their views were accurately represented.</w:t>
      </w:r>
    </w:p>
    <w:p w14:paraId="3897A731" w14:textId="573546FF" w:rsidR="00245675" w:rsidRPr="009371C2" w:rsidRDefault="009371C2" w:rsidP="00D54599">
      <w:pPr>
        <w:numPr>
          <w:ilvl w:val="0"/>
          <w:numId w:val="26"/>
        </w:numPr>
        <w:spacing w:before="100" w:beforeAutospacing="1" w:after="100" w:afterAutospacing="1" w:line="360" w:lineRule="auto"/>
        <w:rPr>
          <w:rFonts w:ascii="Times New Roman" w:eastAsia="Times New Roman" w:hAnsi="Times New Roman" w:cs="Times New Roman"/>
          <w:sz w:val="24"/>
          <w:szCs w:val="24"/>
          <w:lang w:val="en-GB" w:eastAsia="sv-SE"/>
        </w:rPr>
      </w:pPr>
      <w:r w:rsidRPr="009371C2">
        <w:rPr>
          <w:rFonts w:ascii="Times New Roman" w:eastAsia="Times New Roman" w:hAnsi="Times New Roman" w:cs="Times New Roman"/>
          <w:b/>
          <w:bCs/>
          <w:sz w:val="24"/>
          <w:szCs w:val="24"/>
          <w:lang w:val="en-GB" w:eastAsia="sv-SE"/>
        </w:rPr>
        <w:t>Dependability:</w:t>
      </w:r>
      <w:r w:rsidRPr="009371C2">
        <w:rPr>
          <w:rFonts w:ascii="Times New Roman" w:eastAsia="Times New Roman" w:hAnsi="Times New Roman" w:cs="Times New Roman"/>
          <w:sz w:val="24"/>
          <w:szCs w:val="24"/>
          <w:lang w:val="en-GB" w:eastAsia="sv-SE"/>
        </w:rPr>
        <w:t xml:space="preserve"> A detailed account of data collection and analysis procedures w</w:t>
      </w:r>
      <w:r w:rsidR="00E9096C">
        <w:rPr>
          <w:rFonts w:ascii="Times New Roman" w:eastAsia="Times New Roman" w:hAnsi="Times New Roman" w:cs="Times New Roman"/>
          <w:sz w:val="24"/>
          <w:szCs w:val="24"/>
          <w:lang w:val="en-GB" w:eastAsia="sv-SE"/>
        </w:rPr>
        <w:t>ere</w:t>
      </w:r>
      <w:r w:rsidRPr="009371C2">
        <w:rPr>
          <w:rFonts w:ascii="Times New Roman" w:eastAsia="Times New Roman" w:hAnsi="Times New Roman" w:cs="Times New Roman"/>
          <w:sz w:val="24"/>
          <w:szCs w:val="24"/>
          <w:lang w:val="en-GB" w:eastAsia="sv-SE"/>
        </w:rPr>
        <w:t xml:space="preserve"> maintained as an audit trail, enabling transparency in methodological decisions.</w:t>
      </w:r>
    </w:p>
    <w:p w14:paraId="428A9005" w14:textId="4F5F490B" w:rsidR="009371C2" w:rsidRPr="009371C2" w:rsidRDefault="009371C2" w:rsidP="00D54599">
      <w:pPr>
        <w:numPr>
          <w:ilvl w:val="0"/>
          <w:numId w:val="26"/>
        </w:numPr>
        <w:spacing w:line="276" w:lineRule="auto"/>
        <w:rPr>
          <w:b/>
          <w:bCs/>
          <w:lang w:val="en-GB"/>
        </w:rPr>
      </w:pPr>
      <w:r w:rsidRPr="009371C2">
        <w:rPr>
          <w:rFonts w:ascii="Times New Roman" w:eastAsia="Times New Roman" w:hAnsi="Times New Roman" w:cs="Times New Roman"/>
          <w:b/>
          <w:bCs/>
          <w:sz w:val="24"/>
          <w:szCs w:val="24"/>
          <w:lang w:val="en-GB" w:eastAsia="sv-SE"/>
        </w:rPr>
        <w:t>Transferability:</w:t>
      </w:r>
      <w:r w:rsidR="00D96717" w:rsidRPr="00D96717">
        <w:rPr>
          <w:rFonts w:ascii="Times New Roman" w:eastAsia="Times New Roman" w:hAnsi="Times New Roman" w:cs="Times New Roman"/>
          <w:sz w:val="24"/>
          <w:szCs w:val="24"/>
          <w:lang w:val="en-GB" w:eastAsia="sv-SE"/>
        </w:rPr>
        <w:t xml:space="preserve"> </w:t>
      </w:r>
      <w:r w:rsidR="00D96717" w:rsidRPr="00D96717">
        <w:rPr>
          <w:rFonts w:ascii="Times New Roman" w:hAnsi="Times New Roman" w:cs="Times New Roman"/>
          <w:sz w:val="24"/>
          <w:szCs w:val="24"/>
          <w:lang w:val="en-GB"/>
        </w:rPr>
        <w:t>The study clearly described the setting and participants’ experiences so readers can decide whether the findings apply to similar situations.</w:t>
      </w:r>
    </w:p>
    <w:p w14:paraId="78AFED3F" w14:textId="01A4A87F" w:rsidR="00407C10" w:rsidRPr="006C41AF" w:rsidRDefault="009371C2" w:rsidP="00D54599">
      <w:pPr>
        <w:numPr>
          <w:ilvl w:val="0"/>
          <w:numId w:val="26"/>
        </w:numPr>
        <w:spacing w:before="100" w:beforeAutospacing="1" w:after="100" w:afterAutospacing="1" w:line="276" w:lineRule="auto"/>
        <w:outlineLvl w:val="3"/>
        <w:rPr>
          <w:rFonts w:ascii="Times New Roman" w:eastAsia="Times New Roman" w:hAnsi="Times New Roman" w:cs="Times New Roman"/>
          <w:b/>
          <w:bCs/>
          <w:sz w:val="24"/>
          <w:szCs w:val="24"/>
          <w:lang w:val="en-GB" w:eastAsia="sv-SE"/>
        </w:rPr>
      </w:pPr>
      <w:r w:rsidRPr="009371C2">
        <w:rPr>
          <w:rFonts w:ascii="Times New Roman" w:eastAsia="Times New Roman" w:hAnsi="Times New Roman" w:cs="Times New Roman"/>
          <w:b/>
          <w:bCs/>
          <w:sz w:val="24"/>
          <w:szCs w:val="24"/>
          <w:lang w:val="en-GB" w:eastAsia="sv-SE"/>
        </w:rPr>
        <w:t>Confirmability:</w:t>
      </w:r>
      <w:r w:rsidRPr="009371C2">
        <w:rPr>
          <w:rFonts w:ascii="Times New Roman" w:eastAsia="Times New Roman" w:hAnsi="Times New Roman" w:cs="Times New Roman"/>
          <w:sz w:val="24"/>
          <w:szCs w:val="24"/>
          <w:lang w:val="en-GB" w:eastAsia="sv-SE"/>
        </w:rPr>
        <w:t xml:space="preserve"> </w:t>
      </w:r>
      <w:r w:rsidR="00407C10" w:rsidRPr="00407C10">
        <w:rPr>
          <w:rFonts w:ascii="Times New Roman" w:eastAsia="Times New Roman" w:hAnsi="Times New Roman" w:cs="Times New Roman"/>
          <w:sz w:val="24"/>
          <w:szCs w:val="24"/>
          <w:lang w:val="en-GB" w:eastAsia="sv-SE"/>
        </w:rPr>
        <w:t xml:space="preserve">The researcher kept a </w:t>
      </w:r>
      <w:r w:rsidR="002C664F">
        <w:rPr>
          <w:rFonts w:ascii="Times New Roman" w:eastAsia="Times New Roman" w:hAnsi="Times New Roman" w:cs="Times New Roman"/>
          <w:sz w:val="24"/>
          <w:szCs w:val="24"/>
          <w:lang w:val="en-GB" w:eastAsia="sv-SE"/>
        </w:rPr>
        <w:t>record of</w:t>
      </w:r>
      <w:r w:rsidR="004124A5">
        <w:rPr>
          <w:rFonts w:ascii="Times New Roman" w:eastAsia="Times New Roman" w:hAnsi="Times New Roman" w:cs="Times New Roman"/>
          <w:sz w:val="24"/>
          <w:szCs w:val="24"/>
          <w:lang w:val="en-GB" w:eastAsia="sv-SE"/>
        </w:rPr>
        <w:t xml:space="preserve"> the participant views</w:t>
      </w:r>
      <w:r w:rsidR="00407C10" w:rsidRPr="00407C10">
        <w:rPr>
          <w:rFonts w:ascii="Times New Roman" w:eastAsia="Times New Roman" w:hAnsi="Times New Roman" w:cs="Times New Roman"/>
          <w:sz w:val="24"/>
          <w:szCs w:val="24"/>
          <w:lang w:val="en-GB" w:eastAsia="sv-SE"/>
        </w:rPr>
        <w:t xml:space="preserve"> and reflections, </w:t>
      </w:r>
      <w:r w:rsidR="00A7528F">
        <w:rPr>
          <w:rFonts w:ascii="Times New Roman" w:eastAsia="Times New Roman" w:hAnsi="Times New Roman" w:cs="Times New Roman"/>
          <w:sz w:val="24"/>
          <w:szCs w:val="24"/>
          <w:lang w:val="en-GB" w:eastAsia="sv-SE"/>
        </w:rPr>
        <w:t xml:space="preserve">to </w:t>
      </w:r>
      <w:r w:rsidR="00407C10" w:rsidRPr="00407C10">
        <w:rPr>
          <w:rFonts w:ascii="Times New Roman" w:eastAsia="Times New Roman" w:hAnsi="Times New Roman" w:cs="Times New Roman"/>
          <w:sz w:val="24"/>
          <w:szCs w:val="24"/>
          <w:lang w:val="en-GB" w:eastAsia="sv-SE"/>
        </w:rPr>
        <w:t xml:space="preserve">ensure that the findings were </w:t>
      </w:r>
      <w:r w:rsidR="00F42F16">
        <w:rPr>
          <w:rFonts w:ascii="Times New Roman" w:eastAsia="Times New Roman" w:hAnsi="Times New Roman" w:cs="Times New Roman"/>
          <w:sz w:val="24"/>
          <w:szCs w:val="24"/>
          <w:lang w:val="en-GB" w:eastAsia="sv-SE"/>
        </w:rPr>
        <w:t>indeed</w:t>
      </w:r>
      <w:r w:rsidR="00407C10" w:rsidRPr="00407C10">
        <w:rPr>
          <w:rFonts w:ascii="Times New Roman" w:eastAsia="Times New Roman" w:hAnsi="Times New Roman" w:cs="Times New Roman"/>
          <w:sz w:val="24"/>
          <w:szCs w:val="24"/>
          <w:lang w:val="en-GB" w:eastAsia="sv-SE"/>
        </w:rPr>
        <w:t xml:space="preserve"> participants’ experiences and not the researcher’s personal opinions.</w:t>
      </w:r>
    </w:p>
    <w:bookmarkEnd w:id="2"/>
    <w:p w14:paraId="21BC5DFA" w14:textId="77777777" w:rsidR="00B23DFB" w:rsidRPr="00B23DFB" w:rsidRDefault="00B23DFB" w:rsidP="00AB3531">
      <w:pPr>
        <w:spacing w:before="100" w:beforeAutospacing="1" w:after="100" w:afterAutospacing="1" w:line="360" w:lineRule="auto"/>
        <w:jc w:val="both"/>
        <w:outlineLvl w:val="2"/>
        <w:rPr>
          <w:rFonts w:ascii="Times New Roman" w:eastAsia="Times New Roman" w:hAnsi="Times New Roman" w:cs="Times New Roman"/>
          <w:b/>
          <w:bCs/>
          <w:sz w:val="27"/>
          <w:szCs w:val="27"/>
          <w:lang w:val="en-GB" w:eastAsia="sv-SE"/>
        </w:rPr>
      </w:pPr>
      <w:r w:rsidRPr="00B23DFB">
        <w:rPr>
          <w:rFonts w:ascii="Times New Roman" w:eastAsia="Times New Roman" w:hAnsi="Times New Roman" w:cs="Times New Roman"/>
          <w:b/>
          <w:bCs/>
          <w:sz w:val="27"/>
          <w:szCs w:val="27"/>
          <w:lang w:val="en-GB" w:eastAsia="sv-SE"/>
        </w:rPr>
        <w:t>Justification of Methodology</w:t>
      </w:r>
    </w:p>
    <w:p w14:paraId="5763C24F" w14:textId="2BCD08BA" w:rsidR="009A7013" w:rsidRPr="00B23DFB" w:rsidRDefault="00B23DFB" w:rsidP="00AB3531">
      <w:pPr>
        <w:spacing w:before="100" w:beforeAutospacing="1" w:after="100" w:afterAutospacing="1" w:line="360" w:lineRule="auto"/>
        <w:jc w:val="both"/>
        <w:rPr>
          <w:rFonts w:ascii="Times New Roman" w:eastAsia="Times New Roman" w:hAnsi="Times New Roman" w:cs="Times New Roman"/>
          <w:sz w:val="24"/>
          <w:szCs w:val="24"/>
          <w:lang w:val="en-GB" w:eastAsia="sv-SE"/>
        </w:rPr>
      </w:pPr>
      <w:r w:rsidRPr="00B23DFB">
        <w:rPr>
          <w:rFonts w:ascii="Times New Roman" w:eastAsia="Times New Roman" w:hAnsi="Times New Roman" w:cs="Times New Roman"/>
          <w:sz w:val="24"/>
          <w:szCs w:val="24"/>
          <w:lang w:val="en-GB" w:eastAsia="sv-SE"/>
        </w:rPr>
        <w:t xml:space="preserve">A qualitative phenomenological approach was chosen to explore teachers’ lived experiences of inclusive practice. Unlike quantitative methods focused on measurement and generalisation, phenomenology enables an in-depth examination of meaning, making it well suited to understanding how teachers interpret complex social phenomena such as inclusive education </w:t>
      </w:r>
      <w:bookmarkStart w:id="4" w:name="_Hlk219405022"/>
      <w:r w:rsidRPr="00B23DFB">
        <w:rPr>
          <w:rFonts w:ascii="Times New Roman" w:eastAsia="Times New Roman" w:hAnsi="Times New Roman" w:cs="Times New Roman"/>
          <w:sz w:val="24"/>
          <w:szCs w:val="24"/>
          <w:lang w:val="en-GB" w:eastAsia="sv-SE"/>
        </w:rPr>
        <w:t xml:space="preserve">(Crum, 2024; Brziak &amp; Urban, 2025). </w:t>
      </w:r>
      <w:bookmarkEnd w:id="4"/>
      <w:r w:rsidRPr="00B23DFB">
        <w:rPr>
          <w:rFonts w:ascii="Times New Roman" w:eastAsia="Times New Roman" w:hAnsi="Times New Roman" w:cs="Times New Roman"/>
          <w:sz w:val="24"/>
          <w:szCs w:val="24"/>
          <w:lang w:val="en-GB" w:eastAsia="sv-SE"/>
        </w:rPr>
        <w:t>Semi-structured interviews supported open, participant</w:t>
      </w:r>
      <w:r w:rsidR="00F742B6">
        <w:rPr>
          <w:rFonts w:ascii="Times New Roman" w:eastAsia="Times New Roman" w:hAnsi="Times New Roman" w:cs="Times New Roman"/>
          <w:sz w:val="24"/>
          <w:szCs w:val="24"/>
          <w:lang w:val="en-GB" w:eastAsia="sv-SE"/>
        </w:rPr>
        <w:t>-</w:t>
      </w:r>
      <w:r w:rsidRPr="00B23DFB">
        <w:rPr>
          <w:rFonts w:ascii="Times New Roman" w:eastAsia="Times New Roman" w:hAnsi="Times New Roman" w:cs="Times New Roman"/>
          <w:sz w:val="24"/>
          <w:szCs w:val="24"/>
          <w:lang w:val="en-GB" w:eastAsia="sv-SE"/>
        </w:rPr>
        <w:t>centred dialogue and generated rich data reflecting both shared and diverse experiences.</w:t>
      </w:r>
    </w:p>
    <w:p w14:paraId="63C7467B" w14:textId="77777777" w:rsidR="00B23DFB" w:rsidRPr="00B23DFB" w:rsidRDefault="00B23DFB" w:rsidP="00AB3531">
      <w:pPr>
        <w:spacing w:before="100" w:beforeAutospacing="1" w:after="100" w:afterAutospacing="1" w:line="360" w:lineRule="auto"/>
        <w:jc w:val="both"/>
        <w:outlineLvl w:val="2"/>
        <w:rPr>
          <w:rFonts w:ascii="Times New Roman" w:eastAsia="Times New Roman" w:hAnsi="Times New Roman" w:cs="Times New Roman"/>
          <w:b/>
          <w:bCs/>
          <w:sz w:val="27"/>
          <w:szCs w:val="27"/>
          <w:lang w:val="en-GB" w:eastAsia="sv-SE"/>
        </w:rPr>
      </w:pPr>
      <w:r w:rsidRPr="00B23DFB">
        <w:rPr>
          <w:rFonts w:ascii="Times New Roman" w:eastAsia="Times New Roman" w:hAnsi="Times New Roman" w:cs="Times New Roman"/>
          <w:b/>
          <w:bCs/>
          <w:sz w:val="27"/>
          <w:szCs w:val="27"/>
          <w:lang w:val="en-GB" w:eastAsia="sv-SE"/>
        </w:rPr>
        <w:t>Limitations</w:t>
      </w:r>
    </w:p>
    <w:p w14:paraId="6EE7C20F" w14:textId="0F5BAF1C" w:rsidR="00B23DFB" w:rsidRPr="00B23DFB" w:rsidRDefault="00B23DFB" w:rsidP="00AB3531">
      <w:pPr>
        <w:spacing w:before="100" w:beforeAutospacing="1" w:after="100" w:afterAutospacing="1" w:line="360" w:lineRule="auto"/>
        <w:jc w:val="both"/>
        <w:rPr>
          <w:rFonts w:ascii="Times New Roman" w:eastAsia="Times New Roman" w:hAnsi="Times New Roman" w:cs="Times New Roman"/>
          <w:sz w:val="24"/>
          <w:szCs w:val="24"/>
          <w:lang w:val="en-GB" w:eastAsia="sv-SE"/>
        </w:rPr>
      </w:pPr>
      <w:r w:rsidRPr="00B23DFB">
        <w:rPr>
          <w:rFonts w:ascii="Times New Roman" w:eastAsia="Times New Roman" w:hAnsi="Times New Roman" w:cs="Times New Roman"/>
          <w:sz w:val="24"/>
          <w:szCs w:val="24"/>
          <w:lang w:val="en-GB" w:eastAsia="sv-SE"/>
        </w:rPr>
        <w:t xml:space="preserve">Despite offering in-depth insights, the study has limitations. The small sample of three participants restricts generalisability, as the findings are </w:t>
      </w:r>
      <w:r w:rsidR="00170531" w:rsidRPr="00B23DFB">
        <w:rPr>
          <w:rFonts w:ascii="Times New Roman" w:eastAsia="Times New Roman" w:hAnsi="Times New Roman" w:cs="Times New Roman"/>
          <w:sz w:val="24"/>
          <w:szCs w:val="24"/>
          <w:lang w:val="en-GB" w:eastAsia="sv-SE"/>
        </w:rPr>
        <w:t>context specific</w:t>
      </w:r>
      <w:r w:rsidRPr="00B23DFB">
        <w:rPr>
          <w:rFonts w:ascii="Times New Roman" w:eastAsia="Times New Roman" w:hAnsi="Times New Roman" w:cs="Times New Roman"/>
          <w:sz w:val="24"/>
          <w:szCs w:val="24"/>
          <w:lang w:val="en-GB" w:eastAsia="sv-SE"/>
        </w:rPr>
        <w:t xml:space="preserve">. Additionally, reliance </w:t>
      </w:r>
      <w:r w:rsidRPr="00B23DFB">
        <w:rPr>
          <w:rFonts w:ascii="Times New Roman" w:eastAsia="Times New Roman" w:hAnsi="Times New Roman" w:cs="Times New Roman"/>
          <w:sz w:val="24"/>
          <w:szCs w:val="24"/>
          <w:lang w:val="en-GB" w:eastAsia="sv-SE"/>
        </w:rPr>
        <w:lastRenderedPageBreak/>
        <w:t>on self-reported data may be influenced by socially desirable responses. Nevertheless, the study’s qualitative depth and contextual richness provide valuable insight into inclusive practice in real-world settings.</w:t>
      </w:r>
    </w:p>
    <w:p w14:paraId="4C0CB06F" w14:textId="77777777" w:rsidR="00B23DFB" w:rsidRPr="00B23DFB" w:rsidRDefault="00B23DFB" w:rsidP="00AB3531">
      <w:pPr>
        <w:spacing w:before="100" w:beforeAutospacing="1" w:after="100" w:afterAutospacing="1" w:line="360" w:lineRule="auto"/>
        <w:jc w:val="both"/>
        <w:outlineLvl w:val="2"/>
        <w:rPr>
          <w:rFonts w:ascii="Times New Roman" w:eastAsia="Times New Roman" w:hAnsi="Times New Roman" w:cs="Times New Roman"/>
          <w:b/>
          <w:bCs/>
          <w:sz w:val="27"/>
          <w:szCs w:val="27"/>
          <w:lang w:val="en-GB" w:eastAsia="sv-SE"/>
        </w:rPr>
      </w:pPr>
      <w:r w:rsidRPr="00B23DFB">
        <w:rPr>
          <w:rFonts w:ascii="Times New Roman" w:eastAsia="Times New Roman" w:hAnsi="Times New Roman" w:cs="Times New Roman"/>
          <w:b/>
          <w:bCs/>
          <w:sz w:val="27"/>
          <w:szCs w:val="27"/>
          <w:lang w:val="en-GB" w:eastAsia="sv-SE"/>
        </w:rPr>
        <w:t>Summary</w:t>
      </w:r>
    </w:p>
    <w:p w14:paraId="2DE185F2" w14:textId="29A85338" w:rsidR="00B23DFB" w:rsidRPr="00902273" w:rsidRDefault="00B23DFB" w:rsidP="00902273">
      <w:pPr>
        <w:spacing w:before="100" w:beforeAutospacing="1" w:after="100" w:afterAutospacing="1" w:line="360" w:lineRule="auto"/>
        <w:jc w:val="both"/>
        <w:rPr>
          <w:rFonts w:ascii="Times New Roman" w:eastAsia="Times New Roman" w:hAnsi="Times New Roman" w:cs="Times New Roman"/>
          <w:sz w:val="24"/>
          <w:szCs w:val="24"/>
          <w:lang w:val="en-GB" w:eastAsia="sv-SE"/>
        </w:rPr>
      </w:pPr>
      <w:r w:rsidRPr="00B23DFB">
        <w:rPr>
          <w:rFonts w:ascii="Times New Roman" w:eastAsia="Times New Roman" w:hAnsi="Times New Roman" w:cs="Times New Roman"/>
          <w:sz w:val="24"/>
          <w:szCs w:val="24"/>
          <w:lang w:val="en-GB" w:eastAsia="sv-SE"/>
        </w:rPr>
        <w:t>Overall, the qualitative phenomenological approach was appropriate for examining how high school teachers navigate inclusive leadership practices. Through semi-structured interviews and thematic analysis, the study produced nuanced understandings of inclusion in diverse classrooms. Ethical considerations and trustworthiness measures were carefully applied, ensuring the findings are credible and meaningful for informing inclusive educational practice and future research.</w:t>
      </w:r>
    </w:p>
    <w:p w14:paraId="56BB72C0" w14:textId="77777777" w:rsidR="008E7531" w:rsidRDefault="00942D42" w:rsidP="00687BC2">
      <w:pPr>
        <w:spacing w:before="100" w:beforeAutospacing="1" w:after="100" w:afterAutospacing="1" w:line="360" w:lineRule="auto"/>
        <w:jc w:val="both"/>
        <w:rPr>
          <w:rFonts w:ascii="Times New Roman" w:eastAsia="Times New Roman" w:hAnsi="Times New Roman" w:cs="Times New Roman"/>
          <w:b/>
          <w:bCs/>
          <w:sz w:val="24"/>
          <w:szCs w:val="24"/>
          <w:lang w:val="en-GB" w:eastAsia="sv-SE"/>
        </w:rPr>
      </w:pPr>
      <w:r w:rsidRPr="00942D42">
        <w:rPr>
          <w:rFonts w:ascii="Times New Roman" w:eastAsia="Times New Roman" w:hAnsi="Times New Roman" w:cs="Times New Roman"/>
          <w:b/>
          <w:bCs/>
          <w:sz w:val="24"/>
          <w:szCs w:val="24"/>
          <w:lang w:val="en-GB" w:eastAsia="sv-SE"/>
        </w:rPr>
        <w:t>Findings</w:t>
      </w:r>
    </w:p>
    <w:p w14:paraId="0D973F5E" w14:textId="6597E934" w:rsidR="00687BC2" w:rsidRPr="00687BC2" w:rsidRDefault="00687BC2" w:rsidP="00687BC2">
      <w:pPr>
        <w:spacing w:before="100" w:beforeAutospacing="1" w:after="100" w:afterAutospacing="1" w:line="360" w:lineRule="auto"/>
        <w:jc w:val="both"/>
        <w:rPr>
          <w:rFonts w:ascii="Times New Roman" w:eastAsia="Times New Roman" w:hAnsi="Times New Roman" w:cs="Times New Roman"/>
          <w:b/>
          <w:bCs/>
          <w:sz w:val="24"/>
          <w:szCs w:val="24"/>
          <w:lang w:val="en-GB" w:eastAsia="sv-SE"/>
        </w:rPr>
      </w:pPr>
      <w:r w:rsidRPr="00687BC2">
        <w:rPr>
          <w:rFonts w:ascii="Times New Roman" w:eastAsia="Times New Roman" w:hAnsi="Times New Roman" w:cs="Times New Roman"/>
          <w:sz w:val="24"/>
          <w:szCs w:val="24"/>
          <w:lang w:val="en-GB" w:eastAsia="sv-SE"/>
        </w:rPr>
        <w:t xml:space="preserve">From </w:t>
      </w:r>
      <w:bookmarkStart w:id="5" w:name="_Hlk218966654"/>
      <w:r w:rsidRPr="00687BC2">
        <w:rPr>
          <w:rFonts w:ascii="Times New Roman" w:eastAsia="Times New Roman" w:hAnsi="Times New Roman" w:cs="Times New Roman"/>
          <w:sz w:val="24"/>
          <w:szCs w:val="24"/>
          <w:lang w:val="en-GB" w:eastAsia="sv-SE"/>
        </w:rPr>
        <w:t xml:space="preserve">the data analysis, three themes emerged regarding teachers’ perceptions and interpretations of how inclusivity can be nurtured in diverse classrooms. The participants’ interviews revealed the importance of </w:t>
      </w:r>
      <w:r w:rsidR="008E7531">
        <w:rPr>
          <w:rFonts w:ascii="Times New Roman" w:eastAsia="Times New Roman" w:hAnsi="Times New Roman" w:cs="Times New Roman"/>
          <w:sz w:val="24"/>
          <w:szCs w:val="24"/>
          <w:lang w:val="en-GB" w:eastAsia="sv-SE"/>
        </w:rPr>
        <w:t>foster</w:t>
      </w:r>
      <w:r w:rsidRPr="00687BC2">
        <w:rPr>
          <w:rFonts w:ascii="Times New Roman" w:eastAsia="Times New Roman" w:hAnsi="Times New Roman" w:cs="Times New Roman"/>
          <w:sz w:val="24"/>
          <w:szCs w:val="24"/>
          <w:lang w:val="en-GB" w:eastAsia="sv-SE"/>
        </w:rPr>
        <w:t xml:space="preserve">ing mutual respect and equal participation, </w:t>
      </w:r>
      <w:bookmarkStart w:id="6" w:name="_Hlk216757241"/>
      <w:r w:rsidRPr="00687BC2">
        <w:rPr>
          <w:rFonts w:ascii="Times New Roman" w:eastAsia="Times New Roman" w:hAnsi="Times New Roman" w:cs="Times New Roman"/>
          <w:sz w:val="24"/>
          <w:szCs w:val="24"/>
          <w:lang w:val="en-GB" w:eastAsia="sv-SE"/>
        </w:rPr>
        <w:t>maintaining cultural awareness through responsive communication</w:t>
      </w:r>
      <w:bookmarkEnd w:id="6"/>
      <w:r w:rsidRPr="00687BC2">
        <w:rPr>
          <w:rFonts w:ascii="Times New Roman" w:eastAsia="Times New Roman" w:hAnsi="Times New Roman" w:cs="Times New Roman"/>
          <w:sz w:val="24"/>
          <w:szCs w:val="24"/>
          <w:lang w:val="en-GB" w:eastAsia="sv-SE"/>
        </w:rPr>
        <w:t xml:space="preserve">, and </w:t>
      </w:r>
      <w:bookmarkStart w:id="7" w:name="_Hlk216761051"/>
      <w:r w:rsidRPr="00687BC2">
        <w:rPr>
          <w:rFonts w:ascii="Times New Roman" w:eastAsia="Times New Roman" w:hAnsi="Times New Roman" w:cs="Times New Roman"/>
          <w:sz w:val="24"/>
          <w:szCs w:val="24"/>
          <w:lang w:val="en-GB" w:eastAsia="sv-SE"/>
        </w:rPr>
        <w:t>implementing inclusive learning strategies.</w:t>
      </w:r>
    </w:p>
    <w:bookmarkEnd w:id="5"/>
    <w:bookmarkEnd w:id="7"/>
    <w:p w14:paraId="7E66BCBB" w14:textId="67A9C348" w:rsidR="00687BC2" w:rsidRPr="00687BC2" w:rsidRDefault="00687BC2" w:rsidP="00687BC2">
      <w:pPr>
        <w:spacing w:before="100" w:beforeAutospacing="1" w:after="100" w:afterAutospacing="1" w:line="360" w:lineRule="auto"/>
        <w:jc w:val="both"/>
        <w:rPr>
          <w:rFonts w:ascii="Times New Roman" w:eastAsia="Times New Roman" w:hAnsi="Times New Roman" w:cs="Times New Roman"/>
          <w:b/>
          <w:bCs/>
          <w:sz w:val="24"/>
          <w:szCs w:val="24"/>
          <w:lang w:val="en-GB" w:eastAsia="sv-SE"/>
        </w:rPr>
      </w:pPr>
      <w:r w:rsidRPr="00687BC2">
        <w:rPr>
          <w:rFonts w:ascii="Times New Roman" w:eastAsia="Times New Roman" w:hAnsi="Times New Roman" w:cs="Times New Roman"/>
          <w:b/>
          <w:bCs/>
          <w:sz w:val="24"/>
          <w:szCs w:val="24"/>
          <w:lang w:val="en-GB" w:eastAsia="sv-SE"/>
        </w:rPr>
        <w:t>Fostering Mutual Respect and Equ</w:t>
      </w:r>
      <w:r w:rsidR="00D92287">
        <w:rPr>
          <w:rFonts w:ascii="Times New Roman" w:eastAsia="Times New Roman" w:hAnsi="Times New Roman" w:cs="Times New Roman"/>
          <w:b/>
          <w:bCs/>
          <w:sz w:val="24"/>
          <w:szCs w:val="24"/>
          <w:lang w:val="en-GB" w:eastAsia="sv-SE"/>
        </w:rPr>
        <w:t>itable</w:t>
      </w:r>
      <w:r w:rsidRPr="00687BC2">
        <w:rPr>
          <w:rFonts w:ascii="Times New Roman" w:eastAsia="Times New Roman" w:hAnsi="Times New Roman" w:cs="Times New Roman"/>
          <w:b/>
          <w:bCs/>
          <w:sz w:val="24"/>
          <w:szCs w:val="24"/>
          <w:lang w:val="en-GB" w:eastAsia="sv-SE"/>
        </w:rPr>
        <w:t xml:space="preserve"> Participation</w:t>
      </w:r>
    </w:p>
    <w:p w14:paraId="6E763C21" w14:textId="0D059A4B" w:rsidR="00C91752" w:rsidRPr="00C91752" w:rsidRDefault="00C91752" w:rsidP="00B548F0">
      <w:pPr>
        <w:pStyle w:val="Normalwebb"/>
        <w:spacing w:line="360" w:lineRule="auto"/>
        <w:jc w:val="both"/>
        <w:rPr>
          <w:lang w:val="en-GB"/>
        </w:rPr>
      </w:pPr>
      <w:r w:rsidRPr="00C91752">
        <w:rPr>
          <w:lang w:val="en-GB"/>
        </w:rPr>
        <w:t>All three teachers shared a common understanding of inclusivity as providing every student with equal opportunities to participate and succeed, while fostering a sense of belonging where students feel accepted and valued. One teacher emphasised that students should feel comfortable sharing responses, correct or incorrect, and that all should have the right to succeed</w:t>
      </w:r>
      <w:r w:rsidR="00FD7681">
        <w:rPr>
          <w:lang w:val="en-GB"/>
        </w:rPr>
        <w:t xml:space="preserve"> alongside their peers</w:t>
      </w:r>
      <w:r w:rsidRPr="00C91752">
        <w:rPr>
          <w:lang w:val="en-GB"/>
        </w:rPr>
        <w:t xml:space="preserve"> despite any challenges.</w:t>
      </w:r>
    </w:p>
    <w:p w14:paraId="48EDBD84" w14:textId="21240131" w:rsidR="00C91752" w:rsidRPr="00C91752" w:rsidRDefault="00C91752" w:rsidP="00B548F0">
      <w:pPr>
        <w:pStyle w:val="Normalwebb"/>
        <w:spacing w:line="360" w:lineRule="auto"/>
        <w:jc w:val="both"/>
        <w:rPr>
          <w:lang w:val="en-GB"/>
        </w:rPr>
      </w:pPr>
      <w:r w:rsidRPr="00C91752">
        <w:rPr>
          <w:lang w:val="en-GB"/>
        </w:rPr>
        <w:t>The role of teachers in establishing inclusivity was strongly highlighted. One noted the importance of setting boundaries to prevent teasing, creating a safe learning environment, aligning with the view that educational leaders foster culturally inclusive practices (Grooms et al., 2024). Another</w:t>
      </w:r>
      <w:r w:rsidR="004D3FFB">
        <w:rPr>
          <w:lang w:val="en-GB"/>
        </w:rPr>
        <w:t xml:space="preserve"> participant teacher</w:t>
      </w:r>
      <w:r w:rsidRPr="00C91752">
        <w:rPr>
          <w:lang w:val="en-GB"/>
        </w:rPr>
        <w:t xml:space="preserve"> stressed modelling respectful behaviour, recognising teachers as role models influencing student interactions.</w:t>
      </w:r>
    </w:p>
    <w:p w14:paraId="5F722A29" w14:textId="19FF0904" w:rsidR="00343849" w:rsidRPr="00F27496" w:rsidRDefault="00C91752" w:rsidP="00B548F0">
      <w:pPr>
        <w:pStyle w:val="Normalwebb"/>
        <w:spacing w:line="360" w:lineRule="auto"/>
        <w:jc w:val="both"/>
        <w:rPr>
          <w:lang w:val="en-GB"/>
        </w:rPr>
      </w:pPr>
      <w:r w:rsidRPr="00C91752">
        <w:rPr>
          <w:lang w:val="en-GB"/>
        </w:rPr>
        <w:lastRenderedPageBreak/>
        <w:t xml:space="preserve">Respectful communication was seen as essential, with teachers emphasising the need for students to avoid inappropriate language and derogatory names, promoting kindness and consideration to ensure all feel secure (Pearl, 2024). Active participation was linked to collaborative learning, with group work identified as a key strategy for inclusion, fostering positive peer relationships and reducing bullying. </w:t>
      </w:r>
      <w:r w:rsidR="006105C9">
        <w:rPr>
          <w:lang w:val="en-GB"/>
        </w:rPr>
        <w:t>Similarly,</w:t>
      </w:r>
      <w:r w:rsidR="00B548F0">
        <w:rPr>
          <w:lang w:val="en-GB"/>
        </w:rPr>
        <w:t xml:space="preserve"> the participating t</w:t>
      </w:r>
      <w:r w:rsidRPr="00C91752">
        <w:rPr>
          <w:lang w:val="en-GB"/>
        </w:rPr>
        <w:t xml:space="preserve">eachers highlighted the importance of clear guidelines and rotating group members to encourage empathy and mutual respect. </w:t>
      </w:r>
      <w:r w:rsidR="00F27496" w:rsidRPr="00F27496">
        <w:rPr>
          <w:lang w:val="en-GB"/>
        </w:rPr>
        <w:t>These findings suggest that inclusive education requires collaboration, flexibility, and responsive communication, as well as a balance between individual and group learning, to effectively support all learners (Nepal et al., 2021).</w:t>
      </w:r>
    </w:p>
    <w:p w14:paraId="7F047D49" w14:textId="1584ACFD" w:rsidR="00B25CEE" w:rsidRPr="00B25CEE" w:rsidRDefault="00B25CEE" w:rsidP="00B25CEE">
      <w:pPr>
        <w:spacing w:before="100" w:beforeAutospacing="1" w:after="100" w:afterAutospacing="1" w:line="360" w:lineRule="auto"/>
        <w:jc w:val="both"/>
        <w:rPr>
          <w:rFonts w:ascii="Times New Roman" w:eastAsia="Times New Roman" w:hAnsi="Times New Roman" w:cs="Times New Roman"/>
          <w:b/>
          <w:bCs/>
          <w:sz w:val="24"/>
          <w:szCs w:val="24"/>
          <w:lang w:val="en-GB" w:eastAsia="sv-SE"/>
        </w:rPr>
      </w:pPr>
      <w:r w:rsidRPr="00B25CEE">
        <w:rPr>
          <w:rFonts w:ascii="Times New Roman" w:eastAsia="Times New Roman" w:hAnsi="Times New Roman" w:cs="Times New Roman"/>
          <w:b/>
          <w:bCs/>
          <w:sz w:val="24"/>
          <w:szCs w:val="24"/>
          <w:lang w:val="en-GB" w:eastAsia="sv-SE"/>
        </w:rPr>
        <w:t xml:space="preserve">Maintaining Cultural Awareness Through Responsive Communication </w:t>
      </w:r>
    </w:p>
    <w:p w14:paraId="2F31974A" w14:textId="10F0261C" w:rsidR="00D4247A" w:rsidRPr="00B25CEE" w:rsidRDefault="00D4247A" w:rsidP="00B25CEE">
      <w:pPr>
        <w:spacing w:before="100" w:beforeAutospacing="1" w:after="100" w:afterAutospacing="1" w:line="360" w:lineRule="auto"/>
        <w:jc w:val="both"/>
        <w:rPr>
          <w:rFonts w:ascii="Times New Roman" w:eastAsia="Times New Roman" w:hAnsi="Times New Roman" w:cs="Times New Roman"/>
          <w:sz w:val="24"/>
          <w:szCs w:val="24"/>
          <w:lang w:val="en-GB" w:eastAsia="sv-SE"/>
        </w:rPr>
      </w:pPr>
      <w:r w:rsidRPr="00D4247A">
        <w:rPr>
          <w:rFonts w:ascii="Times New Roman" w:eastAsia="Times New Roman" w:hAnsi="Times New Roman" w:cs="Times New Roman"/>
          <w:sz w:val="24"/>
          <w:szCs w:val="24"/>
          <w:lang w:val="en-GB" w:eastAsia="sv-SE"/>
        </w:rPr>
        <w:t>Regarding adaptations for culturally and linguistically diverse students, the mathematics teacher emphasised providing equal access to digital resources, including learning materials translated into students’ home languages, supporting those with language barriers and learning difficulties such as dyslexia. The teacher noted that mathematics, as a structured and often “universal” subject, can remain accessible without mother-tongue instruction. They also stressed encouraging students to take pride in their identities. Differentiation was applied through two levels of tasks</w:t>
      </w:r>
      <w:r w:rsidR="00680E16">
        <w:rPr>
          <w:rFonts w:ascii="Times New Roman" w:eastAsia="Times New Roman" w:hAnsi="Times New Roman" w:cs="Times New Roman"/>
          <w:sz w:val="24"/>
          <w:szCs w:val="24"/>
          <w:lang w:val="en-GB" w:eastAsia="sv-SE"/>
        </w:rPr>
        <w:t xml:space="preserve"> </w:t>
      </w:r>
      <w:r w:rsidR="00E141F2">
        <w:rPr>
          <w:rFonts w:ascii="Times New Roman" w:eastAsia="Times New Roman" w:hAnsi="Times New Roman" w:cs="Times New Roman"/>
          <w:sz w:val="24"/>
          <w:szCs w:val="24"/>
          <w:lang w:val="en-GB" w:eastAsia="sv-SE"/>
        </w:rPr>
        <w:t xml:space="preserve">where </w:t>
      </w:r>
      <w:r w:rsidR="00C12E4F">
        <w:rPr>
          <w:rFonts w:ascii="Times New Roman" w:eastAsia="Times New Roman" w:hAnsi="Times New Roman" w:cs="Times New Roman"/>
          <w:sz w:val="24"/>
          <w:szCs w:val="24"/>
          <w:lang w:val="en-GB" w:eastAsia="sv-SE"/>
        </w:rPr>
        <w:t xml:space="preserve">one </w:t>
      </w:r>
      <w:r w:rsidR="00E141F2">
        <w:rPr>
          <w:rFonts w:ascii="Times New Roman" w:eastAsia="Times New Roman" w:hAnsi="Times New Roman" w:cs="Times New Roman"/>
          <w:sz w:val="24"/>
          <w:szCs w:val="24"/>
          <w:lang w:val="en-GB" w:eastAsia="sv-SE"/>
        </w:rPr>
        <w:t xml:space="preserve">task was </w:t>
      </w:r>
      <w:r w:rsidRPr="00D4247A">
        <w:rPr>
          <w:rFonts w:ascii="Times New Roman" w:eastAsia="Times New Roman" w:hAnsi="Times New Roman" w:cs="Times New Roman"/>
          <w:sz w:val="24"/>
          <w:szCs w:val="24"/>
          <w:lang w:val="en-GB" w:eastAsia="sv-SE"/>
        </w:rPr>
        <w:t>challenging</w:t>
      </w:r>
      <w:r w:rsidR="00E141F2">
        <w:rPr>
          <w:rFonts w:ascii="Times New Roman" w:eastAsia="Times New Roman" w:hAnsi="Times New Roman" w:cs="Times New Roman"/>
          <w:sz w:val="24"/>
          <w:szCs w:val="24"/>
          <w:lang w:val="en-GB" w:eastAsia="sv-SE"/>
        </w:rPr>
        <w:t xml:space="preserve"> and </w:t>
      </w:r>
      <w:r w:rsidR="0034427F">
        <w:rPr>
          <w:rFonts w:ascii="Times New Roman" w:eastAsia="Times New Roman" w:hAnsi="Times New Roman" w:cs="Times New Roman"/>
          <w:sz w:val="24"/>
          <w:szCs w:val="24"/>
          <w:lang w:val="en-GB" w:eastAsia="sv-SE"/>
        </w:rPr>
        <w:t>another</w:t>
      </w:r>
      <w:r w:rsidRPr="00D4247A">
        <w:rPr>
          <w:rFonts w:ascii="Times New Roman" w:eastAsia="Times New Roman" w:hAnsi="Times New Roman" w:cs="Times New Roman"/>
          <w:sz w:val="24"/>
          <w:szCs w:val="24"/>
          <w:lang w:val="en-GB" w:eastAsia="sv-SE"/>
        </w:rPr>
        <w:t xml:space="preserve"> simplified</w:t>
      </w:r>
      <w:r w:rsidR="0034427F">
        <w:rPr>
          <w:rFonts w:ascii="Times New Roman" w:eastAsia="Times New Roman" w:hAnsi="Times New Roman" w:cs="Times New Roman"/>
          <w:sz w:val="24"/>
          <w:szCs w:val="24"/>
          <w:lang w:val="en-GB" w:eastAsia="sv-SE"/>
        </w:rPr>
        <w:t xml:space="preserve"> </w:t>
      </w:r>
      <w:r w:rsidRPr="00D4247A">
        <w:rPr>
          <w:rFonts w:ascii="Times New Roman" w:eastAsia="Times New Roman" w:hAnsi="Times New Roman" w:cs="Times New Roman"/>
          <w:sz w:val="24"/>
          <w:szCs w:val="24"/>
          <w:lang w:val="en-GB" w:eastAsia="sv-SE"/>
        </w:rPr>
        <w:t>based on students’ prior knowledge rather than cultural background.</w:t>
      </w:r>
    </w:p>
    <w:p w14:paraId="4C475707" w14:textId="77777777" w:rsidR="00B25CEE" w:rsidRPr="00B25CEE" w:rsidRDefault="00B25CEE" w:rsidP="00B25CEE">
      <w:pPr>
        <w:spacing w:before="100" w:beforeAutospacing="1" w:after="100" w:afterAutospacing="1" w:line="360" w:lineRule="auto"/>
        <w:jc w:val="both"/>
        <w:rPr>
          <w:rFonts w:ascii="Times New Roman" w:eastAsia="Times New Roman" w:hAnsi="Times New Roman" w:cs="Times New Roman"/>
          <w:sz w:val="24"/>
          <w:szCs w:val="24"/>
          <w:lang w:val="en-GB" w:eastAsia="sv-SE"/>
        </w:rPr>
      </w:pPr>
      <w:r w:rsidRPr="00B25CEE">
        <w:rPr>
          <w:rFonts w:ascii="Times New Roman" w:eastAsia="Times New Roman" w:hAnsi="Times New Roman" w:cs="Times New Roman"/>
          <w:sz w:val="24"/>
          <w:szCs w:val="24"/>
          <w:lang w:val="en-GB" w:eastAsia="sv-SE"/>
        </w:rPr>
        <w:t xml:space="preserve">The second teacher interviewed reported that classrooms often consisted of students from multiple ethnicities with varying levels of language proficiency. Some students had limited or no prior educational experience, requiring the teacher to adapt materials to meet their individual needs. In such cases, the teacher paired newly arrived students with peers who could provide support, helping the new students to feel more comfortable and integrated within the classroom setting. Adapting teaching strategies and assessment methods to meet diverse learner needs is essential for fostering engagement, positive behaviour, and </w:t>
      </w:r>
      <w:bookmarkStart w:id="8" w:name="_Hlk218938099"/>
      <w:r w:rsidRPr="00B25CEE">
        <w:rPr>
          <w:rFonts w:ascii="Times New Roman" w:eastAsia="Times New Roman" w:hAnsi="Times New Roman" w:cs="Times New Roman"/>
          <w:sz w:val="24"/>
          <w:szCs w:val="24"/>
          <w:lang w:val="en-GB" w:eastAsia="sv-SE"/>
        </w:rPr>
        <w:t>an inclusive classroom climate (Pearl, 2024).</w:t>
      </w:r>
    </w:p>
    <w:bookmarkEnd w:id="8"/>
    <w:p w14:paraId="67E289B2" w14:textId="0F2B23BD" w:rsidR="00B25CEE" w:rsidRDefault="00B25CEE" w:rsidP="00B25CEE">
      <w:pPr>
        <w:spacing w:before="100" w:beforeAutospacing="1" w:after="100" w:afterAutospacing="1" w:line="360" w:lineRule="auto"/>
        <w:jc w:val="both"/>
        <w:rPr>
          <w:rFonts w:ascii="Times New Roman" w:eastAsia="Times New Roman" w:hAnsi="Times New Roman" w:cs="Times New Roman"/>
          <w:sz w:val="24"/>
          <w:szCs w:val="24"/>
          <w:lang w:val="en-GB" w:eastAsia="sv-SE"/>
        </w:rPr>
      </w:pPr>
      <w:r w:rsidRPr="00B25CEE">
        <w:rPr>
          <w:rFonts w:ascii="Times New Roman" w:eastAsia="Times New Roman" w:hAnsi="Times New Roman" w:cs="Times New Roman"/>
          <w:sz w:val="24"/>
          <w:szCs w:val="24"/>
          <w:lang w:val="en-GB" w:eastAsia="sv-SE"/>
        </w:rPr>
        <w:t>Further insights from the first teacher indicated that responsive communication involved adjusting language use, clarifying key terminolog</w:t>
      </w:r>
      <w:r w:rsidR="006759B4">
        <w:rPr>
          <w:rFonts w:ascii="Times New Roman" w:eastAsia="Times New Roman" w:hAnsi="Times New Roman" w:cs="Times New Roman"/>
          <w:sz w:val="24"/>
          <w:szCs w:val="24"/>
          <w:lang w:val="en-GB" w:eastAsia="sv-SE"/>
        </w:rPr>
        <w:t>ies</w:t>
      </w:r>
      <w:r w:rsidRPr="00B25CEE">
        <w:rPr>
          <w:rFonts w:ascii="Times New Roman" w:eastAsia="Times New Roman" w:hAnsi="Times New Roman" w:cs="Times New Roman"/>
          <w:sz w:val="24"/>
          <w:szCs w:val="24"/>
          <w:lang w:val="en-GB" w:eastAsia="sv-SE"/>
        </w:rPr>
        <w:t xml:space="preserve">, and providing clear and explicit instructions to support students’ learning regardless of cultural background. </w:t>
      </w:r>
      <w:r w:rsidR="00001688">
        <w:rPr>
          <w:rFonts w:ascii="Times New Roman" w:eastAsia="Times New Roman" w:hAnsi="Times New Roman" w:cs="Times New Roman"/>
          <w:sz w:val="24"/>
          <w:szCs w:val="24"/>
          <w:lang w:val="en-GB" w:eastAsia="sv-SE"/>
        </w:rPr>
        <w:t>Further,</w:t>
      </w:r>
      <w:r w:rsidR="001B6706">
        <w:rPr>
          <w:rFonts w:ascii="Times New Roman" w:eastAsia="Times New Roman" w:hAnsi="Times New Roman" w:cs="Times New Roman"/>
          <w:sz w:val="24"/>
          <w:szCs w:val="24"/>
          <w:lang w:val="en-GB" w:eastAsia="sv-SE"/>
        </w:rPr>
        <w:t xml:space="preserve"> </w:t>
      </w:r>
      <w:r w:rsidR="00001688">
        <w:rPr>
          <w:rFonts w:ascii="Times New Roman" w:eastAsia="Times New Roman" w:hAnsi="Times New Roman" w:cs="Times New Roman"/>
          <w:sz w:val="24"/>
          <w:szCs w:val="24"/>
          <w:lang w:val="en-GB" w:eastAsia="sv-SE"/>
        </w:rPr>
        <w:t>th</w:t>
      </w:r>
      <w:r w:rsidR="00F81673">
        <w:rPr>
          <w:rFonts w:ascii="Times New Roman" w:eastAsia="Times New Roman" w:hAnsi="Times New Roman" w:cs="Times New Roman"/>
          <w:sz w:val="24"/>
          <w:szCs w:val="24"/>
          <w:lang w:val="en-GB" w:eastAsia="sv-SE"/>
        </w:rPr>
        <w:t>e</w:t>
      </w:r>
      <w:r w:rsidRPr="00B25CEE">
        <w:rPr>
          <w:rFonts w:ascii="Times New Roman" w:eastAsia="Times New Roman" w:hAnsi="Times New Roman" w:cs="Times New Roman"/>
          <w:sz w:val="24"/>
          <w:szCs w:val="24"/>
          <w:lang w:val="en-GB" w:eastAsia="sv-SE"/>
        </w:rPr>
        <w:t xml:space="preserve"> </w:t>
      </w:r>
      <w:r w:rsidR="00F81673">
        <w:rPr>
          <w:rFonts w:ascii="Times New Roman" w:eastAsia="Times New Roman" w:hAnsi="Times New Roman" w:cs="Times New Roman"/>
          <w:sz w:val="24"/>
          <w:szCs w:val="24"/>
          <w:lang w:val="en-GB" w:eastAsia="sv-SE"/>
        </w:rPr>
        <w:t xml:space="preserve">participant </w:t>
      </w:r>
      <w:r w:rsidRPr="00B25CEE">
        <w:rPr>
          <w:rFonts w:ascii="Times New Roman" w:eastAsia="Times New Roman" w:hAnsi="Times New Roman" w:cs="Times New Roman"/>
          <w:sz w:val="24"/>
          <w:szCs w:val="24"/>
          <w:lang w:val="en-GB" w:eastAsia="sv-SE"/>
        </w:rPr>
        <w:t xml:space="preserve">teacher also incorporated YouTube videos in students’ native languages to enhance understanding of lesson content. Textbooks and learning materials were differentiated </w:t>
      </w:r>
      <w:r w:rsidRPr="00B25CEE">
        <w:rPr>
          <w:rFonts w:ascii="Times New Roman" w:eastAsia="Times New Roman" w:hAnsi="Times New Roman" w:cs="Times New Roman"/>
          <w:sz w:val="24"/>
          <w:szCs w:val="24"/>
          <w:lang w:val="en-GB" w:eastAsia="sv-SE"/>
        </w:rPr>
        <w:lastRenderedPageBreak/>
        <w:t xml:space="preserve">according to students’ ability levels, with more advanced learners receiving challenging tasks and weaker students working on simplified exercises. Additional guidance was provided to students requiring more support, while lessons were contextualised by connecting content to </w:t>
      </w:r>
      <w:r w:rsidR="006759B4" w:rsidRPr="00B25CEE">
        <w:rPr>
          <w:rFonts w:ascii="Times New Roman" w:eastAsia="Times New Roman" w:hAnsi="Times New Roman" w:cs="Times New Roman"/>
          <w:sz w:val="24"/>
          <w:szCs w:val="24"/>
          <w:lang w:val="en-GB" w:eastAsia="sv-SE"/>
        </w:rPr>
        <w:t>students</w:t>
      </w:r>
      <w:r w:rsidR="006759B4">
        <w:rPr>
          <w:rFonts w:ascii="Times New Roman" w:eastAsia="Times New Roman" w:hAnsi="Times New Roman" w:cs="Times New Roman"/>
          <w:sz w:val="24"/>
          <w:szCs w:val="24"/>
          <w:lang w:val="en-GB" w:eastAsia="sv-SE"/>
        </w:rPr>
        <w:t>’</w:t>
      </w:r>
      <w:r w:rsidRPr="00B25CEE">
        <w:rPr>
          <w:rFonts w:ascii="Times New Roman" w:eastAsia="Times New Roman" w:hAnsi="Times New Roman" w:cs="Times New Roman"/>
          <w:sz w:val="24"/>
          <w:szCs w:val="24"/>
          <w:lang w:val="en-GB" w:eastAsia="sv-SE"/>
        </w:rPr>
        <w:t xml:space="preserve"> lived experiences. Such flexible teaching practices recognise learning as an active and socially situated process, where students can</w:t>
      </w:r>
      <w:r w:rsidR="00130524">
        <w:rPr>
          <w:rFonts w:ascii="Times New Roman" w:eastAsia="Times New Roman" w:hAnsi="Times New Roman" w:cs="Times New Roman"/>
          <w:sz w:val="24"/>
          <w:szCs w:val="24"/>
          <w:lang w:val="en-GB" w:eastAsia="sv-SE"/>
        </w:rPr>
        <w:t xml:space="preserve"> achieve good learning outcomes</w:t>
      </w:r>
      <w:r w:rsidRPr="00B25CEE">
        <w:rPr>
          <w:rFonts w:ascii="Times New Roman" w:eastAsia="Times New Roman" w:hAnsi="Times New Roman" w:cs="Times New Roman"/>
          <w:sz w:val="24"/>
          <w:szCs w:val="24"/>
          <w:lang w:val="en-GB" w:eastAsia="sv-SE"/>
        </w:rPr>
        <w:t xml:space="preserve"> when supported through </w:t>
      </w:r>
      <w:r w:rsidR="00993BEC">
        <w:rPr>
          <w:rFonts w:ascii="Times New Roman" w:eastAsia="Times New Roman" w:hAnsi="Times New Roman" w:cs="Times New Roman"/>
          <w:sz w:val="24"/>
          <w:szCs w:val="24"/>
          <w:lang w:val="en-GB" w:eastAsia="sv-SE"/>
        </w:rPr>
        <w:t xml:space="preserve">learning </w:t>
      </w:r>
      <w:r w:rsidR="009F4B04">
        <w:rPr>
          <w:rFonts w:ascii="Times New Roman" w:eastAsia="Times New Roman" w:hAnsi="Times New Roman" w:cs="Times New Roman"/>
          <w:sz w:val="24"/>
          <w:szCs w:val="24"/>
          <w:lang w:val="en-GB" w:eastAsia="sv-SE"/>
        </w:rPr>
        <w:t>strategies like</w:t>
      </w:r>
      <w:r w:rsidR="00993BEC">
        <w:rPr>
          <w:rFonts w:ascii="Times New Roman" w:eastAsia="Times New Roman" w:hAnsi="Times New Roman" w:cs="Times New Roman"/>
          <w:sz w:val="24"/>
          <w:szCs w:val="24"/>
          <w:lang w:val="en-GB" w:eastAsia="sv-SE"/>
        </w:rPr>
        <w:t xml:space="preserve"> </w:t>
      </w:r>
      <w:r w:rsidRPr="00B25CEE">
        <w:rPr>
          <w:rFonts w:ascii="Times New Roman" w:eastAsia="Times New Roman" w:hAnsi="Times New Roman" w:cs="Times New Roman"/>
          <w:sz w:val="24"/>
          <w:szCs w:val="24"/>
          <w:lang w:val="en-GB" w:eastAsia="sv-SE"/>
        </w:rPr>
        <w:t>scaffolding (Nepal et al., 2021).</w:t>
      </w:r>
    </w:p>
    <w:p w14:paraId="59C4E559" w14:textId="562E175D" w:rsidR="00AE41BB" w:rsidRPr="00AE41BB" w:rsidRDefault="00AE41BB" w:rsidP="00AE41BB">
      <w:pPr>
        <w:spacing w:before="100" w:beforeAutospacing="1" w:after="100" w:afterAutospacing="1" w:line="360" w:lineRule="auto"/>
        <w:jc w:val="both"/>
        <w:rPr>
          <w:rFonts w:ascii="Times New Roman" w:eastAsia="Times New Roman" w:hAnsi="Times New Roman" w:cs="Times New Roman"/>
          <w:b/>
          <w:bCs/>
          <w:sz w:val="24"/>
          <w:szCs w:val="24"/>
          <w:lang w:val="en-GB" w:eastAsia="sv-SE"/>
        </w:rPr>
      </w:pPr>
      <w:r w:rsidRPr="00AE41BB">
        <w:rPr>
          <w:rFonts w:ascii="Times New Roman" w:eastAsia="Times New Roman" w:hAnsi="Times New Roman" w:cs="Times New Roman"/>
          <w:b/>
          <w:bCs/>
          <w:sz w:val="24"/>
          <w:szCs w:val="24"/>
          <w:lang w:val="en-GB" w:eastAsia="sv-SE"/>
        </w:rPr>
        <w:t>Implementing Inclusive Learning Strategies</w:t>
      </w:r>
    </w:p>
    <w:p w14:paraId="719F6D02" w14:textId="2693AF35" w:rsidR="00AE41BB" w:rsidRPr="00AE41BB" w:rsidRDefault="003A063D" w:rsidP="00AE41BB">
      <w:pPr>
        <w:spacing w:before="100" w:beforeAutospacing="1" w:after="100" w:afterAutospacing="1" w:line="360" w:lineRule="auto"/>
        <w:jc w:val="both"/>
        <w:rPr>
          <w:rFonts w:ascii="Times New Roman" w:eastAsia="Times New Roman" w:hAnsi="Times New Roman" w:cs="Times New Roman"/>
          <w:sz w:val="24"/>
          <w:szCs w:val="24"/>
          <w:lang w:val="en-GB" w:eastAsia="sv-SE"/>
        </w:rPr>
      </w:pPr>
      <w:r w:rsidRPr="00AE41BB">
        <w:rPr>
          <w:rFonts w:ascii="Times New Roman" w:eastAsia="Times New Roman" w:hAnsi="Times New Roman" w:cs="Times New Roman"/>
          <w:sz w:val="24"/>
          <w:szCs w:val="24"/>
          <w:lang w:val="en-GB" w:eastAsia="sv-SE"/>
        </w:rPr>
        <w:t>Regarding</w:t>
      </w:r>
      <w:r w:rsidR="00AE41BB" w:rsidRPr="00AE41BB">
        <w:rPr>
          <w:rFonts w:ascii="Times New Roman" w:eastAsia="Times New Roman" w:hAnsi="Times New Roman" w:cs="Times New Roman"/>
          <w:sz w:val="24"/>
          <w:szCs w:val="24"/>
          <w:lang w:val="en-GB" w:eastAsia="sv-SE"/>
        </w:rPr>
        <w:t xml:space="preserve"> the strategies and approaches used by teachers to ensure that all learners feel included, the first teacher interviewed emphasised that every student is unique. The teacher noted that students who come from other countries may experience anxiety when entering a new classroom, particularly if they do not speak the language of instruction fluently. In addition, students may encounter difficulties with subject content. As a result, the teacher highlighted the importance of being mindful of these challenges when giving instructions and establishing classroom rules. </w:t>
      </w:r>
      <w:r w:rsidR="00B113A4">
        <w:rPr>
          <w:rFonts w:ascii="Times New Roman" w:eastAsia="Times New Roman" w:hAnsi="Times New Roman" w:cs="Times New Roman"/>
          <w:sz w:val="24"/>
          <w:szCs w:val="24"/>
          <w:lang w:val="en-GB" w:eastAsia="sv-SE"/>
        </w:rPr>
        <w:t>Additio</w:t>
      </w:r>
      <w:r>
        <w:rPr>
          <w:rFonts w:ascii="Times New Roman" w:eastAsia="Times New Roman" w:hAnsi="Times New Roman" w:cs="Times New Roman"/>
          <w:sz w:val="24"/>
          <w:szCs w:val="24"/>
          <w:lang w:val="en-GB" w:eastAsia="sv-SE"/>
        </w:rPr>
        <w:t>nally, t</w:t>
      </w:r>
      <w:r w:rsidR="00AE41BB" w:rsidRPr="00AE41BB">
        <w:rPr>
          <w:rFonts w:ascii="Times New Roman" w:eastAsia="Times New Roman" w:hAnsi="Times New Roman" w:cs="Times New Roman"/>
          <w:sz w:val="24"/>
          <w:szCs w:val="24"/>
          <w:lang w:val="en-GB" w:eastAsia="sv-SE"/>
        </w:rPr>
        <w:t>h</w:t>
      </w:r>
      <w:r w:rsidR="00344A23">
        <w:rPr>
          <w:rFonts w:ascii="Times New Roman" w:eastAsia="Times New Roman" w:hAnsi="Times New Roman" w:cs="Times New Roman"/>
          <w:sz w:val="24"/>
          <w:szCs w:val="24"/>
          <w:lang w:val="en-GB" w:eastAsia="sv-SE"/>
        </w:rPr>
        <w:t>is</w:t>
      </w:r>
      <w:r w:rsidR="00AE41BB" w:rsidRPr="00AE41BB">
        <w:rPr>
          <w:rFonts w:ascii="Times New Roman" w:eastAsia="Times New Roman" w:hAnsi="Times New Roman" w:cs="Times New Roman"/>
          <w:sz w:val="24"/>
          <w:szCs w:val="24"/>
          <w:lang w:val="en-GB" w:eastAsia="sv-SE"/>
        </w:rPr>
        <w:t xml:space="preserve"> teacher further explained that gathering background information about students was essential </w:t>
      </w:r>
      <w:r w:rsidRPr="00AE41BB">
        <w:rPr>
          <w:rFonts w:ascii="Times New Roman" w:eastAsia="Times New Roman" w:hAnsi="Times New Roman" w:cs="Times New Roman"/>
          <w:sz w:val="24"/>
          <w:szCs w:val="24"/>
          <w:lang w:val="en-GB" w:eastAsia="sv-SE"/>
        </w:rPr>
        <w:t>to</w:t>
      </w:r>
      <w:r w:rsidR="00AE41BB" w:rsidRPr="00AE41BB">
        <w:rPr>
          <w:rFonts w:ascii="Times New Roman" w:eastAsia="Times New Roman" w:hAnsi="Times New Roman" w:cs="Times New Roman"/>
          <w:sz w:val="24"/>
          <w:szCs w:val="24"/>
          <w:lang w:val="en-GB" w:eastAsia="sv-SE"/>
        </w:rPr>
        <w:t xml:space="preserve"> understand their needs and determine how best to support them. Based on this understanding, the teacher created differentiated tasks aligned with each student’s level while still encouraging students to work together as a class to promote inclusion. The teacher also noted that as they spent more time with students, they gained a deeper understanding of their individual needs. Peer support was encouraged by asking established students to assist or work in groups with newly arrived students, helping newcomers feel more comfortable and included.</w:t>
      </w:r>
    </w:p>
    <w:p w14:paraId="0C25D23A" w14:textId="77777777" w:rsidR="00AE41BB" w:rsidRPr="00AE41BB" w:rsidRDefault="00AE41BB" w:rsidP="00AE41BB">
      <w:pPr>
        <w:spacing w:before="100" w:beforeAutospacing="1" w:after="100" w:afterAutospacing="1" w:line="360" w:lineRule="auto"/>
        <w:jc w:val="both"/>
        <w:rPr>
          <w:rFonts w:ascii="Times New Roman" w:eastAsia="Times New Roman" w:hAnsi="Times New Roman" w:cs="Times New Roman"/>
          <w:sz w:val="24"/>
          <w:szCs w:val="24"/>
          <w:lang w:val="en-GB" w:eastAsia="sv-SE"/>
        </w:rPr>
      </w:pPr>
      <w:r w:rsidRPr="00AE41BB">
        <w:rPr>
          <w:rFonts w:ascii="Times New Roman" w:eastAsia="Times New Roman" w:hAnsi="Times New Roman" w:cs="Times New Roman"/>
          <w:sz w:val="24"/>
          <w:szCs w:val="24"/>
          <w:lang w:val="en-GB" w:eastAsia="sv-SE"/>
        </w:rPr>
        <w:t>The second teacher interviewed reported using a wide range of teaching methods, with a strong emphasis on variation and differentiation. This included designing assignments based on students’ abilities and strengths and building further learning from these foundations. The teacher also described using both formative and summative assessment methods, allowing students multiple ways to demonstrate their learning and abilities. In addition, learning materials and instructions were adapted to ensure accessibility, including adjusting language use and providing a clear structure to support students’ understanding, regardless of cultural background.</w:t>
      </w:r>
    </w:p>
    <w:p w14:paraId="0AE7A277" w14:textId="54FD0E10" w:rsidR="00752E7F" w:rsidRPr="00AE41BB" w:rsidRDefault="00AE41BB" w:rsidP="00AE41BB">
      <w:pPr>
        <w:spacing w:before="100" w:beforeAutospacing="1" w:after="100" w:afterAutospacing="1" w:line="360" w:lineRule="auto"/>
        <w:jc w:val="both"/>
        <w:rPr>
          <w:rFonts w:ascii="Times New Roman" w:eastAsia="Times New Roman" w:hAnsi="Times New Roman" w:cs="Times New Roman"/>
          <w:sz w:val="24"/>
          <w:szCs w:val="24"/>
          <w:lang w:val="en-GB" w:eastAsia="sv-SE"/>
        </w:rPr>
      </w:pPr>
      <w:r w:rsidRPr="00AE41BB">
        <w:rPr>
          <w:rFonts w:ascii="Times New Roman" w:eastAsia="Times New Roman" w:hAnsi="Times New Roman" w:cs="Times New Roman"/>
          <w:sz w:val="24"/>
          <w:szCs w:val="24"/>
          <w:lang w:val="en-GB" w:eastAsia="sv-SE"/>
        </w:rPr>
        <w:t>Similarly, the third teacher described adopting a flexible and supportive approach to learning. The teacher explained that student work need</w:t>
      </w:r>
      <w:r w:rsidR="00AA320B">
        <w:rPr>
          <w:rFonts w:ascii="Times New Roman" w:eastAsia="Times New Roman" w:hAnsi="Times New Roman" w:cs="Times New Roman"/>
          <w:sz w:val="24"/>
          <w:szCs w:val="24"/>
          <w:lang w:val="en-GB" w:eastAsia="sv-SE"/>
        </w:rPr>
        <w:t>ed not</w:t>
      </w:r>
      <w:r w:rsidRPr="00AE41BB">
        <w:rPr>
          <w:rFonts w:ascii="Times New Roman" w:eastAsia="Times New Roman" w:hAnsi="Times New Roman" w:cs="Times New Roman"/>
          <w:sz w:val="24"/>
          <w:szCs w:val="24"/>
          <w:lang w:val="en-GB" w:eastAsia="sv-SE"/>
        </w:rPr>
        <w:t xml:space="preserve"> to be perfect and that learning often began </w:t>
      </w:r>
      <w:r w:rsidRPr="00AE41BB">
        <w:rPr>
          <w:rFonts w:ascii="Times New Roman" w:eastAsia="Times New Roman" w:hAnsi="Times New Roman" w:cs="Times New Roman"/>
          <w:sz w:val="24"/>
          <w:szCs w:val="24"/>
          <w:lang w:val="en-GB" w:eastAsia="sv-SE"/>
        </w:rPr>
        <w:lastRenderedPageBreak/>
        <w:t>with basic exercises that were gradually developed. Group work was used strategically, and students identified as needing additional support were provided with written notes containing tips or more detailed explanations to assist them in completing tasks.</w:t>
      </w:r>
      <w:r w:rsidR="00BA082E" w:rsidRPr="00BA082E">
        <w:rPr>
          <w:rFonts w:ascii="Roboto" w:hAnsi="Roboto"/>
          <w:color w:val="2C3E50"/>
          <w:sz w:val="23"/>
          <w:szCs w:val="23"/>
          <w:shd w:val="clear" w:color="auto" w:fill="FFFFFF"/>
          <w:lang w:val="en-GB"/>
        </w:rPr>
        <w:t xml:space="preserve"> </w:t>
      </w:r>
      <w:r w:rsidR="00BA082E" w:rsidRPr="00BA082E">
        <w:rPr>
          <w:rFonts w:ascii="Times New Roman" w:eastAsia="Times New Roman" w:hAnsi="Times New Roman" w:cs="Times New Roman"/>
          <w:sz w:val="24"/>
          <w:szCs w:val="24"/>
          <w:lang w:val="en-GB" w:eastAsia="sv-SE"/>
        </w:rPr>
        <w:t> </w:t>
      </w:r>
      <w:r w:rsidR="00A02953">
        <w:rPr>
          <w:rFonts w:ascii="Times New Roman" w:eastAsia="Times New Roman" w:hAnsi="Times New Roman" w:cs="Times New Roman"/>
          <w:sz w:val="24"/>
          <w:szCs w:val="24"/>
          <w:lang w:val="en-GB" w:eastAsia="sv-SE"/>
        </w:rPr>
        <w:t xml:space="preserve">When students </w:t>
      </w:r>
      <w:r w:rsidR="00BE43EF">
        <w:rPr>
          <w:rFonts w:ascii="Times New Roman" w:eastAsia="Times New Roman" w:hAnsi="Times New Roman" w:cs="Times New Roman"/>
          <w:sz w:val="24"/>
          <w:szCs w:val="24"/>
          <w:lang w:val="en-GB" w:eastAsia="sv-SE"/>
        </w:rPr>
        <w:t xml:space="preserve">experience positive classroom climates such </w:t>
      </w:r>
      <w:r w:rsidR="007C51C8">
        <w:rPr>
          <w:rFonts w:ascii="Times New Roman" w:eastAsia="Times New Roman" w:hAnsi="Times New Roman" w:cs="Times New Roman"/>
          <w:sz w:val="24"/>
          <w:szCs w:val="24"/>
          <w:lang w:val="en-GB" w:eastAsia="sv-SE"/>
        </w:rPr>
        <w:t>through</w:t>
      </w:r>
      <w:r w:rsidR="00BE43EF">
        <w:rPr>
          <w:rFonts w:ascii="Times New Roman" w:eastAsia="Times New Roman" w:hAnsi="Times New Roman" w:cs="Times New Roman"/>
          <w:sz w:val="24"/>
          <w:szCs w:val="24"/>
          <w:lang w:val="en-GB" w:eastAsia="sv-SE"/>
        </w:rPr>
        <w:t xml:space="preserve"> </w:t>
      </w:r>
      <w:r w:rsidR="00AA71CA">
        <w:rPr>
          <w:rFonts w:ascii="Times New Roman" w:eastAsia="Times New Roman" w:hAnsi="Times New Roman" w:cs="Times New Roman"/>
          <w:sz w:val="24"/>
          <w:szCs w:val="24"/>
          <w:lang w:val="en-GB" w:eastAsia="sv-SE"/>
        </w:rPr>
        <w:t>collaborative, problem</w:t>
      </w:r>
      <w:r w:rsidR="00C43600">
        <w:rPr>
          <w:rFonts w:ascii="Times New Roman" w:eastAsia="Times New Roman" w:hAnsi="Times New Roman" w:cs="Times New Roman"/>
          <w:sz w:val="24"/>
          <w:szCs w:val="24"/>
          <w:lang w:val="en-GB" w:eastAsia="sv-SE"/>
        </w:rPr>
        <w:t>-solving and</w:t>
      </w:r>
      <w:r w:rsidR="00AA71CA">
        <w:rPr>
          <w:rFonts w:ascii="Times New Roman" w:eastAsia="Times New Roman" w:hAnsi="Times New Roman" w:cs="Times New Roman"/>
          <w:sz w:val="24"/>
          <w:szCs w:val="24"/>
          <w:lang w:val="en-GB" w:eastAsia="sv-SE"/>
        </w:rPr>
        <w:t xml:space="preserve"> supporting each other, they perform better</w:t>
      </w:r>
      <w:r w:rsidR="00C43600">
        <w:rPr>
          <w:rFonts w:ascii="Times New Roman" w:eastAsia="Times New Roman" w:hAnsi="Times New Roman" w:cs="Times New Roman"/>
          <w:sz w:val="24"/>
          <w:szCs w:val="24"/>
          <w:lang w:val="en-GB" w:eastAsia="sv-SE"/>
        </w:rPr>
        <w:t xml:space="preserve"> </w:t>
      </w:r>
      <w:r w:rsidR="00BA082E" w:rsidRPr="00BE43EF">
        <w:rPr>
          <w:rFonts w:ascii="Times New Roman" w:eastAsia="Times New Roman" w:hAnsi="Times New Roman" w:cs="Times New Roman"/>
          <w:sz w:val="24"/>
          <w:szCs w:val="24"/>
          <w:lang w:val="en-GB" w:eastAsia="sv-SE"/>
        </w:rPr>
        <w:t>(Molyneux and Diamond, 2025)</w:t>
      </w:r>
      <w:r w:rsidR="00AA71CA">
        <w:rPr>
          <w:rFonts w:ascii="Times New Roman" w:eastAsia="Times New Roman" w:hAnsi="Times New Roman" w:cs="Times New Roman"/>
          <w:sz w:val="24"/>
          <w:szCs w:val="24"/>
          <w:lang w:val="en-GB" w:eastAsia="sv-SE"/>
        </w:rPr>
        <w:t>.</w:t>
      </w:r>
      <w:r w:rsidR="000C1ECC">
        <w:rPr>
          <w:rFonts w:ascii="Times New Roman" w:eastAsia="Times New Roman" w:hAnsi="Times New Roman" w:cs="Times New Roman"/>
          <w:sz w:val="24"/>
          <w:szCs w:val="24"/>
          <w:lang w:val="en-GB" w:eastAsia="sv-SE"/>
        </w:rPr>
        <w:t xml:space="preserve"> </w:t>
      </w:r>
      <w:r w:rsidRPr="00AE41BB">
        <w:rPr>
          <w:rFonts w:ascii="Times New Roman" w:eastAsia="Times New Roman" w:hAnsi="Times New Roman" w:cs="Times New Roman"/>
          <w:sz w:val="24"/>
          <w:szCs w:val="24"/>
          <w:lang w:val="en-GB" w:eastAsia="sv-SE"/>
        </w:rPr>
        <w:t>To foster a safe and inclusive classroom environment, the teacher encouraged students to ask questions and praised those who did so. Students who felt uncertain were reassured and allowed to pass a question to a peer without feeling pressured to respond. Repetition of exercises was also used to reinforce learning and increase students’ confidence over time.</w:t>
      </w:r>
    </w:p>
    <w:p w14:paraId="60359B06" w14:textId="77777777" w:rsidR="00F50A4E" w:rsidRPr="00F50A4E" w:rsidRDefault="00F50A4E" w:rsidP="00B60404">
      <w:pPr>
        <w:spacing w:before="100" w:beforeAutospacing="1" w:after="100" w:afterAutospacing="1" w:line="360" w:lineRule="auto"/>
        <w:jc w:val="both"/>
        <w:outlineLvl w:val="2"/>
        <w:rPr>
          <w:rFonts w:ascii="Times New Roman" w:eastAsia="Times New Roman" w:hAnsi="Times New Roman" w:cs="Times New Roman"/>
          <w:b/>
          <w:bCs/>
          <w:sz w:val="27"/>
          <w:szCs w:val="27"/>
          <w:lang w:val="en-GB" w:eastAsia="sv-SE"/>
        </w:rPr>
      </w:pPr>
      <w:r w:rsidRPr="00F50A4E">
        <w:rPr>
          <w:rFonts w:ascii="Times New Roman" w:eastAsia="Times New Roman" w:hAnsi="Times New Roman" w:cs="Times New Roman"/>
          <w:b/>
          <w:bCs/>
          <w:sz w:val="27"/>
          <w:szCs w:val="27"/>
          <w:lang w:val="en-GB" w:eastAsia="sv-SE"/>
        </w:rPr>
        <w:t>Discussion</w:t>
      </w:r>
    </w:p>
    <w:p w14:paraId="03892307" w14:textId="77777777" w:rsidR="00F50A4E" w:rsidRPr="00F50A4E" w:rsidRDefault="00F50A4E" w:rsidP="00B60404">
      <w:pPr>
        <w:spacing w:before="100" w:beforeAutospacing="1" w:after="100" w:afterAutospacing="1" w:line="360" w:lineRule="auto"/>
        <w:jc w:val="both"/>
        <w:rPr>
          <w:rFonts w:ascii="Times New Roman" w:eastAsia="Times New Roman" w:hAnsi="Times New Roman" w:cs="Times New Roman"/>
          <w:sz w:val="24"/>
          <w:szCs w:val="24"/>
          <w:lang w:val="en-GB" w:eastAsia="sv-SE"/>
        </w:rPr>
      </w:pPr>
      <w:r w:rsidRPr="00F50A4E">
        <w:rPr>
          <w:rFonts w:ascii="Times New Roman" w:eastAsia="Times New Roman" w:hAnsi="Times New Roman" w:cs="Times New Roman"/>
          <w:sz w:val="24"/>
          <w:szCs w:val="24"/>
          <w:lang w:val="en-GB" w:eastAsia="sv-SE"/>
        </w:rPr>
        <w:t>This section critically discusses the key findings of the study in relation to existing literature on inclusive education and classroom leadership. Anchored in the study’s primary aim of examining how teachers’ classroom leadership practices contribute to inclusive learning environments, the discussion focuses on high school settings in two Swedish suburban schools. Rather than treating inclusion as an uncontested concept, this discussion interrogates how teachers actively construct inclusive practices within pedagogical and curricular constraints, particularly in culturally and linguistically diverse classrooms. Three interrelated themes emerge from the findings: fostering mutual respect and equitable participation, maintaining cultural awareness through responsive communication, and implementing inclusive learning strategies.</w:t>
      </w:r>
    </w:p>
    <w:p w14:paraId="3F1181F5" w14:textId="26733A60" w:rsidR="00F50A4E" w:rsidRPr="00F50A4E" w:rsidRDefault="00630D6B" w:rsidP="00B60404">
      <w:pPr>
        <w:spacing w:before="100" w:beforeAutospacing="1" w:after="100" w:afterAutospacing="1" w:line="360" w:lineRule="auto"/>
        <w:jc w:val="both"/>
        <w:rPr>
          <w:rFonts w:ascii="Times New Roman" w:eastAsia="Times New Roman" w:hAnsi="Times New Roman" w:cs="Times New Roman"/>
          <w:sz w:val="24"/>
          <w:szCs w:val="24"/>
          <w:lang w:val="en-GB" w:eastAsia="sv-SE"/>
        </w:rPr>
      </w:pPr>
      <w:r>
        <w:rPr>
          <w:rFonts w:ascii="Times New Roman" w:eastAsia="Times New Roman" w:hAnsi="Times New Roman" w:cs="Times New Roman"/>
          <w:sz w:val="24"/>
          <w:szCs w:val="24"/>
          <w:lang w:val="en-GB" w:eastAsia="sv-SE"/>
        </w:rPr>
        <w:t xml:space="preserve">        </w:t>
      </w:r>
      <w:r w:rsidR="00FD4761">
        <w:rPr>
          <w:rFonts w:ascii="Times New Roman" w:eastAsia="Times New Roman" w:hAnsi="Times New Roman" w:cs="Times New Roman"/>
          <w:sz w:val="24"/>
          <w:szCs w:val="24"/>
          <w:lang w:val="en-GB" w:eastAsia="sv-SE"/>
        </w:rPr>
        <w:t xml:space="preserve"> </w:t>
      </w:r>
      <w:r w:rsidR="00F50A4E" w:rsidRPr="00F50A4E">
        <w:rPr>
          <w:rFonts w:ascii="Times New Roman" w:eastAsia="Times New Roman" w:hAnsi="Times New Roman" w:cs="Times New Roman"/>
          <w:sz w:val="24"/>
          <w:szCs w:val="24"/>
          <w:lang w:val="en-GB" w:eastAsia="sv-SE"/>
        </w:rPr>
        <w:t xml:space="preserve">Under the theme of fostering mutual respect and equitable participation, the findings reveal that teachers’ understandings of inclusive education remain varied and, at times, ambiguous. This variation reflects existing research indicating that inclusive education is </w:t>
      </w:r>
      <w:r w:rsidR="008A38CC">
        <w:rPr>
          <w:rFonts w:ascii="Times New Roman" w:eastAsia="Times New Roman" w:hAnsi="Times New Roman" w:cs="Times New Roman"/>
          <w:sz w:val="24"/>
          <w:szCs w:val="24"/>
          <w:lang w:val="en-GB" w:eastAsia="sv-SE"/>
        </w:rPr>
        <w:t>understood</w:t>
      </w:r>
      <w:r w:rsidR="00F50A4E" w:rsidRPr="00F50A4E">
        <w:rPr>
          <w:rFonts w:ascii="Times New Roman" w:eastAsia="Times New Roman" w:hAnsi="Times New Roman" w:cs="Times New Roman"/>
          <w:sz w:val="24"/>
          <w:szCs w:val="24"/>
          <w:lang w:val="en-GB" w:eastAsia="sv-SE"/>
        </w:rPr>
        <w:t xml:space="preserve"> differently by teachers, often resulting in fragmented or inconsistent practices (Jia, Tan &amp; Santi, 2022; Nilholm, 2021). </w:t>
      </w:r>
      <w:r w:rsidR="00797C5A">
        <w:rPr>
          <w:rFonts w:ascii="Times New Roman" w:eastAsia="Times New Roman" w:hAnsi="Times New Roman" w:cs="Times New Roman"/>
          <w:sz w:val="24"/>
          <w:szCs w:val="24"/>
          <w:lang w:val="en-GB" w:eastAsia="sv-SE"/>
        </w:rPr>
        <w:t>However,</w:t>
      </w:r>
      <w:r w:rsidR="00F50A4E" w:rsidRPr="00F50A4E">
        <w:rPr>
          <w:rFonts w:ascii="Times New Roman" w:eastAsia="Times New Roman" w:hAnsi="Times New Roman" w:cs="Times New Roman"/>
          <w:sz w:val="24"/>
          <w:szCs w:val="24"/>
          <w:lang w:val="en-GB" w:eastAsia="sv-SE"/>
        </w:rPr>
        <w:t xml:space="preserve"> inclusive education is frequently framed in broad terms that encompass ethnicity, language, gender, and social background (Atanasova &amp; Papen, 2025; Pearl, 2024), such </w:t>
      </w:r>
      <w:r w:rsidR="00012C3B">
        <w:rPr>
          <w:rFonts w:ascii="Times New Roman" w:eastAsia="Times New Roman" w:hAnsi="Times New Roman" w:cs="Times New Roman"/>
          <w:sz w:val="24"/>
          <w:szCs w:val="24"/>
          <w:lang w:val="en-GB" w:eastAsia="sv-SE"/>
        </w:rPr>
        <w:t>broad</w:t>
      </w:r>
      <w:r w:rsidR="00F50A4E" w:rsidRPr="00F50A4E">
        <w:rPr>
          <w:rFonts w:ascii="Times New Roman" w:eastAsia="Times New Roman" w:hAnsi="Times New Roman" w:cs="Times New Roman"/>
          <w:sz w:val="24"/>
          <w:szCs w:val="24"/>
          <w:lang w:val="en-GB" w:eastAsia="sv-SE"/>
        </w:rPr>
        <w:t xml:space="preserve"> definitions risk diluting conceptual clarity. The findings suggest that although these broad interpretations promote openness, they also complicate the development of coherent and systematic inclusive practices at the school level, reinforcing concerns raised about the challenges of translating inclusion into practice (Brennan &amp; Pennycook, 2025).</w:t>
      </w:r>
    </w:p>
    <w:p w14:paraId="1DB3799C" w14:textId="7C9BC3E2" w:rsidR="00F50A4E" w:rsidRPr="00F50A4E" w:rsidRDefault="00F50A4E" w:rsidP="00B60404">
      <w:pPr>
        <w:spacing w:before="100" w:beforeAutospacing="1" w:after="100" w:afterAutospacing="1" w:line="360" w:lineRule="auto"/>
        <w:jc w:val="both"/>
        <w:rPr>
          <w:rFonts w:ascii="Times New Roman" w:eastAsia="Times New Roman" w:hAnsi="Times New Roman" w:cs="Times New Roman"/>
          <w:sz w:val="24"/>
          <w:szCs w:val="24"/>
          <w:lang w:val="en-GB" w:eastAsia="sv-SE"/>
        </w:rPr>
      </w:pPr>
      <w:r w:rsidRPr="00F50A4E">
        <w:rPr>
          <w:rFonts w:ascii="Times New Roman" w:eastAsia="Times New Roman" w:hAnsi="Times New Roman" w:cs="Times New Roman"/>
          <w:sz w:val="24"/>
          <w:szCs w:val="24"/>
          <w:lang w:val="en-GB" w:eastAsia="sv-SE"/>
        </w:rPr>
        <w:lastRenderedPageBreak/>
        <w:t>The teachers’ strong emphasis on creating safe and respectful classroom environments indicates a relational approach to inclusion, where belonging and emotional security are prioritised as prerequisites for learning. While this aligns with previous research highlighting the importance of teacher–student relationships in shaping equitable learning environments (Pearl, 2024; Grooms et al., 2024), the findings also suggest a potential limitation: inclusion is often equated with interpersonal harmony rather than critically engaging with structural inequalities embedded in classroom practices. Differentiation emerge</w:t>
      </w:r>
      <w:r w:rsidR="00822266">
        <w:rPr>
          <w:rFonts w:ascii="Times New Roman" w:eastAsia="Times New Roman" w:hAnsi="Times New Roman" w:cs="Times New Roman"/>
          <w:sz w:val="24"/>
          <w:szCs w:val="24"/>
          <w:lang w:val="en-GB" w:eastAsia="sv-SE"/>
        </w:rPr>
        <w:t>s</w:t>
      </w:r>
      <w:r w:rsidRPr="00F50A4E">
        <w:rPr>
          <w:rFonts w:ascii="Times New Roman" w:eastAsia="Times New Roman" w:hAnsi="Times New Roman" w:cs="Times New Roman"/>
          <w:sz w:val="24"/>
          <w:szCs w:val="24"/>
          <w:lang w:val="en-GB" w:eastAsia="sv-SE"/>
        </w:rPr>
        <w:t xml:space="preserve"> as a commonly cited strategy intended to address diverse learning needs and promote equity (Paulsrud, 2022). However, the reliance on differentiation alone risks positioning inclusion as an individualised pedagogical adjustment rather than a broader transformation of classroom norms and power relations.</w:t>
      </w:r>
    </w:p>
    <w:p w14:paraId="094D14D7" w14:textId="0C5F0CDA" w:rsidR="00F50A4E" w:rsidRPr="00F50A4E" w:rsidRDefault="00F50A4E" w:rsidP="00B60404">
      <w:pPr>
        <w:spacing w:before="100" w:beforeAutospacing="1" w:after="100" w:afterAutospacing="1" w:line="360" w:lineRule="auto"/>
        <w:jc w:val="both"/>
        <w:rPr>
          <w:rFonts w:ascii="Times New Roman" w:eastAsia="Times New Roman" w:hAnsi="Times New Roman" w:cs="Times New Roman"/>
          <w:sz w:val="24"/>
          <w:szCs w:val="24"/>
          <w:lang w:val="en-GB" w:eastAsia="sv-SE"/>
        </w:rPr>
      </w:pPr>
      <w:r w:rsidRPr="00F50A4E">
        <w:rPr>
          <w:rFonts w:ascii="Times New Roman" w:eastAsia="Times New Roman" w:hAnsi="Times New Roman" w:cs="Times New Roman"/>
          <w:sz w:val="24"/>
          <w:szCs w:val="24"/>
          <w:lang w:val="en-GB" w:eastAsia="sv-SE"/>
        </w:rPr>
        <w:t xml:space="preserve">Across the interviews, </w:t>
      </w:r>
      <w:r w:rsidR="00A4594C">
        <w:rPr>
          <w:rFonts w:ascii="Times New Roman" w:eastAsia="Times New Roman" w:hAnsi="Times New Roman" w:cs="Times New Roman"/>
          <w:sz w:val="24"/>
          <w:szCs w:val="24"/>
          <w:lang w:val="en-GB" w:eastAsia="sv-SE"/>
        </w:rPr>
        <w:t xml:space="preserve">the participant </w:t>
      </w:r>
      <w:r w:rsidRPr="00F50A4E">
        <w:rPr>
          <w:rFonts w:ascii="Times New Roman" w:eastAsia="Times New Roman" w:hAnsi="Times New Roman" w:cs="Times New Roman"/>
          <w:sz w:val="24"/>
          <w:szCs w:val="24"/>
          <w:lang w:val="en-GB" w:eastAsia="sv-SE"/>
        </w:rPr>
        <w:t>teachers consistently describe inclusive education as ensuring that all students feel safe, welcome, and valued, thereby avoiding feelings of exclusion or “strangeness” within the classroom. While this understanding is consistent with previous research emphasising equity and empathy (Nepal et al., 2021), it also reveals a largely affective framing of inclusion. Such framing, although important, may underplay the cognitive and academic dimensions of inclusion, particularly in relation to access to knowledge and high expectations for all learners. Teachers also acknowledge that increasing racial, socioeconomic, and linguistic diversity has intensified the need for inclusive teaching practices, echoing findings from earlier studies (Grooms et al., 2024). Yet, this acknowledgment d</w:t>
      </w:r>
      <w:r w:rsidR="002D4B83">
        <w:rPr>
          <w:rFonts w:ascii="Times New Roman" w:eastAsia="Times New Roman" w:hAnsi="Times New Roman" w:cs="Times New Roman"/>
          <w:sz w:val="24"/>
          <w:szCs w:val="24"/>
          <w:lang w:val="en-GB" w:eastAsia="sv-SE"/>
        </w:rPr>
        <w:t>oes</w:t>
      </w:r>
      <w:r w:rsidRPr="00F50A4E">
        <w:rPr>
          <w:rFonts w:ascii="Times New Roman" w:eastAsia="Times New Roman" w:hAnsi="Times New Roman" w:cs="Times New Roman"/>
          <w:sz w:val="24"/>
          <w:szCs w:val="24"/>
          <w:lang w:val="en-GB" w:eastAsia="sv-SE"/>
        </w:rPr>
        <w:t xml:space="preserve"> not always translate into explicit strategies for addressing systemic barriers faced by marginalised students.</w:t>
      </w:r>
    </w:p>
    <w:p w14:paraId="7E330C2D" w14:textId="66A4CFEB" w:rsidR="00F50A4E" w:rsidRPr="000455E7" w:rsidRDefault="00F50A4E" w:rsidP="000455E7">
      <w:pPr>
        <w:spacing w:before="100" w:beforeAutospacing="1" w:after="100" w:afterAutospacing="1" w:line="360" w:lineRule="auto"/>
        <w:jc w:val="both"/>
        <w:rPr>
          <w:rFonts w:ascii="Times New Roman" w:eastAsia="Times New Roman" w:hAnsi="Times New Roman" w:cs="Times New Roman"/>
          <w:sz w:val="24"/>
          <w:szCs w:val="24"/>
          <w:lang w:val="en-GB" w:eastAsia="sv-SE"/>
        </w:rPr>
      </w:pPr>
      <w:r w:rsidRPr="00F50A4E">
        <w:rPr>
          <w:rFonts w:ascii="Times New Roman" w:eastAsia="Times New Roman" w:hAnsi="Times New Roman" w:cs="Times New Roman"/>
          <w:sz w:val="24"/>
          <w:szCs w:val="24"/>
          <w:lang w:val="en-GB" w:eastAsia="sv-SE"/>
        </w:rPr>
        <w:t xml:space="preserve">A critical tension emerging from both the findings and the literature concerns the expanding scope of inclusion. While some studies caution that broadening inclusion to encompass ethnicity, gender, and socioeconomic background may marginalise the needs of students with disabilities (Atanasova &amp; Papen, 2025), this concern was notably absent from the teachers’ accounts. Instead, inclusion </w:t>
      </w:r>
      <w:r w:rsidR="002D4B83">
        <w:rPr>
          <w:rFonts w:ascii="Times New Roman" w:eastAsia="Times New Roman" w:hAnsi="Times New Roman" w:cs="Times New Roman"/>
          <w:sz w:val="24"/>
          <w:szCs w:val="24"/>
          <w:lang w:val="en-GB" w:eastAsia="sv-SE"/>
        </w:rPr>
        <w:t>has been</w:t>
      </w:r>
      <w:r w:rsidRPr="00F50A4E">
        <w:rPr>
          <w:rFonts w:ascii="Times New Roman" w:eastAsia="Times New Roman" w:hAnsi="Times New Roman" w:cs="Times New Roman"/>
          <w:sz w:val="24"/>
          <w:szCs w:val="24"/>
          <w:lang w:val="en-GB" w:eastAsia="sv-SE"/>
        </w:rPr>
        <w:t xml:space="preserve"> predominantly understood as accessibility for all students regardless of background, shifting the focus away from disability towards cultural awareness. This finding aligns with previous research (Atanasova &amp; Papen, 2025; Pearl, 2024) but also raises critical questions about whether disability-specific needs risk becoming invisible within culturally framed inclusion discourses. The absence of explicit concern for this potential tension suggests that professional knowledge and personal beliefs about inclusion may be deeply intertwined and insufficiently interrogated in practice (Weger, 2025).</w:t>
      </w:r>
    </w:p>
    <w:p w14:paraId="03CB812D" w14:textId="226BACAD" w:rsidR="00C817B4" w:rsidRDefault="00C817B4" w:rsidP="00D7480F">
      <w:pPr>
        <w:spacing w:line="360" w:lineRule="auto"/>
        <w:jc w:val="both"/>
        <w:rPr>
          <w:rFonts w:ascii="Times New Roman" w:eastAsia="Calibri" w:hAnsi="Times New Roman" w:cs="Times New Roman"/>
          <w:sz w:val="24"/>
          <w:szCs w:val="24"/>
          <w:lang w:val="en-GB"/>
        </w:rPr>
      </w:pPr>
    </w:p>
    <w:p w14:paraId="3B0FBF6B" w14:textId="2D93359E" w:rsidR="00B74B2B" w:rsidRPr="00B74B2B" w:rsidRDefault="00FD4761" w:rsidP="00552458">
      <w:pPr>
        <w:pStyle w:val="Normalwebb"/>
        <w:spacing w:line="360" w:lineRule="auto"/>
        <w:jc w:val="both"/>
        <w:rPr>
          <w:lang w:val="en-GB"/>
        </w:rPr>
      </w:pPr>
      <w:r>
        <w:rPr>
          <w:lang w:val="en-GB"/>
        </w:rPr>
        <w:lastRenderedPageBreak/>
        <w:t xml:space="preserve">        </w:t>
      </w:r>
      <w:r w:rsidR="00B74B2B" w:rsidRPr="00B74B2B">
        <w:rPr>
          <w:lang w:val="en-GB"/>
        </w:rPr>
        <w:t>Regarding the theme of maintaining cultural awareness through responsive communication, the findings indicate that all teachers demonstrated a degree of flexibility in their teaching practices, particularly through adapting instructional approaches and language use</w:t>
      </w:r>
      <w:r w:rsidR="00DD0B64">
        <w:rPr>
          <w:lang w:val="en-GB"/>
        </w:rPr>
        <w:t>d</w:t>
      </w:r>
      <w:r w:rsidR="00B74B2B" w:rsidRPr="00B74B2B">
        <w:rPr>
          <w:lang w:val="en-GB"/>
        </w:rPr>
        <w:t xml:space="preserve"> to accommodate students from diverse backgrounds. While such flexibility aligns with previous research emphasising its importance for supporting learning in heterogeneous classrooms (Grooms et al., 2024), the findings also suggest that flexibility is often treated as an individual teacher response rather than a systematically embedded pedagogical stance. Teachers framed these adaptations as necessary for addressing diversity, reinforcing the view of schools as social and cultural centres serving all stakeholders within the </w:t>
      </w:r>
      <w:r w:rsidR="00C37C1B">
        <w:rPr>
          <w:lang w:val="en-GB"/>
        </w:rPr>
        <w:t>school</w:t>
      </w:r>
      <w:r w:rsidR="00B74B2B" w:rsidRPr="00B74B2B">
        <w:rPr>
          <w:lang w:val="en-GB"/>
        </w:rPr>
        <w:t xml:space="preserve"> system, in line with the Swedish school curriculum (Skolverket.se, 2025).</w:t>
      </w:r>
    </w:p>
    <w:p w14:paraId="662F3779" w14:textId="2F06C3BE" w:rsidR="00B74B2B" w:rsidRPr="00B74B2B" w:rsidRDefault="00B74B2B" w:rsidP="00552458">
      <w:pPr>
        <w:pStyle w:val="Normalwebb"/>
        <w:spacing w:line="360" w:lineRule="auto"/>
        <w:jc w:val="both"/>
        <w:rPr>
          <w:lang w:val="en-GB"/>
        </w:rPr>
      </w:pPr>
      <w:r w:rsidRPr="00B74B2B">
        <w:rPr>
          <w:lang w:val="en-GB"/>
        </w:rPr>
        <w:t xml:space="preserve">However, although teachers acknowledge the need to respond to students’ cultural and linguistic diversity, there </w:t>
      </w:r>
      <w:r w:rsidR="006E1350">
        <w:rPr>
          <w:lang w:val="en-GB"/>
        </w:rPr>
        <w:t>i</w:t>
      </w:r>
      <w:r w:rsidRPr="00B74B2B">
        <w:rPr>
          <w:lang w:val="en-GB"/>
        </w:rPr>
        <w:t>s limited evidence of critical engagement with how socio-cultural communication can be deliberately leveraged to enhance academic outcomes. Research highlights that effective responsive communication requires teachers to actively draw on students’ cultural experiences as resources for learning, rather than merely accommodating difference (Barton &amp; Riddle, 2022). While teachers are positioned as having the authority to shape classroom environments that respond to the evolving needs of diverse student populations and promote equity (Wolfe, 2024), the findings suggest that this potential is unevenly realised in practice.</w:t>
      </w:r>
    </w:p>
    <w:p w14:paraId="156611D9" w14:textId="17443390" w:rsidR="0006133A" w:rsidRPr="000455E7" w:rsidRDefault="00CB3E98" w:rsidP="000455E7">
      <w:pPr>
        <w:pStyle w:val="Normalwebb"/>
        <w:spacing w:line="360" w:lineRule="auto"/>
        <w:jc w:val="both"/>
        <w:rPr>
          <w:lang w:val="en-GB"/>
        </w:rPr>
      </w:pPr>
      <w:r>
        <w:rPr>
          <w:lang w:val="en-GB"/>
        </w:rPr>
        <w:t xml:space="preserve">       </w:t>
      </w:r>
      <w:r w:rsidR="00E32B40">
        <w:rPr>
          <w:lang w:val="en-GB"/>
        </w:rPr>
        <w:t>Similarly, t</w:t>
      </w:r>
      <w:r w:rsidR="00B74B2B" w:rsidRPr="00B74B2B">
        <w:rPr>
          <w:lang w:val="en-GB"/>
        </w:rPr>
        <w:t xml:space="preserve">eachers reported employing inclusive strategies such as differentiated instruction by adapting content, learning processes, and assessment products to address varied interests and learning needs (Nepal et al., 2021). Although these practices are consistent with the core mission and values of the Swedish school curriculum, which emphasises openness and respect for diversity regardless of cultural background (Skolverket.se, 2025), they risk remaining superficial if not accompanied by deeper pedagogical reflection. Notably, teachers highlighted the use of translated learning materials as a means of supporting students’ identity affirmation and reducing language barriers, a practice identified as essential for fostering inclusive classroom </w:t>
      </w:r>
      <w:r w:rsidR="00897283">
        <w:rPr>
          <w:lang w:val="en-GB"/>
        </w:rPr>
        <w:t>environments</w:t>
      </w:r>
      <w:r w:rsidR="00B74B2B" w:rsidRPr="00B74B2B">
        <w:rPr>
          <w:lang w:val="en-GB"/>
        </w:rPr>
        <w:t xml:space="preserve"> (Pearl, 2024). Nevertheless, reliance on translation alone may limit opportunities for sustained linguistic development and meaningful participation unless integrated into broader, culturally responsive teaching strategies.</w:t>
      </w:r>
    </w:p>
    <w:p w14:paraId="2310E5AC" w14:textId="1BB6F7F1" w:rsidR="000E2209" w:rsidRPr="000E2209" w:rsidRDefault="006D37AD" w:rsidP="000455E7">
      <w:pPr>
        <w:pStyle w:val="Normalwebb"/>
        <w:spacing w:line="360" w:lineRule="auto"/>
        <w:jc w:val="both"/>
        <w:rPr>
          <w:lang w:val="en-GB"/>
        </w:rPr>
      </w:pPr>
      <w:r>
        <w:rPr>
          <w:lang w:val="en-GB"/>
        </w:rPr>
        <w:t>When</w:t>
      </w:r>
      <w:r w:rsidR="000E2209" w:rsidRPr="000E2209">
        <w:rPr>
          <w:lang w:val="en-GB"/>
        </w:rPr>
        <w:t xml:space="preserve"> implementing inclusive learning strategies, differentiation emerge</w:t>
      </w:r>
      <w:r w:rsidR="001C0B54">
        <w:rPr>
          <w:lang w:val="en-GB"/>
        </w:rPr>
        <w:t>s</w:t>
      </w:r>
      <w:r w:rsidR="000E2209" w:rsidRPr="000E2209">
        <w:rPr>
          <w:lang w:val="en-GB"/>
        </w:rPr>
        <w:t xml:space="preserve"> as a central component of inclusive education and a primary means through which teachers respond to the </w:t>
      </w:r>
      <w:r w:rsidR="000E2209" w:rsidRPr="000E2209">
        <w:rPr>
          <w:lang w:val="en-GB"/>
        </w:rPr>
        <w:lastRenderedPageBreak/>
        <w:t>needs of diverse learners, consistent with previous studies (Paulsrud, 2022). Contrary to some research suggesting that teachers often experience uncertainty or lack confidence in applying differentiation (Nepal et al., 2021), the participants in this study demonstrate a clear sense of competence and assurance in using differentiated practices. This finding suggests that differentiation, when underpinned by professional expertise, can position teachers as active agents of equity who intentionally work to support marginalised students through socially inclusive practices (Teemant et al., 2020). Teachers’ professional competence thus plays a critical role in shaping instructional quality and influencing student learning outcomes (Weger, 2025).</w:t>
      </w:r>
    </w:p>
    <w:p w14:paraId="5A47B034" w14:textId="254BDFF4" w:rsidR="000E2209" w:rsidRPr="000E2209" w:rsidRDefault="000E2209" w:rsidP="000455E7">
      <w:pPr>
        <w:pStyle w:val="Normalwebb"/>
        <w:spacing w:line="360" w:lineRule="auto"/>
        <w:jc w:val="both"/>
        <w:rPr>
          <w:lang w:val="en-GB"/>
        </w:rPr>
      </w:pPr>
      <w:r w:rsidRPr="000E2209">
        <w:rPr>
          <w:lang w:val="en-GB"/>
        </w:rPr>
        <w:t>Nevertheless, the findings also point to inherent tensions in the implementation of differentiation. While teachers viewed differentiation as necessary for equity, research indicates that it often demands increased effort during assessment processes, potentially intensifying teachers’ workload (Kahmann, Mienke Droop &amp; Lazonder, 2024). Moreover, differentiation may unintentionally reinforce student categorisation, which can negatively affect learning outcomes if not carefully managed (Lüddeckens, 2025). These tensions highlight the complexity of inclusive practice</w:t>
      </w:r>
      <w:r w:rsidR="00CB7FF8">
        <w:rPr>
          <w:lang w:val="en-GB"/>
        </w:rPr>
        <w:t>s</w:t>
      </w:r>
      <w:r w:rsidRPr="000E2209">
        <w:rPr>
          <w:lang w:val="en-GB"/>
        </w:rPr>
        <w:t>, particularly within an evolving educational landscape where inclusivity and adaptability are increasingly positioned as central priorities (Segura, Canale &amp; Prenovost, 2025). This complexity is further compounded by the absence of a clear consensus on the concept of teacher leadership, which continues to shape how inclusive practices are interpreted and enacted in classrooms (Brennan &amp; Pennycook, 2025).</w:t>
      </w:r>
    </w:p>
    <w:p w14:paraId="0B3FA7FD" w14:textId="54242EEB" w:rsidR="000E2209" w:rsidRPr="000E2209" w:rsidRDefault="000E2209" w:rsidP="000455E7">
      <w:pPr>
        <w:pStyle w:val="Normalwebb"/>
        <w:spacing w:line="360" w:lineRule="auto"/>
        <w:jc w:val="both"/>
        <w:rPr>
          <w:lang w:val="en-GB"/>
        </w:rPr>
      </w:pPr>
      <w:r w:rsidRPr="000E2209">
        <w:rPr>
          <w:lang w:val="en-GB"/>
        </w:rPr>
        <w:t>Additionally, the findings reveal that teachers employ a range of complementary strategies to support inclusion beyond differentiation. One teacher emphasise</w:t>
      </w:r>
      <w:r w:rsidR="005745A2">
        <w:rPr>
          <w:lang w:val="en-GB"/>
        </w:rPr>
        <w:t>s</w:t>
      </w:r>
      <w:r w:rsidRPr="000E2209">
        <w:rPr>
          <w:lang w:val="en-GB"/>
        </w:rPr>
        <w:t xml:space="preserve"> the importance of ensuring equal access to digital support as a means of adapting instruction for students from diverse backgrounds. Another highlighted the use of group work to promote integration, aligning with research showing that positive classroom climates and peer support contribute to improved student performance (Molyneux &amp; Diamond, 2025). The use of varied teaching methods was also seen as instrumental in fostering mutual understanding, respect, and tolerance among students (Rrustemi &amp; Kurteshi, 2025).</w:t>
      </w:r>
    </w:p>
    <w:p w14:paraId="2E90D699" w14:textId="190A3135" w:rsidR="000455E7" w:rsidRPr="00B52595" w:rsidRDefault="000E2209" w:rsidP="00B52595">
      <w:pPr>
        <w:pStyle w:val="Normalwebb"/>
        <w:spacing w:line="360" w:lineRule="auto"/>
        <w:jc w:val="both"/>
        <w:rPr>
          <w:lang w:val="en-GB"/>
        </w:rPr>
      </w:pPr>
      <w:r w:rsidRPr="000E2209">
        <w:rPr>
          <w:lang w:val="en-GB"/>
        </w:rPr>
        <w:t xml:space="preserve">Consistent with previous studies, the findings underscore that inclusive practices promote equity and cultivate a sense of belonging by ensuring that all students feel socially valued (Nepal et al., 2021). Prioritising cultural literacy and adopting a humanistic approach were identified as key strategies for creating inclusive and supportive learning environments that </w:t>
      </w:r>
      <w:r w:rsidRPr="000E2209">
        <w:rPr>
          <w:lang w:val="en-GB"/>
        </w:rPr>
        <w:lastRenderedPageBreak/>
        <w:t>address diverse student needs (Bordeaux, 2024). Within the Swedish educational context, inclusivity remains a foundational principle embedded in the curriculum’s core mission and values (Skolverket.se, 2025). At the international level, inclusive schooling is similarly recognised as the most effective response to diversity in contemporary education (Atanasova &amp; Papen, 2025; Jia, Tan &amp; Santi, 2022). By valuing all learners, inclusive education enables students to learn from one another while fostering acceptance and belonging (Pearl, 2024). Ultimately, the teachers’ prioritisation of diversity and inclusivity reflects efforts to cultivate a school culture that enhances students’ cultural competence and empathy, thereby challenging exclusionary barriers as highlighted in existing research (Bordeaux, 2024).</w:t>
      </w:r>
    </w:p>
    <w:p w14:paraId="2A576CE2" w14:textId="372C5AD1" w:rsidR="00FC396A" w:rsidRDefault="00D127F5" w:rsidP="00375FDE">
      <w:pPr>
        <w:spacing w:line="360" w:lineRule="auto"/>
        <w:jc w:val="both"/>
        <w:rPr>
          <w:rFonts w:ascii="Times New Roman" w:hAnsi="Times New Roman" w:cs="Times New Roman"/>
          <w:b/>
          <w:bCs/>
          <w:sz w:val="24"/>
          <w:szCs w:val="24"/>
          <w:lang w:val="en-GB"/>
        </w:rPr>
      </w:pPr>
      <w:r w:rsidRPr="00EC6295">
        <w:rPr>
          <w:rFonts w:ascii="Times New Roman" w:hAnsi="Times New Roman" w:cs="Times New Roman"/>
          <w:b/>
          <w:bCs/>
          <w:sz w:val="24"/>
          <w:szCs w:val="24"/>
          <w:lang w:val="en-GB"/>
        </w:rPr>
        <w:t>Conclusion</w:t>
      </w:r>
    </w:p>
    <w:p w14:paraId="3DE020AD" w14:textId="77777777" w:rsidR="00C244E5" w:rsidRPr="00C244E5" w:rsidRDefault="00C244E5" w:rsidP="006A6674">
      <w:pPr>
        <w:pStyle w:val="Normalwebb"/>
        <w:spacing w:line="360" w:lineRule="auto"/>
        <w:jc w:val="both"/>
        <w:rPr>
          <w:lang w:val="en-GB"/>
        </w:rPr>
      </w:pPr>
      <w:r w:rsidRPr="00C244E5">
        <w:rPr>
          <w:lang w:val="en-GB"/>
        </w:rPr>
        <w:t>This phenomenological study examined how teachers’ leadership practices in high school classrooms contributed to inclusive learning environments where all students felt valued and supported. The findings show that, despite increased emphasis on inclusion in diverse educational settings, inclusivity was interpreted in varied ways, with teachers adopting different pedagogical approaches to engage learners from diverse backgrounds. This variation underscores the complex and context-dependent nature of inclusive practice in contemporary classrooms.</w:t>
      </w:r>
    </w:p>
    <w:p w14:paraId="5A5259CC" w14:textId="77777777" w:rsidR="00C244E5" w:rsidRPr="00C244E5" w:rsidRDefault="00C244E5" w:rsidP="006A6674">
      <w:pPr>
        <w:pStyle w:val="Normalwebb"/>
        <w:spacing w:line="360" w:lineRule="auto"/>
        <w:jc w:val="both"/>
        <w:rPr>
          <w:lang w:val="en-GB"/>
        </w:rPr>
      </w:pPr>
      <w:r w:rsidRPr="00C244E5">
        <w:rPr>
          <w:lang w:val="en-GB"/>
        </w:rPr>
        <w:t>Analysis of the interview data identified key themes: fostering mutual respect and equitable participation, maintaining cultural awareness through responsive communication, and implementing inclusive learning strategies that promoted engagement. Together, these themes suggest that inclusion extends beyond traditional associations with disability to encompass linguistic, cultural, and socio-economic diversity. At the same time, teachers’ interpretations of inclusion were shaped by their professional experiences, classroom contexts, and pedagogical beliefs, resulting in varied inclusive practices. These findings highlight the need to critically examine how inclusive ideals are enacted through everyday classroom leadership in increasingly diverse educational contexts.</w:t>
      </w:r>
    </w:p>
    <w:p w14:paraId="244BD5DB" w14:textId="77777777" w:rsidR="00C244E5" w:rsidRPr="00C244E5" w:rsidRDefault="00C244E5" w:rsidP="006A6674">
      <w:pPr>
        <w:pStyle w:val="Normalwebb"/>
        <w:spacing w:line="360" w:lineRule="auto"/>
        <w:jc w:val="both"/>
        <w:rPr>
          <w:lang w:val="en-GB"/>
        </w:rPr>
      </w:pPr>
      <w:r w:rsidRPr="00C244E5">
        <w:rPr>
          <w:lang w:val="en-GB"/>
        </w:rPr>
        <w:t>Although conducted in two suburban schools in Stockholm, the study provides a contextualised understanding of classroom-level inclusivity and offers insight into how educators navigate inclusive practices alongside curriculum demands and classroom realities. The findings are not intended to represent all semi-urban high schools in Sweden, as inclusive practices may vary across contexts.</w:t>
      </w:r>
    </w:p>
    <w:p w14:paraId="0C57F7DF" w14:textId="77777777" w:rsidR="00C244E5" w:rsidRPr="00C244E5" w:rsidRDefault="00C244E5" w:rsidP="006A6674">
      <w:pPr>
        <w:pStyle w:val="Normalwebb"/>
        <w:spacing w:line="360" w:lineRule="auto"/>
        <w:jc w:val="both"/>
        <w:rPr>
          <w:lang w:val="en-GB"/>
        </w:rPr>
      </w:pPr>
      <w:r w:rsidRPr="00C244E5">
        <w:rPr>
          <w:lang w:val="en-GB"/>
        </w:rPr>
        <w:lastRenderedPageBreak/>
        <w:t>Overall, while teachers demonstrate strong commitment to inclusive values, their classroom leadership practices are often guided by broad and sometimes vague interpretations of inclusion, potentially limiting its transformative impact. Future research and practice should therefore aim to develop a more coherent understanding of inclusive education and teacher leadership, alongside further exploration of effective strategies for promoting digital inclusion in culturally and linguistically diverse classrooms.</w:t>
      </w:r>
    </w:p>
    <w:p w14:paraId="6A6C6FE9" w14:textId="77777777" w:rsidR="001820E2" w:rsidRDefault="001820E2" w:rsidP="006A6674">
      <w:pPr>
        <w:spacing w:line="360" w:lineRule="auto"/>
        <w:jc w:val="both"/>
        <w:rPr>
          <w:rFonts w:ascii="Times New Roman" w:hAnsi="Times New Roman" w:cs="Times New Roman"/>
          <w:b/>
          <w:bCs/>
          <w:sz w:val="24"/>
          <w:szCs w:val="24"/>
          <w:lang w:val="en-GB"/>
        </w:rPr>
      </w:pPr>
    </w:p>
    <w:p w14:paraId="751C3901" w14:textId="77777777" w:rsidR="00F536C2" w:rsidRDefault="00F536C2" w:rsidP="006A6674">
      <w:pPr>
        <w:spacing w:line="360" w:lineRule="auto"/>
        <w:jc w:val="both"/>
        <w:rPr>
          <w:rFonts w:ascii="Times New Roman" w:hAnsi="Times New Roman" w:cs="Times New Roman"/>
          <w:b/>
          <w:bCs/>
          <w:sz w:val="24"/>
          <w:szCs w:val="24"/>
          <w:lang w:val="en-GB"/>
        </w:rPr>
      </w:pPr>
    </w:p>
    <w:p w14:paraId="60D87219" w14:textId="77777777" w:rsidR="004065C6" w:rsidRDefault="004065C6" w:rsidP="006A6674">
      <w:pPr>
        <w:spacing w:line="360" w:lineRule="auto"/>
        <w:jc w:val="both"/>
        <w:rPr>
          <w:rFonts w:ascii="Times New Roman" w:hAnsi="Times New Roman" w:cs="Times New Roman"/>
          <w:b/>
          <w:bCs/>
          <w:sz w:val="24"/>
          <w:szCs w:val="24"/>
          <w:lang w:val="en-GB"/>
        </w:rPr>
      </w:pPr>
    </w:p>
    <w:p w14:paraId="4BF3FD1F" w14:textId="77777777" w:rsidR="004065C6" w:rsidRDefault="004065C6" w:rsidP="006A6674">
      <w:pPr>
        <w:spacing w:line="360" w:lineRule="auto"/>
        <w:jc w:val="both"/>
        <w:rPr>
          <w:rFonts w:ascii="Times New Roman" w:hAnsi="Times New Roman" w:cs="Times New Roman"/>
          <w:b/>
          <w:bCs/>
          <w:sz w:val="24"/>
          <w:szCs w:val="24"/>
          <w:lang w:val="en-GB"/>
        </w:rPr>
      </w:pPr>
    </w:p>
    <w:p w14:paraId="0F616D7A" w14:textId="77777777" w:rsidR="004065C6" w:rsidRDefault="004065C6" w:rsidP="006A6674">
      <w:pPr>
        <w:spacing w:line="360" w:lineRule="auto"/>
        <w:jc w:val="both"/>
        <w:rPr>
          <w:rFonts w:ascii="Times New Roman" w:hAnsi="Times New Roman" w:cs="Times New Roman"/>
          <w:b/>
          <w:bCs/>
          <w:sz w:val="24"/>
          <w:szCs w:val="24"/>
          <w:lang w:val="en-GB"/>
        </w:rPr>
      </w:pPr>
    </w:p>
    <w:p w14:paraId="6224CD99" w14:textId="77777777" w:rsidR="004065C6" w:rsidRDefault="004065C6" w:rsidP="006A6674">
      <w:pPr>
        <w:spacing w:line="360" w:lineRule="auto"/>
        <w:jc w:val="both"/>
        <w:rPr>
          <w:rFonts w:ascii="Times New Roman" w:hAnsi="Times New Roman" w:cs="Times New Roman"/>
          <w:b/>
          <w:bCs/>
          <w:sz w:val="24"/>
          <w:szCs w:val="24"/>
          <w:lang w:val="en-GB"/>
        </w:rPr>
      </w:pPr>
    </w:p>
    <w:p w14:paraId="789E6A75" w14:textId="77777777" w:rsidR="004065C6" w:rsidRDefault="004065C6" w:rsidP="006A6674">
      <w:pPr>
        <w:spacing w:line="360" w:lineRule="auto"/>
        <w:jc w:val="both"/>
        <w:rPr>
          <w:rFonts w:ascii="Times New Roman" w:hAnsi="Times New Roman" w:cs="Times New Roman"/>
          <w:b/>
          <w:bCs/>
          <w:sz w:val="24"/>
          <w:szCs w:val="24"/>
          <w:lang w:val="en-GB"/>
        </w:rPr>
      </w:pPr>
    </w:p>
    <w:p w14:paraId="3AB6C33A" w14:textId="77777777" w:rsidR="004065C6" w:rsidRDefault="004065C6" w:rsidP="006A6674">
      <w:pPr>
        <w:spacing w:line="360" w:lineRule="auto"/>
        <w:jc w:val="both"/>
        <w:rPr>
          <w:rFonts w:ascii="Times New Roman" w:hAnsi="Times New Roman" w:cs="Times New Roman"/>
          <w:b/>
          <w:bCs/>
          <w:sz w:val="24"/>
          <w:szCs w:val="24"/>
          <w:lang w:val="en-GB"/>
        </w:rPr>
      </w:pPr>
    </w:p>
    <w:p w14:paraId="253AA441" w14:textId="77777777" w:rsidR="004065C6" w:rsidRDefault="004065C6" w:rsidP="006A6674">
      <w:pPr>
        <w:spacing w:line="360" w:lineRule="auto"/>
        <w:jc w:val="both"/>
        <w:rPr>
          <w:rFonts w:ascii="Times New Roman" w:hAnsi="Times New Roman" w:cs="Times New Roman"/>
          <w:b/>
          <w:bCs/>
          <w:sz w:val="24"/>
          <w:szCs w:val="24"/>
          <w:lang w:val="en-GB"/>
        </w:rPr>
      </w:pPr>
    </w:p>
    <w:p w14:paraId="2CDC29D5" w14:textId="77777777" w:rsidR="004065C6" w:rsidRDefault="004065C6" w:rsidP="006A6674">
      <w:pPr>
        <w:spacing w:line="360" w:lineRule="auto"/>
        <w:jc w:val="both"/>
        <w:rPr>
          <w:rFonts w:ascii="Times New Roman" w:hAnsi="Times New Roman" w:cs="Times New Roman"/>
          <w:b/>
          <w:bCs/>
          <w:sz w:val="24"/>
          <w:szCs w:val="24"/>
          <w:lang w:val="en-GB"/>
        </w:rPr>
      </w:pPr>
    </w:p>
    <w:p w14:paraId="7A58F0C5" w14:textId="77777777" w:rsidR="004065C6" w:rsidRDefault="004065C6" w:rsidP="006A6674">
      <w:pPr>
        <w:spacing w:line="360" w:lineRule="auto"/>
        <w:jc w:val="both"/>
        <w:rPr>
          <w:rFonts w:ascii="Times New Roman" w:hAnsi="Times New Roman" w:cs="Times New Roman"/>
          <w:b/>
          <w:bCs/>
          <w:sz w:val="24"/>
          <w:szCs w:val="24"/>
          <w:lang w:val="en-GB"/>
        </w:rPr>
      </w:pPr>
    </w:p>
    <w:p w14:paraId="1236DA20" w14:textId="77777777" w:rsidR="004065C6" w:rsidRDefault="004065C6" w:rsidP="006A6674">
      <w:pPr>
        <w:spacing w:line="360" w:lineRule="auto"/>
        <w:jc w:val="both"/>
        <w:rPr>
          <w:rFonts w:ascii="Times New Roman" w:hAnsi="Times New Roman" w:cs="Times New Roman"/>
          <w:b/>
          <w:bCs/>
          <w:sz w:val="24"/>
          <w:szCs w:val="24"/>
          <w:lang w:val="en-GB"/>
        </w:rPr>
      </w:pPr>
    </w:p>
    <w:p w14:paraId="7F28B77F" w14:textId="77777777" w:rsidR="004065C6" w:rsidRDefault="004065C6" w:rsidP="006A6674">
      <w:pPr>
        <w:spacing w:line="360" w:lineRule="auto"/>
        <w:jc w:val="both"/>
        <w:rPr>
          <w:rFonts w:ascii="Times New Roman" w:hAnsi="Times New Roman" w:cs="Times New Roman"/>
          <w:b/>
          <w:bCs/>
          <w:sz w:val="24"/>
          <w:szCs w:val="24"/>
          <w:lang w:val="en-GB"/>
        </w:rPr>
      </w:pPr>
    </w:p>
    <w:p w14:paraId="25951737" w14:textId="77777777" w:rsidR="004065C6" w:rsidRDefault="004065C6" w:rsidP="006A6674">
      <w:pPr>
        <w:spacing w:line="360" w:lineRule="auto"/>
        <w:jc w:val="both"/>
        <w:rPr>
          <w:rFonts w:ascii="Times New Roman" w:hAnsi="Times New Roman" w:cs="Times New Roman"/>
          <w:b/>
          <w:bCs/>
          <w:sz w:val="24"/>
          <w:szCs w:val="24"/>
          <w:lang w:val="en-GB"/>
        </w:rPr>
      </w:pPr>
    </w:p>
    <w:p w14:paraId="4C6A0094" w14:textId="77777777" w:rsidR="004065C6" w:rsidRDefault="004065C6" w:rsidP="006A6674">
      <w:pPr>
        <w:spacing w:line="360" w:lineRule="auto"/>
        <w:jc w:val="both"/>
        <w:rPr>
          <w:rFonts w:ascii="Times New Roman" w:hAnsi="Times New Roman" w:cs="Times New Roman"/>
          <w:b/>
          <w:bCs/>
          <w:sz w:val="24"/>
          <w:szCs w:val="24"/>
          <w:lang w:val="en-GB"/>
        </w:rPr>
      </w:pPr>
    </w:p>
    <w:p w14:paraId="6B6973BF" w14:textId="77777777" w:rsidR="004065C6" w:rsidRDefault="004065C6" w:rsidP="006A6674">
      <w:pPr>
        <w:spacing w:line="360" w:lineRule="auto"/>
        <w:jc w:val="both"/>
        <w:rPr>
          <w:rFonts w:ascii="Times New Roman" w:hAnsi="Times New Roman" w:cs="Times New Roman"/>
          <w:b/>
          <w:bCs/>
          <w:sz w:val="24"/>
          <w:szCs w:val="24"/>
          <w:lang w:val="en-GB"/>
        </w:rPr>
      </w:pPr>
    </w:p>
    <w:p w14:paraId="41C2BDC4" w14:textId="77777777" w:rsidR="006A6674" w:rsidRDefault="006A6674" w:rsidP="006A6674">
      <w:pPr>
        <w:spacing w:line="360" w:lineRule="auto"/>
        <w:jc w:val="both"/>
        <w:rPr>
          <w:rFonts w:ascii="Times New Roman" w:hAnsi="Times New Roman" w:cs="Times New Roman"/>
          <w:b/>
          <w:bCs/>
          <w:sz w:val="24"/>
          <w:szCs w:val="24"/>
          <w:lang w:val="en-GB"/>
        </w:rPr>
      </w:pPr>
    </w:p>
    <w:p w14:paraId="1F3E1DEB" w14:textId="77777777" w:rsidR="009C099D" w:rsidRDefault="009C099D" w:rsidP="00375FDE">
      <w:pPr>
        <w:spacing w:line="360" w:lineRule="auto"/>
        <w:jc w:val="both"/>
        <w:rPr>
          <w:rFonts w:ascii="Times New Roman" w:hAnsi="Times New Roman" w:cs="Times New Roman"/>
          <w:b/>
          <w:bCs/>
          <w:sz w:val="24"/>
          <w:szCs w:val="24"/>
          <w:lang w:val="en-GB"/>
        </w:rPr>
      </w:pPr>
    </w:p>
    <w:p w14:paraId="29036BAA" w14:textId="77777777" w:rsidR="001E451C" w:rsidRPr="003F66C1" w:rsidRDefault="001E451C" w:rsidP="00A465F7">
      <w:pPr>
        <w:spacing w:after="0" w:line="360" w:lineRule="auto"/>
        <w:rPr>
          <w:rFonts w:ascii="Times New Roman" w:eastAsia="Times New Roman" w:hAnsi="Times New Roman" w:cs="Times New Roman"/>
          <w:sz w:val="24"/>
          <w:szCs w:val="24"/>
          <w:lang w:val="en-GB" w:eastAsia="sv-SE"/>
        </w:rPr>
      </w:pPr>
    </w:p>
    <w:p w14:paraId="75E5F6DF" w14:textId="77777777" w:rsidR="003F66C1" w:rsidRPr="003F66C1" w:rsidRDefault="003F66C1" w:rsidP="003F66C1">
      <w:pPr>
        <w:spacing w:before="100" w:beforeAutospacing="1" w:after="100" w:afterAutospacing="1" w:line="240" w:lineRule="auto"/>
        <w:outlineLvl w:val="2"/>
        <w:rPr>
          <w:rFonts w:ascii="Times New Roman" w:eastAsia="Times New Roman" w:hAnsi="Times New Roman" w:cs="Times New Roman"/>
          <w:b/>
          <w:bCs/>
          <w:sz w:val="27"/>
          <w:szCs w:val="27"/>
          <w:lang w:val="en-GB" w:eastAsia="sv-SE"/>
        </w:rPr>
      </w:pPr>
      <w:r w:rsidRPr="003F66C1">
        <w:rPr>
          <w:rFonts w:ascii="Times New Roman" w:eastAsia="Times New Roman" w:hAnsi="Times New Roman" w:cs="Times New Roman"/>
          <w:b/>
          <w:bCs/>
          <w:sz w:val="27"/>
          <w:szCs w:val="27"/>
          <w:lang w:val="en-GB" w:eastAsia="sv-SE"/>
        </w:rPr>
        <w:lastRenderedPageBreak/>
        <w:t>References</w:t>
      </w:r>
    </w:p>
    <w:p w14:paraId="123CB044" w14:textId="77777777" w:rsidR="003F66C1" w:rsidRPr="003F66C1" w:rsidRDefault="003F66C1" w:rsidP="003F66C1">
      <w:pPr>
        <w:spacing w:before="100" w:beforeAutospacing="1" w:after="100" w:afterAutospacing="1" w:line="240" w:lineRule="auto"/>
        <w:rPr>
          <w:rFonts w:ascii="Times New Roman" w:eastAsia="Times New Roman" w:hAnsi="Times New Roman" w:cs="Times New Roman"/>
          <w:sz w:val="24"/>
          <w:szCs w:val="24"/>
          <w:lang w:val="en-GB" w:eastAsia="sv-SE"/>
        </w:rPr>
      </w:pPr>
      <w:r w:rsidRPr="003F66C1">
        <w:rPr>
          <w:rFonts w:ascii="Times New Roman" w:eastAsia="Times New Roman" w:hAnsi="Times New Roman" w:cs="Times New Roman"/>
          <w:sz w:val="24"/>
          <w:szCs w:val="24"/>
          <w:lang w:val="en-GB" w:eastAsia="sv-SE"/>
        </w:rPr>
        <w:t xml:space="preserve">Armiyati, L., Fachrurozi, H., Astriani, A. and Zulfikar, F. (2025) ‘Perspective and practice’, </w:t>
      </w:r>
      <w:r w:rsidRPr="003F66C1">
        <w:rPr>
          <w:rFonts w:ascii="Times New Roman" w:eastAsia="Times New Roman" w:hAnsi="Times New Roman" w:cs="Times New Roman"/>
          <w:i/>
          <w:iCs/>
          <w:sz w:val="24"/>
          <w:szCs w:val="24"/>
          <w:lang w:val="en-GB" w:eastAsia="sv-SE"/>
        </w:rPr>
        <w:t>Educational Process: International Journal</w:t>
      </w:r>
      <w:r w:rsidRPr="003F66C1">
        <w:rPr>
          <w:rFonts w:ascii="Times New Roman" w:eastAsia="Times New Roman" w:hAnsi="Times New Roman" w:cs="Times New Roman"/>
          <w:sz w:val="24"/>
          <w:szCs w:val="24"/>
          <w:lang w:val="en-GB" w:eastAsia="sv-SE"/>
        </w:rPr>
        <w:t xml:space="preserve">, 17, p. 2025364. Available at: </w:t>
      </w:r>
      <w:hyperlink r:id="rId8" w:tgtFrame="_new" w:history="1">
        <w:r w:rsidRPr="003F66C1">
          <w:rPr>
            <w:rFonts w:ascii="Times New Roman" w:eastAsia="Times New Roman" w:hAnsi="Times New Roman" w:cs="Times New Roman"/>
            <w:color w:val="0000FF"/>
            <w:sz w:val="24"/>
            <w:szCs w:val="24"/>
            <w:u w:val="single"/>
            <w:lang w:val="en-GB" w:eastAsia="sv-SE"/>
          </w:rPr>
          <w:t>https://doi.org/10.22521/edupij.2025.17.364</w:t>
        </w:r>
      </w:hyperlink>
      <w:r w:rsidRPr="003F66C1">
        <w:rPr>
          <w:rFonts w:ascii="Times New Roman" w:eastAsia="Times New Roman" w:hAnsi="Times New Roman" w:cs="Times New Roman"/>
          <w:sz w:val="24"/>
          <w:szCs w:val="24"/>
          <w:lang w:val="en-GB" w:eastAsia="sv-SE"/>
        </w:rPr>
        <w:t>.</w:t>
      </w:r>
    </w:p>
    <w:p w14:paraId="3D42DFDE" w14:textId="77777777" w:rsidR="003F66C1" w:rsidRPr="003F66C1" w:rsidRDefault="003F66C1" w:rsidP="003F66C1">
      <w:pPr>
        <w:spacing w:before="100" w:beforeAutospacing="1" w:after="100" w:afterAutospacing="1" w:line="240" w:lineRule="auto"/>
        <w:rPr>
          <w:rFonts w:ascii="Times New Roman" w:eastAsia="Times New Roman" w:hAnsi="Times New Roman" w:cs="Times New Roman"/>
          <w:sz w:val="24"/>
          <w:szCs w:val="24"/>
          <w:lang w:val="en-GB" w:eastAsia="sv-SE"/>
        </w:rPr>
      </w:pPr>
      <w:r w:rsidRPr="003F66C1">
        <w:rPr>
          <w:rFonts w:ascii="Times New Roman" w:eastAsia="Times New Roman" w:hAnsi="Times New Roman" w:cs="Times New Roman"/>
          <w:sz w:val="24"/>
          <w:szCs w:val="24"/>
          <w:lang w:val="en-GB" w:eastAsia="sv-SE"/>
        </w:rPr>
        <w:t xml:space="preserve">Atanasova, D. and Papen, U. (2025) ‘UK university teachers on inclusive education: conceptualisations, practices, opportunities and challenges’, </w:t>
      </w:r>
      <w:r w:rsidRPr="003F66C1">
        <w:rPr>
          <w:rFonts w:ascii="Times New Roman" w:eastAsia="Times New Roman" w:hAnsi="Times New Roman" w:cs="Times New Roman"/>
          <w:i/>
          <w:iCs/>
          <w:sz w:val="24"/>
          <w:szCs w:val="24"/>
          <w:lang w:val="en-GB" w:eastAsia="sv-SE"/>
        </w:rPr>
        <w:t>Studies in Higher Education</w:t>
      </w:r>
      <w:r w:rsidRPr="003F66C1">
        <w:rPr>
          <w:rFonts w:ascii="Times New Roman" w:eastAsia="Times New Roman" w:hAnsi="Times New Roman" w:cs="Times New Roman"/>
          <w:sz w:val="24"/>
          <w:szCs w:val="24"/>
          <w:lang w:val="en-GB" w:eastAsia="sv-SE"/>
        </w:rPr>
        <w:t xml:space="preserve">, pp. 1–12. Available at: </w:t>
      </w:r>
      <w:hyperlink r:id="rId9" w:tgtFrame="_new" w:history="1">
        <w:r w:rsidRPr="003F66C1">
          <w:rPr>
            <w:rFonts w:ascii="Times New Roman" w:eastAsia="Times New Roman" w:hAnsi="Times New Roman" w:cs="Times New Roman"/>
            <w:color w:val="0000FF"/>
            <w:sz w:val="24"/>
            <w:szCs w:val="24"/>
            <w:u w:val="single"/>
            <w:lang w:val="en-GB" w:eastAsia="sv-SE"/>
          </w:rPr>
          <w:t>https://doi.org/10.1080/03075079.2025.2455431</w:t>
        </w:r>
      </w:hyperlink>
      <w:r w:rsidRPr="003F66C1">
        <w:rPr>
          <w:rFonts w:ascii="Times New Roman" w:eastAsia="Times New Roman" w:hAnsi="Times New Roman" w:cs="Times New Roman"/>
          <w:sz w:val="24"/>
          <w:szCs w:val="24"/>
          <w:lang w:val="en-GB" w:eastAsia="sv-SE"/>
        </w:rPr>
        <w:t>.</w:t>
      </w:r>
    </w:p>
    <w:p w14:paraId="49932635" w14:textId="77777777" w:rsidR="003F66C1" w:rsidRPr="003F66C1" w:rsidRDefault="003F66C1" w:rsidP="003F66C1">
      <w:pPr>
        <w:spacing w:before="100" w:beforeAutospacing="1" w:after="100" w:afterAutospacing="1" w:line="240" w:lineRule="auto"/>
        <w:rPr>
          <w:rFonts w:ascii="Times New Roman" w:eastAsia="Times New Roman" w:hAnsi="Times New Roman" w:cs="Times New Roman"/>
          <w:sz w:val="24"/>
          <w:szCs w:val="24"/>
          <w:lang w:val="en-GB" w:eastAsia="sv-SE"/>
        </w:rPr>
      </w:pPr>
      <w:r w:rsidRPr="003F66C1">
        <w:rPr>
          <w:rFonts w:ascii="Times New Roman" w:eastAsia="Times New Roman" w:hAnsi="Times New Roman" w:cs="Times New Roman"/>
          <w:sz w:val="24"/>
          <w:szCs w:val="24"/>
          <w:lang w:val="en-GB" w:eastAsia="sv-SE"/>
        </w:rPr>
        <w:t xml:space="preserve">Barton, G. and Riddle, S. (2022) ‘Culturally responsive and meaningful music education: multimodality, meaning-making, and communication in diverse learning contexts’, </w:t>
      </w:r>
      <w:r w:rsidRPr="003F66C1">
        <w:rPr>
          <w:rFonts w:ascii="Times New Roman" w:eastAsia="Times New Roman" w:hAnsi="Times New Roman" w:cs="Times New Roman"/>
          <w:i/>
          <w:iCs/>
          <w:sz w:val="24"/>
          <w:szCs w:val="24"/>
          <w:lang w:val="en-GB" w:eastAsia="sv-SE"/>
        </w:rPr>
        <w:t>Research Studies in Music Education</w:t>
      </w:r>
      <w:r w:rsidRPr="003F66C1">
        <w:rPr>
          <w:rFonts w:ascii="Times New Roman" w:eastAsia="Times New Roman" w:hAnsi="Times New Roman" w:cs="Times New Roman"/>
          <w:sz w:val="24"/>
          <w:szCs w:val="24"/>
          <w:lang w:val="en-GB" w:eastAsia="sv-SE"/>
        </w:rPr>
        <w:t xml:space="preserve">, 44(2), pp. 345–362. Available at: </w:t>
      </w:r>
      <w:hyperlink r:id="rId10" w:tgtFrame="_new" w:history="1">
        <w:r w:rsidRPr="003F66C1">
          <w:rPr>
            <w:rFonts w:ascii="Times New Roman" w:eastAsia="Times New Roman" w:hAnsi="Times New Roman" w:cs="Times New Roman"/>
            <w:color w:val="0000FF"/>
            <w:sz w:val="24"/>
            <w:szCs w:val="24"/>
            <w:u w:val="single"/>
            <w:lang w:val="en-GB" w:eastAsia="sv-SE"/>
          </w:rPr>
          <w:t>https://doi.org/10.1177/1321103X211009323</w:t>
        </w:r>
      </w:hyperlink>
      <w:r w:rsidRPr="003F66C1">
        <w:rPr>
          <w:rFonts w:ascii="Times New Roman" w:eastAsia="Times New Roman" w:hAnsi="Times New Roman" w:cs="Times New Roman"/>
          <w:sz w:val="24"/>
          <w:szCs w:val="24"/>
          <w:lang w:val="en-GB" w:eastAsia="sv-SE"/>
        </w:rPr>
        <w:t>.</w:t>
      </w:r>
    </w:p>
    <w:p w14:paraId="2D2DA1F0" w14:textId="77777777" w:rsidR="003F66C1" w:rsidRPr="003F66C1" w:rsidRDefault="003F66C1" w:rsidP="003F66C1">
      <w:pPr>
        <w:spacing w:before="100" w:beforeAutospacing="1" w:after="100" w:afterAutospacing="1" w:line="240" w:lineRule="auto"/>
        <w:rPr>
          <w:rFonts w:ascii="Times New Roman" w:eastAsia="Times New Roman" w:hAnsi="Times New Roman" w:cs="Times New Roman"/>
          <w:sz w:val="24"/>
          <w:szCs w:val="24"/>
          <w:lang w:val="en-GB" w:eastAsia="sv-SE"/>
        </w:rPr>
      </w:pPr>
      <w:r w:rsidRPr="003F66C1">
        <w:rPr>
          <w:rFonts w:ascii="Times New Roman" w:eastAsia="Times New Roman" w:hAnsi="Times New Roman" w:cs="Times New Roman"/>
          <w:sz w:val="24"/>
          <w:szCs w:val="24"/>
          <w:lang w:val="en-GB" w:eastAsia="sv-SE"/>
        </w:rPr>
        <w:t xml:space="preserve">Boudreaux, M. (2024) </w:t>
      </w:r>
      <w:r w:rsidRPr="003F66C1">
        <w:rPr>
          <w:rFonts w:ascii="Times New Roman" w:eastAsia="Times New Roman" w:hAnsi="Times New Roman" w:cs="Times New Roman"/>
          <w:i/>
          <w:iCs/>
          <w:sz w:val="24"/>
          <w:szCs w:val="24"/>
          <w:lang w:val="en-GB" w:eastAsia="sv-SE"/>
        </w:rPr>
        <w:t>The impact of school leadership on middle school teachers’ multicultural awareness and inclusivity</w:t>
      </w:r>
      <w:r w:rsidRPr="003F66C1">
        <w:rPr>
          <w:rFonts w:ascii="Times New Roman" w:eastAsia="Times New Roman" w:hAnsi="Times New Roman" w:cs="Times New Roman"/>
          <w:sz w:val="24"/>
          <w:szCs w:val="24"/>
          <w:lang w:val="en-GB" w:eastAsia="sv-SE"/>
        </w:rPr>
        <w:t xml:space="preserve">. Available at: </w:t>
      </w:r>
      <w:hyperlink r:id="rId11" w:tgtFrame="_new" w:history="1">
        <w:r w:rsidRPr="003F66C1">
          <w:rPr>
            <w:rFonts w:ascii="Times New Roman" w:eastAsia="Times New Roman" w:hAnsi="Times New Roman" w:cs="Times New Roman"/>
            <w:color w:val="0000FF"/>
            <w:sz w:val="24"/>
            <w:szCs w:val="24"/>
            <w:u w:val="single"/>
            <w:lang w:val="en-GB" w:eastAsia="sv-SE"/>
          </w:rPr>
          <w:t>https://files.eric.ed.gov/fulltext/EJ1428688.pdf</w:t>
        </w:r>
      </w:hyperlink>
      <w:r w:rsidRPr="003F66C1">
        <w:rPr>
          <w:rFonts w:ascii="Times New Roman" w:eastAsia="Times New Roman" w:hAnsi="Times New Roman" w:cs="Times New Roman"/>
          <w:sz w:val="24"/>
          <w:szCs w:val="24"/>
          <w:lang w:val="en-GB" w:eastAsia="sv-SE"/>
        </w:rPr>
        <w:t>.</w:t>
      </w:r>
    </w:p>
    <w:p w14:paraId="4AAA3021" w14:textId="77777777" w:rsidR="003F66C1" w:rsidRPr="003F66C1" w:rsidRDefault="003F66C1" w:rsidP="003F66C1">
      <w:pPr>
        <w:spacing w:before="100" w:beforeAutospacing="1" w:after="100" w:afterAutospacing="1" w:line="240" w:lineRule="auto"/>
        <w:rPr>
          <w:rFonts w:ascii="Times New Roman" w:eastAsia="Times New Roman" w:hAnsi="Times New Roman" w:cs="Times New Roman"/>
          <w:sz w:val="24"/>
          <w:szCs w:val="24"/>
          <w:lang w:val="en-GB" w:eastAsia="sv-SE"/>
        </w:rPr>
      </w:pPr>
      <w:r w:rsidRPr="003F66C1">
        <w:rPr>
          <w:rFonts w:ascii="Times New Roman" w:eastAsia="Times New Roman" w:hAnsi="Times New Roman" w:cs="Times New Roman"/>
          <w:sz w:val="24"/>
          <w:szCs w:val="24"/>
          <w:lang w:val="en-GB" w:eastAsia="sv-SE"/>
        </w:rPr>
        <w:t xml:space="preserve">Brennan, A. and Pennycook, C. (2025) ‘Fostering teacher leadership for inclusion: the role of school–university partnerships and professional learning communities’, </w:t>
      </w:r>
      <w:r w:rsidRPr="003F66C1">
        <w:rPr>
          <w:rFonts w:ascii="Times New Roman" w:eastAsia="Times New Roman" w:hAnsi="Times New Roman" w:cs="Times New Roman"/>
          <w:i/>
          <w:iCs/>
          <w:sz w:val="24"/>
          <w:szCs w:val="24"/>
          <w:lang w:val="en-GB" w:eastAsia="sv-SE"/>
        </w:rPr>
        <w:t>School Leadership &amp; Management</w:t>
      </w:r>
      <w:r w:rsidRPr="003F66C1">
        <w:rPr>
          <w:rFonts w:ascii="Times New Roman" w:eastAsia="Times New Roman" w:hAnsi="Times New Roman" w:cs="Times New Roman"/>
          <w:sz w:val="24"/>
          <w:szCs w:val="24"/>
          <w:lang w:val="en-GB" w:eastAsia="sv-SE"/>
        </w:rPr>
        <w:t xml:space="preserve">, 45(5), pp. 446–466. Available at: </w:t>
      </w:r>
      <w:hyperlink r:id="rId12" w:tgtFrame="_new" w:history="1">
        <w:r w:rsidRPr="003F66C1">
          <w:rPr>
            <w:rFonts w:ascii="Times New Roman" w:eastAsia="Times New Roman" w:hAnsi="Times New Roman" w:cs="Times New Roman"/>
            <w:color w:val="0000FF"/>
            <w:sz w:val="24"/>
            <w:szCs w:val="24"/>
            <w:u w:val="single"/>
            <w:lang w:val="en-GB" w:eastAsia="sv-SE"/>
          </w:rPr>
          <w:t>https://doi.org/10.1080/13632434.2025.2587117</w:t>
        </w:r>
      </w:hyperlink>
      <w:r w:rsidRPr="003F66C1">
        <w:rPr>
          <w:rFonts w:ascii="Times New Roman" w:eastAsia="Times New Roman" w:hAnsi="Times New Roman" w:cs="Times New Roman"/>
          <w:sz w:val="24"/>
          <w:szCs w:val="24"/>
          <w:lang w:val="en-GB" w:eastAsia="sv-SE"/>
        </w:rPr>
        <w:t>.</w:t>
      </w:r>
    </w:p>
    <w:p w14:paraId="7E0547D0" w14:textId="77777777" w:rsidR="003F66C1" w:rsidRPr="003F66C1" w:rsidRDefault="003F66C1" w:rsidP="003F66C1">
      <w:pPr>
        <w:spacing w:before="100" w:beforeAutospacing="1" w:after="100" w:afterAutospacing="1" w:line="240" w:lineRule="auto"/>
        <w:rPr>
          <w:rFonts w:ascii="Times New Roman" w:eastAsia="Times New Roman" w:hAnsi="Times New Roman" w:cs="Times New Roman"/>
          <w:sz w:val="24"/>
          <w:szCs w:val="24"/>
          <w:lang w:val="en-GB" w:eastAsia="sv-SE"/>
        </w:rPr>
      </w:pPr>
      <w:r w:rsidRPr="003F66C1">
        <w:rPr>
          <w:rFonts w:ascii="Times New Roman" w:eastAsia="Times New Roman" w:hAnsi="Times New Roman" w:cs="Times New Roman"/>
          <w:sz w:val="24"/>
          <w:szCs w:val="24"/>
          <w:lang w:val="en-GB" w:eastAsia="sv-SE"/>
        </w:rPr>
        <w:t xml:space="preserve">Brziak, M. and Urban, K. (2025) ‘Phenomenology meets self-regulated learning: exploring the lived experience of learning’, </w:t>
      </w:r>
      <w:r w:rsidRPr="003F66C1">
        <w:rPr>
          <w:rFonts w:ascii="Times New Roman" w:eastAsia="Times New Roman" w:hAnsi="Times New Roman" w:cs="Times New Roman"/>
          <w:i/>
          <w:iCs/>
          <w:sz w:val="24"/>
          <w:szCs w:val="24"/>
          <w:lang w:val="en-GB" w:eastAsia="sv-SE"/>
        </w:rPr>
        <w:t>Review of Education</w:t>
      </w:r>
      <w:r w:rsidRPr="003F66C1">
        <w:rPr>
          <w:rFonts w:ascii="Times New Roman" w:eastAsia="Times New Roman" w:hAnsi="Times New Roman" w:cs="Times New Roman"/>
          <w:sz w:val="24"/>
          <w:szCs w:val="24"/>
          <w:lang w:val="en-GB" w:eastAsia="sv-SE"/>
        </w:rPr>
        <w:t xml:space="preserve">, 13(1). Available at: </w:t>
      </w:r>
      <w:hyperlink r:id="rId13" w:tgtFrame="_new" w:history="1">
        <w:r w:rsidRPr="003F66C1">
          <w:rPr>
            <w:rFonts w:ascii="Times New Roman" w:eastAsia="Times New Roman" w:hAnsi="Times New Roman" w:cs="Times New Roman"/>
            <w:color w:val="0000FF"/>
            <w:sz w:val="24"/>
            <w:szCs w:val="24"/>
            <w:u w:val="single"/>
            <w:lang w:val="en-GB" w:eastAsia="sv-SE"/>
          </w:rPr>
          <w:t>https://doi.org/10.1002/rev3.70063</w:t>
        </w:r>
      </w:hyperlink>
      <w:r w:rsidRPr="003F66C1">
        <w:rPr>
          <w:rFonts w:ascii="Times New Roman" w:eastAsia="Times New Roman" w:hAnsi="Times New Roman" w:cs="Times New Roman"/>
          <w:sz w:val="24"/>
          <w:szCs w:val="24"/>
          <w:lang w:val="en-GB" w:eastAsia="sv-SE"/>
        </w:rPr>
        <w:t>.</w:t>
      </w:r>
    </w:p>
    <w:p w14:paraId="2BA0F0FF" w14:textId="77777777" w:rsidR="003F66C1" w:rsidRPr="003F66C1" w:rsidRDefault="003F66C1" w:rsidP="003F66C1">
      <w:pPr>
        <w:spacing w:before="100" w:beforeAutospacing="1" w:after="100" w:afterAutospacing="1" w:line="240" w:lineRule="auto"/>
        <w:rPr>
          <w:rFonts w:ascii="Times New Roman" w:eastAsia="Times New Roman" w:hAnsi="Times New Roman" w:cs="Times New Roman"/>
          <w:sz w:val="24"/>
          <w:szCs w:val="24"/>
          <w:lang w:val="en-GB" w:eastAsia="sv-SE"/>
        </w:rPr>
      </w:pPr>
      <w:r w:rsidRPr="003F66C1">
        <w:rPr>
          <w:rFonts w:ascii="Times New Roman" w:eastAsia="Times New Roman" w:hAnsi="Times New Roman" w:cs="Times New Roman"/>
          <w:sz w:val="24"/>
          <w:szCs w:val="24"/>
          <w:lang w:val="en-GB" w:eastAsia="sv-SE"/>
        </w:rPr>
        <w:t xml:space="preserve">Crum, A. (2024) ‘Exploring how physical artifacts motivate teacher leaders: a hermeneutic phenomenology of lived experiences’, </w:t>
      </w:r>
      <w:r w:rsidRPr="003F66C1">
        <w:rPr>
          <w:rFonts w:ascii="Times New Roman" w:eastAsia="Times New Roman" w:hAnsi="Times New Roman" w:cs="Times New Roman"/>
          <w:i/>
          <w:iCs/>
          <w:sz w:val="24"/>
          <w:szCs w:val="24"/>
          <w:lang w:val="en-GB" w:eastAsia="sv-SE"/>
        </w:rPr>
        <w:t>The Turkish Online Journal of Educational Technology</w:t>
      </w:r>
      <w:r w:rsidRPr="003F66C1">
        <w:rPr>
          <w:rFonts w:ascii="Times New Roman" w:eastAsia="Times New Roman" w:hAnsi="Times New Roman" w:cs="Times New Roman"/>
          <w:sz w:val="24"/>
          <w:szCs w:val="24"/>
          <w:lang w:val="en-GB" w:eastAsia="sv-SE"/>
        </w:rPr>
        <w:t xml:space="preserve">, 23. Available at: </w:t>
      </w:r>
      <w:hyperlink r:id="rId14" w:tgtFrame="_new" w:history="1">
        <w:r w:rsidRPr="003F66C1">
          <w:rPr>
            <w:rFonts w:ascii="Times New Roman" w:eastAsia="Times New Roman" w:hAnsi="Times New Roman" w:cs="Times New Roman"/>
            <w:color w:val="0000FF"/>
            <w:sz w:val="24"/>
            <w:szCs w:val="24"/>
            <w:u w:val="single"/>
            <w:lang w:val="en-GB" w:eastAsia="sv-SE"/>
          </w:rPr>
          <w:t>https://files.eric.ed.gov/fulltext/EJ1444588.pdf</w:t>
        </w:r>
      </w:hyperlink>
      <w:r w:rsidRPr="003F66C1">
        <w:rPr>
          <w:rFonts w:ascii="Times New Roman" w:eastAsia="Times New Roman" w:hAnsi="Times New Roman" w:cs="Times New Roman"/>
          <w:sz w:val="24"/>
          <w:szCs w:val="24"/>
          <w:lang w:val="en-GB" w:eastAsia="sv-SE"/>
        </w:rPr>
        <w:t>.</w:t>
      </w:r>
    </w:p>
    <w:p w14:paraId="584A38FB" w14:textId="77777777" w:rsidR="003F66C1" w:rsidRPr="003F66C1" w:rsidRDefault="003F66C1" w:rsidP="003F66C1">
      <w:pPr>
        <w:spacing w:before="100" w:beforeAutospacing="1" w:after="100" w:afterAutospacing="1" w:line="240" w:lineRule="auto"/>
        <w:rPr>
          <w:rFonts w:ascii="Times New Roman" w:eastAsia="Times New Roman" w:hAnsi="Times New Roman" w:cs="Times New Roman"/>
          <w:sz w:val="24"/>
          <w:szCs w:val="24"/>
          <w:lang w:val="en-GB" w:eastAsia="sv-SE"/>
        </w:rPr>
      </w:pPr>
      <w:r w:rsidRPr="003F66C1">
        <w:rPr>
          <w:rFonts w:ascii="Times New Roman" w:eastAsia="Times New Roman" w:hAnsi="Times New Roman" w:cs="Times New Roman"/>
          <w:sz w:val="24"/>
          <w:szCs w:val="24"/>
          <w:lang w:val="en-GB" w:eastAsia="sv-SE"/>
        </w:rPr>
        <w:t xml:space="preserve">Didion, L. </w:t>
      </w:r>
      <w:r w:rsidRPr="003F66C1">
        <w:rPr>
          <w:rFonts w:ascii="Times New Roman" w:eastAsia="Times New Roman" w:hAnsi="Times New Roman" w:cs="Times New Roman"/>
          <w:i/>
          <w:iCs/>
          <w:sz w:val="24"/>
          <w:szCs w:val="24"/>
          <w:lang w:val="en-GB" w:eastAsia="sv-SE"/>
        </w:rPr>
        <w:t>et al.</w:t>
      </w:r>
      <w:r w:rsidRPr="003F66C1">
        <w:rPr>
          <w:rFonts w:ascii="Times New Roman" w:eastAsia="Times New Roman" w:hAnsi="Times New Roman" w:cs="Times New Roman"/>
          <w:sz w:val="24"/>
          <w:szCs w:val="24"/>
          <w:lang w:val="en-GB" w:eastAsia="sv-SE"/>
        </w:rPr>
        <w:t xml:space="preserve"> (2023) ‘Using audio recordings to reliably and efficiently observe teacher behaviour related to explicit instruction’, </w:t>
      </w:r>
      <w:r w:rsidRPr="003F66C1">
        <w:rPr>
          <w:rFonts w:ascii="Times New Roman" w:eastAsia="Times New Roman" w:hAnsi="Times New Roman" w:cs="Times New Roman"/>
          <w:i/>
          <w:iCs/>
          <w:sz w:val="24"/>
          <w:szCs w:val="24"/>
          <w:lang w:val="en-GB" w:eastAsia="sv-SE"/>
        </w:rPr>
        <w:t>Assessment for Effective Intervention</w:t>
      </w:r>
      <w:r w:rsidRPr="003F66C1">
        <w:rPr>
          <w:rFonts w:ascii="Times New Roman" w:eastAsia="Times New Roman" w:hAnsi="Times New Roman" w:cs="Times New Roman"/>
          <w:sz w:val="24"/>
          <w:szCs w:val="24"/>
          <w:lang w:val="en-GB" w:eastAsia="sv-SE"/>
        </w:rPr>
        <w:t xml:space="preserve">, 48(4), pp. 179–189. Available at: </w:t>
      </w:r>
      <w:hyperlink r:id="rId15" w:tgtFrame="_new" w:history="1">
        <w:r w:rsidRPr="003F66C1">
          <w:rPr>
            <w:rFonts w:ascii="Times New Roman" w:eastAsia="Times New Roman" w:hAnsi="Times New Roman" w:cs="Times New Roman"/>
            <w:color w:val="0000FF"/>
            <w:sz w:val="24"/>
            <w:szCs w:val="24"/>
            <w:u w:val="single"/>
            <w:lang w:val="en-GB" w:eastAsia="sv-SE"/>
          </w:rPr>
          <w:t>https://doi.org/10.1177/15345084221148202</w:t>
        </w:r>
      </w:hyperlink>
      <w:r w:rsidRPr="003F66C1">
        <w:rPr>
          <w:rFonts w:ascii="Times New Roman" w:eastAsia="Times New Roman" w:hAnsi="Times New Roman" w:cs="Times New Roman"/>
          <w:sz w:val="24"/>
          <w:szCs w:val="24"/>
          <w:lang w:val="en-GB" w:eastAsia="sv-SE"/>
        </w:rPr>
        <w:t>.</w:t>
      </w:r>
    </w:p>
    <w:p w14:paraId="3278E6ED" w14:textId="77777777" w:rsidR="003F66C1" w:rsidRPr="003F66C1" w:rsidRDefault="003F66C1" w:rsidP="003F66C1">
      <w:pPr>
        <w:spacing w:before="100" w:beforeAutospacing="1" w:after="100" w:afterAutospacing="1" w:line="240" w:lineRule="auto"/>
        <w:rPr>
          <w:rFonts w:ascii="Times New Roman" w:eastAsia="Times New Roman" w:hAnsi="Times New Roman" w:cs="Times New Roman"/>
          <w:sz w:val="24"/>
          <w:szCs w:val="24"/>
          <w:lang w:val="en-GB" w:eastAsia="sv-SE"/>
        </w:rPr>
      </w:pPr>
      <w:r w:rsidRPr="003F66C1">
        <w:rPr>
          <w:rFonts w:ascii="Times New Roman" w:eastAsia="Times New Roman" w:hAnsi="Times New Roman" w:cs="Times New Roman"/>
          <w:sz w:val="24"/>
          <w:szCs w:val="24"/>
          <w:lang w:val="en-GB" w:eastAsia="sv-SE"/>
        </w:rPr>
        <w:t xml:space="preserve">Dovigo, F. (2020) ‘Through the eyes of inclusion: an evaluation of video analysis as a reflective tool for student teachers within special education’, </w:t>
      </w:r>
      <w:r w:rsidRPr="003F66C1">
        <w:rPr>
          <w:rFonts w:ascii="Times New Roman" w:eastAsia="Times New Roman" w:hAnsi="Times New Roman" w:cs="Times New Roman"/>
          <w:i/>
          <w:iCs/>
          <w:sz w:val="24"/>
          <w:szCs w:val="24"/>
          <w:lang w:val="en-GB" w:eastAsia="sv-SE"/>
        </w:rPr>
        <w:t>European Journal of Teacher Education</w:t>
      </w:r>
      <w:r w:rsidRPr="003F66C1">
        <w:rPr>
          <w:rFonts w:ascii="Times New Roman" w:eastAsia="Times New Roman" w:hAnsi="Times New Roman" w:cs="Times New Roman"/>
          <w:sz w:val="24"/>
          <w:szCs w:val="24"/>
          <w:lang w:val="en-GB" w:eastAsia="sv-SE"/>
        </w:rPr>
        <w:t xml:space="preserve">, 43(1), pp. 110–126. Available at: </w:t>
      </w:r>
      <w:hyperlink r:id="rId16" w:tgtFrame="_new" w:history="1">
        <w:r w:rsidRPr="003F66C1">
          <w:rPr>
            <w:rFonts w:ascii="Times New Roman" w:eastAsia="Times New Roman" w:hAnsi="Times New Roman" w:cs="Times New Roman"/>
            <w:color w:val="0000FF"/>
            <w:sz w:val="24"/>
            <w:szCs w:val="24"/>
            <w:u w:val="single"/>
            <w:lang w:val="en-GB" w:eastAsia="sv-SE"/>
          </w:rPr>
          <w:t>https://doi.org/10.1080/02619768.2019.1693996</w:t>
        </w:r>
      </w:hyperlink>
      <w:r w:rsidRPr="003F66C1">
        <w:rPr>
          <w:rFonts w:ascii="Times New Roman" w:eastAsia="Times New Roman" w:hAnsi="Times New Roman" w:cs="Times New Roman"/>
          <w:sz w:val="24"/>
          <w:szCs w:val="24"/>
          <w:lang w:val="en-GB" w:eastAsia="sv-SE"/>
        </w:rPr>
        <w:t>.</w:t>
      </w:r>
    </w:p>
    <w:p w14:paraId="633FE198" w14:textId="77777777" w:rsidR="003F66C1" w:rsidRPr="003F66C1" w:rsidRDefault="003F66C1" w:rsidP="003F66C1">
      <w:pPr>
        <w:spacing w:before="100" w:beforeAutospacing="1" w:after="100" w:afterAutospacing="1" w:line="240" w:lineRule="auto"/>
        <w:rPr>
          <w:rFonts w:ascii="Times New Roman" w:eastAsia="Times New Roman" w:hAnsi="Times New Roman" w:cs="Times New Roman"/>
          <w:sz w:val="24"/>
          <w:szCs w:val="24"/>
          <w:lang w:val="en-GB" w:eastAsia="sv-SE"/>
        </w:rPr>
      </w:pPr>
      <w:r w:rsidRPr="003F66C1">
        <w:rPr>
          <w:rFonts w:ascii="Times New Roman" w:eastAsia="Times New Roman" w:hAnsi="Times New Roman" w:cs="Times New Roman"/>
          <w:sz w:val="24"/>
          <w:szCs w:val="24"/>
          <w:lang w:val="en-GB" w:eastAsia="sv-SE"/>
        </w:rPr>
        <w:t xml:space="preserve">Fuchs, D. (2024) ‘The elusive meaning of inclusive education in five countries—and the United States’, </w:t>
      </w:r>
      <w:r w:rsidRPr="003F66C1">
        <w:rPr>
          <w:rFonts w:ascii="Times New Roman" w:eastAsia="Times New Roman" w:hAnsi="Times New Roman" w:cs="Times New Roman"/>
          <w:i/>
          <w:iCs/>
          <w:sz w:val="24"/>
          <w:szCs w:val="24"/>
          <w:lang w:val="en-GB" w:eastAsia="sv-SE"/>
        </w:rPr>
        <w:t>Remedial and Special Education</w:t>
      </w:r>
      <w:r w:rsidRPr="003F66C1">
        <w:rPr>
          <w:rFonts w:ascii="Times New Roman" w:eastAsia="Times New Roman" w:hAnsi="Times New Roman" w:cs="Times New Roman"/>
          <w:sz w:val="24"/>
          <w:szCs w:val="24"/>
          <w:lang w:val="en-GB" w:eastAsia="sv-SE"/>
        </w:rPr>
        <w:t xml:space="preserve">, 45(6), pp. 395–401. Available at: </w:t>
      </w:r>
      <w:hyperlink r:id="rId17" w:tgtFrame="_new" w:history="1">
        <w:r w:rsidRPr="003F66C1">
          <w:rPr>
            <w:rFonts w:ascii="Times New Roman" w:eastAsia="Times New Roman" w:hAnsi="Times New Roman" w:cs="Times New Roman"/>
            <w:color w:val="0000FF"/>
            <w:sz w:val="24"/>
            <w:szCs w:val="24"/>
            <w:u w:val="single"/>
            <w:lang w:val="en-GB" w:eastAsia="sv-SE"/>
          </w:rPr>
          <w:t>https://doi.org/10.1177/07419325241268867</w:t>
        </w:r>
      </w:hyperlink>
      <w:r w:rsidRPr="003F66C1">
        <w:rPr>
          <w:rFonts w:ascii="Times New Roman" w:eastAsia="Times New Roman" w:hAnsi="Times New Roman" w:cs="Times New Roman"/>
          <w:sz w:val="24"/>
          <w:szCs w:val="24"/>
          <w:lang w:val="en-GB" w:eastAsia="sv-SE"/>
        </w:rPr>
        <w:t>.</w:t>
      </w:r>
    </w:p>
    <w:p w14:paraId="24BE79B5" w14:textId="77777777" w:rsidR="003F66C1" w:rsidRPr="003F66C1" w:rsidRDefault="003F66C1" w:rsidP="003F66C1">
      <w:pPr>
        <w:spacing w:before="100" w:beforeAutospacing="1" w:after="100" w:afterAutospacing="1" w:line="240" w:lineRule="auto"/>
        <w:rPr>
          <w:rFonts w:ascii="Times New Roman" w:eastAsia="Times New Roman" w:hAnsi="Times New Roman" w:cs="Times New Roman"/>
          <w:sz w:val="24"/>
          <w:szCs w:val="24"/>
          <w:lang w:val="en-GB" w:eastAsia="sv-SE"/>
        </w:rPr>
      </w:pPr>
      <w:r w:rsidRPr="003F66C1">
        <w:rPr>
          <w:rFonts w:ascii="Times New Roman" w:eastAsia="Times New Roman" w:hAnsi="Times New Roman" w:cs="Times New Roman"/>
          <w:sz w:val="24"/>
          <w:szCs w:val="24"/>
          <w:lang w:val="en-GB" w:eastAsia="sv-SE"/>
        </w:rPr>
        <w:t xml:space="preserve">Grooms, A.A. </w:t>
      </w:r>
      <w:r w:rsidRPr="003F66C1">
        <w:rPr>
          <w:rFonts w:ascii="Times New Roman" w:eastAsia="Times New Roman" w:hAnsi="Times New Roman" w:cs="Times New Roman"/>
          <w:i/>
          <w:iCs/>
          <w:sz w:val="24"/>
          <w:szCs w:val="24"/>
          <w:lang w:val="en-GB" w:eastAsia="sv-SE"/>
        </w:rPr>
        <w:t>et al.</w:t>
      </w:r>
      <w:r w:rsidRPr="003F66C1">
        <w:rPr>
          <w:rFonts w:ascii="Times New Roman" w:eastAsia="Times New Roman" w:hAnsi="Times New Roman" w:cs="Times New Roman"/>
          <w:sz w:val="24"/>
          <w:szCs w:val="24"/>
          <w:lang w:val="en-GB" w:eastAsia="sv-SE"/>
        </w:rPr>
        <w:t xml:space="preserve"> (2024) ‘Equity as a crucial component of leadership preparation and practice’, </w:t>
      </w:r>
      <w:r w:rsidRPr="003F66C1">
        <w:rPr>
          <w:rFonts w:ascii="Times New Roman" w:eastAsia="Times New Roman" w:hAnsi="Times New Roman" w:cs="Times New Roman"/>
          <w:i/>
          <w:iCs/>
          <w:sz w:val="24"/>
          <w:szCs w:val="24"/>
          <w:lang w:val="en-GB" w:eastAsia="sv-SE"/>
        </w:rPr>
        <w:t>The Clearing House</w:t>
      </w:r>
      <w:r w:rsidRPr="003F66C1">
        <w:rPr>
          <w:rFonts w:ascii="Times New Roman" w:eastAsia="Times New Roman" w:hAnsi="Times New Roman" w:cs="Times New Roman"/>
          <w:sz w:val="24"/>
          <w:szCs w:val="24"/>
          <w:lang w:val="en-GB" w:eastAsia="sv-SE"/>
        </w:rPr>
        <w:t xml:space="preserve">, 97(1), pp. 8–15. Available at: </w:t>
      </w:r>
      <w:hyperlink r:id="rId18" w:tgtFrame="_new" w:history="1">
        <w:r w:rsidRPr="003F66C1">
          <w:rPr>
            <w:rFonts w:ascii="Times New Roman" w:eastAsia="Times New Roman" w:hAnsi="Times New Roman" w:cs="Times New Roman"/>
            <w:color w:val="0000FF"/>
            <w:sz w:val="24"/>
            <w:szCs w:val="24"/>
            <w:u w:val="single"/>
            <w:lang w:val="en-GB" w:eastAsia="sv-SE"/>
          </w:rPr>
          <w:t>https://doi.org/10.1080/00098655.2023.2286373</w:t>
        </w:r>
      </w:hyperlink>
      <w:r w:rsidRPr="003F66C1">
        <w:rPr>
          <w:rFonts w:ascii="Times New Roman" w:eastAsia="Times New Roman" w:hAnsi="Times New Roman" w:cs="Times New Roman"/>
          <w:sz w:val="24"/>
          <w:szCs w:val="24"/>
          <w:lang w:val="en-GB" w:eastAsia="sv-SE"/>
        </w:rPr>
        <w:t>.</w:t>
      </w:r>
    </w:p>
    <w:p w14:paraId="3A4FE767" w14:textId="77777777" w:rsidR="003F66C1" w:rsidRPr="003F66C1" w:rsidRDefault="003F66C1" w:rsidP="003F66C1">
      <w:pPr>
        <w:spacing w:before="100" w:beforeAutospacing="1" w:after="100" w:afterAutospacing="1" w:line="240" w:lineRule="auto"/>
        <w:rPr>
          <w:rFonts w:ascii="Times New Roman" w:eastAsia="Times New Roman" w:hAnsi="Times New Roman" w:cs="Times New Roman"/>
          <w:sz w:val="24"/>
          <w:szCs w:val="24"/>
          <w:lang w:val="en-GB" w:eastAsia="sv-SE"/>
        </w:rPr>
      </w:pPr>
      <w:r w:rsidRPr="003F66C1">
        <w:rPr>
          <w:rFonts w:ascii="Times New Roman" w:eastAsia="Times New Roman" w:hAnsi="Times New Roman" w:cs="Times New Roman"/>
          <w:sz w:val="24"/>
          <w:szCs w:val="24"/>
          <w:lang w:val="en-GB" w:eastAsia="sv-SE"/>
        </w:rPr>
        <w:lastRenderedPageBreak/>
        <w:t xml:space="preserve">Hegseth, W.M. (2024) ‘Teaching and learning for mutual respect: a framework for disrupting pervasive power asymmetries’, </w:t>
      </w:r>
      <w:r w:rsidRPr="003F66C1">
        <w:rPr>
          <w:rFonts w:ascii="Times New Roman" w:eastAsia="Times New Roman" w:hAnsi="Times New Roman" w:cs="Times New Roman"/>
          <w:i/>
          <w:iCs/>
          <w:sz w:val="24"/>
          <w:szCs w:val="24"/>
          <w:lang w:val="en-GB" w:eastAsia="sv-SE"/>
        </w:rPr>
        <w:t>Educational Researcher</w:t>
      </w:r>
      <w:r w:rsidRPr="003F66C1">
        <w:rPr>
          <w:rFonts w:ascii="Times New Roman" w:eastAsia="Times New Roman" w:hAnsi="Times New Roman" w:cs="Times New Roman"/>
          <w:sz w:val="24"/>
          <w:szCs w:val="24"/>
          <w:lang w:val="en-GB" w:eastAsia="sv-SE"/>
        </w:rPr>
        <w:t xml:space="preserve">, 53(3), pp. 175–183. Available at: </w:t>
      </w:r>
      <w:hyperlink r:id="rId19" w:tgtFrame="_new" w:history="1">
        <w:r w:rsidRPr="003F66C1">
          <w:rPr>
            <w:rFonts w:ascii="Times New Roman" w:eastAsia="Times New Roman" w:hAnsi="Times New Roman" w:cs="Times New Roman"/>
            <w:color w:val="0000FF"/>
            <w:sz w:val="24"/>
            <w:szCs w:val="24"/>
            <w:u w:val="single"/>
            <w:lang w:val="en-GB" w:eastAsia="sv-SE"/>
          </w:rPr>
          <w:t>https://doi.org/10.3102/0013189X241227445</w:t>
        </w:r>
      </w:hyperlink>
      <w:r w:rsidRPr="003F66C1">
        <w:rPr>
          <w:rFonts w:ascii="Times New Roman" w:eastAsia="Times New Roman" w:hAnsi="Times New Roman" w:cs="Times New Roman"/>
          <w:sz w:val="24"/>
          <w:szCs w:val="24"/>
          <w:lang w:val="en-GB" w:eastAsia="sv-SE"/>
        </w:rPr>
        <w:t>.</w:t>
      </w:r>
    </w:p>
    <w:p w14:paraId="45D75C2F" w14:textId="3B8E49C9" w:rsidR="00AE42BD" w:rsidRPr="003F66C1" w:rsidRDefault="003F66C1" w:rsidP="003F66C1">
      <w:pPr>
        <w:spacing w:before="100" w:beforeAutospacing="1" w:after="100" w:afterAutospacing="1" w:line="240" w:lineRule="auto"/>
        <w:rPr>
          <w:rFonts w:ascii="Times New Roman" w:eastAsia="Times New Roman" w:hAnsi="Times New Roman" w:cs="Times New Roman"/>
          <w:sz w:val="24"/>
          <w:szCs w:val="24"/>
          <w:lang w:val="en-GB" w:eastAsia="sv-SE"/>
        </w:rPr>
      </w:pPr>
      <w:r w:rsidRPr="003F66C1">
        <w:rPr>
          <w:rFonts w:ascii="Times New Roman" w:eastAsia="Times New Roman" w:hAnsi="Times New Roman" w:cs="Times New Roman"/>
          <w:sz w:val="24"/>
          <w:szCs w:val="24"/>
          <w:lang w:val="en-GB" w:eastAsia="sv-SE"/>
        </w:rPr>
        <w:t xml:space="preserve">Jia, L., Tan, R. and Santi, M. (2022) ‘Teachers’ understanding of inclusive education: comparing perspectives in China and Italy’, </w:t>
      </w:r>
      <w:r w:rsidRPr="003F66C1">
        <w:rPr>
          <w:rFonts w:ascii="Times New Roman" w:eastAsia="Times New Roman" w:hAnsi="Times New Roman" w:cs="Times New Roman"/>
          <w:i/>
          <w:iCs/>
          <w:sz w:val="24"/>
          <w:szCs w:val="24"/>
          <w:lang w:val="en-GB" w:eastAsia="sv-SE"/>
        </w:rPr>
        <w:t>Asia Pacific Journal of Education</w:t>
      </w:r>
      <w:r w:rsidRPr="003F66C1">
        <w:rPr>
          <w:rFonts w:ascii="Times New Roman" w:eastAsia="Times New Roman" w:hAnsi="Times New Roman" w:cs="Times New Roman"/>
          <w:sz w:val="24"/>
          <w:szCs w:val="24"/>
          <w:lang w:val="en-GB" w:eastAsia="sv-SE"/>
        </w:rPr>
        <w:t xml:space="preserve">, 44(2), pp. 503–515. Available at: </w:t>
      </w:r>
      <w:hyperlink r:id="rId20" w:history="1">
        <w:r w:rsidR="00AE42BD" w:rsidRPr="003F66C1">
          <w:rPr>
            <w:rStyle w:val="Hyperlnk"/>
            <w:rFonts w:ascii="Times New Roman" w:eastAsia="Times New Roman" w:hAnsi="Times New Roman" w:cs="Times New Roman"/>
            <w:sz w:val="24"/>
            <w:szCs w:val="24"/>
            <w:lang w:val="en-GB" w:eastAsia="sv-SE"/>
          </w:rPr>
          <w:t>https://doi.org/10.1080/02188791.2022.2066628</w:t>
        </w:r>
      </w:hyperlink>
      <w:r w:rsidRPr="003F66C1">
        <w:rPr>
          <w:rFonts w:ascii="Times New Roman" w:eastAsia="Times New Roman" w:hAnsi="Times New Roman" w:cs="Times New Roman"/>
          <w:sz w:val="24"/>
          <w:szCs w:val="24"/>
          <w:lang w:val="en-GB" w:eastAsia="sv-SE"/>
        </w:rPr>
        <w:t>.</w:t>
      </w:r>
    </w:p>
    <w:p w14:paraId="42BD64B7" w14:textId="77777777" w:rsidR="003F66C1" w:rsidRPr="003F66C1" w:rsidRDefault="003F66C1" w:rsidP="003F66C1">
      <w:pPr>
        <w:spacing w:before="100" w:beforeAutospacing="1" w:after="100" w:afterAutospacing="1" w:line="240" w:lineRule="auto"/>
        <w:rPr>
          <w:rFonts w:ascii="Times New Roman" w:eastAsia="Times New Roman" w:hAnsi="Times New Roman" w:cs="Times New Roman"/>
          <w:sz w:val="24"/>
          <w:szCs w:val="24"/>
          <w:lang w:val="en-GB" w:eastAsia="sv-SE"/>
        </w:rPr>
      </w:pPr>
      <w:r w:rsidRPr="003F66C1">
        <w:rPr>
          <w:rFonts w:ascii="Times New Roman" w:eastAsia="Times New Roman" w:hAnsi="Times New Roman" w:cs="Times New Roman"/>
          <w:sz w:val="24"/>
          <w:szCs w:val="24"/>
          <w:lang w:val="en-GB" w:eastAsia="sv-SE"/>
        </w:rPr>
        <w:t xml:space="preserve">Johnson, G.S. and Purgason, L.L. (2021) ‘School counselors’ experiences with ethical decision making’, </w:t>
      </w:r>
      <w:r w:rsidRPr="003F66C1">
        <w:rPr>
          <w:rFonts w:ascii="Times New Roman" w:eastAsia="Times New Roman" w:hAnsi="Times New Roman" w:cs="Times New Roman"/>
          <w:i/>
          <w:iCs/>
          <w:sz w:val="24"/>
          <w:szCs w:val="24"/>
          <w:lang w:val="en-GB" w:eastAsia="sv-SE"/>
        </w:rPr>
        <w:t>Professional School Counseling</w:t>
      </w:r>
      <w:r w:rsidRPr="003F66C1">
        <w:rPr>
          <w:rFonts w:ascii="Times New Roman" w:eastAsia="Times New Roman" w:hAnsi="Times New Roman" w:cs="Times New Roman"/>
          <w:sz w:val="24"/>
          <w:szCs w:val="24"/>
          <w:lang w:val="en-GB" w:eastAsia="sv-SE"/>
        </w:rPr>
        <w:t xml:space="preserve">, 25(1), p. 2156759X2110186. Available at: </w:t>
      </w:r>
      <w:hyperlink r:id="rId21" w:tgtFrame="_new" w:history="1">
        <w:r w:rsidRPr="003F66C1">
          <w:rPr>
            <w:rFonts w:ascii="Times New Roman" w:eastAsia="Times New Roman" w:hAnsi="Times New Roman" w:cs="Times New Roman"/>
            <w:color w:val="0000FF"/>
            <w:sz w:val="24"/>
            <w:szCs w:val="24"/>
            <w:u w:val="single"/>
            <w:lang w:val="en-GB" w:eastAsia="sv-SE"/>
          </w:rPr>
          <w:t>https://doi.org/10.1177/2156759X211018640</w:t>
        </w:r>
      </w:hyperlink>
      <w:r w:rsidRPr="003F66C1">
        <w:rPr>
          <w:rFonts w:ascii="Times New Roman" w:eastAsia="Times New Roman" w:hAnsi="Times New Roman" w:cs="Times New Roman"/>
          <w:sz w:val="24"/>
          <w:szCs w:val="24"/>
          <w:lang w:val="en-GB" w:eastAsia="sv-SE"/>
        </w:rPr>
        <w:t>.</w:t>
      </w:r>
    </w:p>
    <w:p w14:paraId="76CD911A" w14:textId="77777777" w:rsidR="003F66C1" w:rsidRPr="003F66C1" w:rsidRDefault="003F66C1" w:rsidP="003F66C1">
      <w:pPr>
        <w:spacing w:before="100" w:beforeAutospacing="1" w:after="100" w:afterAutospacing="1" w:line="240" w:lineRule="auto"/>
        <w:rPr>
          <w:rFonts w:ascii="Times New Roman" w:eastAsia="Times New Roman" w:hAnsi="Times New Roman" w:cs="Times New Roman"/>
          <w:sz w:val="24"/>
          <w:szCs w:val="24"/>
          <w:lang w:val="en-GB" w:eastAsia="sv-SE"/>
        </w:rPr>
      </w:pPr>
      <w:r w:rsidRPr="003F66C1">
        <w:rPr>
          <w:rFonts w:ascii="Times New Roman" w:eastAsia="Times New Roman" w:hAnsi="Times New Roman" w:cs="Times New Roman"/>
          <w:sz w:val="24"/>
          <w:szCs w:val="24"/>
          <w:lang w:val="en-GB" w:eastAsia="sv-SE"/>
        </w:rPr>
        <w:t xml:space="preserve">Kahmann, R., Droop, M. and Lazonder, A.W. (2024) ‘Dutch elementary school teachers’ differentiation practices during science and technology lessons’, </w:t>
      </w:r>
      <w:r w:rsidRPr="003F66C1">
        <w:rPr>
          <w:rFonts w:ascii="Times New Roman" w:eastAsia="Times New Roman" w:hAnsi="Times New Roman" w:cs="Times New Roman"/>
          <w:i/>
          <w:iCs/>
          <w:sz w:val="24"/>
          <w:szCs w:val="24"/>
          <w:lang w:val="en-GB" w:eastAsia="sv-SE"/>
        </w:rPr>
        <w:t>Teaching and Teacher Education</w:t>
      </w:r>
      <w:r w:rsidRPr="003F66C1">
        <w:rPr>
          <w:rFonts w:ascii="Times New Roman" w:eastAsia="Times New Roman" w:hAnsi="Times New Roman" w:cs="Times New Roman"/>
          <w:sz w:val="24"/>
          <w:szCs w:val="24"/>
          <w:lang w:val="en-GB" w:eastAsia="sv-SE"/>
        </w:rPr>
        <w:t xml:space="preserve">, 145. Available at: </w:t>
      </w:r>
      <w:hyperlink r:id="rId22" w:tgtFrame="_new" w:history="1">
        <w:r w:rsidRPr="003F66C1">
          <w:rPr>
            <w:rFonts w:ascii="Times New Roman" w:eastAsia="Times New Roman" w:hAnsi="Times New Roman" w:cs="Times New Roman"/>
            <w:color w:val="0000FF"/>
            <w:sz w:val="24"/>
            <w:szCs w:val="24"/>
            <w:u w:val="single"/>
            <w:lang w:val="en-GB" w:eastAsia="sv-SE"/>
          </w:rPr>
          <w:t>https://doi.org/10.1016/j.tate.2024.104626</w:t>
        </w:r>
      </w:hyperlink>
      <w:r w:rsidRPr="003F66C1">
        <w:rPr>
          <w:rFonts w:ascii="Times New Roman" w:eastAsia="Times New Roman" w:hAnsi="Times New Roman" w:cs="Times New Roman"/>
          <w:sz w:val="24"/>
          <w:szCs w:val="24"/>
          <w:lang w:val="en-GB" w:eastAsia="sv-SE"/>
        </w:rPr>
        <w:t>.</w:t>
      </w:r>
    </w:p>
    <w:p w14:paraId="47447D5E" w14:textId="77777777" w:rsidR="003F66C1" w:rsidRPr="003F66C1" w:rsidRDefault="003F66C1" w:rsidP="003F66C1">
      <w:pPr>
        <w:spacing w:before="100" w:beforeAutospacing="1" w:after="100" w:afterAutospacing="1" w:line="240" w:lineRule="auto"/>
        <w:rPr>
          <w:rFonts w:ascii="Times New Roman" w:eastAsia="Times New Roman" w:hAnsi="Times New Roman" w:cs="Times New Roman"/>
          <w:sz w:val="24"/>
          <w:szCs w:val="24"/>
          <w:lang w:val="en-GB" w:eastAsia="sv-SE"/>
        </w:rPr>
      </w:pPr>
      <w:r w:rsidRPr="003F66C1">
        <w:rPr>
          <w:rFonts w:ascii="Times New Roman" w:eastAsia="Times New Roman" w:hAnsi="Times New Roman" w:cs="Times New Roman"/>
          <w:sz w:val="24"/>
          <w:szCs w:val="24"/>
          <w:lang w:val="en-GB" w:eastAsia="sv-SE"/>
        </w:rPr>
        <w:t xml:space="preserve">Lüddeckens, J. (2025) ‘Bridging policy and practice: a review of school leadership in differentiation from a system perspective’, </w:t>
      </w:r>
      <w:r w:rsidRPr="003F66C1">
        <w:rPr>
          <w:rFonts w:ascii="Times New Roman" w:eastAsia="Times New Roman" w:hAnsi="Times New Roman" w:cs="Times New Roman"/>
          <w:i/>
          <w:iCs/>
          <w:sz w:val="24"/>
          <w:szCs w:val="24"/>
          <w:lang w:val="en-GB" w:eastAsia="sv-SE"/>
        </w:rPr>
        <w:t>Cogent Education</w:t>
      </w:r>
      <w:r w:rsidRPr="003F66C1">
        <w:rPr>
          <w:rFonts w:ascii="Times New Roman" w:eastAsia="Times New Roman" w:hAnsi="Times New Roman" w:cs="Times New Roman"/>
          <w:sz w:val="24"/>
          <w:szCs w:val="24"/>
          <w:lang w:val="en-GB" w:eastAsia="sv-SE"/>
        </w:rPr>
        <w:t xml:space="preserve">, 12(1). Available at: </w:t>
      </w:r>
      <w:hyperlink r:id="rId23" w:tgtFrame="_new" w:history="1">
        <w:r w:rsidRPr="003F66C1">
          <w:rPr>
            <w:rFonts w:ascii="Times New Roman" w:eastAsia="Times New Roman" w:hAnsi="Times New Roman" w:cs="Times New Roman"/>
            <w:color w:val="0000FF"/>
            <w:sz w:val="24"/>
            <w:szCs w:val="24"/>
            <w:u w:val="single"/>
            <w:lang w:val="en-GB" w:eastAsia="sv-SE"/>
          </w:rPr>
          <w:t>https://doi.org/10.1080/2331186X.2025.2564494</w:t>
        </w:r>
      </w:hyperlink>
      <w:r w:rsidRPr="003F66C1">
        <w:rPr>
          <w:rFonts w:ascii="Times New Roman" w:eastAsia="Times New Roman" w:hAnsi="Times New Roman" w:cs="Times New Roman"/>
          <w:sz w:val="24"/>
          <w:szCs w:val="24"/>
          <w:lang w:val="en-GB" w:eastAsia="sv-SE"/>
        </w:rPr>
        <w:t>.</w:t>
      </w:r>
    </w:p>
    <w:p w14:paraId="298A60C8" w14:textId="77777777" w:rsidR="003F66C1" w:rsidRPr="003F66C1" w:rsidRDefault="003F66C1" w:rsidP="003F66C1">
      <w:pPr>
        <w:spacing w:before="100" w:beforeAutospacing="1" w:after="100" w:afterAutospacing="1" w:line="240" w:lineRule="auto"/>
        <w:rPr>
          <w:rFonts w:ascii="Times New Roman" w:eastAsia="Times New Roman" w:hAnsi="Times New Roman" w:cs="Times New Roman"/>
          <w:sz w:val="24"/>
          <w:szCs w:val="24"/>
          <w:lang w:val="en-GB" w:eastAsia="sv-SE"/>
        </w:rPr>
      </w:pPr>
      <w:r w:rsidRPr="003F66C1">
        <w:rPr>
          <w:rFonts w:ascii="Times New Roman" w:eastAsia="Times New Roman" w:hAnsi="Times New Roman" w:cs="Times New Roman"/>
          <w:sz w:val="24"/>
          <w:szCs w:val="24"/>
          <w:lang w:val="en-GB" w:eastAsia="sv-SE"/>
        </w:rPr>
        <w:t xml:space="preserve">Molyneux, T.M. and Diamond, A. (2025) ‘Integrating social and emotional learning into mathematics education: a multiple case study of JUMP Math’s approach’, </w:t>
      </w:r>
      <w:proofErr w:type="spellStart"/>
      <w:r w:rsidRPr="003F66C1">
        <w:rPr>
          <w:rFonts w:ascii="Times New Roman" w:eastAsia="Times New Roman" w:hAnsi="Times New Roman" w:cs="Times New Roman"/>
          <w:i/>
          <w:iCs/>
          <w:sz w:val="24"/>
          <w:szCs w:val="24"/>
          <w:lang w:val="en-GB" w:eastAsia="sv-SE"/>
        </w:rPr>
        <w:t>Behavioral</w:t>
      </w:r>
      <w:proofErr w:type="spellEnd"/>
      <w:r w:rsidRPr="003F66C1">
        <w:rPr>
          <w:rFonts w:ascii="Times New Roman" w:eastAsia="Times New Roman" w:hAnsi="Times New Roman" w:cs="Times New Roman"/>
          <w:i/>
          <w:iCs/>
          <w:sz w:val="24"/>
          <w:szCs w:val="24"/>
          <w:lang w:val="en-GB" w:eastAsia="sv-SE"/>
        </w:rPr>
        <w:t xml:space="preserve"> Sciences</w:t>
      </w:r>
      <w:r w:rsidRPr="003F66C1">
        <w:rPr>
          <w:rFonts w:ascii="Times New Roman" w:eastAsia="Times New Roman" w:hAnsi="Times New Roman" w:cs="Times New Roman"/>
          <w:sz w:val="24"/>
          <w:szCs w:val="24"/>
          <w:lang w:val="en-GB" w:eastAsia="sv-SE"/>
        </w:rPr>
        <w:t xml:space="preserve">, 15(10), p. 1426. Available at: </w:t>
      </w:r>
      <w:hyperlink r:id="rId24" w:tgtFrame="_new" w:history="1">
        <w:r w:rsidRPr="003F66C1">
          <w:rPr>
            <w:rFonts w:ascii="Times New Roman" w:eastAsia="Times New Roman" w:hAnsi="Times New Roman" w:cs="Times New Roman"/>
            <w:color w:val="0000FF"/>
            <w:sz w:val="24"/>
            <w:szCs w:val="24"/>
            <w:u w:val="single"/>
            <w:lang w:val="en-GB" w:eastAsia="sv-SE"/>
          </w:rPr>
          <w:t>https://doi.org/10.3390/bs15101426</w:t>
        </w:r>
      </w:hyperlink>
      <w:r w:rsidRPr="003F66C1">
        <w:rPr>
          <w:rFonts w:ascii="Times New Roman" w:eastAsia="Times New Roman" w:hAnsi="Times New Roman" w:cs="Times New Roman"/>
          <w:sz w:val="24"/>
          <w:szCs w:val="24"/>
          <w:lang w:val="en-GB" w:eastAsia="sv-SE"/>
        </w:rPr>
        <w:t>.</w:t>
      </w:r>
    </w:p>
    <w:p w14:paraId="3CAFA622" w14:textId="3037F9DD" w:rsidR="003F66C1" w:rsidRDefault="003F66C1" w:rsidP="003F66C1">
      <w:pPr>
        <w:spacing w:before="100" w:beforeAutospacing="1" w:after="100" w:afterAutospacing="1" w:line="240" w:lineRule="auto"/>
        <w:rPr>
          <w:rFonts w:ascii="Times New Roman" w:eastAsia="Times New Roman" w:hAnsi="Times New Roman" w:cs="Times New Roman"/>
          <w:sz w:val="24"/>
          <w:szCs w:val="24"/>
          <w:lang w:val="en-GB" w:eastAsia="sv-SE"/>
        </w:rPr>
      </w:pPr>
      <w:r w:rsidRPr="003F66C1">
        <w:rPr>
          <w:rFonts w:ascii="Times New Roman" w:eastAsia="Times New Roman" w:hAnsi="Times New Roman" w:cs="Times New Roman"/>
          <w:sz w:val="24"/>
          <w:szCs w:val="24"/>
          <w:lang w:val="en-GB" w:eastAsia="sv-SE"/>
        </w:rPr>
        <w:t xml:space="preserve">Männistö, P.M. and Moate, J. (2024) ‘A phenomenological study of democracy education in a Finnish primary school’, </w:t>
      </w:r>
      <w:r w:rsidRPr="003F66C1">
        <w:rPr>
          <w:rFonts w:ascii="Times New Roman" w:eastAsia="Times New Roman" w:hAnsi="Times New Roman" w:cs="Times New Roman"/>
          <w:i/>
          <w:iCs/>
          <w:sz w:val="24"/>
          <w:szCs w:val="24"/>
          <w:lang w:val="en-GB" w:eastAsia="sv-SE"/>
        </w:rPr>
        <w:t>Scandinavian Journal of Educational Research</w:t>
      </w:r>
      <w:r w:rsidRPr="003F66C1">
        <w:rPr>
          <w:rFonts w:ascii="Times New Roman" w:eastAsia="Times New Roman" w:hAnsi="Times New Roman" w:cs="Times New Roman"/>
          <w:sz w:val="24"/>
          <w:szCs w:val="24"/>
          <w:lang w:val="en-GB" w:eastAsia="sv-SE"/>
        </w:rPr>
        <w:t xml:space="preserve">, 68(5), pp. 1025–1038. Available at: </w:t>
      </w:r>
      <w:hyperlink r:id="rId25" w:history="1">
        <w:r w:rsidR="00AE42BD" w:rsidRPr="003F66C1">
          <w:rPr>
            <w:rStyle w:val="Hyperlnk"/>
            <w:rFonts w:ascii="Times New Roman" w:eastAsia="Times New Roman" w:hAnsi="Times New Roman" w:cs="Times New Roman"/>
            <w:sz w:val="24"/>
            <w:szCs w:val="24"/>
            <w:lang w:val="en-GB" w:eastAsia="sv-SE"/>
          </w:rPr>
          <w:t>https://doi.org/10.1080/00313831.2023.2196525</w:t>
        </w:r>
      </w:hyperlink>
      <w:r w:rsidRPr="003F66C1">
        <w:rPr>
          <w:rFonts w:ascii="Times New Roman" w:eastAsia="Times New Roman" w:hAnsi="Times New Roman" w:cs="Times New Roman"/>
          <w:sz w:val="24"/>
          <w:szCs w:val="24"/>
          <w:lang w:val="en-GB" w:eastAsia="sv-SE"/>
        </w:rPr>
        <w:t>.</w:t>
      </w:r>
    </w:p>
    <w:p w14:paraId="5F1A323D" w14:textId="27343137" w:rsidR="00417881" w:rsidRDefault="00417881" w:rsidP="00430E8A">
      <w:pPr>
        <w:spacing w:after="0" w:line="240" w:lineRule="auto"/>
        <w:rPr>
          <w:rFonts w:ascii="Times New Roman" w:eastAsia="Times New Roman" w:hAnsi="Times New Roman" w:cs="Times New Roman"/>
          <w:sz w:val="24"/>
          <w:szCs w:val="24"/>
          <w:lang w:val="en-GB" w:eastAsia="sv-SE"/>
        </w:rPr>
      </w:pPr>
      <w:r w:rsidRPr="00417881">
        <w:rPr>
          <w:rFonts w:ascii="Times New Roman" w:eastAsia="Times New Roman" w:hAnsi="Times New Roman" w:cs="Times New Roman"/>
          <w:sz w:val="24"/>
          <w:szCs w:val="24"/>
          <w:lang w:val="en-GB" w:eastAsia="sv-SE"/>
        </w:rPr>
        <w:t xml:space="preserve">Nepal, S., Walker, S. and Dillon-Wallace, J. (2024) “How do Australian pre-service teachers understand differentiated instruction and associated concepts of inclusion and </w:t>
      </w:r>
      <w:proofErr w:type="gramStart"/>
      <w:r w:rsidRPr="00417881">
        <w:rPr>
          <w:rFonts w:ascii="Times New Roman" w:eastAsia="Times New Roman" w:hAnsi="Times New Roman" w:cs="Times New Roman"/>
          <w:sz w:val="24"/>
          <w:szCs w:val="24"/>
          <w:lang w:val="en-GB" w:eastAsia="sv-SE"/>
        </w:rPr>
        <w:t>diversity?,</w:t>
      </w:r>
      <w:proofErr w:type="gramEnd"/>
      <w:r w:rsidRPr="00417881">
        <w:rPr>
          <w:rFonts w:ascii="Times New Roman" w:eastAsia="Times New Roman" w:hAnsi="Times New Roman" w:cs="Times New Roman"/>
          <w:sz w:val="24"/>
          <w:szCs w:val="24"/>
          <w:lang w:val="en-GB" w:eastAsia="sv-SE"/>
        </w:rPr>
        <w:t xml:space="preserve">” </w:t>
      </w:r>
      <w:r w:rsidRPr="00417881">
        <w:rPr>
          <w:rFonts w:ascii="Times New Roman" w:eastAsia="Times New Roman" w:hAnsi="Times New Roman" w:cs="Times New Roman"/>
          <w:i/>
          <w:iCs/>
          <w:sz w:val="24"/>
          <w:szCs w:val="24"/>
          <w:lang w:val="en-GB" w:eastAsia="sv-SE"/>
        </w:rPr>
        <w:t>International journal of inclusive education</w:t>
      </w:r>
      <w:r w:rsidRPr="00417881">
        <w:rPr>
          <w:rFonts w:ascii="Times New Roman" w:eastAsia="Times New Roman" w:hAnsi="Times New Roman" w:cs="Times New Roman"/>
          <w:sz w:val="24"/>
          <w:szCs w:val="24"/>
          <w:lang w:val="en-GB" w:eastAsia="sv-SE"/>
        </w:rPr>
        <w:t xml:space="preserve">, 28(2), pp. 109–123. Available at: </w:t>
      </w:r>
      <w:hyperlink r:id="rId26" w:history="1">
        <w:r w:rsidRPr="00417881">
          <w:rPr>
            <w:rStyle w:val="Hyperlnk"/>
            <w:rFonts w:ascii="Times New Roman" w:eastAsia="Times New Roman" w:hAnsi="Times New Roman" w:cs="Times New Roman"/>
            <w:sz w:val="24"/>
            <w:szCs w:val="24"/>
            <w:lang w:val="en-GB" w:eastAsia="sv-SE"/>
          </w:rPr>
          <w:t>https://doi.org/10.1080/13603116.2021.1916111</w:t>
        </w:r>
      </w:hyperlink>
      <w:r w:rsidRPr="00417881">
        <w:rPr>
          <w:rFonts w:ascii="Times New Roman" w:eastAsia="Times New Roman" w:hAnsi="Times New Roman" w:cs="Times New Roman"/>
          <w:sz w:val="24"/>
          <w:szCs w:val="24"/>
          <w:lang w:val="en-GB" w:eastAsia="sv-SE"/>
        </w:rPr>
        <w:t>.</w:t>
      </w:r>
    </w:p>
    <w:p w14:paraId="70A6B222" w14:textId="77777777" w:rsidR="00430E8A" w:rsidRDefault="00430E8A" w:rsidP="00430E8A">
      <w:pPr>
        <w:spacing w:after="0" w:line="240" w:lineRule="auto"/>
        <w:rPr>
          <w:rFonts w:ascii="Times New Roman" w:eastAsia="Times New Roman" w:hAnsi="Times New Roman" w:cs="Times New Roman"/>
          <w:sz w:val="24"/>
          <w:szCs w:val="24"/>
          <w:lang w:val="en-GB" w:eastAsia="sv-SE"/>
        </w:rPr>
      </w:pPr>
    </w:p>
    <w:p w14:paraId="46EE35A1" w14:textId="77777777" w:rsidR="003F66C1" w:rsidRPr="003F66C1" w:rsidRDefault="003F66C1" w:rsidP="003F66C1">
      <w:pPr>
        <w:spacing w:before="100" w:beforeAutospacing="1" w:after="100" w:afterAutospacing="1" w:line="240" w:lineRule="auto"/>
        <w:rPr>
          <w:rFonts w:ascii="Times New Roman" w:eastAsia="Times New Roman" w:hAnsi="Times New Roman" w:cs="Times New Roman"/>
          <w:sz w:val="24"/>
          <w:szCs w:val="24"/>
          <w:lang w:val="en-GB" w:eastAsia="sv-SE"/>
        </w:rPr>
      </w:pPr>
      <w:r w:rsidRPr="003F66C1">
        <w:rPr>
          <w:rFonts w:ascii="Times New Roman" w:eastAsia="Times New Roman" w:hAnsi="Times New Roman" w:cs="Times New Roman"/>
          <w:sz w:val="24"/>
          <w:szCs w:val="24"/>
          <w:lang w:val="en-GB" w:eastAsia="sv-SE"/>
        </w:rPr>
        <w:t xml:space="preserve">Nilholm, C. (2021) ‘Research about inclusive education in 2020: how can we improve our theories in order to change practice?’, </w:t>
      </w:r>
      <w:r w:rsidRPr="003F66C1">
        <w:rPr>
          <w:rFonts w:ascii="Times New Roman" w:eastAsia="Times New Roman" w:hAnsi="Times New Roman" w:cs="Times New Roman"/>
          <w:i/>
          <w:iCs/>
          <w:sz w:val="24"/>
          <w:szCs w:val="24"/>
          <w:lang w:val="en-GB" w:eastAsia="sv-SE"/>
        </w:rPr>
        <w:t>European Journal of Special Needs Education</w:t>
      </w:r>
      <w:r w:rsidRPr="003F66C1">
        <w:rPr>
          <w:rFonts w:ascii="Times New Roman" w:eastAsia="Times New Roman" w:hAnsi="Times New Roman" w:cs="Times New Roman"/>
          <w:sz w:val="24"/>
          <w:szCs w:val="24"/>
          <w:lang w:val="en-GB" w:eastAsia="sv-SE"/>
        </w:rPr>
        <w:t xml:space="preserve">, 36(3), pp. 358–370. Available at: </w:t>
      </w:r>
      <w:hyperlink r:id="rId27" w:tgtFrame="_new" w:history="1">
        <w:r w:rsidRPr="003F66C1">
          <w:rPr>
            <w:rFonts w:ascii="Times New Roman" w:eastAsia="Times New Roman" w:hAnsi="Times New Roman" w:cs="Times New Roman"/>
            <w:color w:val="0000FF"/>
            <w:sz w:val="24"/>
            <w:szCs w:val="24"/>
            <w:u w:val="single"/>
            <w:lang w:val="en-GB" w:eastAsia="sv-SE"/>
          </w:rPr>
          <w:t>https://doi.org/10.1080/08856257.2020.1754547</w:t>
        </w:r>
      </w:hyperlink>
      <w:r w:rsidRPr="003F66C1">
        <w:rPr>
          <w:rFonts w:ascii="Times New Roman" w:eastAsia="Times New Roman" w:hAnsi="Times New Roman" w:cs="Times New Roman"/>
          <w:sz w:val="24"/>
          <w:szCs w:val="24"/>
          <w:lang w:val="en-GB" w:eastAsia="sv-SE"/>
        </w:rPr>
        <w:t>.</w:t>
      </w:r>
    </w:p>
    <w:p w14:paraId="3B8C3EA0" w14:textId="77777777" w:rsidR="003F66C1" w:rsidRPr="003F66C1" w:rsidRDefault="003F66C1" w:rsidP="003F66C1">
      <w:pPr>
        <w:spacing w:before="100" w:beforeAutospacing="1" w:after="100" w:afterAutospacing="1" w:line="240" w:lineRule="auto"/>
        <w:rPr>
          <w:rFonts w:ascii="Times New Roman" w:eastAsia="Times New Roman" w:hAnsi="Times New Roman" w:cs="Times New Roman"/>
          <w:sz w:val="24"/>
          <w:szCs w:val="24"/>
          <w:lang w:val="en-GB" w:eastAsia="sv-SE"/>
        </w:rPr>
      </w:pPr>
      <w:r w:rsidRPr="003F66C1">
        <w:rPr>
          <w:rFonts w:ascii="Times New Roman" w:eastAsia="Times New Roman" w:hAnsi="Times New Roman" w:cs="Times New Roman"/>
          <w:sz w:val="24"/>
          <w:szCs w:val="24"/>
          <w:lang w:val="en-GB" w:eastAsia="sv-SE"/>
        </w:rPr>
        <w:t xml:space="preserve">Paulsrud, D. (2022) ‘Inclusion in the light of competing educational ideals: Swedish policy approaches to differentiation and their implications for inclusive education’, </w:t>
      </w:r>
      <w:r w:rsidRPr="003F66C1">
        <w:rPr>
          <w:rFonts w:ascii="Times New Roman" w:eastAsia="Times New Roman" w:hAnsi="Times New Roman" w:cs="Times New Roman"/>
          <w:i/>
          <w:iCs/>
          <w:sz w:val="24"/>
          <w:szCs w:val="24"/>
          <w:lang w:val="en-GB" w:eastAsia="sv-SE"/>
        </w:rPr>
        <w:t>Nordic Journal of Studies in Educational Policy</w:t>
      </w:r>
      <w:r w:rsidRPr="003F66C1">
        <w:rPr>
          <w:rFonts w:ascii="Times New Roman" w:eastAsia="Times New Roman" w:hAnsi="Times New Roman" w:cs="Times New Roman"/>
          <w:sz w:val="24"/>
          <w:szCs w:val="24"/>
          <w:lang w:val="en-GB" w:eastAsia="sv-SE"/>
        </w:rPr>
        <w:t xml:space="preserve">, 8(3), pp. 171–183. Available at: </w:t>
      </w:r>
      <w:hyperlink r:id="rId28" w:tgtFrame="_new" w:history="1">
        <w:r w:rsidRPr="003F66C1">
          <w:rPr>
            <w:rFonts w:ascii="Times New Roman" w:eastAsia="Times New Roman" w:hAnsi="Times New Roman" w:cs="Times New Roman"/>
            <w:color w:val="0000FF"/>
            <w:sz w:val="24"/>
            <w:szCs w:val="24"/>
            <w:u w:val="single"/>
            <w:lang w:val="en-GB" w:eastAsia="sv-SE"/>
          </w:rPr>
          <w:t>https://doi.org/10.1080/20020317.2022.2083053</w:t>
        </w:r>
      </w:hyperlink>
      <w:r w:rsidRPr="003F66C1">
        <w:rPr>
          <w:rFonts w:ascii="Times New Roman" w:eastAsia="Times New Roman" w:hAnsi="Times New Roman" w:cs="Times New Roman"/>
          <w:sz w:val="24"/>
          <w:szCs w:val="24"/>
          <w:lang w:val="en-GB" w:eastAsia="sv-SE"/>
        </w:rPr>
        <w:t>.</w:t>
      </w:r>
    </w:p>
    <w:p w14:paraId="0E4B5180" w14:textId="77777777" w:rsidR="003F66C1" w:rsidRPr="003F66C1" w:rsidRDefault="003F66C1" w:rsidP="003F66C1">
      <w:pPr>
        <w:spacing w:before="100" w:beforeAutospacing="1" w:after="100" w:afterAutospacing="1" w:line="240" w:lineRule="auto"/>
        <w:rPr>
          <w:rFonts w:ascii="Times New Roman" w:eastAsia="Times New Roman" w:hAnsi="Times New Roman" w:cs="Times New Roman"/>
          <w:sz w:val="24"/>
          <w:szCs w:val="24"/>
          <w:lang w:val="en-GB" w:eastAsia="sv-SE"/>
        </w:rPr>
      </w:pPr>
      <w:r w:rsidRPr="003F66C1">
        <w:rPr>
          <w:rFonts w:ascii="Times New Roman" w:eastAsia="Times New Roman" w:hAnsi="Times New Roman" w:cs="Times New Roman"/>
          <w:sz w:val="24"/>
          <w:szCs w:val="24"/>
          <w:lang w:val="en-GB" w:eastAsia="sv-SE"/>
        </w:rPr>
        <w:t xml:space="preserve">Pearl, J. (2024) ‘Realising inclusivity in schools’, </w:t>
      </w:r>
      <w:r w:rsidRPr="003F66C1">
        <w:rPr>
          <w:rFonts w:ascii="Times New Roman" w:eastAsia="Times New Roman" w:hAnsi="Times New Roman" w:cs="Times New Roman"/>
          <w:i/>
          <w:iCs/>
          <w:sz w:val="24"/>
          <w:szCs w:val="24"/>
          <w:lang w:val="en-GB" w:eastAsia="sv-SE"/>
        </w:rPr>
        <w:t>I-Manager’s Journal on School Educational Technology</w:t>
      </w:r>
      <w:r w:rsidRPr="003F66C1">
        <w:rPr>
          <w:rFonts w:ascii="Times New Roman" w:eastAsia="Times New Roman" w:hAnsi="Times New Roman" w:cs="Times New Roman"/>
          <w:sz w:val="24"/>
          <w:szCs w:val="24"/>
          <w:lang w:val="en-GB" w:eastAsia="sv-SE"/>
        </w:rPr>
        <w:t xml:space="preserve">, 19(3), p. 16. Available at: </w:t>
      </w:r>
      <w:hyperlink r:id="rId29" w:tgtFrame="_new" w:history="1">
        <w:r w:rsidRPr="003F66C1">
          <w:rPr>
            <w:rFonts w:ascii="Times New Roman" w:eastAsia="Times New Roman" w:hAnsi="Times New Roman" w:cs="Times New Roman"/>
            <w:color w:val="0000FF"/>
            <w:sz w:val="24"/>
            <w:szCs w:val="24"/>
            <w:u w:val="single"/>
            <w:lang w:val="en-GB" w:eastAsia="sv-SE"/>
          </w:rPr>
          <w:t>https://doi.org/10.26634/jsch.19.3.20379</w:t>
        </w:r>
      </w:hyperlink>
      <w:r w:rsidRPr="003F66C1">
        <w:rPr>
          <w:rFonts w:ascii="Times New Roman" w:eastAsia="Times New Roman" w:hAnsi="Times New Roman" w:cs="Times New Roman"/>
          <w:sz w:val="24"/>
          <w:szCs w:val="24"/>
          <w:lang w:val="en-GB" w:eastAsia="sv-SE"/>
        </w:rPr>
        <w:t>.</w:t>
      </w:r>
    </w:p>
    <w:p w14:paraId="7A825903" w14:textId="77777777" w:rsidR="003F66C1" w:rsidRPr="003F66C1" w:rsidRDefault="003F66C1" w:rsidP="003F66C1">
      <w:pPr>
        <w:spacing w:before="100" w:beforeAutospacing="1" w:after="100" w:afterAutospacing="1" w:line="240" w:lineRule="auto"/>
        <w:rPr>
          <w:rFonts w:ascii="Times New Roman" w:eastAsia="Times New Roman" w:hAnsi="Times New Roman" w:cs="Times New Roman"/>
          <w:sz w:val="24"/>
          <w:szCs w:val="24"/>
          <w:lang w:val="en-GB" w:eastAsia="sv-SE"/>
        </w:rPr>
      </w:pPr>
      <w:r w:rsidRPr="003F66C1">
        <w:rPr>
          <w:rFonts w:ascii="Times New Roman" w:eastAsia="Times New Roman" w:hAnsi="Times New Roman" w:cs="Times New Roman"/>
          <w:sz w:val="24"/>
          <w:szCs w:val="24"/>
          <w:lang w:val="en-GB" w:eastAsia="sv-SE"/>
        </w:rPr>
        <w:t xml:space="preserve">Roseveare, C. (2023) ‘Thematic analysis: a practical guide, by Virginia Braun and Victoria Clarke’, </w:t>
      </w:r>
      <w:r w:rsidRPr="003F66C1">
        <w:rPr>
          <w:rFonts w:ascii="Times New Roman" w:eastAsia="Times New Roman" w:hAnsi="Times New Roman" w:cs="Times New Roman"/>
          <w:i/>
          <w:iCs/>
          <w:sz w:val="24"/>
          <w:szCs w:val="24"/>
          <w:lang w:val="en-GB" w:eastAsia="sv-SE"/>
        </w:rPr>
        <w:t>Canadian Journal of Program Evaluation</w:t>
      </w:r>
      <w:r w:rsidRPr="003F66C1">
        <w:rPr>
          <w:rFonts w:ascii="Times New Roman" w:eastAsia="Times New Roman" w:hAnsi="Times New Roman" w:cs="Times New Roman"/>
          <w:sz w:val="24"/>
          <w:szCs w:val="24"/>
          <w:lang w:val="en-GB" w:eastAsia="sv-SE"/>
        </w:rPr>
        <w:t xml:space="preserve">, 38(1), pp. 143–145. Available at: </w:t>
      </w:r>
      <w:hyperlink r:id="rId30" w:tgtFrame="_new" w:history="1">
        <w:r w:rsidRPr="003F66C1">
          <w:rPr>
            <w:rFonts w:ascii="Times New Roman" w:eastAsia="Times New Roman" w:hAnsi="Times New Roman" w:cs="Times New Roman"/>
            <w:color w:val="0000FF"/>
            <w:sz w:val="24"/>
            <w:szCs w:val="24"/>
            <w:u w:val="single"/>
            <w:lang w:val="en-GB" w:eastAsia="sv-SE"/>
          </w:rPr>
          <w:t>https://doi.org/10.3138/cjpe.76737</w:t>
        </w:r>
      </w:hyperlink>
      <w:r w:rsidRPr="003F66C1">
        <w:rPr>
          <w:rFonts w:ascii="Times New Roman" w:eastAsia="Times New Roman" w:hAnsi="Times New Roman" w:cs="Times New Roman"/>
          <w:sz w:val="24"/>
          <w:szCs w:val="24"/>
          <w:lang w:val="en-GB" w:eastAsia="sv-SE"/>
        </w:rPr>
        <w:t>.</w:t>
      </w:r>
    </w:p>
    <w:p w14:paraId="759DCD29" w14:textId="77777777" w:rsidR="003F66C1" w:rsidRPr="003F66C1" w:rsidRDefault="003F66C1" w:rsidP="003F66C1">
      <w:pPr>
        <w:spacing w:before="100" w:beforeAutospacing="1" w:after="100" w:afterAutospacing="1" w:line="240" w:lineRule="auto"/>
        <w:rPr>
          <w:rFonts w:ascii="Times New Roman" w:eastAsia="Times New Roman" w:hAnsi="Times New Roman" w:cs="Times New Roman"/>
          <w:sz w:val="24"/>
          <w:szCs w:val="24"/>
          <w:lang w:val="en-GB" w:eastAsia="sv-SE"/>
        </w:rPr>
      </w:pPr>
      <w:r w:rsidRPr="003F66C1">
        <w:rPr>
          <w:rFonts w:ascii="Times New Roman" w:eastAsia="Times New Roman" w:hAnsi="Times New Roman" w:cs="Times New Roman"/>
          <w:sz w:val="24"/>
          <w:szCs w:val="24"/>
          <w:lang w:val="en-GB" w:eastAsia="sv-SE"/>
        </w:rPr>
        <w:lastRenderedPageBreak/>
        <w:t xml:space="preserve">Rrustemi, J. and Kurteshi, V. (2025) ‘Fostering democratic citizenship: a qualitative study of teaching techniques in lower cycle classrooms’, </w:t>
      </w:r>
      <w:proofErr w:type="spellStart"/>
      <w:r w:rsidRPr="003F66C1">
        <w:rPr>
          <w:rFonts w:ascii="Times New Roman" w:eastAsia="Times New Roman" w:hAnsi="Times New Roman" w:cs="Times New Roman"/>
          <w:i/>
          <w:iCs/>
          <w:sz w:val="24"/>
          <w:szCs w:val="24"/>
          <w:lang w:val="en-GB" w:eastAsia="sv-SE"/>
        </w:rPr>
        <w:t>Práxis</w:t>
      </w:r>
      <w:proofErr w:type="spellEnd"/>
      <w:r w:rsidRPr="003F66C1">
        <w:rPr>
          <w:rFonts w:ascii="Times New Roman" w:eastAsia="Times New Roman" w:hAnsi="Times New Roman" w:cs="Times New Roman"/>
          <w:i/>
          <w:iCs/>
          <w:sz w:val="24"/>
          <w:szCs w:val="24"/>
          <w:lang w:val="en-GB" w:eastAsia="sv-SE"/>
        </w:rPr>
        <w:t xml:space="preserve"> </w:t>
      </w:r>
      <w:proofErr w:type="spellStart"/>
      <w:r w:rsidRPr="003F66C1">
        <w:rPr>
          <w:rFonts w:ascii="Times New Roman" w:eastAsia="Times New Roman" w:hAnsi="Times New Roman" w:cs="Times New Roman"/>
          <w:i/>
          <w:iCs/>
          <w:sz w:val="24"/>
          <w:szCs w:val="24"/>
          <w:lang w:val="en-GB" w:eastAsia="sv-SE"/>
        </w:rPr>
        <w:t>Educativa</w:t>
      </w:r>
      <w:proofErr w:type="spellEnd"/>
      <w:r w:rsidRPr="003F66C1">
        <w:rPr>
          <w:rFonts w:ascii="Times New Roman" w:eastAsia="Times New Roman" w:hAnsi="Times New Roman" w:cs="Times New Roman"/>
          <w:sz w:val="24"/>
          <w:szCs w:val="24"/>
          <w:lang w:val="en-GB" w:eastAsia="sv-SE"/>
        </w:rPr>
        <w:t xml:space="preserve">, 20, pp. 1–22. Available at: </w:t>
      </w:r>
      <w:hyperlink r:id="rId31" w:tgtFrame="_new" w:history="1">
        <w:r w:rsidRPr="003F66C1">
          <w:rPr>
            <w:rFonts w:ascii="Times New Roman" w:eastAsia="Times New Roman" w:hAnsi="Times New Roman" w:cs="Times New Roman"/>
            <w:color w:val="0000FF"/>
            <w:sz w:val="24"/>
            <w:szCs w:val="24"/>
            <w:u w:val="single"/>
            <w:lang w:val="en-GB" w:eastAsia="sv-SE"/>
          </w:rPr>
          <w:t>https://doi.org/10.5212/PraxEduc.v.20.24544.046</w:t>
        </w:r>
      </w:hyperlink>
      <w:r w:rsidRPr="003F66C1">
        <w:rPr>
          <w:rFonts w:ascii="Times New Roman" w:eastAsia="Times New Roman" w:hAnsi="Times New Roman" w:cs="Times New Roman"/>
          <w:sz w:val="24"/>
          <w:szCs w:val="24"/>
          <w:lang w:val="en-GB" w:eastAsia="sv-SE"/>
        </w:rPr>
        <w:t>.</w:t>
      </w:r>
    </w:p>
    <w:p w14:paraId="41D48E83" w14:textId="77777777" w:rsidR="003F66C1" w:rsidRPr="003F66C1" w:rsidRDefault="003F66C1" w:rsidP="003F66C1">
      <w:pPr>
        <w:spacing w:before="100" w:beforeAutospacing="1" w:after="100" w:afterAutospacing="1" w:line="240" w:lineRule="auto"/>
        <w:rPr>
          <w:rFonts w:ascii="Times New Roman" w:eastAsia="Times New Roman" w:hAnsi="Times New Roman" w:cs="Times New Roman"/>
          <w:sz w:val="24"/>
          <w:szCs w:val="24"/>
          <w:lang w:val="en-GB" w:eastAsia="sv-SE"/>
        </w:rPr>
      </w:pPr>
      <w:r w:rsidRPr="003F66C1">
        <w:rPr>
          <w:rFonts w:ascii="Times New Roman" w:eastAsia="Times New Roman" w:hAnsi="Times New Roman" w:cs="Times New Roman"/>
          <w:sz w:val="24"/>
          <w:szCs w:val="24"/>
          <w:lang w:val="en-GB" w:eastAsia="sv-SE"/>
        </w:rPr>
        <w:t xml:space="preserve">Sathiyaseelan, S. (2023) ‘Transformational leaders in higher education administration: understanding their profile through phenomenology’, </w:t>
      </w:r>
      <w:r w:rsidRPr="003F66C1">
        <w:rPr>
          <w:rFonts w:ascii="Times New Roman" w:eastAsia="Times New Roman" w:hAnsi="Times New Roman" w:cs="Times New Roman"/>
          <w:i/>
          <w:iCs/>
          <w:sz w:val="24"/>
          <w:szCs w:val="24"/>
          <w:lang w:val="en-GB" w:eastAsia="sv-SE"/>
        </w:rPr>
        <w:t>Asia Pacific Journal of Education</w:t>
      </w:r>
      <w:r w:rsidRPr="003F66C1">
        <w:rPr>
          <w:rFonts w:ascii="Times New Roman" w:eastAsia="Times New Roman" w:hAnsi="Times New Roman" w:cs="Times New Roman"/>
          <w:sz w:val="24"/>
          <w:szCs w:val="24"/>
          <w:lang w:val="en-GB" w:eastAsia="sv-SE"/>
        </w:rPr>
        <w:t xml:space="preserve">, 43(4), pp. 1091–1106. Available at: </w:t>
      </w:r>
      <w:hyperlink r:id="rId32" w:tgtFrame="_new" w:history="1">
        <w:r w:rsidRPr="003F66C1">
          <w:rPr>
            <w:rFonts w:ascii="Times New Roman" w:eastAsia="Times New Roman" w:hAnsi="Times New Roman" w:cs="Times New Roman"/>
            <w:color w:val="0000FF"/>
            <w:sz w:val="24"/>
            <w:szCs w:val="24"/>
            <w:u w:val="single"/>
            <w:lang w:val="en-GB" w:eastAsia="sv-SE"/>
          </w:rPr>
          <w:t>https://doi.org/10.1080/02188791.2021.1987185</w:t>
        </w:r>
      </w:hyperlink>
      <w:r w:rsidRPr="003F66C1">
        <w:rPr>
          <w:rFonts w:ascii="Times New Roman" w:eastAsia="Times New Roman" w:hAnsi="Times New Roman" w:cs="Times New Roman"/>
          <w:sz w:val="24"/>
          <w:szCs w:val="24"/>
          <w:lang w:val="en-GB" w:eastAsia="sv-SE"/>
        </w:rPr>
        <w:t>.</w:t>
      </w:r>
    </w:p>
    <w:p w14:paraId="126C11BB" w14:textId="77777777" w:rsidR="003F66C1" w:rsidRPr="003F66C1" w:rsidRDefault="003F66C1" w:rsidP="003F66C1">
      <w:pPr>
        <w:spacing w:before="100" w:beforeAutospacing="1" w:after="100" w:afterAutospacing="1" w:line="240" w:lineRule="auto"/>
        <w:rPr>
          <w:rFonts w:ascii="Times New Roman" w:eastAsia="Times New Roman" w:hAnsi="Times New Roman" w:cs="Times New Roman"/>
          <w:sz w:val="24"/>
          <w:szCs w:val="24"/>
          <w:lang w:eastAsia="sv-SE"/>
        </w:rPr>
      </w:pPr>
      <w:r w:rsidRPr="003F66C1">
        <w:rPr>
          <w:rFonts w:ascii="Times New Roman" w:eastAsia="Times New Roman" w:hAnsi="Times New Roman" w:cs="Times New Roman"/>
          <w:sz w:val="24"/>
          <w:szCs w:val="24"/>
          <w:lang w:val="en-GB" w:eastAsia="sv-SE"/>
        </w:rPr>
        <w:t xml:space="preserve">Segura, V., Canale, E. and Prenovost, L. (2026) ‘Adapting for diversity: the case for reshaping nursing education to meet the needs of all students’, </w:t>
      </w:r>
      <w:r w:rsidRPr="003F66C1">
        <w:rPr>
          <w:rFonts w:ascii="Times New Roman" w:eastAsia="Times New Roman" w:hAnsi="Times New Roman" w:cs="Times New Roman"/>
          <w:i/>
          <w:iCs/>
          <w:sz w:val="24"/>
          <w:szCs w:val="24"/>
          <w:lang w:val="en-GB" w:eastAsia="sv-SE"/>
        </w:rPr>
        <w:t>Journal of Professional Nursing</w:t>
      </w:r>
      <w:r w:rsidRPr="003F66C1">
        <w:rPr>
          <w:rFonts w:ascii="Times New Roman" w:eastAsia="Times New Roman" w:hAnsi="Times New Roman" w:cs="Times New Roman"/>
          <w:sz w:val="24"/>
          <w:szCs w:val="24"/>
          <w:lang w:val="en-GB" w:eastAsia="sv-SE"/>
        </w:rPr>
        <w:t xml:space="preserve">, 62, pp. 198–202. </w:t>
      </w:r>
      <w:proofErr w:type="spellStart"/>
      <w:r w:rsidRPr="003F66C1">
        <w:rPr>
          <w:rFonts w:ascii="Times New Roman" w:eastAsia="Times New Roman" w:hAnsi="Times New Roman" w:cs="Times New Roman"/>
          <w:sz w:val="24"/>
          <w:szCs w:val="24"/>
          <w:lang w:eastAsia="sv-SE"/>
        </w:rPr>
        <w:t>Available</w:t>
      </w:r>
      <w:proofErr w:type="spellEnd"/>
      <w:r w:rsidRPr="003F66C1">
        <w:rPr>
          <w:rFonts w:ascii="Times New Roman" w:eastAsia="Times New Roman" w:hAnsi="Times New Roman" w:cs="Times New Roman"/>
          <w:sz w:val="24"/>
          <w:szCs w:val="24"/>
          <w:lang w:eastAsia="sv-SE"/>
        </w:rPr>
        <w:t xml:space="preserve"> at: </w:t>
      </w:r>
      <w:hyperlink r:id="rId33" w:tgtFrame="_new" w:history="1">
        <w:r w:rsidRPr="003F66C1">
          <w:rPr>
            <w:rFonts w:ascii="Times New Roman" w:eastAsia="Times New Roman" w:hAnsi="Times New Roman" w:cs="Times New Roman"/>
            <w:color w:val="0000FF"/>
            <w:sz w:val="24"/>
            <w:szCs w:val="24"/>
            <w:u w:val="single"/>
            <w:lang w:eastAsia="sv-SE"/>
          </w:rPr>
          <w:t>https://doi.org/10.1016/j.profnurs.2025.12.003</w:t>
        </w:r>
      </w:hyperlink>
      <w:r w:rsidRPr="003F66C1">
        <w:rPr>
          <w:rFonts w:ascii="Times New Roman" w:eastAsia="Times New Roman" w:hAnsi="Times New Roman" w:cs="Times New Roman"/>
          <w:sz w:val="24"/>
          <w:szCs w:val="24"/>
          <w:lang w:eastAsia="sv-SE"/>
        </w:rPr>
        <w:t>.</w:t>
      </w:r>
    </w:p>
    <w:p w14:paraId="56F0FA1D" w14:textId="77777777" w:rsidR="003F66C1" w:rsidRPr="003F66C1" w:rsidRDefault="003F66C1" w:rsidP="003F66C1">
      <w:pPr>
        <w:spacing w:before="100" w:beforeAutospacing="1" w:after="100" w:afterAutospacing="1" w:line="240" w:lineRule="auto"/>
        <w:rPr>
          <w:rFonts w:ascii="Times New Roman" w:eastAsia="Times New Roman" w:hAnsi="Times New Roman" w:cs="Times New Roman"/>
          <w:sz w:val="24"/>
          <w:szCs w:val="24"/>
          <w:lang w:val="en-GB" w:eastAsia="sv-SE"/>
        </w:rPr>
      </w:pPr>
      <w:r w:rsidRPr="003F66C1">
        <w:rPr>
          <w:rFonts w:ascii="Times New Roman" w:eastAsia="Times New Roman" w:hAnsi="Times New Roman" w:cs="Times New Roman"/>
          <w:sz w:val="24"/>
          <w:szCs w:val="24"/>
          <w:lang w:eastAsia="sv-SE"/>
        </w:rPr>
        <w:t xml:space="preserve">Skolverket (2025) </w:t>
      </w:r>
      <w:r w:rsidRPr="003F66C1">
        <w:rPr>
          <w:rFonts w:ascii="Times New Roman" w:eastAsia="Times New Roman" w:hAnsi="Times New Roman" w:cs="Times New Roman"/>
          <w:i/>
          <w:iCs/>
          <w:sz w:val="24"/>
          <w:szCs w:val="24"/>
          <w:lang w:eastAsia="sv-SE"/>
        </w:rPr>
        <w:t>Läroplan (Lgr22) för grundskolan samt för förskoleklassen och fritidshemmet</w:t>
      </w:r>
      <w:r w:rsidRPr="003F66C1">
        <w:rPr>
          <w:rFonts w:ascii="Times New Roman" w:eastAsia="Times New Roman" w:hAnsi="Times New Roman" w:cs="Times New Roman"/>
          <w:sz w:val="24"/>
          <w:szCs w:val="24"/>
          <w:lang w:eastAsia="sv-SE"/>
        </w:rPr>
        <w:t xml:space="preserve">. </w:t>
      </w:r>
      <w:r w:rsidRPr="003F66C1">
        <w:rPr>
          <w:rFonts w:ascii="Times New Roman" w:eastAsia="Times New Roman" w:hAnsi="Times New Roman" w:cs="Times New Roman"/>
          <w:sz w:val="24"/>
          <w:szCs w:val="24"/>
          <w:lang w:val="en-GB" w:eastAsia="sv-SE"/>
        </w:rPr>
        <w:t xml:space="preserve">Available at: </w:t>
      </w:r>
      <w:hyperlink r:id="rId34" w:tgtFrame="_new" w:history="1">
        <w:r w:rsidRPr="003F66C1">
          <w:rPr>
            <w:rFonts w:ascii="Times New Roman" w:eastAsia="Times New Roman" w:hAnsi="Times New Roman" w:cs="Times New Roman"/>
            <w:color w:val="0000FF"/>
            <w:sz w:val="24"/>
            <w:szCs w:val="24"/>
            <w:u w:val="single"/>
            <w:lang w:val="en-GB" w:eastAsia="sv-SE"/>
          </w:rPr>
          <w:t>https://www.skolverket.se</w:t>
        </w:r>
      </w:hyperlink>
      <w:r w:rsidRPr="003F66C1">
        <w:rPr>
          <w:rFonts w:ascii="Times New Roman" w:eastAsia="Times New Roman" w:hAnsi="Times New Roman" w:cs="Times New Roman"/>
          <w:sz w:val="24"/>
          <w:szCs w:val="24"/>
          <w:lang w:val="en-GB" w:eastAsia="sv-SE"/>
        </w:rPr>
        <w:t>.</w:t>
      </w:r>
    </w:p>
    <w:p w14:paraId="75B819CD" w14:textId="77777777" w:rsidR="003F66C1" w:rsidRPr="003F66C1" w:rsidRDefault="003F66C1" w:rsidP="003F66C1">
      <w:pPr>
        <w:spacing w:before="100" w:beforeAutospacing="1" w:after="100" w:afterAutospacing="1" w:line="240" w:lineRule="auto"/>
        <w:rPr>
          <w:rFonts w:ascii="Times New Roman" w:eastAsia="Times New Roman" w:hAnsi="Times New Roman" w:cs="Times New Roman"/>
          <w:sz w:val="24"/>
          <w:szCs w:val="24"/>
          <w:lang w:val="en-GB" w:eastAsia="sv-SE"/>
        </w:rPr>
      </w:pPr>
      <w:r w:rsidRPr="003F66C1">
        <w:rPr>
          <w:rFonts w:ascii="Times New Roman" w:eastAsia="Times New Roman" w:hAnsi="Times New Roman" w:cs="Times New Roman"/>
          <w:sz w:val="24"/>
          <w:szCs w:val="24"/>
          <w:lang w:val="en-GB" w:eastAsia="sv-SE"/>
        </w:rPr>
        <w:t xml:space="preserve">Stolz, S.A. (2023) ‘The practice of phenomenology in educational research’, </w:t>
      </w:r>
      <w:r w:rsidRPr="003F66C1">
        <w:rPr>
          <w:rFonts w:ascii="Times New Roman" w:eastAsia="Times New Roman" w:hAnsi="Times New Roman" w:cs="Times New Roman"/>
          <w:i/>
          <w:iCs/>
          <w:sz w:val="24"/>
          <w:szCs w:val="24"/>
          <w:lang w:val="en-GB" w:eastAsia="sv-SE"/>
        </w:rPr>
        <w:t>Educational Philosophy and Theory</w:t>
      </w:r>
      <w:r w:rsidRPr="003F66C1">
        <w:rPr>
          <w:rFonts w:ascii="Times New Roman" w:eastAsia="Times New Roman" w:hAnsi="Times New Roman" w:cs="Times New Roman"/>
          <w:sz w:val="24"/>
          <w:szCs w:val="24"/>
          <w:lang w:val="en-GB" w:eastAsia="sv-SE"/>
        </w:rPr>
        <w:t xml:space="preserve">, 55(7), pp. 822–834. Available at: </w:t>
      </w:r>
      <w:hyperlink r:id="rId35" w:tgtFrame="_new" w:history="1">
        <w:r w:rsidRPr="003F66C1">
          <w:rPr>
            <w:rFonts w:ascii="Times New Roman" w:eastAsia="Times New Roman" w:hAnsi="Times New Roman" w:cs="Times New Roman"/>
            <w:color w:val="0000FF"/>
            <w:sz w:val="24"/>
            <w:szCs w:val="24"/>
            <w:u w:val="single"/>
            <w:lang w:val="en-GB" w:eastAsia="sv-SE"/>
          </w:rPr>
          <w:t>https://doi.org/10.1080/00131857.2022.2138745</w:t>
        </w:r>
      </w:hyperlink>
      <w:r w:rsidRPr="003F66C1">
        <w:rPr>
          <w:rFonts w:ascii="Times New Roman" w:eastAsia="Times New Roman" w:hAnsi="Times New Roman" w:cs="Times New Roman"/>
          <w:sz w:val="24"/>
          <w:szCs w:val="24"/>
          <w:lang w:val="en-GB" w:eastAsia="sv-SE"/>
        </w:rPr>
        <w:t>.</w:t>
      </w:r>
    </w:p>
    <w:p w14:paraId="32C2C390" w14:textId="7325978F" w:rsidR="003F66C1" w:rsidRPr="003F66C1" w:rsidRDefault="003F66C1" w:rsidP="003F66C1">
      <w:pPr>
        <w:spacing w:before="100" w:beforeAutospacing="1" w:after="100" w:afterAutospacing="1" w:line="240" w:lineRule="auto"/>
        <w:rPr>
          <w:rFonts w:ascii="Times New Roman" w:eastAsia="Times New Roman" w:hAnsi="Times New Roman" w:cs="Times New Roman"/>
          <w:sz w:val="24"/>
          <w:szCs w:val="24"/>
          <w:lang w:val="en-GB" w:eastAsia="sv-SE"/>
        </w:rPr>
      </w:pPr>
      <w:r w:rsidRPr="003F66C1">
        <w:rPr>
          <w:rFonts w:ascii="Times New Roman" w:eastAsia="Times New Roman" w:hAnsi="Times New Roman" w:cs="Times New Roman"/>
          <w:sz w:val="24"/>
          <w:szCs w:val="24"/>
          <w:lang w:val="en-GB" w:eastAsia="sv-SE"/>
        </w:rPr>
        <w:t xml:space="preserve">Teemant, A., </w:t>
      </w:r>
      <w:proofErr w:type="spellStart"/>
      <w:r w:rsidRPr="003F66C1">
        <w:rPr>
          <w:rFonts w:ascii="Times New Roman" w:eastAsia="Times New Roman" w:hAnsi="Times New Roman" w:cs="Times New Roman"/>
          <w:sz w:val="24"/>
          <w:szCs w:val="24"/>
          <w:lang w:val="en-GB" w:eastAsia="sv-SE"/>
        </w:rPr>
        <w:t>Borgioli</w:t>
      </w:r>
      <w:proofErr w:type="spellEnd"/>
      <w:r w:rsidRPr="003F66C1">
        <w:rPr>
          <w:rFonts w:ascii="Times New Roman" w:eastAsia="Times New Roman" w:hAnsi="Times New Roman" w:cs="Times New Roman"/>
          <w:sz w:val="24"/>
          <w:szCs w:val="24"/>
          <w:lang w:val="en-GB" w:eastAsia="sv-SE"/>
        </w:rPr>
        <w:t xml:space="preserve"> Yoder, G., Sherman, B.J. and </w:t>
      </w:r>
      <w:proofErr w:type="spellStart"/>
      <w:r w:rsidRPr="003F66C1">
        <w:rPr>
          <w:rFonts w:ascii="Times New Roman" w:eastAsia="Times New Roman" w:hAnsi="Times New Roman" w:cs="Times New Roman"/>
          <w:sz w:val="24"/>
          <w:szCs w:val="24"/>
          <w:lang w:val="en-GB" w:eastAsia="sv-SE"/>
        </w:rPr>
        <w:t>Santmaria</w:t>
      </w:r>
      <w:proofErr w:type="spellEnd"/>
      <w:r w:rsidRPr="003F66C1">
        <w:rPr>
          <w:rFonts w:ascii="Times New Roman" w:eastAsia="Times New Roman" w:hAnsi="Times New Roman" w:cs="Times New Roman"/>
          <w:sz w:val="24"/>
          <w:szCs w:val="24"/>
          <w:lang w:val="en-GB" w:eastAsia="sv-SE"/>
        </w:rPr>
        <w:t xml:space="preserve"> Graff, C. (2020) ‘Theorising equitable approaches to family–school collaboration’, </w:t>
      </w:r>
      <w:r w:rsidRPr="003F66C1">
        <w:rPr>
          <w:rFonts w:ascii="Times New Roman" w:eastAsia="Times New Roman" w:hAnsi="Times New Roman" w:cs="Times New Roman"/>
          <w:i/>
          <w:iCs/>
          <w:sz w:val="24"/>
          <w:szCs w:val="24"/>
          <w:lang w:val="en-GB" w:eastAsia="sv-SE"/>
        </w:rPr>
        <w:t xml:space="preserve">Theory </w:t>
      </w:r>
      <w:r w:rsidR="00A65F4E" w:rsidRPr="003F66C1">
        <w:rPr>
          <w:rFonts w:ascii="Times New Roman" w:eastAsia="Times New Roman" w:hAnsi="Times New Roman" w:cs="Times New Roman"/>
          <w:i/>
          <w:iCs/>
          <w:sz w:val="24"/>
          <w:szCs w:val="24"/>
          <w:lang w:val="en-GB" w:eastAsia="sv-SE"/>
        </w:rPr>
        <w:t>into</w:t>
      </w:r>
      <w:r w:rsidRPr="003F66C1">
        <w:rPr>
          <w:rFonts w:ascii="Times New Roman" w:eastAsia="Times New Roman" w:hAnsi="Times New Roman" w:cs="Times New Roman"/>
          <w:i/>
          <w:iCs/>
          <w:sz w:val="24"/>
          <w:szCs w:val="24"/>
          <w:lang w:val="en-GB" w:eastAsia="sv-SE"/>
        </w:rPr>
        <w:t xml:space="preserve"> Practice</w:t>
      </w:r>
      <w:r w:rsidRPr="003F66C1">
        <w:rPr>
          <w:rFonts w:ascii="Times New Roman" w:eastAsia="Times New Roman" w:hAnsi="Times New Roman" w:cs="Times New Roman"/>
          <w:sz w:val="24"/>
          <w:szCs w:val="24"/>
          <w:lang w:val="en-GB" w:eastAsia="sv-SE"/>
        </w:rPr>
        <w:t xml:space="preserve">, 60(1). Available at: </w:t>
      </w:r>
      <w:hyperlink r:id="rId36" w:tgtFrame="_new" w:history="1">
        <w:r w:rsidRPr="003F66C1">
          <w:rPr>
            <w:rFonts w:ascii="Times New Roman" w:eastAsia="Times New Roman" w:hAnsi="Times New Roman" w:cs="Times New Roman"/>
            <w:color w:val="0000FF"/>
            <w:sz w:val="24"/>
            <w:szCs w:val="24"/>
            <w:u w:val="single"/>
            <w:lang w:val="en-GB" w:eastAsia="sv-SE"/>
          </w:rPr>
          <w:t>https://doi.org/10.1080/00405841.2020.1827905</w:t>
        </w:r>
      </w:hyperlink>
      <w:r w:rsidRPr="003F66C1">
        <w:rPr>
          <w:rFonts w:ascii="Times New Roman" w:eastAsia="Times New Roman" w:hAnsi="Times New Roman" w:cs="Times New Roman"/>
          <w:sz w:val="24"/>
          <w:szCs w:val="24"/>
          <w:lang w:val="en-GB" w:eastAsia="sv-SE"/>
        </w:rPr>
        <w:t>.</w:t>
      </w:r>
    </w:p>
    <w:p w14:paraId="74D528FA" w14:textId="77777777" w:rsidR="003F66C1" w:rsidRPr="003F66C1" w:rsidRDefault="003F66C1" w:rsidP="003F66C1">
      <w:pPr>
        <w:spacing w:before="100" w:beforeAutospacing="1" w:after="100" w:afterAutospacing="1" w:line="240" w:lineRule="auto"/>
        <w:rPr>
          <w:rFonts w:ascii="Times New Roman" w:eastAsia="Times New Roman" w:hAnsi="Times New Roman" w:cs="Times New Roman"/>
          <w:sz w:val="24"/>
          <w:szCs w:val="24"/>
          <w:lang w:val="en-GB" w:eastAsia="sv-SE"/>
        </w:rPr>
      </w:pPr>
      <w:r w:rsidRPr="003F66C1">
        <w:rPr>
          <w:rFonts w:ascii="Times New Roman" w:eastAsia="Times New Roman" w:hAnsi="Times New Roman" w:cs="Times New Roman"/>
          <w:sz w:val="24"/>
          <w:szCs w:val="24"/>
          <w:lang w:val="en-GB" w:eastAsia="sv-SE"/>
        </w:rPr>
        <w:t xml:space="preserve">Weger, D. (2025) ‘Dynamics in pre-service teachers’ beliefs about multilingualism and linguistic diversity in education: a Q methodology intervention study’, </w:t>
      </w:r>
      <w:r w:rsidRPr="003F66C1">
        <w:rPr>
          <w:rFonts w:ascii="Times New Roman" w:eastAsia="Times New Roman" w:hAnsi="Times New Roman" w:cs="Times New Roman"/>
          <w:i/>
          <w:iCs/>
          <w:sz w:val="24"/>
          <w:szCs w:val="24"/>
          <w:lang w:val="en-GB" w:eastAsia="sv-SE"/>
        </w:rPr>
        <w:t>Cogent Education</w:t>
      </w:r>
      <w:r w:rsidRPr="003F66C1">
        <w:rPr>
          <w:rFonts w:ascii="Times New Roman" w:eastAsia="Times New Roman" w:hAnsi="Times New Roman" w:cs="Times New Roman"/>
          <w:sz w:val="24"/>
          <w:szCs w:val="24"/>
          <w:lang w:val="en-GB" w:eastAsia="sv-SE"/>
        </w:rPr>
        <w:t xml:space="preserve">, 12(1). Available at: </w:t>
      </w:r>
      <w:hyperlink r:id="rId37" w:tgtFrame="_new" w:history="1">
        <w:r w:rsidRPr="003F66C1">
          <w:rPr>
            <w:rFonts w:ascii="Times New Roman" w:eastAsia="Times New Roman" w:hAnsi="Times New Roman" w:cs="Times New Roman"/>
            <w:color w:val="0000FF"/>
            <w:sz w:val="24"/>
            <w:szCs w:val="24"/>
            <w:u w:val="single"/>
            <w:lang w:val="en-GB" w:eastAsia="sv-SE"/>
          </w:rPr>
          <w:t>https://doi.org/10.1080/2331186X.2025.2533611</w:t>
        </w:r>
      </w:hyperlink>
      <w:r w:rsidRPr="003F66C1">
        <w:rPr>
          <w:rFonts w:ascii="Times New Roman" w:eastAsia="Times New Roman" w:hAnsi="Times New Roman" w:cs="Times New Roman"/>
          <w:sz w:val="24"/>
          <w:szCs w:val="24"/>
          <w:lang w:val="en-GB" w:eastAsia="sv-SE"/>
        </w:rPr>
        <w:t>.</w:t>
      </w:r>
    </w:p>
    <w:p w14:paraId="3091EB78" w14:textId="77777777" w:rsidR="003F66C1" w:rsidRPr="003F66C1" w:rsidRDefault="003F66C1" w:rsidP="003F66C1">
      <w:pPr>
        <w:spacing w:before="100" w:beforeAutospacing="1" w:after="100" w:afterAutospacing="1" w:line="240" w:lineRule="auto"/>
        <w:rPr>
          <w:rFonts w:ascii="Times New Roman" w:eastAsia="Times New Roman" w:hAnsi="Times New Roman" w:cs="Times New Roman"/>
          <w:sz w:val="24"/>
          <w:szCs w:val="24"/>
          <w:lang w:eastAsia="sv-SE"/>
        </w:rPr>
      </w:pPr>
      <w:r w:rsidRPr="003F66C1">
        <w:rPr>
          <w:rFonts w:ascii="Times New Roman" w:eastAsia="Times New Roman" w:hAnsi="Times New Roman" w:cs="Times New Roman"/>
          <w:sz w:val="24"/>
          <w:szCs w:val="24"/>
          <w:lang w:val="en-GB" w:eastAsia="sv-SE"/>
        </w:rPr>
        <w:t xml:space="preserve">Wolfe, A. (2024) ‘Creating, sustaining, and adapting accessibility in higher education: lessons from COVID-19 and beyond’, </w:t>
      </w:r>
      <w:r w:rsidRPr="003F66C1">
        <w:rPr>
          <w:rFonts w:ascii="Times New Roman" w:eastAsia="Times New Roman" w:hAnsi="Times New Roman" w:cs="Times New Roman"/>
          <w:i/>
          <w:iCs/>
          <w:sz w:val="24"/>
          <w:szCs w:val="24"/>
          <w:lang w:val="en-GB" w:eastAsia="sv-SE"/>
        </w:rPr>
        <w:t>College Teaching</w:t>
      </w:r>
      <w:r w:rsidRPr="003F66C1">
        <w:rPr>
          <w:rFonts w:ascii="Times New Roman" w:eastAsia="Times New Roman" w:hAnsi="Times New Roman" w:cs="Times New Roman"/>
          <w:sz w:val="24"/>
          <w:szCs w:val="24"/>
          <w:lang w:val="en-GB" w:eastAsia="sv-SE"/>
        </w:rPr>
        <w:t xml:space="preserve">, pp. 1–4. </w:t>
      </w:r>
      <w:proofErr w:type="spellStart"/>
      <w:r w:rsidRPr="003F66C1">
        <w:rPr>
          <w:rFonts w:ascii="Times New Roman" w:eastAsia="Times New Roman" w:hAnsi="Times New Roman" w:cs="Times New Roman"/>
          <w:sz w:val="24"/>
          <w:szCs w:val="24"/>
          <w:lang w:eastAsia="sv-SE"/>
        </w:rPr>
        <w:t>Available</w:t>
      </w:r>
      <w:proofErr w:type="spellEnd"/>
      <w:r w:rsidRPr="003F66C1">
        <w:rPr>
          <w:rFonts w:ascii="Times New Roman" w:eastAsia="Times New Roman" w:hAnsi="Times New Roman" w:cs="Times New Roman"/>
          <w:sz w:val="24"/>
          <w:szCs w:val="24"/>
          <w:lang w:eastAsia="sv-SE"/>
        </w:rPr>
        <w:t xml:space="preserve"> at: </w:t>
      </w:r>
      <w:hyperlink r:id="rId38" w:tgtFrame="_new" w:history="1">
        <w:r w:rsidRPr="003F66C1">
          <w:rPr>
            <w:rFonts w:ascii="Times New Roman" w:eastAsia="Times New Roman" w:hAnsi="Times New Roman" w:cs="Times New Roman"/>
            <w:color w:val="0000FF"/>
            <w:sz w:val="24"/>
            <w:szCs w:val="24"/>
            <w:u w:val="single"/>
            <w:lang w:eastAsia="sv-SE"/>
          </w:rPr>
          <w:t>https://doi.org/10.1080/87567555.2024.2327075</w:t>
        </w:r>
      </w:hyperlink>
      <w:r w:rsidRPr="003F66C1">
        <w:rPr>
          <w:rFonts w:ascii="Times New Roman" w:eastAsia="Times New Roman" w:hAnsi="Times New Roman" w:cs="Times New Roman"/>
          <w:sz w:val="24"/>
          <w:szCs w:val="24"/>
          <w:lang w:eastAsia="sv-SE"/>
        </w:rPr>
        <w:t>.</w:t>
      </w:r>
    </w:p>
    <w:p w14:paraId="0A053FDC" w14:textId="77777777" w:rsidR="001E451C" w:rsidRDefault="001E451C" w:rsidP="00A465F7">
      <w:pPr>
        <w:spacing w:line="360" w:lineRule="auto"/>
        <w:rPr>
          <w:rFonts w:ascii="Times New Roman" w:hAnsi="Times New Roman" w:cs="Times New Roman"/>
          <w:sz w:val="24"/>
          <w:szCs w:val="24"/>
          <w:lang w:val="en-GB"/>
        </w:rPr>
      </w:pPr>
    </w:p>
    <w:p w14:paraId="609B1806" w14:textId="77777777" w:rsidR="00266B2F" w:rsidRPr="00266B2F" w:rsidRDefault="00266B2F" w:rsidP="00A465F7">
      <w:pPr>
        <w:spacing w:line="360" w:lineRule="auto"/>
        <w:rPr>
          <w:rFonts w:ascii="Times New Roman" w:hAnsi="Times New Roman" w:cs="Times New Roman"/>
          <w:sz w:val="24"/>
          <w:szCs w:val="24"/>
          <w:lang w:val="en-GB"/>
        </w:rPr>
      </w:pPr>
    </w:p>
    <w:p w14:paraId="429C3CD8" w14:textId="391BFF26" w:rsidR="00266B2F" w:rsidRPr="00266B2F" w:rsidRDefault="00266B2F" w:rsidP="00A465F7">
      <w:pPr>
        <w:spacing w:line="360" w:lineRule="auto"/>
        <w:rPr>
          <w:rFonts w:ascii="Times New Roman" w:hAnsi="Times New Roman" w:cs="Times New Roman"/>
          <w:sz w:val="24"/>
          <w:szCs w:val="24"/>
          <w:lang w:val="en-GB"/>
        </w:rPr>
      </w:pPr>
    </w:p>
    <w:p w14:paraId="1EE486D8" w14:textId="77777777" w:rsidR="00D20720" w:rsidRPr="00D20720" w:rsidRDefault="00D20720" w:rsidP="00A465F7">
      <w:pPr>
        <w:spacing w:line="360" w:lineRule="auto"/>
        <w:rPr>
          <w:rFonts w:ascii="Times New Roman" w:hAnsi="Times New Roman" w:cs="Times New Roman"/>
          <w:sz w:val="24"/>
          <w:szCs w:val="24"/>
          <w:lang w:val="en-GB"/>
        </w:rPr>
      </w:pPr>
    </w:p>
    <w:sectPr w:rsidR="00D20720" w:rsidRPr="00D20720">
      <w:headerReference w:type="default" r:id="rId39"/>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67FC4B" w14:textId="77777777" w:rsidR="007E3EB6" w:rsidRDefault="007E3EB6" w:rsidP="00B35F97">
      <w:pPr>
        <w:spacing w:after="0" w:line="240" w:lineRule="auto"/>
      </w:pPr>
      <w:r>
        <w:separator/>
      </w:r>
    </w:p>
  </w:endnote>
  <w:endnote w:type="continuationSeparator" w:id="0">
    <w:p w14:paraId="0508ECED" w14:textId="77777777" w:rsidR="007E3EB6" w:rsidRDefault="007E3EB6" w:rsidP="00B35F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6943F3" w14:textId="77777777" w:rsidR="007E3EB6" w:rsidRDefault="007E3EB6" w:rsidP="00B35F97">
      <w:pPr>
        <w:spacing w:after="0" w:line="240" w:lineRule="auto"/>
      </w:pPr>
      <w:r>
        <w:separator/>
      </w:r>
    </w:p>
  </w:footnote>
  <w:footnote w:type="continuationSeparator" w:id="0">
    <w:p w14:paraId="4915A5AA" w14:textId="77777777" w:rsidR="007E3EB6" w:rsidRDefault="007E3EB6" w:rsidP="00B35F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37251286"/>
      <w:docPartObj>
        <w:docPartGallery w:val="Page Numbers (Top of Page)"/>
        <w:docPartUnique/>
      </w:docPartObj>
    </w:sdtPr>
    <w:sdtEndPr/>
    <w:sdtContent>
      <w:p w14:paraId="7ADCDF88" w14:textId="5508D736" w:rsidR="00B617B3" w:rsidRDefault="00B617B3">
        <w:pPr>
          <w:pStyle w:val="Sidhuvud"/>
          <w:jc w:val="right"/>
        </w:pPr>
        <w:r>
          <w:fldChar w:fldCharType="begin"/>
        </w:r>
        <w:r>
          <w:instrText>PAGE   \* MERGEFORMAT</w:instrText>
        </w:r>
        <w:r>
          <w:fldChar w:fldCharType="separate"/>
        </w:r>
        <w:r>
          <w:t>2</w:t>
        </w:r>
        <w:r>
          <w:fldChar w:fldCharType="end"/>
        </w:r>
      </w:p>
    </w:sdtContent>
  </w:sdt>
  <w:p w14:paraId="28B2272C" w14:textId="77777777" w:rsidR="00B617B3" w:rsidRDefault="00B617B3">
    <w:pPr>
      <w:pStyle w:val="Sidhuvud"/>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842BA7"/>
    <w:multiLevelType w:val="hybridMultilevel"/>
    <w:tmpl w:val="5036954C"/>
    <w:lvl w:ilvl="0" w:tplc="041D000F">
      <w:start w:val="1"/>
      <w:numFmt w:val="decimal"/>
      <w:lvlText w:val="%1."/>
      <w:lvlJc w:val="left"/>
      <w:pPr>
        <w:ind w:left="720" w:hanging="360"/>
      </w:pPr>
      <w:rPr>
        <w:rFonts w:hint="default"/>
      </w:rPr>
    </w:lvl>
    <w:lvl w:ilvl="1" w:tplc="041D0019" w:tentative="1">
      <w:start w:val="1"/>
      <w:numFmt w:val="lowerLetter"/>
      <w:lvlText w:val="%2."/>
      <w:lvlJc w:val="left"/>
      <w:pPr>
        <w:ind w:left="1440" w:hanging="360"/>
      </w:pPr>
    </w:lvl>
    <w:lvl w:ilvl="2" w:tplc="041D001B" w:tentative="1">
      <w:start w:val="1"/>
      <w:numFmt w:val="lowerRoman"/>
      <w:lvlText w:val="%3."/>
      <w:lvlJc w:val="right"/>
      <w:pPr>
        <w:ind w:left="2160" w:hanging="180"/>
      </w:pPr>
    </w:lvl>
    <w:lvl w:ilvl="3" w:tplc="041D000F" w:tentative="1">
      <w:start w:val="1"/>
      <w:numFmt w:val="decimal"/>
      <w:lvlText w:val="%4."/>
      <w:lvlJc w:val="left"/>
      <w:pPr>
        <w:ind w:left="2880" w:hanging="360"/>
      </w:pPr>
    </w:lvl>
    <w:lvl w:ilvl="4" w:tplc="041D0019" w:tentative="1">
      <w:start w:val="1"/>
      <w:numFmt w:val="lowerLetter"/>
      <w:lvlText w:val="%5."/>
      <w:lvlJc w:val="left"/>
      <w:pPr>
        <w:ind w:left="3600" w:hanging="360"/>
      </w:pPr>
    </w:lvl>
    <w:lvl w:ilvl="5" w:tplc="041D001B" w:tentative="1">
      <w:start w:val="1"/>
      <w:numFmt w:val="lowerRoman"/>
      <w:lvlText w:val="%6."/>
      <w:lvlJc w:val="right"/>
      <w:pPr>
        <w:ind w:left="4320" w:hanging="180"/>
      </w:pPr>
    </w:lvl>
    <w:lvl w:ilvl="6" w:tplc="041D000F" w:tentative="1">
      <w:start w:val="1"/>
      <w:numFmt w:val="decimal"/>
      <w:lvlText w:val="%7."/>
      <w:lvlJc w:val="left"/>
      <w:pPr>
        <w:ind w:left="5040" w:hanging="360"/>
      </w:pPr>
    </w:lvl>
    <w:lvl w:ilvl="7" w:tplc="041D0019" w:tentative="1">
      <w:start w:val="1"/>
      <w:numFmt w:val="lowerLetter"/>
      <w:lvlText w:val="%8."/>
      <w:lvlJc w:val="left"/>
      <w:pPr>
        <w:ind w:left="5760" w:hanging="360"/>
      </w:pPr>
    </w:lvl>
    <w:lvl w:ilvl="8" w:tplc="041D001B" w:tentative="1">
      <w:start w:val="1"/>
      <w:numFmt w:val="lowerRoman"/>
      <w:lvlText w:val="%9."/>
      <w:lvlJc w:val="right"/>
      <w:pPr>
        <w:ind w:left="6480" w:hanging="180"/>
      </w:pPr>
    </w:lvl>
  </w:abstractNum>
  <w:abstractNum w:abstractNumId="1" w15:restartNumberingAfterBreak="0">
    <w:nsid w:val="15866422"/>
    <w:multiLevelType w:val="hybridMultilevel"/>
    <w:tmpl w:val="5F70AA76"/>
    <w:lvl w:ilvl="0" w:tplc="041D0001">
      <w:start w:val="1"/>
      <w:numFmt w:val="bullet"/>
      <w:lvlText w:val=""/>
      <w:lvlJc w:val="left"/>
      <w:pPr>
        <w:ind w:left="720" w:hanging="360"/>
      </w:pPr>
      <w:rPr>
        <w:rFonts w:ascii="Symbol" w:hAnsi="Symbol" w:hint="default"/>
      </w:rPr>
    </w:lvl>
    <w:lvl w:ilvl="1" w:tplc="041D0003" w:tentative="1">
      <w:start w:val="1"/>
      <w:numFmt w:val="bullet"/>
      <w:lvlText w:val="o"/>
      <w:lvlJc w:val="left"/>
      <w:pPr>
        <w:ind w:left="1440" w:hanging="360"/>
      </w:pPr>
      <w:rPr>
        <w:rFonts w:ascii="Courier New" w:hAnsi="Courier New" w:cs="Courier New" w:hint="default"/>
      </w:rPr>
    </w:lvl>
    <w:lvl w:ilvl="2" w:tplc="041D0005" w:tentative="1">
      <w:start w:val="1"/>
      <w:numFmt w:val="bullet"/>
      <w:lvlText w:val=""/>
      <w:lvlJc w:val="left"/>
      <w:pPr>
        <w:ind w:left="2160" w:hanging="360"/>
      </w:pPr>
      <w:rPr>
        <w:rFonts w:ascii="Wingdings" w:hAnsi="Wingdings" w:hint="default"/>
      </w:rPr>
    </w:lvl>
    <w:lvl w:ilvl="3" w:tplc="041D0001" w:tentative="1">
      <w:start w:val="1"/>
      <w:numFmt w:val="bullet"/>
      <w:lvlText w:val=""/>
      <w:lvlJc w:val="left"/>
      <w:pPr>
        <w:ind w:left="2880" w:hanging="360"/>
      </w:pPr>
      <w:rPr>
        <w:rFonts w:ascii="Symbol" w:hAnsi="Symbol" w:hint="default"/>
      </w:rPr>
    </w:lvl>
    <w:lvl w:ilvl="4" w:tplc="041D0003" w:tentative="1">
      <w:start w:val="1"/>
      <w:numFmt w:val="bullet"/>
      <w:lvlText w:val="o"/>
      <w:lvlJc w:val="left"/>
      <w:pPr>
        <w:ind w:left="3600" w:hanging="360"/>
      </w:pPr>
      <w:rPr>
        <w:rFonts w:ascii="Courier New" w:hAnsi="Courier New" w:cs="Courier New" w:hint="default"/>
      </w:rPr>
    </w:lvl>
    <w:lvl w:ilvl="5" w:tplc="041D0005" w:tentative="1">
      <w:start w:val="1"/>
      <w:numFmt w:val="bullet"/>
      <w:lvlText w:val=""/>
      <w:lvlJc w:val="left"/>
      <w:pPr>
        <w:ind w:left="4320" w:hanging="360"/>
      </w:pPr>
      <w:rPr>
        <w:rFonts w:ascii="Wingdings" w:hAnsi="Wingdings" w:hint="default"/>
      </w:rPr>
    </w:lvl>
    <w:lvl w:ilvl="6" w:tplc="041D0001" w:tentative="1">
      <w:start w:val="1"/>
      <w:numFmt w:val="bullet"/>
      <w:lvlText w:val=""/>
      <w:lvlJc w:val="left"/>
      <w:pPr>
        <w:ind w:left="5040" w:hanging="360"/>
      </w:pPr>
      <w:rPr>
        <w:rFonts w:ascii="Symbol" w:hAnsi="Symbol" w:hint="default"/>
      </w:rPr>
    </w:lvl>
    <w:lvl w:ilvl="7" w:tplc="041D0003" w:tentative="1">
      <w:start w:val="1"/>
      <w:numFmt w:val="bullet"/>
      <w:lvlText w:val="o"/>
      <w:lvlJc w:val="left"/>
      <w:pPr>
        <w:ind w:left="5760" w:hanging="360"/>
      </w:pPr>
      <w:rPr>
        <w:rFonts w:ascii="Courier New" w:hAnsi="Courier New" w:cs="Courier New" w:hint="default"/>
      </w:rPr>
    </w:lvl>
    <w:lvl w:ilvl="8" w:tplc="041D0005" w:tentative="1">
      <w:start w:val="1"/>
      <w:numFmt w:val="bullet"/>
      <w:lvlText w:val=""/>
      <w:lvlJc w:val="left"/>
      <w:pPr>
        <w:ind w:left="6480" w:hanging="360"/>
      </w:pPr>
      <w:rPr>
        <w:rFonts w:ascii="Wingdings" w:hAnsi="Wingdings" w:hint="default"/>
      </w:rPr>
    </w:lvl>
  </w:abstractNum>
  <w:abstractNum w:abstractNumId="2" w15:restartNumberingAfterBreak="0">
    <w:nsid w:val="17747B61"/>
    <w:multiLevelType w:val="multilevel"/>
    <w:tmpl w:val="F1F29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1904301"/>
    <w:multiLevelType w:val="multilevel"/>
    <w:tmpl w:val="8B4C88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6A77EDA"/>
    <w:multiLevelType w:val="multilevel"/>
    <w:tmpl w:val="7946E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FA6E3D"/>
    <w:multiLevelType w:val="hybridMultilevel"/>
    <w:tmpl w:val="3DBA5796"/>
    <w:lvl w:ilvl="0" w:tplc="0728D184">
      <w:start w:val="1"/>
      <w:numFmt w:val="bullet"/>
      <w:lvlText w:val=""/>
      <w:lvlJc w:val="left"/>
      <w:pPr>
        <w:ind w:left="720" w:hanging="360"/>
      </w:pPr>
      <w:rPr>
        <w:rFonts w:ascii="Times New Roman" w:eastAsiaTheme="minorHAnsi" w:hAnsi="Times New Roman" w:cs="Times New Roman" w:hint="default"/>
      </w:rPr>
    </w:lvl>
    <w:lvl w:ilvl="1" w:tplc="041D0003" w:tentative="1">
      <w:start w:val="1"/>
      <w:numFmt w:val="bullet"/>
      <w:lvlText w:val="o"/>
      <w:lvlJc w:val="left"/>
      <w:pPr>
        <w:ind w:left="1440" w:hanging="360"/>
      </w:pPr>
      <w:rPr>
        <w:rFonts w:ascii="Courier New" w:hAnsi="Courier New" w:cs="Courier New" w:hint="default"/>
      </w:rPr>
    </w:lvl>
    <w:lvl w:ilvl="2" w:tplc="041D0005" w:tentative="1">
      <w:start w:val="1"/>
      <w:numFmt w:val="bullet"/>
      <w:lvlText w:val=""/>
      <w:lvlJc w:val="left"/>
      <w:pPr>
        <w:ind w:left="2160" w:hanging="360"/>
      </w:pPr>
      <w:rPr>
        <w:rFonts w:ascii="Wingdings" w:hAnsi="Wingdings" w:hint="default"/>
      </w:rPr>
    </w:lvl>
    <w:lvl w:ilvl="3" w:tplc="041D0001" w:tentative="1">
      <w:start w:val="1"/>
      <w:numFmt w:val="bullet"/>
      <w:lvlText w:val=""/>
      <w:lvlJc w:val="left"/>
      <w:pPr>
        <w:ind w:left="2880" w:hanging="360"/>
      </w:pPr>
      <w:rPr>
        <w:rFonts w:ascii="Symbol" w:hAnsi="Symbol" w:hint="default"/>
      </w:rPr>
    </w:lvl>
    <w:lvl w:ilvl="4" w:tplc="041D0003" w:tentative="1">
      <w:start w:val="1"/>
      <w:numFmt w:val="bullet"/>
      <w:lvlText w:val="o"/>
      <w:lvlJc w:val="left"/>
      <w:pPr>
        <w:ind w:left="3600" w:hanging="360"/>
      </w:pPr>
      <w:rPr>
        <w:rFonts w:ascii="Courier New" w:hAnsi="Courier New" w:cs="Courier New" w:hint="default"/>
      </w:rPr>
    </w:lvl>
    <w:lvl w:ilvl="5" w:tplc="041D0005" w:tentative="1">
      <w:start w:val="1"/>
      <w:numFmt w:val="bullet"/>
      <w:lvlText w:val=""/>
      <w:lvlJc w:val="left"/>
      <w:pPr>
        <w:ind w:left="4320" w:hanging="360"/>
      </w:pPr>
      <w:rPr>
        <w:rFonts w:ascii="Wingdings" w:hAnsi="Wingdings" w:hint="default"/>
      </w:rPr>
    </w:lvl>
    <w:lvl w:ilvl="6" w:tplc="041D0001" w:tentative="1">
      <w:start w:val="1"/>
      <w:numFmt w:val="bullet"/>
      <w:lvlText w:val=""/>
      <w:lvlJc w:val="left"/>
      <w:pPr>
        <w:ind w:left="5040" w:hanging="360"/>
      </w:pPr>
      <w:rPr>
        <w:rFonts w:ascii="Symbol" w:hAnsi="Symbol" w:hint="default"/>
      </w:rPr>
    </w:lvl>
    <w:lvl w:ilvl="7" w:tplc="041D0003" w:tentative="1">
      <w:start w:val="1"/>
      <w:numFmt w:val="bullet"/>
      <w:lvlText w:val="o"/>
      <w:lvlJc w:val="left"/>
      <w:pPr>
        <w:ind w:left="5760" w:hanging="360"/>
      </w:pPr>
      <w:rPr>
        <w:rFonts w:ascii="Courier New" w:hAnsi="Courier New" w:cs="Courier New" w:hint="default"/>
      </w:rPr>
    </w:lvl>
    <w:lvl w:ilvl="8" w:tplc="041D0005" w:tentative="1">
      <w:start w:val="1"/>
      <w:numFmt w:val="bullet"/>
      <w:lvlText w:val=""/>
      <w:lvlJc w:val="left"/>
      <w:pPr>
        <w:ind w:left="6480" w:hanging="360"/>
      </w:pPr>
      <w:rPr>
        <w:rFonts w:ascii="Wingdings" w:hAnsi="Wingdings" w:hint="default"/>
      </w:rPr>
    </w:lvl>
  </w:abstractNum>
  <w:abstractNum w:abstractNumId="6" w15:restartNumberingAfterBreak="0">
    <w:nsid w:val="2D5022C9"/>
    <w:multiLevelType w:val="multilevel"/>
    <w:tmpl w:val="7C0C58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1EF2985"/>
    <w:multiLevelType w:val="hybridMultilevel"/>
    <w:tmpl w:val="0256F9A0"/>
    <w:lvl w:ilvl="0" w:tplc="041D0001">
      <w:start w:val="1"/>
      <w:numFmt w:val="bullet"/>
      <w:lvlText w:val=""/>
      <w:lvlJc w:val="left"/>
      <w:pPr>
        <w:ind w:left="1139" w:hanging="360"/>
      </w:pPr>
      <w:rPr>
        <w:rFonts w:ascii="Symbol" w:hAnsi="Symbol" w:hint="default"/>
      </w:rPr>
    </w:lvl>
    <w:lvl w:ilvl="1" w:tplc="041D0003" w:tentative="1">
      <w:start w:val="1"/>
      <w:numFmt w:val="bullet"/>
      <w:lvlText w:val="o"/>
      <w:lvlJc w:val="left"/>
      <w:pPr>
        <w:ind w:left="1859" w:hanging="360"/>
      </w:pPr>
      <w:rPr>
        <w:rFonts w:ascii="Courier New" w:hAnsi="Courier New" w:cs="Courier New" w:hint="default"/>
      </w:rPr>
    </w:lvl>
    <w:lvl w:ilvl="2" w:tplc="041D0005" w:tentative="1">
      <w:start w:val="1"/>
      <w:numFmt w:val="bullet"/>
      <w:lvlText w:val=""/>
      <w:lvlJc w:val="left"/>
      <w:pPr>
        <w:ind w:left="2579" w:hanging="360"/>
      </w:pPr>
      <w:rPr>
        <w:rFonts w:ascii="Wingdings" w:hAnsi="Wingdings" w:hint="default"/>
      </w:rPr>
    </w:lvl>
    <w:lvl w:ilvl="3" w:tplc="041D0001" w:tentative="1">
      <w:start w:val="1"/>
      <w:numFmt w:val="bullet"/>
      <w:lvlText w:val=""/>
      <w:lvlJc w:val="left"/>
      <w:pPr>
        <w:ind w:left="3299" w:hanging="360"/>
      </w:pPr>
      <w:rPr>
        <w:rFonts w:ascii="Symbol" w:hAnsi="Symbol" w:hint="default"/>
      </w:rPr>
    </w:lvl>
    <w:lvl w:ilvl="4" w:tplc="041D0003" w:tentative="1">
      <w:start w:val="1"/>
      <w:numFmt w:val="bullet"/>
      <w:lvlText w:val="o"/>
      <w:lvlJc w:val="left"/>
      <w:pPr>
        <w:ind w:left="4019" w:hanging="360"/>
      </w:pPr>
      <w:rPr>
        <w:rFonts w:ascii="Courier New" w:hAnsi="Courier New" w:cs="Courier New" w:hint="default"/>
      </w:rPr>
    </w:lvl>
    <w:lvl w:ilvl="5" w:tplc="041D0005" w:tentative="1">
      <w:start w:val="1"/>
      <w:numFmt w:val="bullet"/>
      <w:lvlText w:val=""/>
      <w:lvlJc w:val="left"/>
      <w:pPr>
        <w:ind w:left="4739" w:hanging="360"/>
      </w:pPr>
      <w:rPr>
        <w:rFonts w:ascii="Wingdings" w:hAnsi="Wingdings" w:hint="default"/>
      </w:rPr>
    </w:lvl>
    <w:lvl w:ilvl="6" w:tplc="041D0001" w:tentative="1">
      <w:start w:val="1"/>
      <w:numFmt w:val="bullet"/>
      <w:lvlText w:val=""/>
      <w:lvlJc w:val="left"/>
      <w:pPr>
        <w:ind w:left="5459" w:hanging="360"/>
      </w:pPr>
      <w:rPr>
        <w:rFonts w:ascii="Symbol" w:hAnsi="Symbol" w:hint="default"/>
      </w:rPr>
    </w:lvl>
    <w:lvl w:ilvl="7" w:tplc="041D0003" w:tentative="1">
      <w:start w:val="1"/>
      <w:numFmt w:val="bullet"/>
      <w:lvlText w:val="o"/>
      <w:lvlJc w:val="left"/>
      <w:pPr>
        <w:ind w:left="6179" w:hanging="360"/>
      </w:pPr>
      <w:rPr>
        <w:rFonts w:ascii="Courier New" w:hAnsi="Courier New" w:cs="Courier New" w:hint="default"/>
      </w:rPr>
    </w:lvl>
    <w:lvl w:ilvl="8" w:tplc="041D0005" w:tentative="1">
      <w:start w:val="1"/>
      <w:numFmt w:val="bullet"/>
      <w:lvlText w:val=""/>
      <w:lvlJc w:val="left"/>
      <w:pPr>
        <w:ind w:left="6899" w:hanging="360"/>
      </w:pPr>
      <w:rPr>
        <w:rFonts w:ascii="Wingdings" w:hAnsi="Wingdings" w:hint="default"/>
      </w:rPr>
    </w:lvl>
  </w:abstractNum>
  <w:abstractNum w:abstractNumId="8" w15:restartNumberingAfterBreak="0">
    <w:nsid w:val="48202F7C"/>
    <w:multiLevelType w:val="multilevel"/>
    <w:tmpl w:val="AC2C8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CC60B05"/>
    <w:multiLevelType w:val="multilevel"/>
    <w:tmpl w:val="03FE956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0367695"/>
    <w:multiLevelType w:val="multilevel"/>
    <w:tmpl w:val="0FFCA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24F6D36"/>
    <w:multiLevelType w:val="multilevel"/>
    <w:tmpl w:val="F252E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2750DB4"/>
    <w:multiLevelType w:val="multilevel"/>
    <w:tmpl w:val="A89261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A3F7414"/>
    <w:multiLevelType w:val="multilevel"/>
    <w:tmpl w:val="005C1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A56643A"/>
    <w:multiLevelType w:val="multilevel"/>
    <w:tmpl w:val="8AB49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F3F343B"/>
    <w:multiLevelType w:val="multilevel"/>
    <w:tmpl w:val="D07EE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01D12CC"/>
    <w:multiLevelType w:val="multilevel"/>
    <w:tmpl w:val="AEDA5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4351A5D"/>
    <w:multiLevelType w:val="multilevel"/>
    <w:tmpl w:val="42DEC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47C33DE"/>
    <w:multiLevelType w:val="multilevel"/>
    <w:tmpl w:val="241A5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8861E76"/>
    <w:multiLevelType w:val="multilevel"/>
    <w:tmpl w:val="AC68C63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94C4509"/>
    <w:multiLevelType w:val="multilevel"/>
    <w:tmpl w:val="72489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FB9696C"/>
    <w:multiLevelType w:val="multilevel"/>
    <w:tmpl w:val="292AB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3D346D0"/>
    <w:multiLevelType w:val="multilevel"/>
    <w:tmpl w:val="C3BC8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6AF7482"/>
    <w:multiLevelType w:val="multilevel"/>
    <w:tmpl w:val="D8B05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76A7727"/>
    <w:multiLevelType w:val="hybridMultilevel"/>
    <w:tmpl w:val="B834350A"/>
    <w:lvl w:ilvl="0" w:tplc="041D0001">
      <w:start w:val="1"/>
      <w:numFmt w:val="bullet"/>
      <w:lvlText w:val=""/>
      <w:lvlJc w:val="left"/>
      <w:pPr>
        <w:ind w:left="1080" w:hanging="360"/>
      </w:pPr>
      <w:rPr>
        <w:rFonts w:ascii="Symbol" w:hAnsi="Symbol" w:hint="default"/>
      </w:rPr>
    </w:lvl>
    <w:lvl w:ilvl="1" w:tplc="041D0003" w:tentative="1">
      <w:start w:val="1"/>
      <w:numFmt w:val="bullet"/>
      <w:lvlText w:val="o"/>
      <w:lvlJc w:val="left"/>
      <w:pPr>
        <w:ind w:left="1800" w:hanging="360"/>
      </w:pPr>
      <w:rPr>
        <w:rFonts w:ascii="Courier New" w:hAnsi="Courier New" w:cs="Courier New" w:hint="default"/>
      </w:rPr>
    </w:lvl>
    <w:lvl w:ilvl="2" w:tplc="041D0005" w:tentative="1">
      <w:start w:val="1"/>
      <w:numFmt w:val="bullet"/>
      <w:lvlText w:val=""/>
      <w:lvlJc w:val="left"/>
      <w:pPr>
        <w:ind w:left="2520" w:hanging="360"/>
      </w:pPr>
      <w:rPr>
        <w:rFonts w:ascii="Wingdings" w:hAnsi="Wingdings" w:hint="default"/>
      </w:rPr>
    </w:lvl>
    <w:lvl w:ilvl="3" w:tplc="041D0001" w:tentative="1">
      <w:start w:val="1"/>
      <w:numFmt w:val="bullet"/>
      <w:lvlText w:val=""/>
      <w:lvlJc w:val="left"/>
      <w:pPr>
        <w:ind w:left="3240" w:hanging="360"/>
      </w:pPr>
      <w:rPr>
        <w:rFonts w:ascii="Symbol" w:hAnsi="Symbol" w:hint="default"/>
      </w:rPr>
    </w:lvl>
    <w:lvl w:ilvl="4" w:tplc="041D0003" w:tentative="1">
      <w:start w:val="1"/>
      <w:numFmt w:val="bullet"/>
      <w:lvlText w:val="o"/>
      <w:lvlJc w:val="left"/>
      <w:pPr>
        <w:ind w:left="3960" w:hanging="360"/>
      </w:pPr>
      <w:rPr>
        <w:rFonts w:ascii="Courier New" w:hAnsi="Courier New" w:cs="Courier New" w:hint="default"/>
      </w:rPr>
    </w:lvl>
    <w:lvl w:ilvl="5" w:tplc="041D0005" w:tentative="1">
      <w:start w:val="1"/>
      <w:numFmt w:val="bullet"/>
      <w:lvlText w:val=""/>
      <w:lvlJc w:val="left"/>
      <w:pPr>
        <w:ind w:left="4680" w:hanging="360"/>
      </w:pPr>
      <w:rPr>
        <w:rFonts w:ascii="Wingdings" w:hAnsi="Wingdings" w:hint="default"/>
      </w:rPr>
    </w:lvl>
    <w:lvl w:ilvl="6" w:tplc="041D0001" w:tentative="1">
      <w:start w:val="1"/>
      <w:numFmt w:val="bullet"/>
      <w:lvlText w:val=""/>
      <w:lvlJc w:val="left"/>
      <w:pPr>
        <w:ind w:left="5400" w:hanging="360"/>
      </w:pPr>
      <w:rPr>
        <w:rFonts w:ascii="Symbol" w:hAnsi="Symbol" w:hint="default"/>
      </w:rPr>
    </w:lvl>
    <w:lvl w:ilvl="7" w:tplc="041D0003" w:tentative="1">
      <w:start w:val="1"/>
      <w:numFmt w:val="bullet"/>
      <w:lvlText w:val="o"/>
      <w:lvlJc w:val="left"/>
      <w:pPr>
        <w:ind w:left="6120" w:hanging="360"/>
      </w:pPr>
      <w:rPr>
        <w:rFonts w:ascii="Courier New" w:hAnsi="Courier New" w:cs="Courier New" w:hint="default"/>
      </w:rPr>
    </w:lvl>
    <w:lvl w:ilvl="8" w:tplc="041D0005" w:tentative="1">
      <w:start w:val="1"/>
      <w:numFmt w:val="bullet"/>
      <w:lvlText w:val=""/>
      <w:lvlJc w:val="left"/>
      <w:pPr>
        <w:ind w:left="6840" w:hanging="360"/>
      </w:pPr>
      <w:rPr>
        <w:rFonts w:ascii="Wingdings" w:hAnsi="Wingdings" w:hint="default"/>
      </w:rPr>
    </w:lvl>
  </w:abstractNum>
  <w:abstractNum w:abstractNumId="25" w15:restartNumberingAfterBreak="0">
    <w:nsid w:val="7F0E13AA"/>
    <w:multiLevelType w:val="multilevel"/>
    <w:tmpl w:val="12BAB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8963503">
    <w:abstractNumId w:val="21"/>
  </w:num>
  <w:num w:numId="2" w16cid:durableId="893198583">
    <w:abstractNumId w:val="13"/>
  </w:num>
  <w:num w:numId="3" w16cid:durableId="291715167">
    <w:abstractNumId w:val="9"/>
  </w:num>
  <w:num w:numId="4" w16cid:durableId="1133865953">
    <w:abstractNumId w:val="10"/>
  </w:num>
  <w:num w:numId="5" w16cid:durableId="135416485">
    <w:abstractNumId w:val="17"/>
  </w:num>
  <w:num w:numId="6" w16cid:durableId="611478392">
    <w:abstractNumId w:val="16"/>
  </w:num>
  <w:num w:numId="7" w16cid:durableId="1210796920">
    <w:abstractNumId w:val="6"/>
  </w:num>
  <w:num w:numId="8" w16cid:durableId="501504715">
    <w:abstractNumId w:val="23"/>
  </w:num>
  <w:num w:numId="9" w16cid:durableId="1724711143">
    <w:abstractNumId w:val="15"/>
  </w:num>
  <w:num w:numId="10" w16cid:durableId="1044019567">
    <w:abstractNumId w:val="11"/>
  </w:num>
  <w:num w:numId="11" w16cid:durableId="1090354206">
    <w:abstractNumId w:val="19"/>
  </w:num>
  <w:num w:numId="12" w16cid:durableId="2050689444">
    <w:abstractNumId w:val="18"/>
  </w:num>
  <w:num w:numId="13" w16cid:durableId="1109472712">
    <w:abstractNumId w:val="25"/>
  </w:num>
  <w:num w:numId="14" w16cid:durableId="1240939368">
    <w:abstractNumId w:val="22"/>
  </w:num>
  <w:num w:numId="15" w16cid:durableId="1038357879">
    <w:abstractNumId w:val="8"/>
  </w:num>
  <w:num w:numId="16" w16cid:durableId="932124917">
    <w:abstractNumId w:val="4"/>
  </w:num>
  <w:num w:numId="17" w16cid:durableId="1562984719">
    <w:abstractNumId w:val="3"/>
  </w:num>
  <w:num w:numId="18" w16cid:durableId="769394107">
    <w:abstractNumId w:val="5"/>
  </w:num>
  <w:num w:numId="19" w16cid:durableId="1064835902">
    <w:abstractNumId w:val="7"/>
  </w:num>
  <w:num w:numId="20" w16cid:durableId="661735039">
    <w:abstractNumId w:val="0"/>
  </w:num>
  <w:num w:numId="21" w16cid:durableId="709183605">
    <w:abstractNumId w:val="24"/>
  </w:num>
  <w:num w:numId="22" w16cid:durableId="531579833">
    <w:abstractNumId w:val="20"/>
  </w:num>
  <w:num w:numId="23" w16cid:durableId="486672567">
    <w:abstractNumId w:val="12"/>
  </w:num>
  <w:num w:numId="24" w16cid:durableId="1945307101">
    <w:abstractNumId w:val="2"/>
  </w:num>
  <w:num w:numId="25" w16cid:durableId="976180980">
    <w:abstractNumId w:val="14"/>
  </w:num>
  <w:num w:numId="26" w16cid:durableId="5914727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proofState w:spelling="clean" w:grammar="clean"/>
  <w:defaultTabStop w:val="1304"/>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4B1D"/>
    <w:rsid w:val="00001688"/>
    <w:rsid w:val="00001E88"/>
    <w:rsid w:val="00001FE5"/>
    <w:rsid w:val="00003E9E"/>
    <w:rsid w:val="0000490C"/>
    <w:rsid w:val="00004AA9"/>
    <w:rsid w:val="0000658B"/>
    <w:rsid w:val="00006760"/>
    <w:rsid w:val="000069A8"/>
    <w:rsid w:val="00007815"/>
    <w:rsid w:val="000105DE"/>
    <w:rsid w:val="00010706"/>
    <w:rsid w:val="00010F0A"/>
    <w:rsid w:val="000113E2"/>
    <w:rsid w:val="00011CB3"/>
    <w:rsid w:val="00011DD6"/>
    <w:rsid w:val="0001220B"/>
    <w:rsid w:val="00012C3B"/>
    <w:rsid w:val="00013DE9"/>
    <w:rsid w:val="00015000"/>
    <w:rsid w:val="0001581C"/>
    <w:rsid w:val="00016074"/>
    <w:rsid w:val="000167FC"/>
    <w:rsid w:val="00016F72"/>
    <w:rsid w:val="00017245"/>
    <w:rsid w:val="0002138A"/>
    <w:rsid w:val="00021593"/>
    <w:rsid w:val="00022866"/>
    <w:rsid w:val="0002389B"/>
    <w:rsid w:val="00023D0E"/>
    <w:rsid w:val="000246C0"/>
    <w:rsid w:val="00025BAF"/>
    <w:rsid w:val="00025C7C"/>
    <w:rsid w:val="00025CE7"/>
    <w:rsid w:val="00031045"/>
    <w:rsid w:val="000317D6"/>
    <w:rsid w:val="00032966"/>
    <w:rsid w:val="000331CF"/>
    <w:rsid w:val="000332D1"/>
    <w:rsid w:val="00033A9C"/>
    <w:rsid w:val="00033AC7"/>
    <w:rsid w:val="00033DC4"/>
    <w:rsid w:val="00035372"/>
    <w:rsid w:val="00035815"/>
    <w:rsid w:val="000358CD"/>
    <w:rsid w:val="0003779C"/>
    <w:rsid w:val="00037AE2"/>
    <w:rsid w:val="00042D35"/>
    <w:rsid w:val="00042DD6"/>
    <w:rsid w:val="00043275"/>
    <w:rsid w:val="0004394A"/>
    <w:rsid w:val="000441AA"/>
    <w:rsid w:val="000455E7"/>
    <w:rsid w:val="00045DC2"/>
    <w:rsid w:val="00045F02"/>
    <w:rsid w:val="00046C9E"/>
    <w:rsid w:val="000472B1"/>
    <w:rsid w:val="00047D52"/>
    <w:rsid w:val="000503E5"/>
    <w:rsid w:val="00050EC6"/>
    <w:rsid w:val="0005165C"/>
    <w:rsid w:val="000528D8"/>
    <w:rsid w:val="00053B1D"/>
    <w:rsid w:val="00054B89"/>
    <w:rsid w:val="00056CD3"/>
    <w:rsid w:val="00056DCA"/>
    <w:rsid w:val="00056E98"/>
    <w:rsid w:val="0006022F"/>
    <w:rsid w:val="00060958"/>
    <w:rsid w:val="000609F5"/>
    <w:rsid w:val="0006133A"/>
    <w:rsid w:val="000617E0"/>
    <w:rsid w:val="00062007"/>
    <w:rsid w:val="000630F2"/>
    <w:rsid w:val="000634F5"/>
    <w:rsid w:val="00066002"/>
    <w:rsid w:val="00066D45"/>
    <w:rsid w:val="0006766F"/>
    <w:rsid w:val="000676B5"/>
    <w:rsid w:val="00071550"/>
    <w:rsid w:val="0007211E"/>
    <w:rsid w:val="00072EC5"/>
    <w:rsid w:val="0007452D"/>
    <w:rsid w:val="00077047"/>
    <w:rsid w:val="0008116B"/>
    <w:rsid w:val="00081A6F"/>
    <w:rsid w:val="00082158"/>
    <w:rsid w:val="000826CE"/>
    <w:rsid w:val="000839EE"/>
    <w:rsid w:val="00083F2E"/>
    <w:rsid w:val="0008454F"/>
    <w:rsid w:val="00084C01"/>
    <w:rsid w:val="00085374"/>
    <w:rsid w:val="00085410"/>
    <w:rsid w:val="00087190"/>
    <w:rsid w:val="00091188"/>
    <w:rsid w:val="00092A4B"/>
    <w:rsid w:val="00094F3F"/>
    <w:rsid w:val="000950FD"/>
    <w:rsid w:val="000952AD"/>
    <w:rsid w:val="00095412"/>
    <w:rsid w:val="00095802"/>
    <w:rsid w:val="00095C70"/>
    <w:rsid w:val="000963BB"/>
    <w:rsid w:val="00097643"/>
    <w:rsid w:val="00097828"/>
    <w:rsid w:val="000A0005"/>
    <w:rsid w:val="000A04F4"/>
    <w:rsid w:val="000A130C"/>
    <w:rsid w:val="000A2198"/>
    <w:rsid w:val="000A2410"/>
    <w:rsid w:val="000A2666"/>
    <w:rsid w:val="000A2776"/>
    <w:rsid w:val="000A33A8"/>
    <w:rsid w:val="000A37BB"/>
    <w:rsid w:val="000A4867"/>
    <w:rsid w:val="000A4A24"/>
    <w:rsid w:val="000A5599"/>
    <w:rsid w:val="000A55B9"/>
    <w:rsid w:val="000A5830"/>
    <w:rsid w:val="000A687D"/>
    <w:rsid w:val="000A6A34"/>
    <w:rsid w:val="000A6C32"/>
    <w:rsid w:val="000A6FCF"/>
    <w:rsid w:val="000A7BCD"/>
    <w:rsid w:val="000B0225"/>
    <w:rsid w:val="000B193F"/>
    <w:rsid w:val="000B2C4E"/>
    <w:rsid w:val="000B3D3E"/>
    <w:rsid w:val="000B4F89"/>
    <w:rsid w:val="000B4FF3"/>
    <w:rsid w:val="000B5EA0"/>
    <w:rsid w:val="000B6A9D"/>
    <w:rsid w:val="000B6B68"/>
    <w:rsid w:val="000B7800"/>
    <w:rsid w:val="000C02C7"/>
    <w:rsid w:val="000C062E"/>
    <w:rsid w:val="000C0F23"/>
    <w:rsid w:val="000C1ECC"/>
    <w:rsid w:val="000C28C9"/>
    <w:rsid w:val="000C2E6C"/>
    <w:rsid w:val="000C31E3"/>
    <w:rsid w:val="000C348C"/>
    <w:rsid w:val="000C377B"/>
    <w:rsid w:val="000C38A2"/>
    <w:rsid w:val="000C5B98"/>
    <w:rsid w:val="000C5CCE"/>
    <w:rsid w:val="000C5E39"/>
    <w:rsid w:val="000C69B9"/>
    <w:rsid w:val="000C6AEA"/>
    <w:rsid w:val="000C6BAF"/>
    <w:rsid w:val="000C7903"/>
    <w:rsid w:val="000C7F38"/>
    <w:rsid w:val="000D16B7"/>
    <w:rsid w:val="000D2977"/>
    <w:rsid w:val="000D3B52"/>
    <w:rsid w:val="000D4F0F"/>
    <w:rsid w:val="000D6595"/>
    <w:rsid w:val="000E1CAF"/>
    <w:rsid w:val="000E2209"/>
    <w:rsid w:val="000E22BC"/>
    <w:rsid w:val="000E371D"/>
    <w:rsid w:val="000E3EBF"/>
    <w:rsid w:val="000E40E2"/>
    <w:rsid w:val="000E4B96"/>
    <w:rsid w:val="000E5907"/>
    <w:rsid w:val="000E5CCD"/>
    <w:rsid w:val="000E7012"/>
    <w:rsid w:val="000E70B4"/>
    <w:rsid w:val="000F0E40"/>
    <w:rsid w:val="000F165F"/>
    <w:rsid w:val="000F2EA9"/>
    <w:rsid w:val="000F315C"/>
    <w:rsid w:val="000F486C"/>
    <w:rsid w:val="000F486D"/>
    <w:rsid w:val="000F4BF1"/>
    <w:rsid w:val="000F54C9"/>
    <w:rsid w:val="000F698F"/>
    <w:rsid w:val="000F6C08"/>
    <w:rsid w:val="000F781F"/>
    <w:rsid w:val="00100FA4"/>
    <w:rsid w:val="001023A9"/>
    <w:rsid w:val="0010403C"/>
    <w:rsid w:val="0010485F"/>
    <w:rsid w:val="001049C7"/>
    <w:rsid w:val="00104A32"/>
    <w:rsid w:val="00105749"/>
    <w:rsid w:val="00106E83"/>
    <w:rsid w:val="00107104"/>
    <w:rsid w:val="00110DF2"/>
    <w:rsid w:val="00110FCE"/>
    <w:rsid w:val="0011145C"/>
    <w:rsid w:val="00111571"/>
    <w:rsid w:val="00112173"/>
    <w:rsid w:val="00113ADB"/>
    <w:rsid w:val="00115A15"/>
    <w:rsid w:val="00116F24"/>
    <w:rsid w:val="00120C76"/>
    <w:rsid w:val="00122917"/>
    <w:rsid w:val="00124AE6"/>
    <w:rsid w:val="00124B1D"/>
    <w:rsid w:val="00125F42"/>
    <w:rsid w:val="001260E3"/>
    <w:rsid w:val="0012677D"/>
    <w:rsid w:val="00127575"/>
    <w:rsid w:val="00127692"/>
    <w:rsid w:val="001279DF"/>
    <w:rsid w:val="00127F9D"/>
    <w:rsid w:val="00130524"/>
    <w:rsid w:val="00130645"/>
    <w:rsid w:val="00130A95"/>
    <w:rsid w:val="00130FF3"/>
    <w:rsid w:val="001326F8"/>
    <w:rsid w:val="001328FA"/>
    <w:rsid w:val="0013308A"/>
    <w:rsid w:val="001349C5"/>
    <w:rsid w:val="00134D5D"/>
    <w:rsid w:val="00135876"/>
    <w:rsid w:val="001365F4"/>
    <w:rsid w:val="00136638"/>
    <w:rsid w:val="00137889"/>
    <w:rsid w:val="00137BD2"/>
    <w:rsid w:val="0014196A"/>
    <w:rsid w:val="00142BCE"/>
    <w:rsid w:val="0014320E"/>
    <w:rsid w:val="00143C45"/>
    <w:rsid w:val="00144466"/>
    <w:rsid w:val="0014519A"/>
    <w:rsid w:val="00145473"/>
    <w:rsid w:val="00146014"/>
    <w:rsid w:val="00146197"/>
    <w:rsid w:val="001462F4"/>
    <w:rsid w:val="00146C6B"/>
    <w:rsid w:val="00147631"/>
    <w:rsid w:val="00151A8B"/>
    <w:rsid w:val="001520E9"/>
    <w:rsid w:val="00152606"/>
    <w:rsid w:val="00152B40"/>
    <w:rsid w:val="00152DBB"/>
    <w:rsid w:val="001538EA"/>
    <w:rsid w:val="00154E97"/>
    <w:rsid w:val="00154EC4"/>
    <w:rsid w:val="0015555D"/>
    <w:rsid w:val="0015571C"/>
    <w:rsid w:val="0015605F"/>
    <w:rsid w:val="00156AD6"/>
    <w:rsid w:val="00156F73"/>
    <w:rsid w:val="00157F5A"/>
    <w:rsid w:val="00161833"/>
    <w:rsid w:val="00162C93"/>
    <w:rsid w:val="00163390"/>
    <w:rsid w:val="00163FC5"/>
    <w:rsid w:val="001642A5"/>
    <w:rsid w:val="00165020"/>
    <w:rsid w:val="0016647A"/>
    <w:rsid w:val="00166CCB"/>
    <w:rsid w:val="00167050"/>
    <w:rsid w:val="00170531"/>
    <w:rsid w:val="0017056A"/>
    <w:rsid w:val="001705D8"/>
    <w:rsid w:val="00170907"/>
    <w:rsid w:val="00170943"/>
    <w:rsid w:val="00170F00"/>
    <w:rsid w:val="001735FD"/>
    <w:rsid w:val="001749BC"/>
    <w:rsid w:val="00174DFE"/>
    <w:rsid w:val="00174EE5"/>
    <w:rsid w:val="00175054"/>
    <w:rsid w:val="00176158"/>
    <w:rsid w:val="00176E43"/>
    <w:rsid w:val="00177C0C"/>
    <w:rsid w:val="00177D21"/>
    <w:rsid w:val="00177FA6"/>
    <w:rsid w:val="00180149"/>
    <w:rsid w:val="001806EB"/>
    <w:rsid w:val="00180957"/>
    <w:rsid w:val="00180B8E"/>
    <w:rsid w:val="00180CCD"/>
    <w:rsid w:val="0018157C"/>
    <w:rsid w:val="001820E2"/>
    <w:rsid w:val="00182632"/>
    <w:rsid w:val="00183C36"/>
    <w:rsid w:val="001850D1"/>
    <w:rsid w:val="00185B56"/>
    <w:rsid w:val="00186B48"/>
    <w:rsid w:val="00186F5C"/>
    <w:rsid w:val="001900FF"/>
    <w:rsid w:val="00190262"/>
    <w:rsid w:val="00190850"/>
    <w:rsid w:val="00192B08"/>
    <w:rsid w:val="001931D9"/>
    <w:rsid w:val="00193895"/>
    <w:rsid w:val="001940E2"/>
    <w:rsid w:val="00194363"/>
    <w:rsid w:val="00195F16"/>
    <w:rsid w:val="00197294"/>
    <w:rsid w:val="001A0F14"/>
    <w:rsid w:val="001A18CA"/>
    <w:rsid w:val="001A2F3A"/>
    <w:rsid w:val="001A3A79"/>
    <w:rsid w:val="001A4BA5"/>
    <w:rsid w:val="001A5198"/>
    <w:rsid w:val="001A643F"/>
    <w:rsid w:val="001A6F25"/>
    <w:rsid w:val="001A7F28"/>
    <w:rsid w:val="001B0D0F"/>
    <w:rsid w:val="001B1C1F"/>
    <w:rsid w:val="001B2778"/>
    <w:rsid w:val="001B3868"/>
    <w:rsid w:val="001B5DB9"/>
    <w:rsid w:val="001B6706"/>
    <w:rsid w:val="001B6905"/>
    <w:rsid w:val="001B6CD9"/>
    <w:rsid w:val="001B7020"/>
    <w:rsid w:val="001B74FD"/>
    <w:rsid w:val="001C01A2"/>
    <w:rsid w:val="001C0432"/>
    <w:rsid w:val="001C0B54"/>
    <w:rsid w:val="001C0B95"/>
    <w:rsid w:val="001C2440"/>
    <w:rsid w:val="001C2779"/>
    <w:rsid w:val="001C2B16"/>
    <w:rsid w:val="001C3E2F"/>
    <w:rsid w:val="001C5992"/>
    <w:rsid w:val="001C6920"/>
    <w:rsid w:val="001D137F"/>
    <w:rsid w:val="001D2C30"/>
    <w:rsid w:val="001D3A73"/>
    <w:rsid w:val="001D54B6"/>
    <w:rsid w:val="001D55E2"/>
    <w:rsid w:val="001D6023"/>
    <w:rsid w:val="001D6FCD"/>
    <w:rsid w:val="001D7122"/>
    <w:rsid w:val="001E1121"/>
    <w:rsid w:val="001E1174"/>
    <w:rsid w:val="001E12A0"/>
    <w:rsid w:val="001E31D3"/>
    <w:rsid w:val="001E451C"/>
    <w:rsid w:val="001E4B89"/>
    <w:rsid w:val="001E4BC2"/>
    <w:rsid w:val="001E5001"/>
    <w:rsid w:val="001E7FA6"/>
    <w:rsid w:val="001F021A"/>
    <w:rsid w:val="001F05CB"/>
    <w:rsid w:val="001F0925"/>
    <w:rsid w:val="001F0972"/>
    <w:rsid w:val="001F0D68"/>
    <w:rsid w:val="001F0FAA"/>
    <w:rsid w:val="001F1369"/>
    <w:rsid w:val="001F1D41"/>
    <w:rsid w:val="001F219D"/>
    <w:rsid w:val="001F219E"/>
    <w:rsid w:val="001F2F61"/>
    <w:rsid w:val="001F3334"/>
    <w:rsid w:val="001F34B5"/>
    <w:rsid w:val="001F5AC8"/>
    <w:rsid w:val="001F5D30"/>
    <w:rsid w:val="001F6DB8"/>
    <w:rsid w:val="001F7009"/>
    <w:rsid w:val="001F79AC"/>
    <w:rsid w:val="00200487"/>
    <w:rsid w:val="00202618"/>
    <w:rsid w:val="00202BAA"/>
    <w:rsid w:val="00203276"/>
    <w:rsid w:val="00203CA6"/>
    <w:rsid w:val="00204040"/>
    <w:rsid w:val="002042F8"/>
    <w:rsid w:val="002043DA"/>
    <w:rsid w:val="0020448A"/>
    <w:rsid w:val="00205239"/>
    <w:rsid w:val="00205A42"/>
    <w:rsid w:val="00206E8A"/>
    <w:rsid w:val="00207920"/>
    <w:rsid w:val="00207EB2"/>
    <w:rsid w:val="0021065E"/>
    <w:rsid w:val="00212516"/>
    <w:rsid w:val="002126C4"/>
    <w:rsid w:val="00213086"/>
    <w:rsid w:val="00213349"/>
    <w:rsid w:val="002136DA"/>
    <w:rsid w:val="002137A7"/>
    <w:rsid w:val="00213CB6"/>
    <w:rsid w:val="0021536B"/>
    <w:rsid w:val="002153D3"/>
    <w:rsid w:val="002156CC"/>
    <w:rsid w:val="00215DFC"/>
    <w:rsid w:val="00220854"/>
    <w:rsid w:val="00220FF8"/>
    <w:rsid w:val="00225509"/>
    <w:rsid w:val="00226549"/>
    <w:rsid w:val="002272AA"/>
    <w:rsid w:val="002277D1"/>
    <w:rsid w:val="00230077"/>
    <w:rsid w:val="00231106"/>
    <w:rsid w:val="00231FFD"/>
    <w:rsid w:val="002321F3"/>
    <w:rsid w:val="0023269A"/>
    <w:rsid w:val="0023389D"/>
    <w:rsid w:val="00233A55"/>
    <w:rsid w:val="00233B5E"/>
    <w:rsid w:val="00234B14"/>
    <w:rsid w:val="00235BBE"/>
    <w:rsid w:val="002364FD"/>
    <w:rsid w:val="002366AB"/>
    <w:rsid w:val="00236ACB"/>
    <w:rsid w:val="0023751E"/>
    <w:rsid w:val="00237567"/>
    <w:rsid w:val="00240A76"/>
    <w:rsid w:val="00240BFB"/>
    <w:rsid w:val="00241395"/>
    <w:rsid w:val="0024169B"/>
    <w:rsid w:val="00241C8F"/>
    <w:rsid w:val="00241FD7"/>
    <w:rsid w:val="002421A1"/>
    <w:rsid w:val="00245675"/>
    <w:rsid w:val="0024624A"/>
    <w:rsid w:val="00246F5A"/>
    <w:rsid w:val="00250156"/>
    <w:rsid w:val="002504C1"/>
    <w:rsid w:val="00250817"/>
    <w:rsid w:val="00250B8F"/>
    <w:rsid w:val="002519AF"/>
    <w:rsid w:val="00251F72"/>
    <w:rsid w:val="002521FB"/>
    <w:rsid w:val="00252581"/>
    <w:rsid w:val="002534F9"/>
    <w:rsid w:val="00253BC6"/>
    <w:rsid w:val="00253F78"/>
    <w:rsid w:val="0025435C"/>
    <w:rsid w:val="00256D8B"/>
    <w:rsid w:val="00260110"/>
    <w:rsid w:val="00261AF5"/>
    <w:rsid w:val="002624F9"/>
    <w:rsid w:val="00262959"/>
    <w:rsid w:val="002636F5"/>
    <w:rsid w:val="00263E01"/>
    <w:rsid w:val="00264632"/>
    <w:rsid w:val="002654A6"/>
    <w:rsid w:val="00265B5F"/>
    <w:rsid w:val="00265C76"/>
    <w:rsid w:val="00266AB7"/>
    <w:rsid w:val="00266B2F"/>
    <w:rsid w:val="0026765A"/>
    <w:rsid w:val="00267EA0"/>
    <w:rsid w:val="0027090E"/>
    <w:rsid w:val="002727F5"/>
    <w:rsid w:val="002729A0"/>
    <w:rsid w:val="00273457"/>
    <w:rsid w:val="00273473"/>
    <w:rsid w:val="0027420D"/>
    <w:rsid w:val="002747EC"/>
    <w:rsid w:val="002748FE"/>
    <w:rsid w:val="00274F72"/>
    <w:rsid w:val="00275AD0"/>
    <w:rsid w:val="002761A4"/>
    <w:rsid w:val="00277C28"/>
    <w:rsid w:val="002810B9"/>
    <w:rsid w:val="002818B1"/>
    <w:rsid w:val="00281CBE"/>
    <w:rsid w:val="002830EA"/>
    <w:rsid w:val="00283888"/>
    <w:rsid w:val="00286110"/>
    <w:rsid w:val="002873BC"/>
    <w:rsid w:val="00290AF4"/>
    <w:rsid w:val="00291098"/>
    <w:rsid w:val="00291824"/>
    <w:rsid w:val="0029224B"/>
    <w:rsid w:val="002938BA"/>
    <w:rsid w:val="002945D2"/>
    <w:rsid w:val="002956E0"/>
    <w:rsid w:val="002A0750"/>
    <w:rsid w:val="002A1801"/>
    <w:rsid w:val="002A1E3D"/>
    <w:rsid w:val="002A36D4"/>
    <w:rsid w:val="002A47E7"/>
    <w:rsid w:val="002A4FE8"/>
    <w:rsid w:val="002A535A"/>
    <w:rsid w:val="002A6C37"/>
    <w:rsid w:val="002B093F"/>
    <w:rsid w:val="002B0C5C"/>
    <w:rsid w:val="002B1CC9"/>
    <w:rsid w:val="002B1D36"/>
    <w:rsid w:val="002B236E"/>
    <w:rsid w:val="002B2748"/>
    <w:rsid w:val="002B32E5"/>
    <w:rsid w:val="002B3BE0"/>
    <w:rsid w:val="002B4526"/>
    <w:rsid w:val="002B5D4E"/>
    <w:rsid w:val="002B6930"/>
    <w:rsid w:val="002B6C91"/>
    <w:rsid w:val="002B6F29"/>
    <w:rsid w:val="002B714D"/>
    <w:rsid w:val="002B735C"/>
    <w:rsid w:val="002C00EB"/>
    <w:rsid w:val="002C1055"/>
    <w:rsid w:val="002C1A45"/>
    <w:rsid w:val="002C372D"/>
    <w:rsid w:val="002C4BAC"/>
    <w:rsid w:val="002C517C"/>
    <w:rsid w:val="002C552A"/>
    <w:rsid w:val="002C59DC"/>
    <w:rsid w:val="002C5C4D"/>
    <w:rsid w:val="002C5E1B"/>
    <w:rsid w:val="002C664F"/>
    <w:rsid w:val="002C68D3"/>
    <w:rsid w:val="002D0009"/>
    <w:rsid w:val="002D071B"/>
    <w:rsid w:val="002D1D0A"/>
    <w:rsid w:val="002D1E19"/>
    <w:rsid w:val="002D2F07"/>
    <w:rsid w:val="002D3BE4"/>
    <w:rsid w:val="002D4A5B"/>
    <w:rsid w:val="002D4B83"/>
    <w:rsid w:val="002D6233"/>
    <w:rsid w:val="002D6D80"/>
    <w:rsid w:val="002D7319"/>
    <w:rsid w:val="002D7935"/>
    <w:rsid w:val="002E0B1D"/>
    <w:rsid w:val="002E52EF"/>
    <w:rsid w:val="002E5EC1"/>
    <w:rsid w:val="002E673F"/>
    <w:rsid w:val="002E6E21"/>
    <w:rsid w:val="002E7315"/>
    <w:rsid w:val="002E73AB"/>
    <w:rsid w:val="002E7EB0"/>
    <w:rsid w:val="002F0FA0"/>
    <w:rsid w:val="002F1AF6"/>
    <w:rsid w:val="002F2306"/>
    <w:rsid w:val="002F3435"/>
    <w:rsid w:val="002F392D"/>
    <w:rsid w:val="002F402D"/>
    <w:rsid w:val="002F490A"/>
    <w:rsid w:val="002F5066"/>
    <w:rsid w:val="002F663B"/>
    <w:rsid w:val="003013F2"/>
    <w:rsid w:val="0030274D"/>
    <w:rsid w:val="0030299D"/>
    <w:rsid w:val="00303C3F"/>
    <w:rsid w:val="003043F8"/>
    <w:rsid w:val="0030622C"/>
    <w:rsid w:val="003062F0"/>
    <w:rsid w:val="00307D98"/>
    <w:rsid w:val="0031050A"/>
    <w:rsid w:val="003105DE"/>
    <w:rsid w:val="00310C4D"/>
    <w:rsid w:val="00311313"/>
    <w:rsid w:val="00311437"/>
    <w:rsid w:val="003122EA"/>
    <w:rsid w:val="0031289E"/>
    <w:rsid w:val="00312C1E"/>
    <w:rsid w:val="00312E6F"/>
    <w:rsid w:val="00312F3F"/>
    <w:rsid w:val="00313C96"/>
    <w:rsid w:val="00313CED"/>
    <w:rsid w:val="00315A2B"/>
    <w:rsid w:val="00315D4C"/>
    <w:rsid w:val="003169B2"/>
    <w:rsid w:val="003169D6"/>
    <w:rsid w:val="00316F39"/>
    <w:rsid w:val="0031746F"/>
    <w:rsid w:val="00317496"/>
    <w:rsid w:val="00321294"/>
    <w:rsid w:val="003214DF"/>
    <w:rsid w:val="00321D23"/>
    <w:rsid w:val="003226F9"/>
    <w:rsid w:val="00322BBE"/>
    <w:rsid w:val="00322CB5"/>
    <w:rsid w:val="00324AEF"/>
    <w:rsid w:val="00324B3E"/>
    <w:rsid w:val="003263F3"/>
    <w:rsid w:val="00330BD1"/>
    <w:rsid w:val="0033291B"/>
    <w:rsid w:val="0033357C"/>
    <w:rsid w:val="003337F1"/>
    <w:rsid w:val="00333C9B"/>
    <w:rsid w:val="0033539F"/>
    <w:rsid w:val="00335A4B"/>
    <w:rsid w:val="0033683E"/>
    <w:rsid w:val="00337EF9"/>
    <w:rsid w:val="003408B6"/>
    <w:rsid w:val="0034109F"/>
    <w:rsid w:val="00342801"/>
    <w:rsid w:val="0034291B"/>
    <w:rsid w:val="00343179"/>
    <w:rsid w:val="00343849"/>
    <w:rsid w:val="00343AF0"/>
    <w:rsid w:val="0034427F"/>
    <w:rsid w:val="00344A23"/>
    <w:rsid w:val="00344D33"/>
    <w:rsid w:val="00344F17"/>
    <w:rsid w:val="00346EFD"/>
    <w:rsid w:val="00347ED0"/>
    <w:rsid w:val="003501F2"/>
    <w:rsid w:val="00350C41"/>
    <w:rsid w:val="00351C13"/>
    <w:rsid w:val="00352106"/>
    <w:rsid w:val="00353EC2"/>
    <w:rsid w:val="00354300"/>
    <w:rsid w:val="00355615"/>
    <w:rsid w:val="0035561D"/>
    <w:rsid w:val="00355D12"/>
    <w:rsid w:val="003566E4"/>
    <w:rsid w:val="00360C83"/>
    <w:rsid w:val="0036281E"/>
    <w:rsid w:val="0036311F"/>
    <w:rsid w:val="00363415"/>
    <w:rsid w:val="00363693"/>
    <w:rsid w:val="00364D50"/>
    <w:rsid w:val="00364E74"/>
    <w:rsid w:val="00365CA3"/>
    <w:rsid w:val="003663B2"/>
    <w:rsid w:val="0036677D"/>
    <w:rsid w:val="00366C9E"/>
    <w:rsid w:val="003705AB"/>
    <w:rsid w:val="00370C11"/>
    <w:rsid w:val="003715B7"/>
    <w:rsid w:val="0037269D"/>
    <w:rsid w:val="00372A1E"/>
    <w:rsid w:val="0037333D"/>
    <w:rsid w:val="003735AA"/>
    <w:rsid w:val="0037381B"/>
    <w:rsid w:val="00374168"/>
    <w:rsid w:val="00374455"/>
    <w:rsid w:val="00374A96"/>
    <w:rsid w:val="00375C0B"/>
    <w:rsid w:val="00375FDE"/>
    <w:rsid w:val="00376655"/>
    <w:rsid w:val="00376715"/>
    <w:rsid w:val="0037709C"/>
    <w:rsid w:val="003779A2"/>
    <w:rsid w:val="00377CAA"/>
    <w:rsid w:val="00377D8B"/>
    <w:rsid w:val="0038022A"/>
    <w:rsid w:val="00380BD6"/>
    <w:rsid w:val="00380CC5"/>
    <w:rsid w:val="00380ECA"/>
    <w:rsid w:val="00381957"/>
    <w:rsid w:val="00381A04"/>
    <w:rsid w:val="0038258E"/>
    <w:rsid w:val="00382FFC"/>
    <w:rsid w:val="00383052"/>
    <w:rsid w:val="0038618C"/>
    <w:rsid w:val="0038647A"/>
    <w:rsid w:val="00386F57"/>
    <w:rsid w:val="00387A05"/>
    <w:rsid w:val="00390133"/>
    <w:rsid w:val="0039185A"/>
    <w:rsid w:val="00392093"/>
    <w:rsid w:val="003926BC"/>
    <w:rsid w:val="003932EF"/>
    <w:rsid w:val="0039356B"/>
    <w:rsid w:val="00394478"/>
    <w:rsid w:val="00394531"/>
    <w:rsid w:val="00395237"/>
    <w:rsid w:val="0039622E"/>
    <w:rsid w:val="003974AD"/>
    <w:rsid w:val="003975B2"/>
    <w:rsid w:val="003A0074"/>
    <w:rsid w:val="003A063D"/>
    <w:rsid w:val="003A0E0C"/>
    <w:rsid w:val="003A127B"/>
    <w:rsid w:val="003A149B"/>
    <w:rsid w:val="003A1DE2"/>
    <w:rsid w:val="003A3E64"/>
    <w:rsid w:val="003A552E"/>
    <w:rsid w:val="003A5EA7"/>
    <w:rsid w:val="003A6633"/>
    <w:rsid w:val="003A7610"/>
    <w:rsid w:val="003B0286"/>
    <w:rsid w:val="003B136C"/>
    <w:rsid w:val="003B13EF"/>
    <w:rsid w:val="003B174D"/>
    <w:rsid w:val="003B180F"/>
    <w:rsid w:val="003B2756"/>
    <w:rsid w:val="003B2B3F"/>
    <w:rsid w:val="003B317F"/>
    <w:rsid w:val="003B39D9"/>
    <w:rsid w:val="003B4B77"/>
    <w:rsid w:val="003B4C7C"/>
    <w:rsid w:val="003B5B6F"/>
    <w:rsid w:val="003B74EA"/>
    <w:rsid w:val="003C05B4"/>
    <w:rsid w:val="003C0A10"/>
    <w:rsid w:val="003C0A8B"/>
    <w:rsid w:val="003C16D7"/>
    <w:rsid w:val="003C2B61"/>
    <w:rsid w:val="003C360B"/>
    <w:rsid w:val="003C3925"/>
    <w:rsid w:val="003C3E7A"/>
    <w:rsid w:val="003C49A2"/>
    <w:rsid w:val="003D0A90"/>
    <w:rsid w:val="003D1458"/>
    <w:rsid w:val="003D193E"/>
    <w:rsid w:val="003D23BB"/>
    <w:rsid w:val="003D33DF"/>
    <w:rsid w:val="003D39BE"/>
    <w:rsid w:val="003D3FF9"/>
    <w:rsid w:val="003D498F"/>
    <w:rsid w:val="003D50D4"/>
    <w:rsid w:val="003D567C"/>
    <w:rsid w:val="003D7D60"/>
    <w:rsid w:val="003D7F74"/>
    <w:rsid w:val="003E2724"/>
    <w:rsid w:val="003E2A12"/>
    <w:rsid w:val="003E324B"/>
    <w:rsid w:val="003E3745"/>
    <w:rsid w:val="003E3F43"/>
    <w:rsid w:val="003E449B"/>
    <w:rsid w:val="003E55A1"/>
    <w:rsid w:val="003E5AF0"/>
    <w:rsid w:val="003E5CA7"/>
    <w:rsid w:val="003E6685"/>
    <w:rsid w:val="003E66B9"/>
    <w:rsid w:val="003E7B39"/>
    <w:rsid w:val="003F2958"/>
    <w:rsid w:val="003F2999"/>
    <w:rsid w:val="003F2C1A"/>
    <w:rsid w:val="003F3918"/>
    <w:rsid w:val="003F40F8"/>
    <w:rsid w:val="003F4319"/>
    <w:rsid w:val="003F6621"/>
    <w:rsid w:val="003F66C1"/>
    <w:rsid w:val="003F676A"/>
    <w:rsid w:val="0040029C"/>
    <w:rsid w:val="00400F49"/>
    <w:rsid w:val="00400FE4"/>
    <w:rsid w:val="0040106B"/>
    <w:rsid w:val="00402F8A"/>
    <w:rsid w:val="00403418"/>
    <w:rsid w:val="004048CF"/>
    <w:rsid w:val="004065C6"/>
    <w:rsid w:val="00406E8B"/>
    <w:rsid w:val="00407627"/>
    <w:rsid w:val="00407AE1"/>
    <w:rsid w:val="00407C10"/>
    <w:rsid w:val="00410E51"/>
    <w:rsid w:val="00411379"/>
    <w:rsid w:val="0041225D"/>
    <w:rsid w:val="004124A5"/>
    <w:rsid w:val="004124CB"/>
    <w:rsid w:val="00412EB3"/>
    <w:rsid w:val="00414965"/>
    <w:rsid w:val="0041592B"/>
    <w:rsid w:val="0041666F"/>
    <w:rsid w:val="00417209"/>
    <w:rsid w:val="00417559"/>
    <w:rsid w:val="00417574"/>
    <w:rsid w:val="00417881"/>
    <w:rsid w:val="00420524"/>
    <w:rsid w:val="00420C08"/>
    <w:rsid w:val="0042171D"/>
    <w:rsid w:val="00421904"/>
    <w:rsid w:val="00422621"/>
    <w:rsid w:val="00422833"/>
    <w:rsid w:val="00422FE3"/>
    <w:rsid w:val="004230FD"/>
    <w:rsid w:val="00423280"/>
    <w:rsid w:val="004238E9"/>
    <w:rsid w:val="00424C82"/>
    <w:rsid w:val="00427427"/>
    <w:rsid w:val="00427A25"/>
    <w:rsid w:val="00427F5A"/>
    <w:rsid w:val="00430063"/>
    <w:rsid w:val="00430E8A"/>
    <w:rsid w:val="0043278A"/>
    <w:rsid w:val="00433CE1"/>
    <w:rsid w:val="0043454F"/>
    <w:rsid w:val="0043645C"/>
    <w:rsid w:val="00436D1F"/>
    <w:rsid w:val="00437D24"/>
    <w:rsid w:val="00440A6A"/>
    <w:rsid w:val="00440DA8"/>
    <w:rsid w:val="0044203F"/>
    <w:rsid w:val="004421EC"/>
    <w:rsid w:val="00442AB9"/>
    <w:rsid w:val="004432A9"/>
    <w:rsid w:val="00445224"/>
    <w:rsid w:val="00446790"/>
    <w:rsid w:val="004506D2"/>
    <w:rsid w:val="00451488"/>
    <w:rsid w:val="004533F9"/>
    <w:rsid w:val="004546E3"/>
    <w:rsid w:val="00455694"/>
    <w:rsid w:val="00455899"/>
    <w:rsid w:val="004560A7"/>
    <w:rsid w:val="0045692B"/>
    <w:rsid w:val="00456E4A"/>
    <w:rsid w:val="00457ADF"/>
    <w:rsid w:val="0046003E"/>
    <w:rsid w:val="004612B4"/>
    <w:rsid w:val="00461811"/>
    <w:rsid w:val="00461FBD"/>
    <w:rsid w:val="004621AE"/>
    <w:rsid w:val="00462AF9"/>
    <w:rsid w:val="00462BDC"/>
    <w:rsid w:val="00463CC6"/>
    <w:rsid w:val="004642B8"/>
    <w:rsid w:val="0046440B"/>
    <w:rsid w:val="004653A7"/>
    <w:rsid w:val="0046551F"/>
    <w:rsid w:val="00465DCC"/>
    <w:rsid w:val="00466AD3"/>
    <w:rsid w:val="004675AB"/>
    <w:rsid w:val="004708E7"/>
    <w:rsid w:val="004722DE"/>
    <w:rsid w:val="00472AF8"/>
    <w:rsid w:val="004732BD"/>
    <w:rsid w:val="0047395C"/>
    <w:rsid w:val="004754A0"/>
    <w:rsid w:val="00476E1B"/>
    <w:rsid w:val="00477EB3"/>
    <w:rsid w:val="00480D7E"/>
    <w:rsid w:val="004811AA"/>
    <w:rsid w:val="0048277F"/>
    <w:rsid w:val="00483446"/>
    <w:rsid w:val="00484314"/>
    <w:rsid w:val="004845B0"/>
    <w:rsid w:val="004852C1"/>
    <w:rsid w:val="004857EB"/>
    <w:rsid w:val="00486529"/>
    <w:rsid w:val="00486901"/>
    <w:rsid w:val="00486955"/>
    <w:rsid w:val="0048697E"/>
    <w:rsid w:val="004873DC"/>
    <w:rsid w:val="00490222"/>
    <w:rsid w:val="004903A7"/>
    <w:rsid w:val="00490600"/>
    <w:rsid w:val="00490716"/>
    <w:rsid w:val="00490C73"/>
    <w:rsid w:val="00490E27"/>
    <w:rsid w:val="0049143C"/>
    <w:rsid w:val="00491C81"/>
    <w:rsid w:val="004930A2"/>
    <w:rsid w:val="00493FA5"/>
    <w:rsid w:val="0049466F"/>
    <w:rsid w:val="00494A44"/>
    <w:rsid w:val="00494C54"/>
    <w:rsid w:val="00497216"/>
    <w:rsid w:val="0049755D"/>
    <w:rsid w:val="00497DC3"/>
    <w:rsid w:val="004A01C1"/>
    <w:rsid w:val="004A02EB"/>
    <w:rsid w:val="004A037F"/>
    <w:rsid w:val="004A1187"/>
    <w:rsid w:val="004A14F2"/>
    <w:rsid w:val="004A3F96"/>
    <w:rsid w:val="004A5849"/>
    <w:rsid w:val="004A584E"/>
    <w:rsid w:val="004A5D0A"/>
    <w:rsid w:val="004A715C"/>
    <w:rsid w:val="004B086D"/>
    <w:rsid w:val="004B0DC7"/>
    <w:rsid w:val="004B197A"/>
    <w:rsid w:val="004B21EC"/>
    <w:rsid w:val="004B2929"/>
    <w:rsid w:val="004B2F16"/>
    <w:rsid w:val="004B3293"/>
    <w:rsid w:val="004C041B"/>
    <w:rsid w:val="004C0485"/>
    <w:rsid w:val="004C0BF3"/>
    <w:rsid w:val="004C16D2"/>
    <w:rsid w:val="004C1BAE"/>
    <w:rsid w:val="004C2E03"/>
    <w:rsid w:val="004C3123"/>
    <w:rsid w:val="004C3CFB"/>
    <w:rsid w:val="004C3EC9"/>
    <w:rsid w:val="004C50B8"/>
    <w:rsid w:val="004C5B0A"/>
    <w:rsid w:val="004C5C7E"/>
    <w:rsid w:val="004C6696"/>
    <w:rsid w:val="004C7990"/>
    <w:rsid w:val="004D0593"/>
    <w:rsid w:val="004D0E96"/>
    <w:rsid w:val="004D22C1"/>
    <w:rsid w:val="004D3699"/>
    <w:rsid w:val="004D3870"/>
    <w:rsid w:val="004D3FFB"/>
    <w:rsid w:val="004D5023"/>
    <w:rsid w:val="004D53A1"/>
    <w:rsid w:val="004D545B"/>
    <w:rsid w:val="004D58DB"/>
    <w:rsid w:val="004D5A5D"/>
    <w:rsid w:val="004D5DFC"/>
    <w:rsid w:val="004D68C6"/>
    <w:rsid w:val="004D7145"/>
    <w:rsid w:val="004D76E1"/>
    <w:rsid w:val="004E1910"/>
    <w:rsid w:val="004E32B1"/>
    <w:rsid w:val="004E32ED"/>
    <w:rsid w:val="004E4A37"/>
    <w:rsid w:val="004E4C90"/>
    <w:rsid w:val="004E5C71"/>
    <w:rsid w:val="004E63D9"/>
    <w:rsid w:val="004F019E"/>
    <w:rsid w:val="004F1669"/>
    <w:rsid w:val="004F19F6"/>
    <w:rsid w:val="004F3275"/>
    <w:rsid w:val="004F56CD"/>
    <w:rsid w:val="004F65C3"/>
    <w:rsid w:val="004F75FA"/>
    <w:rsid w:val="005002EE"/>
    <w:rsid w:val="005006AC"/>
    <w:rsid w:val="00500F53"/>
    <w:rsid w:val="00502618"/>
    <w:rsid w:val="00502BEB"/>
    <w:rsid w:val="005034EF"/>
    <w:rsid w:val="00504110"/>
    <w:rsid w:val="005044D6"/>
    <w:rsid w:val="00506171"/>
    <w:rsid w:val="00506915"/>
    <w:rsid w:val="00507C5D"/>
    <w:rsid w:val="00510BDB"/>
    <w:rsid w:val="00510E1A"/>
    <w:rsid w:val="005119D2"/>
    <w:rsid w:val="00513355"/>
    <w:rsid w:val="0051429A"/>
    <w:rsid w:val="0051563A"/>
    <w:rsid w:val="0051595D"/>
    <w:rsid w:val="005167EF"/>
    <w:rsid w:val="0051776E"/>
    <w:rsid w:val="00520272"/>
    <w:rsid w:val="00520E38"/>
    <w:rsid w:val="00522562"/>
    <w:rsid w:val="005226AF"/>
    <w:rsid w:val="00524C11"/>
    <w:rsid w:val="00524EC4"/>
    <w:rsid w:val="00524FDF"/>
    <w:rsid w:val="00525F76"/>
    <w:rsid w:val="005265E2"/>
    <w:rsid w:val="00526770"/>
    <w:rsid w:val="00527BF2"/>
    <w:rsid w:val="00527FFD"/>
    <w:rsid w:val="00530C38"/>
    <w:rsid w:val="0053270E"/>
    <w:rsid w:val="00532726"/>
    <w:rsid w:val="00532A22"/>
    <w:rsid w:val="00532FB0"/>
    <w:rsid w:val="00533104"/>
    <w:rsid w:val="00533CEC"/>
    <w:rsid w:val="00536DC1"/>
    <w:rsid w:val="0053712C"/>
    <w:rsid w:val="005377E9"/>
    <w:rsid w:val="0054181E"/>
    <w:rsid w:val="0054186B"/>
    <w:rsid w:val="00543BA1"/>
    <w:rsid w:val="00544799"/>
    <w:rsid w:val="005457F6"/>
    <w:rsid w:val="00546DB0"/>
    <w:rsid w:val="00547904"/>
    <w:rsid w:val="005515A4"/>
    <w:rsid w:val="00551A99"/>
    <w:rsid w:val="005520FE"/>
    <w:rsid w:val="00552458"/>
    <w:rsid w:val="005527A3"/>
    <w:rsid w:val="00553A97"/>
    <w:rsid w:val="00553B1E"/>
    <w:rsid w:val="00553C38"/>
    <w:rsid w:val="005572ED"/>
    <w:rsid w:val="00557C2C"/>
    <w:rsid w:val="00557FC4"/>
    <w:rsid w:val="005600A1"/>
    <w:rsid w:val="00561313"/>
    <w:rsid w:val="00561813"/>
    <w:rsid w:val="00561EAC"/>
    <w:rsid w:val="00562ED8"/>
    <w:rsid w:val="00563484"/>
    <w:rsid w:val="005635BA"/>
    <w:rsid w:val="00563871"/>
    <w:rsid w:val="00563D7E"/>
    <w:rsid w:val="005648E7"/>
    <w:rsid w:val="00564F16"/>
    <w:rsid w:val="00565B6A"/>
    <w:rsid w:val="005665F4"/>
    <w:rsid w:val="00567723"/>
    <w:rsid w:val="00567C69"/>
    <w:rsid w:val="00567C85"/>
    <w:rsid w:val="00570645"/>
    <w:rsid w:val="00571441"/>
    <w:rsid w:val="00571C5C"/>
    <w:rsid w:val="00572BEF"/>
    <w:rsid w:val="0057324F"/>
    <w:rsid w:val="005732AA"/>
    <w:rsid w:val="0057345E"/>
    <w:rsid w:val="00574325"/>
    <w:rsid w:val="005745A2"/>
    <w:rsid w:val="005755F2"/>
    <w:rsid w:val="00575EB3"/>
    <w:rsid w:val="0057640E"/>
    <w:rsid w:val="0057668E"/>
    <w:rsid w:val="00577899"/>
    <w:rsid w:val="00577D60"/>
    <w:rsid w:val="00580ECF"/>
    <w:rsid w:val="00581124"/>
    <w:rsid w:val="005812FB"/>
    <w:rsid w:val="00586BAE"/>
    <w:rsid w:val="00586FFD"/>
    <w:rsid w:val="00587A7B"/>
    <w:rsid w:val="00587BDC"/>
    <w:rsid w:val="00587D28"/>
    <w:rsid w:val="00592125"/>
    <w:rsid w:val="00592492"/>
    <w:rsid w:val="0059271E"/>
    <w:rsid w:val="0059295C"/>
    <w:rsid w:val="00593DED"/>
    <w:rsid w:val="005942C7"/>
    <w:rsid w:val="00595B2C"/>
    <w:rsid w:val="0059639C"/>
    <w:rsid w:val="005A0449"/>
    <w:rsid w:val="005A3140"/>
    <w:rsid w:val="005A37BD"/>
    <w:rsid w:val="005A3E8C"/>
    <w:rsid w:val="005A3EAA"/>
    <w:rsid w:val="005A4406"/>
    <w:rsid w:val="005A4774"/>
    <w:rsid w:val="005A4F31"/>
    <w:rsid w:val="005A67DE"/>
    <w:rsid w:val="005A7AFE"/>
    <w:rsid w:val="005B0024"/>
    <w:rsid w:val="005B0D2F"/>
    <w:rsid w:val="005B0FFB"/>
    <w:rsid w:val="005B1A58"/>
    <w:rsid w:val="005B1D88"/>
    <w:rsid w:val="005B2985"/>
    <w:rsid w:val="005B45BD"/>
    <w:rsid w:val="005B495D"/>
    <w:rsid w:val="005B52DE"/>
    <w:rsid w:val="005B5583"/>
    <w:rsid w:val="005B66FE"/>
    <w:rsid w:val="005B7445"/>
    <w:rsid w:val="005C021B"/>
    <w:rsid w:val="005C07D8"/>
    <w:rsid w:val="005C167F"/>
    <w:rsid w:val="005C1EB8"/>
    <w:rsid w:val="005C32F4"/>
    <w:rsid w:val="005C47D7"/>
    <w:rsid w:val="005C4939"/>
    <w:rsid w:val="005C55BB"/>
    <w:rsid w:val="005C6323"/>
    <w:rsid w:val="005C66AA"/>
    <w:rsid w:val="005C691B"/>
    <w:rsid w:val="005C7DF5"/>
    <w:rsid w:val="005D0331"/>
    <w:rsid w:val="005D0334"/>
    <w:rsid w:val="005D09CB"/>
    <w:rsid w:val="005D0E94"/>
    <w:rsid w:val="005D3D14"/>
    <w:rsid w:val="005D43AE"/>
    <w:rsid w:val="005D4BC9"/>
    <w:rsid w:val="005D4E66"/>
    <w:rsid w:val="005D5129"/>
    <w:rsid w:val="005D5E4C"/>
    <w:rsid w:val="005D5FC6"/>
    <w:rsid w:val="005D624F"/>
    <w:rsid w:val="005D7393"/>
    <w:rsid w:val="005E21CC"/>
    <w:rsid w:val="005E4959"/>
    <w:rsid w:val="005E4B52"/>
    <w:rsid w:val="005E4C5C"/>
    <w:rsid w:val="005E4D42"/>
    <w:rsid w:val="005E5797"/>
    <w:rsid w:val="005E71DB"/>
    <w:rsid w:val="005E7324"/>
    <w:rsid w:val="005F0D85"/>
    <w:rsid w:val="005F106A"/>
    <w:rsid w:val="005F3109"/>
    <w:rsid w:val="005F326F"/>
    <w:rsid w:val="005F3713"/>
    <w:rsid w:val="005F3CD9"/>
    <w:rsid w:val="005F45F0"/>
    <w:rsid w:val="005F5FC8"/>
    <w:rsid w:val="005F72A2"/>
    <w:rsid w:val="005F7B26"/>
    <w:rsid w:val="005F7BD9"/>
    <w:rsid w:val="00604CE7"/>
    <w:rsid w:val="00605AC7"/>
    <w:rsid w:val="00605C57"/>
    <w:rsid w:val="00606220"/>
    <w:rsid w:val="00606716"/>
    <w:rsid w:val="006067FC"/>
    <w:rsid w:val="006105C9"/>
    <w:rsid w:val="006106C7"/>
    <w:rsid w:val="006108D9"/>
    <w:rsid w:val="00610BAA"/>
    <w:rsid w:val="006111C9"/>
    <w:rsid w:val="00611A5A"/>
    <w:rsid w:val="00613570"/>
    <w:rsid w:val="006159FA"/>
    <w:rsid w:val="00617062"/>
    <w:rsid w:val="00617602"/>
    <w:rsid w:val="0061773F"/>
    <w:rsid w:val="0062069F"/>
    <w:rsid w:val="00620EAE"/>
    <w:rsid w:val="006218E2"/>
    <w:rsid w:val="00621B2E"/>
    <w:rsid w:val="00621BE0"/>
    <w:rsid w:val="00621E91"/>
    <w:rsid w:val="00622296"/>
    <w:rsid w:val="00624387"/>
    <w:rsid w:val="00624500"/>
    <w:rsid w:val="0062476E"/>
    <w:rsid w:val="00625D58"/>
    <w:rsid w:val="00627B4F"/>
    <w:rsid w:val="00627DC3"/>
    <w:rsid w:val="00630170"/>
    <w:rsid w:val="006301B1"/>
    <w:rsid w:val="0063047B"/>
    <w:rsid w:val="00630D6B"/>
    <w:rsid w:val="006310DC"/>
    <w:rsid w:val="00631172"/>
    <w:rsid w:val="00631C39"/>
    <w:rsid w:val="00632E45"/>
    <w:rsid w:val="0063300A"/>
    <w:rsid w:val="00633772"/>
    <w:rsid w:val="00633EEB"/>
    <w:rsid w:val="006349C7"/>
    <w:rsid w:val="00635055"/>
    <w:rsid w:val="00637A24"/>
    <w:rsid w:val="00640948"/>
    <w:rsid w:val="00641DAF"/>
    <w:rsid w:val="006429EF"/>
    <w:rsid w:val="00643260"/>
    <w:rsid w:val="00644AAD"/>
    <w:rsid w:val="00645402"/>
    <w:rsid w:val="00645C88"/>
    <w:rsid w:val="006465CD"/>
    <w:rsid w:val="006470C4"/>
    <w:rsid w:val="00647116"/>
    <w:rsid w:val="0064719C"/>
    <w:rsid w:val="00647449"/>
    <w:rsid w:val="006479EA"/>
    <w:rsid w:val="00647D41"/>
    <w:rsid w:val="00650685"/>
    <w:rsid w:val="00651595"/>
    <w:rsid w:val="006531AB"/>
    <w:rsid w:val="00653D12"/>
    <w:rsid w:val="00654FF4"/>
    <w:rsid w:val="00655364"/>
    <w:rsid w:val="00655E4B"/>
    <w:rsid w:val="006562E5"/>
    <w:rsid w:val="00656E15"/>
    <w:rsid w:val="00657390"/>
    <w:rsid w:val="0065797C"/>
    <w:rsid w:val="006641F7"/>
    <w:rsid w:val="00664849"/>
    <w:rsid w:val="00664F25"/>
    <w:rsid w:val="00665673"/>
    <w:rsid w:val="00665DAA"/>
    <w:rsid w:val="006662E4"/>
    <w:rsid w:val="00666685"/>
    <w:rsid w:val="00666A01"/>
    <w:rsid w:val="006675F1"/>
    <w:rsid w:val="00667D01"/>
    <w:rsid w:val="00673302"/>
    <w:rsid w:val="00675713"/>
    <w:rsid w:val="006759B4"/>
    <w:rsid w:val="006760C6"/>
    <w:rsid w:val="00676B36"/>
    <w:rsid w:val="00680366"/>
    <w:rsid w:val="00680A5B"/>
    <w:rsid w:val="00680E16"/>
    <w:rsid w:val="00681487"/>
    <w:rsid w:val="006815DA"/>
    <w:rsid w:val="006815FE"/>
    <w:rsid w:val="006821C2"/>
    <w:rsid w:val="0068231F"/>
    <w:rsid w:val="00682C61"/>
    <w:rsid w:val="00684200"/>
    <w:rsid w:val="00684880"/>
    <w:rsid w:val="006857C1"/>
    <w:rsid w:val="00685B88"/>
    <w:rsid w:val="0068688D"/>
    <w:rsid w:val="006871DE"/>
    <w:rsid w:val="00687BC2"/>
    <w:rsid w:val="006902EB"/>
    <w:rsid w:val="006902F4"/>
    <w:rsid w:val="00691B55"/>
    <w:rsid w:val="00692CE6"/>
    <w:rsid w:val="0069308E"/>
    <w:rsid w:val="00693478"/>
    <w:rsid w:val="00693542"/>
    <w:rsid w:val="00694382"/>
    <w:rsid w:val="00694CDB"/>
    <w:rsid w:val="0069558E"/>
    <w:rsid w:val="00695EE5"/>
    <w:rsid w:val="00697CAE"/>
    <w:rsid w:val="006A05BC"/>
    <w:rsid w:val="006A0C61"/>
    <w:rsid w:val="006A1AFB"/>
    <w:rsid w:val="006A2239"/>
    <w:rsid w:val="006A26AD"/>
    <w:rsid w:val="006A3DA3"/>
    <w:rsid w:val="006A5F84"/>
    <w:rsid w:val="006A6674"/>
    <w:rsid w:val="006A6C35"/>
    <w:rsid w:val="006A6EE5"/>
    <w:rsid w:val="006B0B0C"/>
    <w:rsid w:val="006B0B12"/>
    <w:rsid w:val="006B0E9F"/>
    <w:rsid w:val="006B12BF"/>
    <w:rsid w:val="006B1F5F"/>
    <w:rsid w:val="006B25F2"/>
    <w:rsid w:val="006B2C53"/>
    <w:rsid w:val="006B4D38"/>
    <w:rsid w:val="006B52B6"/>
    <w:rsid w:val="006B6E55"/>
    <w:rsid w:val="006B74F7"/>
    <w:rsid w:val="006B7DF9"/>
    <w:rsid w:val="006C0EDB"/>
    <w:rsid w:val="006C117A"/>
    <w:rsid w:val="006C15E5"/>
    <w:rsid w:val="006C1D38"/>
    <w:rsid w:val="006C2890"/>
    <w:rsid w:val="006C3892"/>
    <w:rsid w:val="006C4127"/>
    <w:rsid w:val="006C41AF"/>
    <w:rsid w:val="006C4382"/>
    <w:rsid w:val="006C45B4"/>
    <w:rsid w:val="006C598A"/>
    <w:rsid w:val="006C5EAD"/>
    <w:rsid w:val="006C5EDF"/>
    <w:rsid w:val="006C6085"/>
    <w:rsid w:val="006C6100"/>
    <w:rsid w:val="006C679E"/>
    <w:rsid w:val="006C6A09"/>
    <w:rsid w:val="006C7074"/>
    <w:rsid w:val="006D2C5A"/>
    <w:rsid w:val="006D2DEA"/>
    <w:rsid w:val="006D3021"/>
    <w:rsid w:val="006D33DF"/>
    <w:rsid w:val="006D37AD"/>
    <w:rsid w:val="006D39AF"/>
    <w:rsid w:val="006D3A3A"/>
    <w:rsid w:val="006D5CA3"/>
    <w:rsid w:val="006D646A"/>
    <w:rsid w:val="006D6640"/>
    <w:rsid w:val="006D69E9"/>
    <w:rsid w:val="006D6D1F"/>
    <w:rsid w:val="006D6DA3"/>
    <w:rsid w:val="006E07D2"/>
    <w:rsid w:val="006E1350"/>
    <w:rsid w:val="006E2379"/>
    <w:rsid w:val="006E27B6"/>
    <w:rsid w:val="006E3953"/>
    <w:rsid w:val="006E3C60"/>
    <w:rsid w:val="006E3CD9"/>
    <w:rsid w:val="006E3E9D"/>
    <w:rsid w:val="006E3F70"/>
    <w:rsid w:val="006E44EE"/>
    <w:rsid w:val="006E499A"/>
    <w:rsid w:val="006E5746"/>
    <w:rsid w:val="006E5F63"/>
    <w:rsid w:val="006E62CB"/>
    <w:rsid w:val="006F0281"/>
    <w:rsid w:val="006F0AE5"/>
    <w:rsid w:val="006F11BA"/>
    <w:rsid w:val="006F1B17"/>
    <w:rsid w:val="006F278A"/>
    <w:rsid w:val="006F3F01"/>
    <w:rsid w:val="006F40A6"/>
    <w:rsid w:val="006F4231"/>
    <w:rsid w:val="006F514A"/>
    <w:rsid w:val="006F7B44"/>
    <w:rsid w:val="006F7F59"/>
    <w:rsid w:val="00700AB9"/>
    <w:rsid w:val="00700AF0"/>
    <w:rsid w:val="007022BF"/>
    <w:rsid w:val="0070460E"/>
    <w:rsid w:val="0070464F"/>
    <w:rsid w:val="00704D32"/>
    <w:rsid w:val="00704DCF"/>
    <w:rsid w:val="0070534A"/>
    <w:rsid w:val="00705415"/>
    <w:rsid w:val="007064AC"/>
    <w:rsid w:val="0070679D"/>
    <w:rsid w:val="00706D4B"/>
    <w:rsid w:val="0070740F"/>
    <w:rsid w:val="00707492"/>
    <w:rsid w:val="0070793D"/>
    <w:rsid w:val="007108B2"/>
    <w:rsid w:val="00710B5A"/>
    <w:rsid w:val="0071112F"/>
    <w:rsid w:val="00711A5A"/>
    <w:rsid w:val="00711D2E"/>
    <w:rsid w:val="00714C1D"/>
    <w:rsid w:val="00715767"/>
    <w:rsid w:val="007158A8"/>
    <w:rsid w:val="007159EC"/>
    <w:rsid w:val="00716304"/>
    <w:rsid w:val="007164D2"/>
    <w:rsid w:val="007165E6"/>
    <w:rsid w:val="00716925"/>
    <w:rsid w:val="00716BC0"/>
    <w:rsid w:val="00716BE9"/>
    <w:rsid w:val="00717B44"/>
    <w:rsid w:val="007202BE"/>
    <w:rsid w:val="00720549"/>
    <w:rsid w:val="0072099F"/>
    <w:rsid w:val="00722C09"/>
    <w:rsid w:val="00724FA8"/>
    <w:rsid w:val="00725C6E"/>
    <w:rsid w:val="00730CCB"/>
    <w:rsid w:val="00730E66"/>
    <w:rsid w:val="00732D84"/>
    <w:rsid w:val="00733D54"/>
    <w:rsid w:val="00734C21"/>
    <w:rsid w:val="00735D69"/>
    <w:rsid w:val="0073665A"/>
    <w:rsid w:val="00737636"/>
    <w:rsid w:val="007416A3"/>
    <w:rsid w:val="00741E10"/>
    <w:rsid w:val="00741EEA"/>
    <w:rsid w:val="0074228F"/>
    <w:rsid w:val="00742C0A"/>
    <w:rsid w:val="00742E3B"/>
    <w:rsid w:val="0074473E"/>
    <w:rsid w:val="00744AAF"/>
    <w:rsid w:val="007456C6"/>
    <w:rsid w:val="00745A36"/>
    <w:rsid w:val="0074652B"/>
    <w:rsid w:val="00746649"/>
    <w:rsid w:val="0074676D"/>
    <w:rsid w:val="007477F1"/>
    <w:rsid w:val="00750F4A"/>
    <w:rsid w:val="007517A7"/>
    <w:rsid w:val="00751F3A"/>
    <w:rsid w:val="007526B2"/>
    <w:rsid w:val="00752969"/>
    <w:rsid w:val="00752E7F"/>
    <w:rsid w:val="00752F67"/>
    <w:rsid w:val="00752F6D"/>
    <w:rsid w:val="007549E3"/>
    <w:rsid w:val="007578CD"/>
    <w:rsid w:val="0076003F"/>
    <w:rsid w:val="007603B6"/>
    <w:rsid w:val="00760C90"/>
    <w:rsid w:val="00760ED9"/>
    <w:rsid w:val="007615C1"/>
    <w:rsid w:val="0076190B"/>
    <w:rsid w:val="007622FD"/>
    <w:rsid w:val="00762BE4"/>
    <w:rsid w:val="00763C8B"/>
    <w:rsid w:val="00764279"/>
    <w:rsid w:val="00765C5E"/>
    <w:rsid w:val="00765D00"/>
    <w:rsid w:val="007678FB"/>
    <w:rsid w:val="00767E72"/>
    <w:rsid w:val="00770A2C"/>
    <w:rsid w:val="00771EA4"/>
    <w:rsid w:val="0077284A"/>
    <w:rsid w:val="007752E3"/>
    <w:rsid w:val="00775CF7"/>
    <w:rsid w:val="00776129"/>
    <w:rsid w:val="00776E49"/>
    <w:rsid w:val="00777E45"/>
    <w:rsid w:val="00780697"/>
    <w:rsid w:val="0078093B"/>
    <w:rsid w:val="007809E4"/>
    <w:rsid w:val="00780EE3"/>
    <w:rsid w:val="00781060"/>
    <w:rsid w:val="00783934"/>
    <w:rsid w:val="00784C50"/>
    <w:rsid w:val="00785449"/>
    <w:rsid w:val="00786262"/>
    <w:rsid w:val="00787A21"/>
    <w:rsid w:val="00790938"/>
    <w:rsid w:val="007918AC"/>
    <w:rsid w:val="00791EC2"/>
    <w:rsid w:val="007923B7"/>
    <w:rsid w:val="00792AA2"/>
    <w:rsid w:val="00792B5B"/>
    <w:rsid w:val="007931CF"/>
    <w:rsid w:val="00793D9E"/>
    <w:rsid w:val="00794193"/>
    <w:rsid w:val="00794A01"/>
    <w:rsid w:val="00794B79"/>
    <w:rsid w:val="007952CD"/>
    <w:rsid w:val="00797A9F"/>
    <w:rsid w:val="00797C5A"/>
    <w:rsid w:val="007A1636"/>
    <w:rsid w:val="007A172F"/>
    <w:rsid w:val="007A189D"/>
    <w:rsid w:val="007A1E41"/>
    <w:rsid w:val="007A2101"/>
    <w:rsid w:val="007A372E"/>
    <w:rsid w:val="007A5106"/>
    <w:rsid w:val="007A546B"/>
    <w:rsid w:val="007A698D"/>
    <w:rsid w:val="007A6BCE"/>
    <w:rsid w:val="007B0089"/>
    <w:rsid w:val="007B0F86"/>
    <w:rsid w:val="007B12A0"/>
    <w:rsid w:val="007B15E8"/>
    <w:rsid w:val="007B229D"/>
    <w:rsid w:val="007B2458"/>
    <w:rsid w:val="007B314E"/>
    <w:rsid w:val="007B50A2"/>
    <w:rsid w:val="007B6724"/>
    <w:rsid w:val="007B6D02"/>
    <w:rsid w:val="007B73BE"/>
    <w:rsid w:val="007B79D8"/>
    <w:rsid w:val="007C01D8"/>
    <w:rsid w:val="007C02C5"/>
    <w:rsid w:val="007C0397"/>
    <w:rsid w:val="007C11EB"/>
    <w:rsid w:val="007C1535"/>
    <w:rsid w:val="007C2182"/>
    <w:rsid w:val="007C4060"/>
    <w:rsid w:val="007C406B"/>
    <w:rsid w:val="007C51C8"/>
    <w:rsid w:val="007C6CFC"/>
    <w:rsid w:val="007C6F61"/>
    <w:rsid w:val="007C7352"/>
    <w:rsid w:val="007C749F"/>
    <w:rsid w:val="007C791A"/>
    <w:rsid w:val="007D0169"/>
    <w:rsid w:val="007D03B8"/>
    <w:rsid w:val="007D0927"/>
    <w:rsid w:val="007D2D7C"/>
    <w:rsid w:val="007D399C"/>
    <w:rsid w:val="007D4069"/>
    <w:rsid w:val="007D5657"/>
    <w:rsid w:val="007D5CA5"/>
    <w:rsid w:val="007D78F4"/>
    <w:rsid w:val="007D7FAD"/>
    <w:rsid w:val="007E088C"/>
    <w:rsid w:val="007E0B3E"/>
    <w:rsid w:val="007E2C1B"/>
    <w:rsid w:val="007E3C65"/>
    <w:rsid w:val="007E3EB6"/>
    <w:rsid w:val="007E45D9"/>
    <w:rsid w:val="007E4F94"/>
    <w:rsid w:val="007E50D4"/>
    <w:rsid w:val="007E620E"/>
    <w:rsid w:val="007E627A"/>
    <w:rsid w:val="007E6E27"/>
    <w:rsid w:val="007E7CB0"/>
    <w:rsid w:val="007F01B7"/>
    <w:rsid w:val="007F25E3"/>
    <w:rsid w:val="007F2ADC"/>
    <w:rsid w:val="007F31E4"/>
    <w:rsid w:val="007F3338"/>
    <w:rsid w:val="00800302"/>
    <w:rsid w:val="00800441"/>
    <w:rsid w:val="008021AB"/>
    <w:rsid w:val="00803A05"/>
    <w:rsid w:val="00803F5F"/>
    <w:rsid w:val="00804F16"/>
    <w:rsid w:val="00804F26"/>
    <w:rsid w:val="00805069"/>
    <w:rsid w:val="008058AD"/>
    <w:rsid w:val="0080639E"/>
    <w:rsid w:val="008070FF"/>
    <w:rsid w:val="008077D0"/>
    <w:rsid w:val="00807BD1"/>
    <w:rsid w:val="00807E5E"/>
    <w:rsid w:val="00810406"/>
    <w:rsid w:val="00810839"/>
    <w:rsid w:val="00810BA2"/>
    <w:rsid w:val="00810C92"/>
    <w:rsid w:val="00811E68"/>
    <w:rsid w:val="008122C8"/>
    <w:rsid w:val="00812EA2"/>
    <w:rsid w:val="00813078"/>
    <w:rsid w:val="00814E7D"/>
    <w:rsid w:val="00816647"/>
    <w:rsid w:val="0081703D"/>
    <w:rsid w:val="00817FAB"/>
    <w:rsid w:val="00820DA2"/>
    <w:rsid w:val="00821560"/>
    <w:rsid w:val="00821EF1"/>
    <w:rsid w:val="008220CC"/>
    <w:rsid w:val="00822266"/>
    <w:rsid w:val="0082320D"/>
    <w:rsid w:val="00824102"/>
    <w:rsid w:val="00824A13"/>
    <w:rsid w:val="008256CE"/>
    <w:rsid w:val="00825942"/>
    <w:rsid w:val="008260E0"/>
    <w:rsid w:val="008263B8"/>
    <w:rsid w:val="00827119"/>
    <w:rsid w:val="00830F09"/>
    <w:rsid w:val="008314C1"/>
    <w:rsid w:val="008332A1"/>
    <w:rsid w:val="00833BBC"/>
    <w:rsid w:val="008351FE"/>
    <w:rsid w:val="00835D3A"/>
    <w:rsid w:val="00836886"/>
    <w:rsid w:val="00836F20"/>
    <w:rsid w:val="00837856"/>
    <w:rsid w:val="00837D37"/>
    <w:rsid w:val="00837EBC"/>
    <w:rsid w:val="00840D3D"/>
    <w:rsid w:val="00842C5B"/>
    <w:rsid w:val="00842CDB"/>
    <w:rsid w:val="00842E0C"/>
    <w:rsid w:val="00843172"/>
    <w:rsid w:val="008436EE"/>
    <w:rsid w:val="00844EFD"/>
    <w:rsid w:val="008451C6"/>
    <w:rsid w:val="008454B4"/>
    <w:rsid w:val="00846956"/>
    <w:rsid w:val="00846E82"/>
    <w:rsid w:val="00847427"/>
    <w:rsid w:val="0084785E"/>
    <w:rsid w:val="00847CB6"/>
    <w:rsid w:val="00850C58"/>
    <w:rsid w:val="00851857"/>
    <w:rsid w:val="00851C37"/>
    <w:rsid w:val="00852874"/>
    <w:rsid w:val="00852FFD"/>
    <w:rsid w:val="00853B3E"/>
    <w:rsid w:val="00853FFD"/>
    <w:rsid w:val="00854A55"/>
    <w:rsid w:val="008554D7"/>
    <w:rsid w:val="00855A0A"/>
    <w:rsid w:val="008561BB"/>
    <w:rsid w:val="008563B0"/>
    <w:rsid w:val="0085693D"/>
    <w:rsid w:val="00857C38"/>
    <w:rsid w:val="00860AEF"/>
    <w:rsid w:val="00860BA2"/>
    <w:rsid w:val="008615F2"/>
    <w:rsid w:val="00861658"/>
    <w:rsid w:val="00862874"/>
    <w:rsid w:val="00862CD8"/>
    <w:rsid w:val="00863155"/>
    <w:rsid w:val="00863CAB"/>
    <w:rsid w:val="00864FFF"/>
    <w:rsid w:val="00865050"/>
    <w:rsid w:val="00870396"/>
    <w:rsid w:val="008711EC"/>
    <w:rsid w:val="00871DDE"/>
    <w:rsid w:val="0087223B"/>
    <w:rsid w:val="008727E6"/>
    <w:rsid w:val="00872FCB"/>
    <w:rsid w:val="008737CA"/>
    <w:rsid w:val="0087443E"/>
    <w:rsid w:val="00874BDB"/>
    <w:rsid w:val="008769C8"/>
    <w:rsid w:val="008769CF"/>
    <w:rsid w:val="00877741"/>
    <w:rsid w:val="0088032A"/>
    <w:rsid w:val="0088040E"/>
    <w:rsid w:val="00880815"/>
    <w:rsid w:val="00881CD6"/>
    <w:rsid w:val="008824EC"/>
    <w:rsid w:val="00883437"/>
    <w:rsid w:val="00883628"/>
    <w:rsid w:val="008844C3"/>
    <w:rsid w:val="00884849"/>
    <w:rsid w:val="008848B0"/>
    <w:rsid w:val="008850E4"/>
    <w:rsid w:val="008866D4"/>
    <w:rsid w:val="008869B9"/>
    <w:rsid w:val="00887A3C"/>
    <w:rsid w:val="00887BF1"/>
    <w:rsid w:val="008906BD"/>
    <w:rsid w:val="0089359D"/>
    <w:rsid w:val="008941CF"/>
    <w:rsid w:val="008951AC"/>
    <w:rsid w:val="0089523B"/>
    <w:rsid w:val="00895C76"/>
    <w:rsid w:val="0089653A"/>
    <w:rsid w:val="00897283"/>
    <w:rsid w:val="008A173E"/>
    <w:rsid w:val="008A1A94"/>
    <w:rsid w:val="008A30C9"/>
    <w:rsid w:val="008A38CC"/>
    <w:rsid w:val="008A4D6D"/>
    <w:rsid w:val="008A4DDD"/>
    <w:rsid w:val="008A56AB"/>
    <w:rsid w:val="008A6C39"/>
    <w:rsid w:val="008A7A85"/>
    <w:rsid w:val="008B07B1"/>
    <w:rsid w:val="008B1032"/>
    <w:rsid w:val="008B17C9"/>
    <w:rsid w:val="008B1A37"/>
    <w:rsid w:val="008B1AF8"/>
    <w:rsid w:val="008B1E86"/>
    <w:rsid w:val="008B217F"/>
    <w:rsid w:val="008B23F8"/>
    <w:rsid w:val="008B31F8"/>
    <w:rsid w:val="008B39A9"/>
    <w:rsid w:val="008B488E"/>
    <w:rsid w:val="008B4A86"/>
    <w:rsid w:val="008B5828"/>
    <w:rsid w:val="008B71FC"/>
    <w:rsid w:val="008B79AE"/>
    <w:rsid w:val="008C1389"/>
    <w:rsid w:val="008C1A16"/>
    <w:rsid w:val="008C1A4A"/>
    <w:rsid w:val="008C2966"/>
    <w:rsid w:val="008C2D88"/>
    <w:rsid w:val="008C2E49"/>
    <w:rsid w:val="008C4105"/>
    <w:rsid w:val="008C4CC4"/>
    <w:rsid w:val="008D048C"/>
    <w:rsid w:val="008D05C8"/>
    <w:rsid w:val="008D19FB"/>
    <w:rsid w:val="008D1B30"/>
    <w:rsid w:val="008D2677"/>
    <w:rsid w:val="008D2DAF"/>
    <w:rsid w:val="008D3DED"/>
    <w:rsid w:val="008D456D"/>
    <w:rsid w:val="008D53C5"/>
    <w:rsid w:val="008D550C"/>
    <w:rsid w:val="008D6E17"/>
    <w:rsid w:val="008E1039"/>
    <w:rsid w:val="008E3207"/>
    <w:rsid w:val="008E48E4"/>
    <w:rsid w:val="008E51E2"/>
    <w:rsid w:val="008E5AF7"/>
    <w:rsid w:val="008E5DEA"/>
    <w:rsid w:val="008E5F2C"/>
    <w:rsid w:val="008E706B"/>
    <w:rsid w:val="008E7531"/>
    <w:rsid w:val="008F0C24"/>
    <w:rsid w:val="008F0DED"/>
    <w:rsid w:val="008F1080"/>
    <w:rsid w:val="008F2FFF"/>
    <w:rsid w:val="008F3952"/>
    <w:rsid w:val="008F3A6E"/>
    <w:rsid w:val="008F4064"/>
    <w:rsid w:val="008F4907"/>
    <w:rsid w:val="008F570E"/>
    <w:rsid w:val="008F5C7A"/>
    <w:rsid w:val="008F69DB"/>
    <w:rsid w:val="008F70D1"/>
    <w:rsid w:val="008F7FE4"/>
    <w:rsid w:val="00901239"/>
    <w:rsid w:val="00901B7B"/>
    <w:rsid w:val="009021F2"/>
    <w:rsid w:val="00902273"/>
    <w:rsid w:val="009032B7"/>
    <w:rsid w:val="0090397D"/>
    <w:rsid w:val="00903D74"/>
    <w:rsid w:val="00904E7B"/>
    <w:rsid w:val="009058EA"/>
    <w:rsid w:val="00905E3E"/>
    <w:rsid w:val="00910F09"/>
    <w:rsid w:val="009112A6"/>
    <w:rsid w:val="009127CF"/>
    <w:rsid w:val="00912BA2"/>
    <w:rsid w:val="00914FED"/>
    <w:rsid w:val="00917229"/>
    <w:rsid w:val="0092094E"/>
    <w:rsid w:val="00921D9A"/>
    <w:rsid w:val="00921EF8"/>
    <w:rsid w:val="00922854"/>
    <w:rsid w:val="009237DA"/>
    <w:rsid w:val="00923B5E"/>
    <w:rsid w:val="00924822"/>
    <w:rsid w:val="00924E59"/>
    <w:rsid w:val="009251D9"/>
    <w:rsid w:val="0092557E"/>
    <w:rsid w:val="0092560C"/>
    <w:rsid w:val="0092562A"/>
    <w:rsid w:val="009258DE"/>
    <w:rsid w:val="0092687E"/>
    <w:rsid w:val="00926BC1"/>
    <w:rsid w:val="00927D9E"/>
    <w:rsid w:val="00930744"/>
    <w:rsid w:val="00930B23"/>
    <w:rsid w:val="00930B25"/>
    <w:rsid w:val="00931057"/>
    <w:rsid w:val="00931B34"/>
    <w:rsid w:val="00936343"/>
    <w:rsid w:val="00936C41"/>
    <w:rsid w:val="009371C2"/>
    <w:rsid w:val="00937BDE"/>
    <w:rsid w:val="00940238"/>
    <w:rsid w:val="009407D9"/>
    <w:rsid w:val="00940B30"/>
    <w:rsid w:val="00941C73"/>
    <w:rsid w:val="00941C89"/>
    <w:rsid w:val="00942D42"/>
    <w:rsid w:val="009435EA"/>
    <w:rsid w:val="0094407C"/>
    <w:rsid w:val="00945210"/>
    <w:rsid w:val="009452DE"/>
    <w:rsid w:val="0094554F"/>
    <w:rsid w:val="0094718D"/>
    <w:rsid w:val="009473E1"/>
    <w:rsid w:val="00947464"/>
    <w:rsid w:val="0094752D"/>
    <w:rsid w:val="00950FCF"/>
    <w:rsid w:val="0095100A"/>
    <w:rsid w:val="0095148C"/>
    <w:rsid w:val="009518B0"/>
    <w:rsid w:val="00951DD2"/>
    <w:rsid w:val="00951DD8"/>
    <w:rsid w:val="0095362B"/>
    <w:rsid w:val="00954518"/>
    <w:rsid w:val="00954843"/>
    <w:rsid w:val="00954DB6"/>
    <w:rsid w:val="009550A5"/>
    <w:rsid w:val="009550EC"/>
    <w:rsid w:val="009563D0"/>
    <w:rsid w:val="00956746"/>
    <w:rsid w:val="00956964"/>
    <w:rsid w:val="00956F69"/>
    <w:rsid w:val="00956FED"/>
    <w:rsid w:val="00957160"/>
    <w:rsid w:val="0096191D"/>
    <w:rsid w:val="0096214A"/>
    <w:rsid w:val="00962420"/>
    <w:rsid w:val="00962E9F"/>
    <w:rsid w:val="0096362D"/>
    <w:rsid w:val="00963ED4"/>
    <w:rsid w:val="00964617"/>
    <w:rsid w:val="00964B8E"/>
    <w:rsid w:val="00965924"/>
    <w:rsid w:val="00965B58"/>
    <w:rsid w:val="0096639D"/>
    <w:rsid w:val="009668CE"/>
    <w:rsid w:val="00966FC8"/>
    <w:rsid w:val="009673D5"/>
    <w:rsid w:val="009676E9"/>
    <w:rsid w:val="0097216C"/>
    <w:rsid w:val="0097232D"/>
    <w:rsid w:val="00972DB9"/>
    <w:rsid w:val="00973487"/>
    <w:rsid w:val="00973DAD"/>
    <w:rsid w:val="00973E8B"/>
    <w:rsid w:val="00973EB9"/>
    <w:rsid w:val="00974DF8"/>
    <w:rsid w:val="009756D8"/>
    <w:rsid w:val="00975918"/>
    <w:rsid w:val="009760A0"/>
    <w:rsid w:val="00976904"/>
    <w:rsid w:val="009771FE"/>
    <w:rsid w:val="009777EB"/>
    <w:rsid w:val="00980E01"/>
    <w:rsid w:val="009812EF"/>
    <w:rsid w:val="00981F62"/>
    <w:rsid w:val="0098337A"/>
    <w:rsid w:val="00984E90"/>
    <w:rsid w:val="00985BDC"/>
    <w:rsid w:val="00986651"/>
    <w:rsid w:val="00990C31"/>
    <w:rsid w:val="00990D5B"/>
    <w:rsid w:val="00991008"/>
    <w:rsid w:val="00991063"/>
    <w:rsid w:val="00992609"/>
    <w:rsid w:val="00992774"/>
    <w:rsid w:val="00992B8B"/>
    <w:rsid w:val="00993BEC"/>
    <w:rsid w:val="009941C9"/>
    <w:rsid w:val="009960A7"/>
    <w:rsid w:val="009A1127"/>
    <w:rsid w:val="009A1BC6"/>
    <w:rsid w:val="009A477F"/>
    <w:rsid w:val="009A5902"/>
    <w:rsid w:val="009A5F9E"/>
    <w:rsid w:val="009A6A42"/>
    <w:rsid w:val="009A7013"/>
    <w:rsid w:val="009A734C"/>
    <w:rsid w:val="009A74DC"/>
    <w:rsid w:val="009A7A40"/>
    <w:rsid w:val="009A7C0C"/>
    <w:rsid w:val="009B0647"/>
    <w:rsid w:val="009B0A4C"/>
    <w:rsid w:val="009B2892"/>
    <w:rsid w:val="009B52B6"/>
    <w:rsid w:val="009B5531"/>
    <w:rsid w:val="009C099D"/>
    <w:rsid w:val="009C1139"/>
    <w:rsid w:val="009C1289"/>
    <w:rsid w:val="009C3B9B"/>
    <w:rsid w:val="009C3EF3"/>
    <w:rsid w:val="009C4133"/>
    <w:rsid w:val="009C4779"/>
    <w:rsid w:val="009C4A9F"/>
    <w:rsid w:val="009C5179"/>
    <w:rsid w:val="009C6018"/>
    <w:rsid w:val="009D0ADC"/>
    <w:rsid w:val="009D1AA6"/>
    <w:rsid w:val="009D3645"/>
    <w:rsid w:val="009D409E"/>
    <w:rsid w:val="009D479C"/>
    <w:rsid w:val="009D547B"/>
    <w:rsid w:val="009D5671"/>
    <w:rsid w:val="009D5725"/>
    <w:rsid w:val="009D57F7"/>
    <w:rsid w:val="009D6407"/>
    <w:rsid w:val="009D7B1C"/>
    <w:rsid w:val="009D7DDA"/>
    <w:rsid w:val="009E06AD"/>
    <w:rsid w:val="009E16B1"/>
    <w:rsid w:val="009E1E41"/>
    <w:rsid w:val="009E2F98"/>
    <w:rsid w:val="009E38B4"/>
    <w:rsid w:val="009E3D88"/>
    <w:rsid w:val="009E49BA"/>
    <w:rsid w:val="009E4F41"/>
    <w:rsid w:val="009E4F5D"/>
    <w:rsid w:val="009E59A6"/>
    <w:rsid w:val="009E5D06"/>
    <w:rsid w:val="009E6E3B"/>
    <w:rsid w:val="009E70DA"/>
    <w:rsid w:val="009E7352"/>
    <w:rsid w:val="009E7C38"/>
    <w:rsid w:val="009F0AF7"/>
    <w:rsid w:val="009F0C4E"/>
    <w:rsid w:val="009F1443"/>
    <w:rsid w:val="009F4B04"/>
    <w:rsid w:val="009F5712"/>
    <w:rsid w:val="009F6C32"/>
    <w:rsid w:val="00A005CA"/>
    <w:rsid w:val="00A00814"/>
    <w:rsid w:val="00A00821"/>
    <w:rsid w:val="00A00B17"/>
    <w:rsid w:val="00A00D8D"/>
    <w:rsid w:val="00A01E87"/>
    <w:rsid w:val="00A02953"/>
    <w:rsid w:val="00A02CA8"/>
    <w:rsid w:val="00A035A0"/>
    <w:rsid w:val="00A042CB"/>
    <w:rsid w:val="00A04416"/>
    <w:rsid w:val="00A04B71"/>
    <w:rsid w:val="00A04D56"/>
    <w:rsid w:val="00A06464"/>
    <w:rsid w:val="00A07FA1"/>
    <w:rsid w:val="00A10C0D"/>
    <w:rsid w:val="00A112B3"/>
    <w:rsid w:val="00A11959"/>
    <w:rsid w:val="00A12AE8"/>
    <w:rsid w:val="00A12D1B"/>
    <w:rsid w:val="00A13156"/>
    <w:rsid w:val="00A13376"/>
    <w:rsid w:val="00A139EE"/>
    <w:rsid w:val="00A13F3A"/>
    <w:rsid w:val="00A144A3"/>
    <w:rsid w:val="00A148DB"/>
    <w:rsid w:val="00A16E8F"/>
    <w:rsid w:val="00A1754C"/>
    <w:rsid w:val="00A17FFE"/>
    <w:rsid w:val="00A200E0"/>
    <w:rsid w:val="00A20B31"/>
    <w:rsid w:val="00A21A1E"/>
    <w:rsid w:val="00A23609"/>
    <w:rsid w:val="00A23F67"/>
    <w:rsid w:val="00A2537B"/>
    <w:rsid w:val="00A2607D"/>
    <w:rsid w:val="00A261AB"/>
    <w:rsid w:val="00A26634"/>
    <w:rsid w:val="00A2699D"/>
    <w:rsid w:val="00A2718D"/>
    <w:rsid w:val="00A2758C"/>
    <w:rsid w:val="00A27DB6"/>
    <w:rsid w:val="00A307A3"/>
    <w:rsid w:val="00A3091E"/>
    <w:rsid w:val="00A30B5B"/>
    <w:rsid w:val="00A312CC"/>
    <w:rsid w:val="00A33136"/>
    <w:rsid w:val="00A335BB"/>
    <w:rsid w:val="00A33C84"/>
    <w:rsid w:val="00A33CDD"/>
    <w:rsid w:val="00A35121"/>
    <w:rsid w:val="00A356CF"/>
    <w:rsid w:val="00A35A52"/>
    <w:rsid w:val="00A40634"/>
    <w:rsid w:val="00A410D5"/>
    <w:rsid w:val="00A42A9B"/>
    <w:rsid w:val="00A4365A"/>
    <w:rsid w:val="00A44F29"/>
    <w:rsid w:val="00A44F94"/>
    <w:rsid w:val="00A44FC5"/>
    <w:rsid w:val="00A45231"/>
    <w:rsid w:val="00A45427"/>
    <w:rsid w:val="00A45430"/>
    <w:rsid w:val="00A454D1"/>
    <w:rsid w:val="00A4594C"/>
    <w:rsid w:val="00A459A2"/>
    <w:rsid w:val="00A45C18"/>
    <w:rsid w:val="00A465F7"/>
    <w:rsid w:val="00A46C60"/>
    <w:rsid w:val="00A4734F"/>
    <w:rsid w:val="00A47CD1"/>
    <w:rsid w:val="00A50F75"/>
    <w:rsid w:val="00A5290E"/>
    <w:rsid w:val="00A52CAC"/>
    <w:rsid w:val="00A53BA8"/>
    <w:rsid w:val="00A53BC3"/>
    <w:rsid w:val="00A53C2E"/>
    <w:rsid w:val="00A54B23"/>
    <w:rsid w:val="00A54D52"/>
    <w:rsid w:val="00A562EF"/>
    <w:rsid w:val="00A572F6"/>
    <w:rsid w:val="00A57E41"/>
    <w:rsid w:val="00A607AC"/>
    <w:rsid w:val="00A6155A"/>
    <w:rsid w:val="00A615AE"/>
    <w:rsid w:val="00A61F57"/>
    <w:rsid w:val="00A62CE7"/>
    <w:rsid w:val="00A639DF"/>
    <w:rsid w:val="00A6498B"/>
    <w:rsid w:val="00A64AA2"/>
    <w:rsid w:val="00A64D5B"/>
    <w:rsid w:val="00A6515D"/>
    <w:rsid w:val="00A659BE"/>
    <w:rsid w:val="00A65F4E"/>
    <w:rsid w:val="00A66E66"/>
    <w:rsid w:val="00A67CF4"/>
    <w:rsid w:val="00A7061B"/>
    <w:rsid w:val="00A71E73"/>
    <w:rsid w:val="00A72676"/>
    <w:rsid w:val="00A72C44"/>
    <w:rsid w:val="00A73DF0"/>
    <w:rsid w:val="00A744E2"/>
    <w:rsid w:val="00A7528F"/>
    <w:rsid w:val="00A76593"/>
    <w:rsid w:val="00A76843"/>
    <w:rsid w:val="00A76FB3"/>
    <w:rsid w:val="00A7700C"/>
    <w:rsid w:val="00A778DE"/>
    <w:rsid w:val="00A814E8"/>
    <w:rsid w:val="00A82352"/>
    <w:rsid w:val="00A83349"/>
    <w:rsid w:val="00A8399B"/>
    <w:rsid w:val="00A83F14"/>
    <w:rsid w:val="00A84725"/>
    <w:rsid w:val="00A84994"/>
    <w:rsid w:val="00A854F1"/>
    <w:rsid w:val="00A865E1"/>
    <w:rsid w:val="00A866FB"/>
    <w:rsid w:val="00A875E1"/>
    <w:rsid w:val="00A906AE"/>
    <w:rsid w:val="00A90F4C"/>
    <w:rsid w:val="00A92D0F"/>
    <w:rsid w:val="00A97E68"/>
    <w:rsid w:val="00A97F1D"/>
    <w:rsid w:val="00AA018F"/>
    <w:rsid w:val="00AA0F99"/>
    <w:rsid w:val="00AA180F"/>
    <w:rsid w:val="00AA1CBD"/>
    <w:rsid w:val="00AA1F26"/>
    <w:rsid w:val="00AA2B47"/>
    <w:rsid w:val="00AA2D62"/>
    <w:rsid w:val="00AA320B"/>
    <w:rsid w:val="00AA3483"/>
    <w:rsid w:val="00AA3F47"/>
    <w:rsid w:val="00AA600B"/>
    <w:rsid w:val="00AA604B"/>
    <w:rsid w:val="00AA65EF"/>
    <w:rsid w:val="00AA7128"/>
    <w:rsid w:val="00AA7164"/>
    <w:rsid w:val="00AA71CA"/>
    <w:rsid w:val="00AA7F38"/>
    <w:rsid w:val="00AB071E"/>
    <w:rsid w:val="00AB0C5E"/>
    <w:rsid w:val="00AB1A5F"/>
    <w:rsid w:val="00AB3531"/>
    <w:rsid w:val="00AB5560"/>
    <w:rsid w:val="00AB59DA"/>
    <w:rsid w:val="00AB689A"/>
    <w:rsid w:val="00AB6B04"/>
    <w:rsid w:val="00AB7009"/>
    <w:rsid w:val="00AB7A85"/>
    <w:rsid w:val="00AC01DC"/>
    <w:rsid w:val="00AC1CF6"/>
    <w:rsid w:val="00AC1D76"/>
    <w:rsid w:val="00AC3503"/>
    <w:rsid w:val="00AC38B7"/>
    <w:rsid w:val="00AC3C49"/>
    <w:rsid w:val="00AC3CC2"/>
    <w:rsid w:val="00AC45FD"/>
    <w:rsid w:val="00AC46AE"/>
    <w:rsid w:val="00AC50CD"/>
    <w:rsid w:val="00AC50CF"/>
    <w:rsid w:val="00AC53A3"/>
    <w:rsid w:val="00AC57B3"/>
    <w:rsid w:val="00AC588C"/>
    <w:rsid w:val="00AC5896"/>
    <w:rsid w:val="00AC75F0"/>
    <w:rsid w:val="00AC7707"/>
    <w:rsid w:val="00AD038F"/>
    <w:rsid w:val="00AD200C"/>
    <w:rsid w:val="00AD4646"/>
    <w:rsid w:val="00AD4B03"/>
    <w:rsid w:val="00AD5436"/>
    <w:rsid w:val="00AD59BA"/>
    <w:rsid w:val="00AD7098"/>
    <w:rsid w:val="00AE21E0"/>
    <w:rsid w:val="00AE21FF"/>
    <w:rsid w:val="00AE242C"/>
    <w:rsid w:val="00AE3145"/>
    <w:rsid w:val="00AE357B"/>
    <w:rsid w:val="00AE41BB"/>
    <w:rsid w:val="00AE42BD"/>
    <w:rsid w:val="00AE493D"/>
    <w:rsid w:val="00AE4BDB"/>
    <w:rsid w:val="00AE4EB0"/>
    <w:rsid w:val="00AE6C9B"/>
    <w:rsid w:val="00AE7135"/>
    <w:rsid w:val="00AF0010"/>
    <w:rsid w:val="00AF0342"/>
    <w:rsid w:val="00AF04F3"/>
    <w:rsid w:val="00AF053D"/>
    <w:rsid w:val="00AF12BF"/>
    <w:rsid w:val="00AF1475"/>
    <w:rsid w:val="00AF1D8B"/>
    <w:rsid w:val="00AF22CC"/>
    <w:rsid w:val="00AF3D75"/>
    <w:rsid w:val="00AF5A67"/>
    <w:rsid w:val="00AF5BBD"/>
    <w:rsid w:val="00AF5F4B"/>
    <w:rsid w:val="00AF7819"/>
    <w:rsid w:val="00B00D0D"/>
    <w:rsid w:val="00B010C8"/>
    <w:rsid w:val="00B03025"/>
    <w:rsid w:val="00B03AE6"/>
    <w:rsid w:val="00B0434F"/>
    <w:rsid w:val="00B05E52"/>
    <w:rsid w:val="00B05E87"/>
    <w:rsid w:val="00B06522"/>
    <w:rsid w:val="00B065CA"/>
    <w:rsid w:val="00B06A18"/>
    <w:rsid w:val="00B06F67"/>
    <w:rsid w:val="00B105A6"/>
    <w:rsid w:val="00B113A4"/>
    <w:rsid w:val="00B12441"/>
    <w:rsid w:val="00B1321E"/>
    <w:rsid w:val="00B1352C"/>
    <w:rsid w:val="00B14EDC"/>
    <w:rsid w:val="00B14F6A"/>
    <w:rsid w:val="00B16189"/>
    <w:rsid w:val="00B16E66"/>
    <w:rsid w:val="00B1768D"/>
    <w:rsid w:val="00B20B38"/>
    <w:rsid w:val="00B22AF8"/>
    <w:rsid w:val="00B22FFA"/>
    <w:rsid w:val="00B23DFB"/>
    <w:rsid w:val="00B2415F"/>
    <w:rsid w:val="00B25AAF"/>
    <w:rsid w:val="00B25CEE"/>
    <w:rsid w:val="00B27451"/>
    <w:rsid w:val="00B3025C"/>
    <w:rsid w:val="00B30D74"/>
    <w:rsid w:val="00B31B00"/>
    <w:rsid w:val="00B333D8"/>
    <w:rsid w:val="00B33506"/>
    <w:rsid w:val="00B3434F"/>
    <w:rsid w:val="00B34565"/>
    <w:rsid w:val="00B3466A"/>
    <w:rsid w:val="00B35B86"/>
    <w:rsid w:val="00B35F97"/>
    <w:rsid w:val="00B35FB6"/>
    <w:rsid w:val="00B36118"/>
    <w:rsid w:val="00B365DE"/>
    <w:rsid w:val="00B3680B"/>
    <w:rsid w:val="00B3694B"/>
    <w:rsid w:val="00B36EE2"/>
    <w:rsid w:val="00B407EA"/>
    <w:rsid w:val="00B40AB0"/>
    <w:rsid w:val="00B4216F"/>
    <w:rsid w:val="00B42903"/>
    <w:rsid w:val="00B43157"/>
    <w:rsid w:val="00B4392E"/>
    <w:rsid w:val="00B453DC"/>
    <w:rsid w:val="00B4574F"/>
    <w:rsid w:val="00B46976"/>
    <w:rsid w:val="00B4707C"/>
    <w:rsid w:val="00B476D3"/>
    <w:rsid w:val="00B47D80"/>
    <w:rsid w:val="00B5088E"/>
    <w:rsid w:val="00B51672"/>
    <w:rsid w:val="00B51AAB"/>
    <w:rsid w:val="00B51EA0"/>
    <w:rsid w:val="00B520BC"/>
    <w:rsid w:val="00B52595"/>
    <w:rsid w:val="00B53288"/>
    <w:rsid w:val="00B53351"/>
    <w:rsid w:val="00B543CF"/>
    <w:rsid w:val="00B548F0"/>
    <w:rsid w:val="00B5523D"/>
    <w:rsid w:val="00B554C2"/>
    <w:rsid w:val="00B55769"/>
    <w:rsid w:val="00B562F3"/>
    <w:rsid w:val="00B57117"/>
    <w:rsid w:val="00B60404"/>
    <w:rsid w:val="00B6074F"/>
    <w:rsid w:val="00B61437"/>
    <w:rsid w:val="00B617B3"/>
    <w:rsid w:val="00B62AC0"/>
    <w:rsid w:val="00B63158"/>
    <w:rsid w:val="00B634BC"/>
    <w:rsid w:val="00B63A6A"/>
    <w:rsid w:val="00B65A64"/>
    <w:rsid w:val="00B67307"/>
    <w:rsid w:val="00B70A2E"/>
    <w:rsid w:val="00B70B02"/>
    <w:rsid w:val="00B71186"/>
    <w:rsid w:val="00B71694"/>
    <w:rsid w:val="00B71B73"/>
    <w:rsid w:val="00B72036"/>
    <w:rsid w:val="00B723E3"/>
    <w:rsid w:val="00B726DD"/>
    <w:rsid w:val="00B73A06"/>
    <w:rsid w:val="00B74397"/>
    <w:rsid w:val="00B74B2B"/>
    <w:rsid w:val="00B76312"/>
    <w:rsid w:val="00B774B5"/>
    <w:rsid w:val="00B808EE"/>
    <w:rsid w:val="00B8136A"/>
    <w:rsid w:val="00B81FF6"/>
    <w:rsid w:val="00B8359E"/>
    <w:rsid w:val="00B85EA4"/>
    <w:rsid w:val="00B86B42"/>
    <w:rsid w:val="00B874B6"/>
    <w:rsid w:val="00B902E5"/>
    <w:rsid w:val="00B948F1"/>
    <w:rsid w:val="00B96D4B"/>
    <w:rsid w:val="00B97168"/>
    <w:rsid w:val="00BA0066"/>
    <w:rsid w:val="00BA006F"/>
    <w:rsid w:val="00BA0482"/>
    <w:rsid w:val="00BA0489"/>
    <w:rsid w:val="00BA064C"/>
    <w:rsid w:val="00BA074F"/>
    <w:rsid w:val="00BA082E"/>
    <w:rsid w:val="00BA092B"/>
    <w:rsid w:val="00BA1ADE"/>
    <w:rsid w:val="00BA23D2"/>
    <w:rsid w:val="00BA4AA4"/>
    <w:rsid w:val="00BA60D7"/>
    <w:rsid w:val="00BA65B2"/>
    <w:rsid w:val="00BA6870"/>
    <w:rsid w:val="00BB0026"/>
    <w:rsid w:val="00BB14CB"/>
    <w:rsid w:val="00BB2F15"/>
    <w:rsid w:val="00BB3BAD"/>
    <w:rsid w:val="00BB437D"/>
    <w:rsid w:val="00BB4A69"/>
    <w:rsid w:val="00BB4DB4"/>
    <w:rsid w:val="00BB528E"/>
    <w:rsid w:val="00BB575F"/>
    <w:rsid w:val="00BB5DBD"/>
    <w:rsid w:val="00BB6177"/>
    <w:rsid w:val="00BB7AC6"/>
    <w:rsid w:val="00BB7C33"/>
    <w:rsid w:val="00BB7EA6"/>
    <w:rsid w:val="00BC2A81"/>
    <w:rsid w:val="00BC2C89"/>
    <w:rsid w:val="00BD0619"/>
    <w:rsid w:val="00BD18EE"/>
    <w:rsid w:val="00BD1BF3"/>
    <w:rsid w:val="00BD1E0C"/>
    <w:rsid w:val="00BD2E71"/>
    <w:rsid w:val="00BD3D85"/>
    <w:rsid w:val="00BD3D96"/>
    <w:rsid w:val="00BD4C11"/>
    <w:rsid w:val="00BD5839"/>
    <w:rsid w:val="00BD5CB5"/>
    <w:rsid w:val="00BD5D8D"/>
    <w:rsid w:val="00BD61C8"/>
    <w:rsid w:val="00BD6239"/>
    <w:rsid w:val="00BD6670"/>
    <w:rsid w:val="00BD6750"/>
    <w:rsid w:val="00BD71CA"/>
    <w:rsid w:val="00BE0881"/>
    <w:rsid w:val="00BE096B"/>
    <w:rsid w:val="00BE0FDB"/>
    <w:rsid w:val="00BE1085"/>
    <w:rsid w:val="00BE22C7"/>
    <w:rsid w:val="00BE3924"/>
    <w:rsid w:val="00BE43EF"/>
    <w:rsid w:val="00BE79AA"/>
    <w:rsid w:val="00BE7A45"/>
    <w:rsid w:val="00BE7A58"/>
    <w:rsid w:val="00BF05E9"/>
    <w:rsid w:val="00BF1DFD"/>
    <w:rsid w:val="00BF1E80"/>
    <w:rsid w:val="00BF1F99"/>
    <w:rsid w:val="00BF42BB"/>
    <w:rsid w:val="00BF4372"/>
    <w:rsid w:val="00BF55D7"/>
    <w:rsid w:val="00BF613B"/>
    <w:rsid w:val="00BF669B"/>
    <w:rsid w:val="00BF66EA"/>
    <w:rsid w:val="00BF6ECB"/>
    <w:rsid w:val="00BF7735"/>
    <w:rsid w:val="00BF7C6A"/>
    <w:rsid w:val="00C0010A"/>
    <w:rsid w:val="00C02863"/>
    <w:rsid w:val="00C02904"/>
    <w:rsid w:val="00C03668"/>
    <w:rsid w:val="00C03AB1"/>
    <w:rsid w:val="00C04B69"/>
    <w:rsid w:val="00C0593D"/>
    <w:rsid w:val="00C05EC2"/>
    <w:rsid w:val="00C05FBC"/>
    <w:rsid w:val="00C07645"/>
    <w:rsid w:val="00C10ABA"/>
    <w:rsid w:val="00C10B87"/>
    <w:rsid w:val="00C115E8"/>
    <w:rsid w:val="00C116B5"/>
    <w:rsid w:val="00C1195F"/>
    <w:rsid w:val="00C11F6A"/>
    <w:rsid w:val="00C12E4F"/>
    <w:rsid w:val="00C12F32"/>
    <w:rsid w:val="00C1383B"/>
    <w:rsid w:val="00C15667"/>
    <w:rsid w:val="00C15798"/>
    <w:rsid w:val="00C16439"/>
    <w:rsid w:val="00C16E67"/>
    <w:rsid w:val="00C173CF"/>
    <w:rsid w:val="00C17617"/>
    <w:rsid w:val="00C20D95"/>
    <w:rsid w:val="00C20DA7"/>
    <w:rsid w:val="00C21442"/>
    <w:rsid w:val="00C226E5"/>
    <w:rsid w:val="00C2423B"/>
    <w:rsid w:val="00C244E5"/>
    <w:rsid w:val="00C24FB0"/>
    <w:rsid w:val="00C25D4D"/>
    <w:rsid w:val="00C2633B"/>
    <w:rsid w:val="00C267AE"/>
    <w:rsid w:val="00C3173A"/>
    <w:rsid w:val="00C335A0"/>
    <w:rsid w:val="00C34898"/>
    <w:rsid w:val="00C349D4"/>
    <w:rsid w:val="00C34AE4"/>
    <w:rsid w:val="00C3623C"/>
    <w:rsid w:val="00C3629B"/>
    <w:rsid w:val="00C36A64"/>
    <w:rsid w:val="00C370D3"/>
    <w:rsid w:val="00C37C1B"/>
    <w:rsid w:val="00C404F3"/>
    <w:rsid w:val="00C41867"/>
    <w:rsid w:val="00C43600"/>
    <w:rsid w:val="00C43731"/>
    <w:rsid w:val="00C4375C"/>
    <w:rsid w:val="00C438A5"/>
    <w:rsid w:val="00C43FA2"/>
    <w:rsid w:val="00C44E58"/>
    <w:rsid w:val="00C45433"/>
    <w:rsid w:val="00C45C61"/>
    <w:rsid w:val="00C46495"/>
    <w:rsid w:val="00C475DE"/>
    <w:rsid w:val="00C502B0"/>
    <w:rsid w:val="00C50A97"/>
    <w:rsid w:val="00C50B4B"/>
    <w:rsid w:val="00C518FC"/>
    <w:rsid w:val="00C52DEB"/>
    <w:rsid w:val="00C54A5F"/>
    <w:rsid w:val="00C558E4"/>
    <w:rsid w:val="00C57181"/>
    <w:rsid w:val="00C57495"/>
    <w:rsid w:val="00C57A63"/>
    <w:rsid w:val="00C60BF1"/>
    <w:rsid w:val="00C61152"/>
    <w:rsid w:val="00C6358B"/>
    <w:rsid w:val="00C637A9"/>
    <w:rsid w:val="00C652D2"/>
    <w:rsid w:val="00C65C8F"/>
    <w:rsid w:val="00C65FB9"/>
    <w:rsid w:val="00C67034"/>
    <w:rsid w:val="00C71CC2"/>
    <w:rsid w:val="00C726DF"/>
    <w:rsid w:val="00C7322E"/>
    <w:rsid w:val="00C73A38"/>
    <w:rsid w:val="00C74363"/>
    <w:rsid w:val="00C752C7"/>
    <w:rsid w:val="00C760F6"/>
    <w:rsid w:val="00C765FF"/>
    <w:rsid w:val="00C800D4"/>
    <w:rsid w:val="00C80495"/>
    <w:rsid w:val="00C80E89"/>
    <w:rsid w:val="00C817B4"/>
    <w:rsid w:val="00C81D5F"/>
    <w:rsid w:val="00C82668"/>
    <w:rsid w:val="00C82673"/>
    <w:rsid w:val="00C82C51"/>
    <w:rsid w:val="00C8509A"/>
    <w:rsid w:val="00C865B1"/>
    <w:rsid w:val="00C8703C"/>
    <w:rsid w:val="00C87EA7"/>
    <w:rsid w:val="00C90D3B"/>
    <w:rsid w:val="00C91213"/>
    <w:rsid w:val="00C9129A"/>
    <w:rsid w:val="00C91752"/>
    <w:rsid w:val="00C9354C"/>
    <w:rsid w:val="00C93619"/>
    <w:rsid w:val="00C93E65"/>
    <w:rsid w:val="00C93E6F"/>
    <w:rsid w:val="00C94272"/>
    <w:rsid w:val="00C946D8"/>
    <w:rsid w:val="00C94AFC"/>
    <w:rsid w:val="00C9579D"/>
    <w:rsid w:val="00C95883"/>
    <w:rsid w:val="00C96077"/>
    <w:rsid w:val="00C96115"/>
    <w:rsid w:val="00C964A4"/>
    <w:rsid w:val="00C96558"/>
    <w:rsid w:val="00C968CE"/>
    <w:rsid w:val="00C972ED"/>
    <w:rsid w:val="00CA188C"/>
    <w:rsid w:val="00CA2F0F"/>
    <w:rsid w:val="00CA5661"/>
    <w:rsid w:val="00CA58EA"/>
    <w:rsid w:val="00CA62D1"/>
    <w:rsid w:val="00CA75E4"/>
    <w:rsid w:val="00CB008A"/>
    <w:rsid w:val="00CB00BD"/>
    <w:rsid w:val="00CB066E"/>
    <w:rsid w:val="00CB06BF"/>
    <w:rsid w:val="00CB203E"/>
    <w:rsid w:val="00CB2E70"/>
    <w:rsid w:val="00CB363F"/>
    <w:rsid w:val="00CB3C67"/>
    <w:rsid w:val="00CB3E98"/>
    <w:rsid w:val="00CB452F"/>
    <w:rsid w:val="00CB4878"/>
    <w:rsid w:val="00CB4C55"/>
    <w:rsid w:val="00CB54EE"/>
    <w:rsid w:val="00CB5507"/>
    <w:rsid w:val="00CB6FFA"/>
    <w:rsid w:val="00CB73B3"/>
    <w:rsid w:val="00CB741C"/>
    <w:rsid w:val="00CB76C8"/>
    <w:rsid w:val="00CB7E28"/>
    <w:rsid w:val="00CB7FF8"/>
    <w:rsid w:val="00CC0D0D"/>
    <w:rsid w:val="00CC0F99"/>
    <w:rsid w:val="00CC125A"/>
    <w:rsid w:val="00CC163E"/>
    <w:rsid w:val="00CC2176"/>
    <w:rsid w:val="00CC33D1"/>
    <w:rsid w:val="00CC3B52"/>
    <w:rsid w:val="00CC3B56"/>
    <w:rsid w:val="00CC3B79"/>
    <w:rsid w:val="00CC3FDB"/>
    <w:rsid w:val="00CC518C"/>
    <w:rsid w:val="00CC6434"/>
    <w:rsid w:val="00CC768F"/>
    <w:rsid w:val="00CC7D5D"/>
    <w:rsid w:val="00CD010B"/>
    <w:rsid w:val="00CD0452"/>
    <w:rsid w:val="00CD04B8"/>
    <w:rsid w:val="00CD0AA2"/>
    <w:rsid w:val="00CD0B86"/>
    <w:rsid w:val="00CD4372"/>
    <w:rsid w:val="00CD53FA"/>
    <w:rsid w:val="00CD59ED"/>
    <w:rsid w:val="00CD5C31"/>
    <w:rsid w:val="00CD5EB9"/>
    <w:rsid w:val="00CD6EC7"/>
    <w:rsid w:val="00CE0900"/>
    <w:rsid w:val="00CE0A06"/>
    <w:rsid w:val="00CE11E5"/>
    <w:rsid w:val="00CE182B"/>
    <w:rsid w:val="00CE219E"/>
    <w:rsid w:val="00CE27B1"/>
    <w:rsid w:val="00CE2FFE"/>
    <w:rsid w:val="00CE3037"/>
    <w:rsid w:val="00CE34D2"/>
    <w:rsid w:val="00CE36DE"/>
    <w:rsid w:val="00CE4109"/>
    <w:rsid w:val="00CE4C13"/>
    <w:rsid w:val="00CE51A7"/>
    <w:rsid w:val="00CE5408"/>
    <w:rsid w:val="00CE5F8C"/>
    <w:rsid w:val="00CE6E7D"/>
    <w:rsid w:val="00CF0453"/>
    <w:rsid w:val="00CF0B38"/>
    <w:rsid w:val="00CF0F75"/>
    <w:rsid w:val="00CF1294"/>
    <w:rsid w:val="00CF1E7D"/>
    <w:rsid w:val="00CF1F32"/>
    <w:rsid w:val="00CF2DF8"/>
    <w:rsid w:val="00CF3AD2"/>
    <w:rsid w:val="00CF3D02"/>
    <w:rsid w:val="00CF48DF"/>
    <w:rsid w:val="00CF6091"/>
    <w:rsid w:val="00CF6488"/>
    <w:rsid w:val="00CF6D90"/>
    <w:rsid w:val="00D002A9"/>
    <w:rsid w:val="00D00474"/>
    <w:rsid w:val="00D004BE"/>
    <w:rsid w:val="00D00881"/>
    <w:rsid w:val="00D00AD9"/>
    <w:rsid w:val="00D00D71"/>
    <w:rsid w:val="00D0231B"/>
    <w:rsid w:val="00D02390"/>
    <w:rsid w:val="00D02D8F"/>
    <w:rsid w:val="00D03CE3"/>
    <w:rsid w:val="00D03F13"/>
    <w:rsid w:val="00D049C8"/>
    <w:rsid w:val="00D04B5A"/>
    <w:rsid w:val="00D04F78"/>
    <w:rsid w:val="00D05450"/>
    <w:rsid w:val="00D057DD"/>
    <w:rsid w:val="00D05A48"/>
    <w:rsid w:val="00D05D68"/>
    <w:rsid w:val="00D06770"/>
    <w:rsid w:val="00D072AE"/>
    <w:rsid w:val="00D075D8"/>
    <w:rsid w:val="00D07DE4"/>
    <w:rsid w:val="00D1017F"/>
    <w:rsid w:val="00D110C5"/>
    <w:rsid w:val="00D11E46"/>
    <w:rsid w:val="00D1206B"/>
    <w:rsid w:val="00D127F5"/>
    <w:rsid w:val="00D12A9D"/>
    <w:rsid w:val="00D12C76"/>
    <w:rsid w:val="00D134F2"/>
    <w:rsid w:val="00D135D3"/>
    <w:rsid w:val="00D15252"/>
    <w:rsid w:val="00D1561C"/>
    <w:rsid w:val="00D15845"/>
    <w:rsid w:val="00D15AF6"/>
    <w:rsid w:val="00D16044"/>
    <w:rsid w:val="00D16649"/>
    <w:rsid w:val="00D17D90"/>
    <w:rsid w:val="00D17F8E"/>
    <w:rsid w:val="00D2062E"/>
    <w:rsid w:val="00D20720"/>
    <w:rsid w:val="00D22959"/>
    <w:rsid w:val="00D232C1"/>
    <w:rsid w:val="00D23D9F"/>
    <w:rsid w:val="00D240F6"/>
    <w:rsid w:val="00D247A9"/>
    <w:rsid w:val="00D24846"/>
    <w:rsid w:val="00D24847"/>
    <w:rsid w:val="00D262CE"/>
    <w:rsid w:val="00D26648"/>
    <w:rsid w:val="00D302B7"/>
    <w:rsid w:val="00D30610"/>
    <w:rsid w:val="00D30BDA"/>
    <w:rsid w:val="00D320B6"/>
    <w:rsid w:val="00D32F9F"/>
    <w:rsid w:val="00D33E28"/>
    <w:rsid w:val="00D34187"/>
    <w:rsid w:val="00D34922"/>
    <w:rsid w:val="00D34F2A"/>
    <w:rsid w:val="00D36A90"/>
    <w:rsid w:val="00D36AAE"/>
    <w:rsid w:val="00D36BCC"/>
    <w:rsid w:val="00D40ECC"/>
    <w:rsid w:val="00D41468"/>
    <w:rsid w:val="00D4247A"/>
    <w:rsid w:val="00D42BD2"/>
    <w:rsid w:val="00D43057"/>
    <w:rsid w:val="00D43760"/>
    <w:rsid w:val="00D44404"/>
    <w:rsid w:val="00D44657"/>
    <w:rsid w:val="00D4468F"/>
    <w:rsid w:val="00D44A73"/>
    <w:rsid w:val="00D46BD2"/>
    <w:rsid w:val="00D47029"/>
    <w:rsid w:val="00D47F0C"/>
    <w:rsid w:val="00D50559"/>
    <w:rsid w:val="00D50B23"/>
    <w:rsid w:val="00D50C63"/>
    <w:rsid w:val="00D50DAC"/>
    <w:rsid w:val="00D52755"/>
    <w:rsid w:val="00D534F1"/>
    <w:rsid w:val="00D53AAE"/>
    <w:rsid w:val="00D54599"/>
    <w:rsid w:val="00D55F1A"/>
    <w:rsid w:val="00D56D55"/>
    <w:rsid w:val="00D56D88"/>
    <w:rsid w:val="00D56E82"/>
    <w:rsid w:val="00D5762A"/>
    <w:rsid w:val="00D6049A"/>
    <w:rsid w:val="00D604F4"/>
    <w:rsid w:val="00D61E8A"/>
    <w:rsid w:val="00D64585"/>
    <w:rsid w:val="00D6500E"/>
    <w:rsid w:val="00D65F80"/>
    <w:rsid w:val="00D6681D"/>
    <w:rsid w:val="00D67F18"/>
    <w:rsid w:val="00D70FAF"/>
    <w:rsid w:val="00D71E59"/>
    <w:rsid w:val="00D71E67"/>
    <w:rsid w:val="00D7480F"/>
    <w:rsid w:val="00D74C9C"/>
    <w:rsid w:val="00D75C41"/>
    <w:rsid w:val="00D765A1"/>
    <w:rsid w:val="00D804AF"/>
    <w:rsid w:val="00D822D5"/>
    <w:rsid w:val="00D83939"/>
    <w:rsid w:val="00D8403F"/>
    <w:rsid w:val="00D8586E"/>
    <w:rsid w:val="00D85D67"/>
    <w:rsid w:val="00D85EE6"/>
    <w:rsid w:val="00D86A5A"/>
    <w:rsid w:val="00D86AD9"/>
    <w:rsid w:val="00D87E40"/>
    <w:rsid w:val="00D87E99"/>
    <w:rsid w:val="00D87F10"/>
    <w:rsid w:val="00D90136"/>
    <w:rsid w:val="00D907A9"/>
    <w:rsid w:val="00D918B2"/>
    <w:rsid w:val="00D91FC2"/>
    <w:rsid w:val="00D9217A"/>
    <w:rsid w:val="00D92287"/>
    <w:rsid w:val="00D93325"/>
    <w:rsid w:val="00D94015"/>
    <w:rsid w:val="00D941F2"/>
    <w:rsid w:val="00D94BC6"/>
    <w:rsid w:val="00D95D5E"/>
    <w:rsid w:val="00D9652F"/>
    <w:rsid w:val="00D96717"/>
    <w:rsid w:val="00D96B94"/>
    <w:rsid w:val="00DA06E4"/>
    <w:rsid w:val="00DA078B"/>
    <w:rsid w:val="00DA08F0"/>
    <w:rsid w:val="00DA0CFF"/>
    <w:rsid w:val="00DA1B4E"/>
    <w:rsid w:val="00DA378C"/>
    <w:rsid w:val="00DA4738"/>
    <w:rsid w:val="00DA4927"/>
    <w:rsid w:val="00DA4A71"/>
    <w:rsid w:val="00DA530E"/>
    <w:rsid w:val="00DB0788"/>
    <w:rsid w:val="00DB0CFE"/>
    <w:rsid w:val="00DB10EF"/>
    <w:rsid w:val="00DB14E7"/>
    <w:rsid w:val="00DB25C6"/>
    <w:rsid w:val="00DB313E"/>
    <w:rsid w:val="00DB589B"/>
    <w:rsid w:val="00DB5E5E"/>
    <w:rsid w:val="00DB603D"/>
    <w:rsid w:val="00DB67EC"/>
    <w:rsid w:val="00DB6F3D"/>
    <w:rsid w:val="00DB751A"/>
    <w:rsid w:val="00DB7902"/>
    <w:rsid w:val="00DC056C"/>
    <w:rsid w:val="00DC06D1"/>
    <w:rsid w:val="00DC0DD4"/>
    <w:rsid w:val="00DC2AA6"/>
    <w:rsid w:val="00DC3742"/>
    <w:rsid w:val="00DC388E"/>
    <w:rsid w:val="00DC3E7E"/>
    <w:rsid w:val="00DC41D4"/>
    <w:rsid w:val="00DC421D"/>
    <w:rsid w:val="00DC43AA"/>
    <w:rsid w:val="00DC4FDF"/>
    <w:rsid w:val="00DC525E"/>
    <w:rsid w:val="00DC5F1A"/>
    <w:rsid w:val="00DC6E2D"/>
    <w:rsid w:val="00DC7BC9"/>
    <w:rsid w:val="00DD0746"/>
    <w:rsid w:val="00DD0B64"/>
    <w:rsid w:val="00DD0F5B"/>
    <w:rsid w:val="00DD1F67"/>
    <w:rsid w:val="00DD22B5"/>
    <w:rsid w:val="00DD2959"/>
    <w:rsid w:val="00DD3068"/>
    <w:rsid w:val="00DD309A"/>
    <w:rsid w:val="00DD3343"/>
    <w:rsid w:val="00DD38BF"/>
    <w:rsid w:val="00DD38EB"/>
    <w:rsid w:val="00DD42AA"/>
    <w:rsid w:val="00DD4490"/>
    <w:rsid w:val="00DD6045"/>
    <w:rsid w:val="00DE22C4"/>
    <w:rsid w:val="00DE258C"/>
    <w:rsid w:val="00DE2E83"/>
    <w:rsid w:val="00DE3868"/>
    <w:rsid w:val="00DE39ED"/>
    <w:rsid w:val="00DE3D35"/>
    <w:rsid w:val="00DE7AE4"/>
    <w:rsid w:val="00DF05E7"/>
    <w:rsid w:val="00DF1982"/>
    <w:rsid w:val="00DF2079"/>
    <w:rsid w:val="00DF24B9"/>
    <w:rsid w:val="00DF2A95"/>
    <w:rsid w:val="00DF3FEF"/>
    <w:rsid w:val="00DF553B"/>
    <w:rsid w:val="00DF5DEF"/>
    <w:rsid w:val="00E001ED"/>
    <w:rsid w:val="00E00C72"/>
    <w:rsid w:val="00E01D10"/>
    <w:rsid w:val="00E030E5"/>
    <w:rsid w:val="00E0329C"/>
    <w:rsid w:val="00E03349"/>
    <w:rsid w:val="00E036A7"/>
    <w:rsid w:val="00E037B3"/>
    <w:rsid w:val="00E040E2"/>
    <w:rsid w:val="00E04D22"/>
    <w:rsid w:val="00E05FFF"/>
    <w:rsid w:val="00E06A4A"/>
    <w:rsid w:val="00E06D3F"/>
    <w:rsid w:val="00E06F5F"/>
    <w:rsid w:val="00E0710E"/>
    <w:rsid w:val="00E10735"/>
    <w:rsid w:val="00E11C13"/>
    <w:rsid w:val="00E12182"/>
    <w:rsid w:val="00E12C23"/>
    <w:rsid w:val="00E141F2"/>
    <w:rsid w:val="00E156D7"/>
    <w:rsid w:val="00E1571F"/>
    <w:rsid w:val="00E17277"/>
    <w:rsid w:val="00E17586"/>
    <w:rsid w:val="00E179B8"/>
    <w:rsid w:val="00E2018E"/>
    <w:rsid w:val="00E21CD5"/>
    <w:rsid w:val="00E21D4F"/>
    <w:rsid w:val="00E223AF"/>
    <w:rsid w:val="00E22C04"/>
    <w:rsid w:val="00E239B7"/>
    <w:rsid w:val="00E239BB"/>
    <w:rsid w:val="00E24E48"/>
    <w:rsid w:val="00E25056"/>
    <w:rsid w:val="00E262F3"/>
    <w:rsid w:val="00E266C7"/>
    <w:rsid w:val="00E27672"/>
    <w:rsid w:val="00E30780"/>
    <w:rsid w:val="00E308A2"/>
    <w:rsid w:val="00E3212B"/>
    <w:rsid w:val="00E32B40"/>
    <w:rsid w:val="00E33867"/>
    <w:rsid w:val="00E34DE3"/>
    <w:rsid w:val="00E3521C"/>
    <w:rsid w:val="00E3573D"/>
    <w:rsid w:val="00E36BE8"/>
    <w:rsid w:val="00E370A1"/>
    <w:rsid w:val="00E37207"/>
    <w:rsid w:val="00E376FB"/>
    <w:rsid w:val="00E4015C"/>
    <w:rsid w:val="00E402CC"/>
    <w:rsid w:val="00E40479"/>
    <w:rsid w:val="00E4127A"/>
    <w:rsid w:val="00E42312"/>
    <w:rsid w:val="00E42F66"/>
    <w:rsid w:val="00E4353F"/>
    <w:rsid w:val="00E44459"/>
    <w:rsid w:val="00E447D6"/>
    <w:rsid w:val="00E44CC4"/>
    <w:rsid w:val="00E46AAA"/>
    <w:rsid w:val="00E46FD2"/>
    <w:rsid w:val="00E473F1"/>
    <w:rsid w:val="00E505E5"/>
    <w:rsid w:val="00E506AB"/>
    <w:rsid w:val="00E5088A"/>
    <w:rsid w:val="00E509F7"/>
    <w:rsid w:val="00E50DB3"/>
    <w:rsid w:val="00E510BB"/>
    <w:rsid w:val="00E512F1"/>
    <w:rsid w:val="00E52E5D"/>
    <w:rsid w:val="00E533A0"/>
    <w:rsid w:val="00E541D8"/>
    <w:rsid w:val="00E5489B"/>
    <w:rsid w:val="00E556F9"/>
    <w:rsid w:val="00E5575F"/>
    <w:rsid w:val="00E56ABE"/>
    <w:rsid w:val="00E56EB2"/>
    <w:rsid w:val="00E6099A"/>
    <w:rsid w:val="00E60DEB"/>
    <w:rsid w:val="00E6250A"/>
    <w:rsid w:val="00E628B0"/>
    <w:rsid w:val="00E6356D"/>
    <w:rsid w:val="00E63746"/>
    <w:rsid w:val="00E64EFB"/>
    <w:rsid w:val="00E65C3F"/>
    <w:rsid w:val="00E67869"/>
    <w:rsid w:val="00E67D07"/>
    <w:rsid w:val="00E70999"/>
    <w:rsid w:val="00E70D9E"/>
    <w:rsid w:val="00E70F77"/>
    <w:rsid w:val="00E7274D"/>
    <w:rsid w:val="00E73DF9"/>
    <w:rsid w:val="00E74C0D"/>
    <w:rsid w:val="00E75AB8"/>
    <w:rsid w:val="00E80E65"/>
    <w:rsid w:val="00E810B1"/>
    <w:rsid w:val="00E81687"/>
    <w:rsid w:val="00E817A5"/>
    <w:rsid w:val="00E81CFF"/>
    <w:rsid w:val="00E82E51"/>
    <w:rsid w:val="00E836E0"/>
    <w:rsid w:val="00E83B92"/>
    <w:rsid w:val="00E84D76"/>
    <w:rsid w:val="00E86407"/>
    <w:rsid w:val="00E86664"/>
    <w:rsid w:val="00E8737C"/>
    <w:rsid w:val="00E904CD"/>
    <w:rsid w:val="00E9096C"/>
    <w:rsid w:val="00E90CE1"/>
    <w:rsid w:val="00E923F6"/>
    <w:rsid w:val="00E93D50"/>
    <w:rsid w:val="00E941AC"/>
    <w:rsid w:val="00E95185"/>
    <w:rsid w:val="00E9529A"/>
    <w:rsid w:val="00E974AA"/>
    <w:rsid w:val="00EA13E9"/>
    <w:rsid w:val="00EA164C"/>
    <w:rsid w:val="00EA18D2"/>
    <w:rsid w:val="00EA1E53"/>
    <w:rsid w:val="00EA3AA1"/>
    <w:rsid w:val="00EA450D"/>
    <w:rsid w:val="00EA583B"/>
    <w:rsid w:val="00EA5F0E"/>
    <w:rsid w:val="00EA64FA"/>
    <w:rsid w:val="00EA68F8"/>
    <w:rsid w:val="00EA7141"/>
    <w:rsid w:val="00EA74D1"/>
    <w:rsid w:val="00EA7BBD"/>
    <w:rsid w:val="00EA7C94"/>
    <w:rsid w:val="00EB0675"/>
    <w:rsid w:val="00EB097F"/>
    <w:rsid w:val="00EB5A41"/>
    <w:rsid w:val="00EB5A57"/>
    <w:rsid w:val="00EB6D64"/>
    <w:rsid w:val="00EB6F1C"/>
    <w:rsid w:val="00EB7444"/>
    <w:rsid w:val="00EC00E9"/>
    <w:rsid w:val="00EC024C"/>
    <w:rsid w:val="00EC0391"/>
    <w:rsid w:val="00EC047A"/>
    <w:rsid w:val="00EC11B5"/>
    <w:rsid w:val="00EC1AD2"/>
    <w:rsid w:val="00EC2016"/>
    <w:rsid w:val="00EC33BC"/>
    <w:rsid w:val="00EC42A2"/>
    <w:rsid w:val="00EC5894"/>
    <w:rsid w:val="00EC60EE"/>
    <w:rsid w:val="00EC6295"/>
    <w:rsid w:val="00EC6E1E"/>
    <w:rsid w:val="00EC7A4A"/>
    <w:rsid w:val="00ED0193"/>
    <w:rsid w:val="00ED0B0B"/>
    <w:rsid w:val="00ED121B"/>
    <w:rsid w:val="00ED155D"/>
    <w:rsid w:val="00ED1696"/>
    <w:rsid w:val="00ED1F05"/>
    <w:rsid w:val="00ED22AF"/>
    <w:rsid w:val="00ED22D9"/>
    <w:rsid w:val="00ED248D"/>
    <w:rsid w:val="00ED330F"/>
    <w:rsid w:val="00ED4332"/>
    <w:rsid w:val="00ED4750"/>
    <w:rsid w:val="00ED4F58"/>
    <w:rsid w:val="00ED5DDE"/>
    <w:rsid w:val="00ED5E3E"/>
    <w:rsid w:val="00ED755A"/>
    <w:rsid w:val="00ED7CEF"/>
    <w:rsid w:val="00EE2174"/>
    <w:rsid w:val="00EE2873"/>
    <w:rsid w:val="00EE3731"/>
    <w:rsid w:val="00EE3DC9"/>
    <w:rsid w:val="00EE4DC3"/>
    <w:rsid w:val="00EE507C"/>
    <w:rsid w:val="00EE58CE"/>
    <w:rsid w:val="00EE5B7F"/>
    <w:rsid w:val="00EE6EC3"/>
    <w:rsid w:val="00EE7F37"/>
    <w:rsid w:val="00EF0028"/>
    <w:rsid w:val="00EF03A1"/>
    <w:rsid w:val="00EF08C3"/>
    <w:rsid w:val="00EF0A68"/>
    <w:rsid w:val="00EF0D37"/>
    <w:rsid w:val="00EF0E16"/>
    <w:rsid w:val="00EF26F8"/>
    <w:rsid w:val="00EF2DF5"/>
    <w:rsid w:val="00EF407B"/>
    <w:rsid w:val="00EF5735"/>
    <w:rsid w:val="00EF5D42"/>
    <w:rsid w:val="00F00CB5"/>
    <w:rsid w:val="00F00D6A"/>
    <w:rsid w:val="00F017C5"/>
    <w:rsid w:val="00F01C5D"/>
    <w:rsid w:val="00F0225B"/>
    <w:rsid w:val="00F0298B"/>
    <w:rsid w:val="00F03570"/>
    <w:rsid w:val="00F03C53"/>
    <w:rsid w:val="00F04AE4"/>
    <w:rsid w:val="00F05C91"/>
    <w:rsid w:val="00F05F70"/>
    <w:rsid w:val="00F0699A"/>
    <w:rsid w:val="00F10B54"/>
    <w:rsid w:val="00F10E2A"/>
    <w:rsid w:val="00F11579"/>
    <w:rsid w:val="00F12555"/>
    <w:rsid w:val="00F13ADB"/>
    <w:rsid w:val="00F1422E"/>
    <w:rsid w:val="00F145E6"/>
    <w:rsid w:val="00F1555E"/>
    <w:rsid w:val="00F1586B"/>
    <w:rsid w:val="00F15E7C"/>
    <w:rsid w:val="00F1600C"/>
    <w:rsid w:val="00F16819"/>
    <w:rsid w:val="00F174F7"/>
    <w:rsid w:val="00F17C59"/>
    <w:rsid w:val="00F203DA"/>
    <w:rsid w:val="00F20C3F"/>
    <w:rsid w:val="00F21382"/>
    <w:rsid w:val="00F21F41"/>
    <w:rsid w:val="00F22B48"/>
    <w:rsid w:val="00F24661"/>
    <w:rsid w:val="00F247D8"/>
    <w:rsid w:val="00F24F9F"/>
    <w:rsid w:val="00F27281"/>
    <w:rsid w:val="00F27496"/>
    <w:rsid w:val="00F2765B"/>
    <w:rsid w:val="00F30C1F"/>
    <w:rsid w:val="00F314E1"/>
    <w:rsid w:val="00F317B7"/>
    <w:rsid w:val="00F3265A"/>
    <w:rsid w:val="00F326FE"/>
    <w:rsid w:val="00F335D5"/>
    <w:rsid w:val="00F3441F"/>
    <w:rsid w:val="00F3601E"/>
    <w:rsid w:val="00F37391"/>
    <w:rsid w:val="00F37D78"/>
    <w:rsid w:val="00F37D92"/>
    <w:rsid w:val="00F37F55"/>
    <w:rsid w:val="00F4228B"/>
    <w:rsid w:val="00F42F16"/>
    <w:rsid w:val="00F4378B"/>
    <w:rsid w:val="00F43E5D"/>
    <w:rsid w:val="00F440EB"/>
    <w:rsid w:val="00F44FA7"/>
    <w:rsid w:val="00F45BCB"/>
    <w:rsid w:val="00F472C7"/>
    <w:rsid w:val="00F501DF"/>
    <w:rsid w:val="00F50A4E"/>
    <w:rsid w:val="00F51550"/>
    <w:rsid w:val="00F518D1"/>
    <w:rsid w:val="00F52DF5"/>
    <w:rsid w:val="00F52F45"/>
    <w:rsid w:val="00F53359"/>
    <w:rsid w:val="00F535CB"/>
    <w:rsid w:val="00F536C2"/>
    <w:rsid w:val="00F54B06"/>
    <w:rsid w:val="00F54BC3"/>
    <w:rsid w:val="00F54E16"/>
    <w:rsid w:val="00F5566C"/>
    <w:rsid w:val="00F55753"/>
    <w:rsid w:val="00F56292"/>
    <w:rsid w:val="00F56AB8"/>
    <w:rsid w:val="00F57EB4"/>
    <w:rsid w:val="00F6055C"/>
    <w:rsid w:val="00F60A01"/>
    <w:rsid w:val="00F61268"/>
    <w:rsid w:val="00F61AE5"/>
    <w:rsid w:val="00F63A0C"/>
    <w:rsid w:val="00F63BF9"/>
    <w:rsid w:val="00F651B1"/>
    <w:rsid w:val="00F65D3B"/>
    <w:rsid w:val="00F6720E"/>
    <w:rsid w:val="00F67FF9"/>
    <w:rsid w:val="00F701DB"/>
    <w:rsid w:val="00F704A4"/>
    <w:rsid w:val="00F706C1"/>
    <w:rsid w:val="00F70C06"/>
    <w:rsid w:val="00F72474"/>
    <w:rsid w:val="00F732B4"/>
    <w:rsid w:val="00F73CC7"/>
    <w:rsid w:val="00F742B6"/>
    <w:rsid w:val="00F75035"/>
    <w:rsid w:val="00F77855"/>
    <w:rsid w:val="00F81030"/>
    <w:rsid w:val="00F81492"/>
    <w:rsid w:val="00F81673"/>
    <w:rsid w:val="00F81FDA"/>
    <w:rsid w:val="00F82659"/>
    <w:rsid w:val="00F8281F"/>
    <w:rsid w:val="00F82940"/>
    <w:rsid w:val="00F82AA1"/>
    <w:rsid w:val="00F82CEF"/>
    <w:rsid w:val="00F82D04"/>
    <w:rsid w:val="00F84B9D"/>
    <w:rsid w:val="00F84F31"/>
    <w:rsid w:val="00F85471"/>
    <w:rsid w:val="00F855E5"/>
    <w:rsid w:val="00F8619C"/>
    <w:rsid w:val="00F901C9"/>
    <w:rsid w:val="00F903B6"/>
    <w:rsid w:val="00F91B9A"/>
    <w:rsid w:val="00F9482F"/>
    <w:rsid w:val="00F9540B"/>
    <w:rsid w:val="00F96158"/>
    <w:rsid w:val="00F96F53"/>
    <w:rsid w:val="00F9756D"/>
    <w:rsid w:val="00FA26F6"/>
    <w:rsid w:val="00FA2D2B"/>
    <w:rsid w:val="00FA2EDC"/>
    <w:rsid w:val="00FA3ADC"/>
    <w:rsid w:val="00FA3E47"/>
    <w:rsid w:val="00FA3FDC"/>
    <w:rsid w:val="00FA4236"/>
    <w:rsid w:val="00FA4EA7"/>
    <w:rsid w:val="00FA55B3"/>
    <w:rsid w:val="00FA5BFE"/>
    <w:rsid w:val="00FA70D3"/>
    <w:rsid w:val="00FB3769"/>
    <w:rsid w:val="00FB3E78"/>
    <w:rsid w:val="00FB4FE9"/>
    <w:rsid w:val="00FB508A"/>
    <w:rsid w:val="00FB6DC4"/>
    <w:rsid w:val="00FB6E90"/>
    <w:rsid w:val="00FB7ECA"/>
    <w:rsid w:val="00FC0AE1"/>
    <w:rsid w:val="00FC0D46"/>
    <w:rsid w:val="00FC19D3"/>
    <w:rsid w:val="00FC2E98"/>
    <w:rsid w:val="00FC2EA9"/>
    <w:rsid w:val="00FC396A"/>
    <w:rsid w:val="00FC6C8F"/>
    <w:rsid w:val="00FC6F8B"/>
    <w:rsid w:val="00FC72C1"/>
    <w:rsid w:val="00FC741D"/>
    <w:rsid w:val="00FC74CC"/>
    <w:rsid w:val="00FC770E"/>
    <w:rsid w:val="00FD078D"/>
    <w:rsid w:val="00FD0BAC"/>
    <w:rsid w:val="00FD262F"/>
    <w:rsid w:val="00FD28F0"/>
    <w:rsid w:val="00FD321E"/>
    <w:rsid w:val="00FD3BAC"/>
    <w:rsid w:val="00FD3CA4"/>
    <w:rsid w:val="00FD3E5F"/>
    <w:rsid w:val="00FD42AD"/>
    <w:rsid w:val="00FD43E5"/>
    <w:rsid w:val="00FD4761"/>
    <w:rsid w:val="00FD497B"/>
    <w:rsid w:val="00FD5843"/>
    <w:rsid w:val="00FD6AEA"/>
    <w:rsid w:val="00FD6E73"/>
    <w:rsid w:val="00FD7681"/>
    <w:rsid w:val="00FD7B2B"/>
    <w:rsid w:val="00FE14D2"/>
    <w:rsid w:val="00FE1A14"/>
    <w:rsid w:val="00FE1A5A"/>
    <w:rsid w:val="00FE2C7B"/>
    <w:rsid w:val="00FE3957"/>
    <w:rsid w:val="00FE4014"/>
    <w:rsid w:val="00FE48DC"/>
    <w:rsid w:val="00FE57EB"/>
    <w:rsid w:val="00FE5F4A"/>
    <w:rsid w:val="00FE79B4"/>
    <w:rsid w:val="00FF037A"/>
    <w:rsid w:val="00FF08FB"/>
    <w:rsid w:val="00FF0DE9"/>
    <w:rsid w:val="00FF5003"/>
    <w:rsid w:val="00FF55F7"/>
    <w:rsid w:val="00FF6106"/>
    <w:rsid w:val="00FF672E"/>
    <w:rsid w:val="00FF7658"/>
  </w:rsids>
  <m:mathPr>
    <m:mathFont m:val="Cambria Math"/>
    <m:brkBin m:val="before"/>
    <m:brkBinSub m:val="--"/>
    <m:smallFrac m:val="0"/>
    <m:dispDef/>
    <m:lMargin m:val="0"/>
    <m:rMargin m:val="0"/>
    <m:defJc m:val="centerGroup"/>
    <m:wrapIndent m:val="1440"/>
    <m:intLim m:val="subSup"/>
    <m:naryLim m:val="undOvr"/>
  </m:mathPr>
  <w:themeFontLang w:val="sv-SE"/>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53CD13"/>
  <w15:chartTrackingRefBased/>
  <w15:docId w15:val="{7127A593-C513-4B24-9E26-FB7AE44751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sv-S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5BCB"/>
  </w:style>
  <w:style w:type="paragraph" w:styleId="Rubrik1">
    <w:name w:val="heading 1"/>
    <w:basedOn w:val="Normal"/>
    <w:next w:val="Normal"/>
    <w:link w:val="Rubrik1Char"/>
    <w:uiPriority w:val="9"/>
    <w:qFormat/>
    <w:rsid w:val="00124B1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Rubrik2">
    <w:name w:val="heading 2"/>
    <w:basedOn w:val="Normal"/>
    <w:next w:val="Normal"/>
    <w:link w:val="Rubrik2Char"/>
    <w:uiPriority w:val="9"/>
    <w:semiHidden/>
    <w:unhideWhenUsed/>
    <w:qFormat/>
    <w:rsid w:val="00124B1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Rubrik3">
    <w:name w:val="heading 3"/>
    <w:basedOn w:val="Normal"/>
    <w:next w:val="Normal"/>
    <w:link w:val="Rubrik3Char"/>
    <w:uiPriority w:val="9"/>
    <w:semiHidden/>
    <w:unhideWhenUsed/>
    <w:qFormat/>
    <w:rsid w:val="00124B1D"/>
    <w:pPr>
      <w:keepNext/>
      <w:keepLines/>
      <w:spacing w:before="160" w:after="80"/>
      <w:outlineLvl w:val="2"/>
    </w:pPr>
    <w:rPr>
      <w:rFonts w:eastAsiaTheme="majorEastAsia" w:cstheme="majorBidi"/>
      <w:color w:val="2F5496" w:themeColor="accent1" w:themeShade="BF"/>
      <w:sz w:val="28"/>
      <w:szCs w:val="28"/>
    </w:rPr>
  </w:style>
  <w:style w:type="paragraph" w:styleId="Rubrik4">
    <w:name w:val="heading 4"/>
    <w:basedOn w:val="Normal"/>
    <w:next w:val="Normal"/>
    <w:link w:val="Rubrik4Char"/>
    <w:uiPriority w:val="9"/>
    <w:semiHidden/>
    <w:unhideWhenUsed/>
    <w:qFormat/>
    <w:rsid w:val="00124B1D"/>
    <w:pPr>
      <w:keepNext/>
      <w:keepLines/>
      <w:spacing w:before="80" w:after="40"/>
      <w:outlineLvl w:val="3"/>
    </w:pPr>
    <w:rPr>
      <w:rFonts w:eastAsiaTheme="majorEastAsia" w:cstheme="majorBidi"/>
      <w:i/>
      <w:iCs/>
      <w:color w:val="2F5496" w:themeColor="accent1" w:themeShade="BF"/>
    </w:rPr>
  </w:style>
  <w:style w:type="paragraph" w:styleId="Rubrik5">
    <w:name w:val="heading 5"/>
    <w:basedOn w:val="Normal"/>
    <w:next w:val="Normal"/>
    <w:link w:val="Rubrik5Char"/>
    <w:uiPriority w:val="9"/>
    <w:semiHidden/>
    <w:unhideWhenUsed/>
    <w:qFormat/>
    <w:rsid w:val="00124B1D"/>
    <w:pPr>
      <w:keepNext/>
      <w:keepLines/>
      <w:spacing w:before="80" w:after="40"/>
      <w:outlineLvl w:val="4"/>
    </w:pPr>
    <w:rPr>
      <w:rFonts w:eastAsiaTheme="majorEastAsia" w:cstheme="majorBidi"/>
      <w:color w:val="2F5496" w:themeColor="accent1" w:themeShade="BF"/>
    </w:rPr>
  </w:style>
  <w:style w:type="paragraph" w:styleId="Rubrik6">
    <w:name w:val="heading 6"/>
    <w:basedOn w:val="Normal"/>
    <w:next w:val="Normal"/>
    <w:link w:val="Rubrik6Char"/>
    <w:uiPriority w:val="9"/>
    <w:semiHidden/>
    <w:unhideWhenUsed/>
    <w:qFormat/>
    <w:rsid w:val="00124B1D"/>
    <w:pPr>
      <w:keepNext/>
      <w:keepLines/>
      <w:spacing w:before="40" w:after="0"/>
      <w:outlineLvl w:val="5"/>
    </w:pPr>
    <w:rPr>
      <w:rFonts w:eastAsiaTheme="majorEastAsia" w:cstheme="majorBidi"/>
      <w:i/>
      <w:iCs/>
      <w:color w:val="595959" w:themeColor="text1" w:themeTint="A6"/>
    </w:rPr>
  </w:style>
  <w:style w:type="paragraph" w:styleId="Rubrik7">
    <w:name w:val="heading 7"/>
    <w:basedOn w:val="Normal"/>
    <w:next w:val="Normal"/>
    <w:link w:val="Rubrik7Char"/>
    <w:uiPriority w:val="9"/>
    <w:semiHidden/>
    <w:unhideWhenUsed/>
    <w:qFormat/>
    <w:rsid w:val="00124B1D"/>
    <w:pPr>
      <w:keepNext/>
      <w:keepLines/>
      <w:spacing w:before="40" w:after="0"/>
      <w:outlineLvl w:val="6"/>
    </w:pPr>
    <w:rPr>
      <w:rFonts w:eastAsiaTheme="majorEastAsia" w:cstheme="majorBidi"/>
      <w:color w:val="595959" w:themeColor="text1" w:themeTint="A6"/>
    </w:rPr>
  </w:style>
  <w:style w:type="paragraph" w:styleId="Rubrik8">
    <w:name w:val="heading 8"/>
    <w:basedOn w:val="Normal"/>
    <w:next w:val="Normal"/>
    <w:link w:val="Rubrik8Char"/>
    <w:uiPriority w:val="9"/>
    <w:semiHidden/>
    <w:unhideWhenUsed/>
    <w:qFormat/>
    <w:rsid w:val="00124B1D"/>
    <w:pPr>
      <w:keepNext/>
      <w:keepLines/>
      <w:spacing w:after="0"/>
      <w:outlineLvl w:val="7"/>
    </w:pPr>
    <w:rPr>
      <w:rFonts w:eastAsiaTheme="majorEastAsia" w:cstheme="majorBidi"/>
      <w:i/>
      <w:iCs/>
      <w:color w:val="272727" w:themeColor="text1" w:themeTint="D8"/>
    </w:rPr>
  </w:style>
  <w:style w:type="paragraph" w:styleId="Rubrik9">
    <w:name w:val="heading 9"/>
    <w:basedOn w:val="Normal"/>
    <w:next w:val="Normal"/>
    <w:link w:val="Rubrik9Char"/>
    <w:uiPriority w:val="9"/>
    <w:semiHidden/>
    <w:unhideWhenUsed/>
    <w:qFormat/>
    <w:rsid w:val="00124B1D"/>
    <w:pPr>
      <w:keepNext/>
      <w:keepLines/>
      <w:spacing w:after="0"/>
      <w:outlineLvl w:val="8"/>
    </w:pPr>
    <w:rPr>
      <w:rFonts w:eastAsiaTheme="majorEastAsia" w:cstheme="majorBidi"/>
      <w:color w:val="272727" w:themeColor="text1" w:themeTint="D8"/>
    </w:rPr>
  </w:style>
  <w:style w:type="character" w:default="1" w:styleId="Standardstycketeckensnitt">
    <w:name w:val="Default Paragraph Font"/>
    <w:uiPriority w:val="1"/>
    <w:unhideWhenUsed/>
  </w:style>
  <w:style w:type="table" w:default="1" w:styleId="Normaltabell">
    <w:name w:val="Normal Table"/>
    <w:uiPriority w:val="99"/>
    <w:semiHidden/>
    <w:unhideWhenUsed/>
    <w:tblPr>
      <w:tblInd w:w="0" w:type="dxa"/>
      <w:tblCellMar>
        <w:top w:w="0" w:type="dxa"/>
        <w:left w:w="108" w:type="dxa"/>
        <w:bottom w:w="0" w:type="dxa"/>
        <w:right w:w="108" w:type="dxa"/>
      </w:tblCellMar>
    </w:tblPr>
  </w:style>
  <w:style w:type="numbering" w:default="1" w:styleId="Ingenlista">
    <w:name w:val="No List"/>
    <w:uiPriority w:val="99"/>
    <w:semiHidden/>
    <w:unhideWhenUsed/>
  </w:style>
  <w:style w:type="character" w:customStyle="1" w:styleId="Rubrik1Char">
    <w:name w:val="Rubrik 1 Char"/>
    <w:basedOn w:val="Standardstycketeckensnitt"/>
    <w:link w:val="Rubrik1"/>
    <w:uiPriority w:val="9"/>
    <w:rsid w:val="00124B1D"/>
    <w:rPr>
      <w:rFonts w:asciiTheme="majorHAnsi" w:eastAsiaTheme="majorEastAsia" w:hAnsiTheme="majorHAnsi" w:cstheme="majorBidi"/>
      <w:color w:val="2F5496" w:themeColor="accent1" w:themeShade="BF"/>
      <w:sz w:val="40"/>
      <w:szCs w:val="40"/>
    </w:rPr>
  </w:style>
  <w:style w:type="character" w:customStyle="1" w:styleId="Rubrik2Char">
    <w:name w:val="Rubrik 2 Char"/>
    <w:basedOn w:val="Standardstycketeckensnitt"/>
    <w:link w:val="Rubrik2"/>
    <w:uiPriority w:val="9"/>
    <w:semiHidden/>
    <w:rsid w:val="00124B1D"/>
    <w:rPr>
      <w:rFonts w:asciiTheme="majorHAnsi" w:eastAsiaTheme="majorEastAsia" w:hAnsiTheme="majorHAnsi" w:cstheme="majorBidi"/>
      <w:color w:val="2F5496" w:themeColor="accent1" w:themeShade="BF"/>
      <w:sz w:val="32"/>
      <w:szCs w:val="32"/>
    </w:rPr>
  </w:style>
  <w:style w:type="character" w:customStyle="1" w:styleId="Rubrik3Char">
    <w:name w:val="Rubrik 3 Char"/>
    <w:basedOn w:val="Standardstycketeckensnitt"/>
    <w:link w:val="Rubrik3"/>
    <w:uiPriority w:val="9"/>
    <w:semiHidden/>
    <w:rsid w:val="00124B1D"/>
    <w:rPr>
      <w:rFonts w:eastAsiaTheme="majorEastAsia" w:cstheme="majorBidi"/>
      <w:color w:val="2F5496" w:themeColor="accent1" w:themeShade="BF"/>
      <w:sz w:val="28"/>
      <w:szCs w:val="28"/>
    </w:rPr>
  </w:style>
  <w:style w:type="character" w:customStyle="1" w:styleId="Rubrik4Char">
    <w:name w:val="Rubrik 4 Char"/>
    <w:basedOn w:val="Standardstycketeckensnitt"/>
    <w:link w:val="Rubrik4"/>
    <w:uiPriority w:val="9"/>
    <w:semiHidden/>
    <w:rsid w:val="00124B1D"/>
    <w:rPr>
      <w:rFonts w:eastAsiaTheme="majorEastAsia" w:cstheme="majorBidi"/>
      <w:i/>
      <w:iCs/>
      <w:color w:val="2F5496" w:themeColor="accent1" w:themeShade="BF"/>
    </w:rPr>
  </w:style>
  <w:style w:type="character" w:customStyle="1" w:styleId="Rubrik5Char">
    <w:name w:val="Rubrik 5 Char"/>
    <w:basedOn w:val="Standardstycketeckensnitt"/>
    <w:link w:val="Rubrik5"/>
    <w:uiPriority w:val="9"/>
    <w:semiHidden/>
    <w:rsid w:val="00124B1D"/>
    <w:rPr>
      <w:rFonts w:eastAsiaTheme="majorEastAsia" w:cstheme="majorBidi"/>
      <w:color w:val="2F5496" w:themeColor="accent1" w:themeShade="BF"/>
    </w:rPr>
  </w:style>
  <w:style w:type="character" w:customStyle="1" w:styleId="Rubrik6Char">
    <w:name w:val="Rubrik 6 Char"/>
    <w:basedOn w:val="Standardstycketeckensnitt"/>
    <w:link w:val="Rubrik6"/>
    <w:uiPriority w:val="9"/>
    <w:semiHidden/>
    <w:rsid w:val="00124B1D"/>
    <w:rPr>
      <w:rFonts w:eastAsiaTheme="majorEastAsia" w:cstheme="majorBidi"/>
      <w:i/>
      <w:iCs/>
      <w:color w:val="595959" w:themeColor="text1" w:themeTint="A6"/>
    </w:rPr>
  </w:style>
  <w:style w:type="character" w:customStyle="1" w:styleId="Rubrik7Char">
    <w:name w:val="Rubrik 7 Char"/>
    <w:basedOn w:val="Standardstycketeckensnitt"/>
    <w:link w:val="Rubrik7"/>
    <w:uiPriority w:val="9"/>
    <w:semiHidden/>
    <w:rsid w:val="00124B1D"/>
    <w:rPr>
      <w:rFonts w:eastAsiaTheme="majorEastAsia" w:cstheme="majorBidi"/>
      <w:color w:val="595959" w:themeColor="text1" w:themeTint="A6"/>
    </w:rPr>
  </w:style>
  <w:style w:type="character" w:customStyle="1" w:styleId="Rubrik8Char">
    <w:name w:val="Rubrik 8 Char"/>
    <w:basedOn w:val="Standardstycketeckensnitt"/>
    <w:link w:val="Rubrik8"/>
    <w:uiPriority w:val="9"/>
    <w:semiHidden/>
    <w:rsid w:val="00124B1D"/>
    <w:rPr>
      <w:rFonts w:eastAsiaTheme="majorEastAsia" w:cstheme="majorBidi"/>
      <w:i/>
      <w:iCs/>
      <w:color w:val="272727" w:themeColor="text1" w:themeTint="D8"/>
    </w:rPr>
  </w:style>
  <w:style w:type="character" w:customStyle="1" w:styleId="Rubrik9Char">
    <w:name w:val="Rubrik 9 Char"/>
    <w:basedOn w:val="Standardstycketeckensnitt"/>
    <w:link w:val="Rubrik9"/>
    <w:uiPriority w:val="9"/>
    <w:semiHidden/>
    <w:rsid w:val="00124B1D"/>
    <w:rPr>
      <w:rFonts w:eastAsiaTheme="majorEastAsia" w:cstheme="majorBidi"/>
      <w:color w:val="272727" w:themeColor="text1" w:themeTint="D8"/>
    </w:rPr>
  </w:style>
  <w:style w:type="paragraph" w:styleId="Rubrik">
    <w:name w:val="Title"/>
    <w:basedOn w:val="Normal"/>
    <w:next w:val="Normal"/>
    <w:link w:val="RubrikChar"/>
    <w:uiPriority w:val="10"/>
    <w:qFormat/>
    <w:rsid w:val="00124B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RubrikChar">
    <w:name w:val="Rubrik Char"/>
    <w:basedOn w:val="Standardstycketeckensnitt"/>
    <w:link w:val="Rubrik"/>
    <w:uiPriority w:val="10"/>
    <w:rsid w:val="00124B1D"/>
    <w:rPr>
      <w:rFonts w:asciiTheme="majorHAnsi" w:eastAsiaTheme="majorEastAsia" w:hAnsiTheme="majorHAnsi" w:cstheme="majorBidi"/>
      <w:spacing w:val="-10"/>
      <w:kern w:val="28"/>
      <w:sz w:val="56"/>
      <w:szCs w:val="56"/>
    </w:rPr>
  </w:style>
  <w:style w:type="paragraph" w:styleId="Underrubrik">
    <w:name w:val="Subtitle"/>
    <w:basedOn w:val="Normal"/>
    <w:next w:val="Normal"/>
    <w:link w:val="UnderrubrikChar"/>
    <w:uiPriority w:val="11"/>
    <w:qFormat/>
    <w:rsid w:val="00124B1D"/>
    <w:pPr>
      <w:numPr>
        <w:ilvl w:val="1"/>
      </w:numPr>
    </w:pPr>
    <w:rPr>
      <w:rFonts w:eastAsiaTheme="majorEastAsia" w:cstheme="majorBidi"/>
      <w:color w:val="595959" w:themeColor="text1" w:themeTint="A6"/>
      <w:spacing w:val="15"/>
      <w:sz w:val="28"/>
      <w:szCs w:val="28"/>
    </w:rPr>
  </w:style>
  <w:style w:type="character" w:customStyle="1" w:styleId="UnderrubrikChar">
    <w:name w:val="Underrubrik Char"/>
    <w:basedOn w:val="Standardstycketeckensnitt"/>
    <w:link w:val="Underrubrik"/>
    <w:uiPriority w:val="11"/>
    <w:rsid w:val="00124B1D"/>
    <w:rPr>
      <w:rFonts w:eastAsiaTheme="majorEastAsia" w:cstheme="majorBidi"/>
      <w:color w:val="595959" w:themeColor="text1" w:themeTint="A6"/>
      <w:spacing w:val="15"/>
      <w:sz w:val="28"/>
      <w:szCs w:val="28"/>
    </w:rPr>
  </w:style>
  <w:style w:type="paragraph" w:styleId="Citat">
    <w:name w:val="Quote"/>
    <w:basedOn w:val="Normal"/>
    <w:next w:val="Normal"/>
    <w:link w:val="CitatChar"/>
    <w:uiPriority w:val="29"/>
    <w:qFormat/>
    <w:rsid w:val="00124B1D"/>
    <w:pPr>
      <w:spacing w:before="160"/>
      <w:jc w:val="center"/>
    </w:pPr>
    <w:rPr>
      <w:i/>
      <w:iCs/>
      <w:color w:val="404040" w:themeColor="text1" w:themeTint="BF"/>
    </w:rPr>
  </w:style>
  <w:style w:type="character" w:customStyle="1" w:styleId="CitatChar">
    <w:name w:val="Citat Char"/>
    <w:basedOn w:val="Standardstycketeckensnitt"/>
    <w:link w:val="Citat"/>
    <w:uiPriority w:val="29"/>
    <w:rsid w:val="00124B1D"/>
    <w:rPr>
      <w:i/>
      <w:iCs/>
      <w:color w:val="404040" w:themeColor="text1" w:themeTint="BF"/>
    </w:rPr>
  </w:style>
  <w:style w:type="paragraph" w:styleId="Liststycke">
    <w:name w:val="List Paragraph"/>
    <w:basedOn w:val="Normal"/>
    <w:uiPriority w:val="34"/>
    <w:qFormat/>
    <w:rsid w:val="00124B1D"/>
    <w:pPr>
      <w:ind w:left="720"/>
      <w:contextualSpacing/>
    </w:pPr>
  </w:style>
  <w:style w:type="character" w:styleId="Starkbetoning">
    <w:name w:val="Intense Emphasis"/>
    <w:basedOn w:val="Standardstycketeckensnitt"/>
    <w:uiPriority w:val="21"/>
    <w:qFormat/>
    <w:rsid w:val="00124B1D"/>
    <w:rPr>
      <w:i/>
      <w:iCs/>
      <w:color w:val="2F5496" w:themeColor="accent1" w:themeShade="BF"/>
    </w:rPr>
  </w:style>
  <w:style w:type="paragraph" w:styleId="Starktcitat">
    <w:name w:val="Intense Quote"/>
    <w:basedOn w:val="Normal"/>
    <w:next w:val="Normal"/>
    <w:link w:val="StarktcitatChar"/>
    <w:uiPriority w:val="30"/>
    <w:qFormat/>
    <w:rsid w:val="00124B1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StarktcitatChar">
    <w:name w:val="Starkt citat Char"/>
    <w:basedOn w:val="Standardstycketeckensnitt"/>
    <w:link w:val="Starktcitat"/>
    <w:uiPriority w:val="30"/>
    <w:rsid w:val="00124B1D"/>
    <w:rPr>
      <w:i/>
      <w:iCs/>
      <w:color w:val="2F5496" w:themeColor="accent1" w:themeShade="BF"/>
    </w:rPr>
  </w:style>
  <w:style w:type="character" w:styleId="Starkreferens">
    <w:name w:val="Intense Reference"/>
    <w:basedOn w:val="Standardstycketeckensnitt"/>
    <w:uiPriority w:val="32"/>
    <w:qFormat/>
    <w:rsid w:val="00124B1D"/>
    <w:rPr>
      <w:b/>
      <w:bCs/>
      <w:smallCaps/>
      <w:color w:val="2F5496" w:themeColor="accent1" w:themeShade="BF"/>
      <w:spacing w:val="5"/>
    </w:rPr>
  </w:style>
  <w:style w:type="character" w:styleId="Hyperlnk">
    <w:name w:val="Hyperlink"/>
    <w:basedOn w:val="Standardstycketeckensnitt"/>
    <w:uiPriority w:val="99"/>
    <w:unhideWhenUsed/>
    <w:rsid w:val="00D87E40"/>
    <w:rPr>
      <w:color w:val="0563C1" w:themeColor="hyperlink"/>
      <w:u w:val="single"/>
    </w:rPr>
  </w:style>
  <w:style w:type="character" w:styleId="Olstomnmnande">
    <w:name w:val="Unresolved Mention"/>
    <w:basedOn w:val="Standardstycketeckensnitt"/>
    <w:uiPriority w:val="99"/>
    <w:semiHidden/>
    <w:unhideWhenUsed/>
    <w:rsid w:val="00D87E40"/>
    <w:rPr>
      <w:color w:val="605E5C"/>
      <w:shd w:val="clear" w:color="auto" w:fill="E1DFDD"/>
    </w:rPr>
  </w:style>
  <w:style w:type="paragraph" w:styleId="Normalwebb">
    <w:name w:val="Normal (Web)"/>
    <w:basedOn w:val="Normal"/>
    <w:uiPriority w:val="99"/>
    <w:unhideWhenUsed/>
    <w:rsid w:val="00F96158"/>
    <w:pPr>
      <w:spacing w:before="100" w:beforeAutospacing="1" w:after="100" w:afterAutospacing="1" w:line="240" w:lineRule="auto"/>
    </w:pPr>
    <w:rPr>
      <w:rFonts w:ascii="Times New Roman" w:eastAsia="Times New Roman" w:hAnsi="Times New Roman" w:cs="Times New Roman"/>
      <w:sz w:val="24"/>
      <w:szCs w:val="24"/>
      <w:lang w:eastAsia="sv-SE"/>
    </w:rPr>
  </w:style>
  <w:style w:type="character" w:styleId="Stark">
    <w:name w:val="Strong"/>
    <w:basedOn w:val="Standardstycketeckensnitt"/>
    <w:uiPriority w:val="22"/>
    <w:qFormat/>
    <w:rsid w:val="00776E49"/>
    <w:rPr>
      <w:b/>
      <w:bCs/>
    </w:rPr>
  </w:style>
  <w:style w:type="character" w:styleId="Betoning">
    <w:name w:val="Emphasis"/>
    <w:basedOn w:val="Standardstycketeckensnitt"/>
    <w:uiPriority w:val="20"/>
    <w:qFormat/>
    <w:rsid w:val="005635BA"/>
    <w:rPr>
      <w:i/>
      <w:iCs/>
    </w:rPr>
  </w:style>
  <w:style w:type="paragraph" w:styleId="Sidhuvud">
    <w:name w:val="header"/>
    <w:basedOn w:val="Normal"/>
    <w:link w:val="SidhuvudChar"/>
    <w:uiPriority w:val="99"/>
    <w:unhideWhenUsed/>
    <w:rsid w:val="00B35F97"/>
    <w:pPr>
      <w:tabs>
        <w:tab w:val="center" w:pos="4536"/>
        <w:tab w:val="right" w:pos="9072"/>
      </w:tabs>
      <w:spacing w:after="0" w:line="240" w:lineRule="auto"/>
    </w:pPr>
  </w:style>
  <w:style w:type="character" w:customStyle="1" w:styleId="SidhuvudChar">
    <w:name w:val="Sidhuvud Char"/>
    <w:basedOn w:val="Standardstycketeckensnitt"/>
    <w:link w:val="Sidhuvud"/>
    <w:uiPriority w:val="99"/>
    <w:rsid w:val="00B35F97"/>
  </w:style>
  <w:style w:type="paragraph" w:styleId="Sidfot">
    <w:name w:val="footer"/>
    <w:basedOn w:val="Normal"/>
    <w:link w:val="SidfotChar"/>
    <w:uiPriority w:val="99"/>
    <w:unhideWhenUsed/>
    <w:rsid w:val="00B35F97"/>
    <w:pPr>
      <w:tabs>
        <w:tab w:val="center" w:pos="4536"/>
        <w:tab w:val="right" w:pos="9072"/>
      </w:tabs>
      <w:spacing w:after="0" w:line="240" w:lineRule="auto"/>
    </w:pPr>
  </w:style>
  <w:style w:type="character" w:customStyle="1" w:styleId="SidfotChar">
    <w:name w:val="Sidfot Char"/>
    <w:basedOn w:val="Standardstycketeckensnitt"/>
    <w:link w:val="Sidfot"/>
    <w:uiPriority w:val="99"/>
    <w:rsid w:val="00B35F97"/>
  </w:style>
  <w:style w:type="character" w:customStyle="1" w:styleId="anchor-text">
    <w:name w:val="anchor-text"/>
    <w:basedOn w:val="Standardstycketeckensnitt"/>
    <w:rsid w:val="00E90C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1459698">
      <w:bodyDiv w:val="1"/>
      <w:marLeft w:val="0"/>
      <w:marRight w:val="0"/>
      <w:marTop w:val="0"/>
      <w:marBottom w:val="0"/>
      <w:divBdr>
        <w:top w:val="none" w:sz="0" w:space="0" w:color="auto"/>
        <w:left w:val="none" w:sz="0" w:space="0" w:color="auto"/>
        <w:bottom w:val="none" w:sz="0" w:space="0" w:color="auto"/>
        <w:right w:val="none" w:sz="0" w:space="0" w:color="auto"/>
      </w:divBdr>
    </w:div>
    <w:div w:id="1202867558">
      <w:bodyDiv w:val="1"/>
      <w:marLeft w:val="0"/>
      <w:marRight w:val="0"/>
      <w:marTop w:val="0"/>
      <w:marBottom w:val="0"/>
      <w:divBdr>
        <w:top w:val="none" w:sz="0" w:space="0" w:color="auto"/>
        <w:left w:val="none" w:sz="0" w:space="0" w:color="auto"/>
        <w:bottom w:val="none" w:sz="0" w:space="0" w:color="auto"/>
        <w:right w:val="none" w:sz="0" w:space="0" w:color="auto"/>
      </w:divBdr>
    </w:div>
    <w:div w:id="1698891825">
      <w:bodyDiv w:val="1"/>
      <w:marLeft w:val="0"/>
      <w:marRight w:val="0"/>
      <w:marTop w:val="0"/>
      <w:marBottom w:val="0"/>
      <w:divBdr>
        <w:top w:val="none" w:sz="0" w:space="0" w:color="auto"/>
        <w:left w:val="none" w:sz="0" w:space="0" w:color="auto"/>
        <w:bottom w:val="none" w:sz="0" w:space="0" w:color="auto"/>
        <w:right w:val="none" w:sz="0" w:space="0" w:color="auto"/>
      </w:divBdr>
      <w:divsChild>
        <w:div w:id="174075353">
          <w:marLeft w:val="0"/>
          <w:marRight w:val="0"/>
          <w:marTop w:val="0"/>
          <w:marBottom w:val="0"/>
          <w:divBdr>
            <w:top w:val="none" w:sz="0" w:space="0" w:color="auto"/>
            <w:left w:val="none" w:sz="0" w:space="0" w:color="auto"/>
            <w:bottom w:val="none" w:sz="0" w:space="0" w:color="auto"/>
            <w:right w:val="none" w:sz="0" w:space="0" w:color="auto"/>
          </w:divBdr>
          <w:divsChild>
            <w:div w:id="185945737">
              <w:marLeft w:val="0"/>
              <w:marRight w:val="0"/>
              <w:marTop w:val="0"/>
              <w:marBottom w:val="0"/>
              <w:divBdr>
                <w:top w:val="none" w:sz="0" w:space="0" w:color="auto"/>
                <w:left w:val="none" w:sz="0" w:space="0" w:color="auto"/>
                <w:bottom w:val="none" w:sz="0" w:space="0" w:color="auto"/>
                <w:right w:val="none" w:sz="0" w:space="0" w:color="auto"/>
              </w:divBdr>
              <w:divsChild>
                <w:div w:id="1016078722">
                  <w:marLeft w:val="0"/>
                  <w:marRight w:val="0"/>
                  <w:marTop w:val="0"/>
                  <w:marBottom w:val="0"/>
                  <w:divBdr>
                    <w:top w:val="none" w:sz="0" w:space="0" w:color="auto"/>
                    <w:left w:val="none" w:sz="0" w:space="0" w:color="auto"/>
                    <w:bottom w:val="none" w:sz="0" w:space="0" w:color="auto"/>
                    <w:right w:val="none" w:sz="0" w:space="0" w:color="auto"/>
                  </w:divBdr>
                  <w:divsChild>
                    <w:div w:id="1430808108">
                      <w:marLeft w:val="0"/>
                      <w:marRight w:val="0"/>
                      <w:marTop w:val="0"/>
                      <w:marBottom w:val="0"/>
                      <w:divBdr>
                        <w:top w:val="none" w:sz="0" w:space="0" w:color="auto"/>
                        <w:left w:val="none" w:sz="0" w:space="0" w:color="auto"/>
                        <w:bottom w:val="none" w:sz="0" w:space="0" w:color="auto"/>
                        <w:right w:val="none" w:sz="0" w:space="0" w:color="auto"/>
                      </w:divBdr>
                      <w:divsChild>
                        <w:div w:id="186676765">
                          <w:marLeft w:val="0"/>
                          <w:marRight w:val="0"/>
                          <w:marTop w:val="0"/>
                          <w:marBottom w:val="0"/>
                          <w:divBdr>
                            <w:top w:val="none" w:sz="0" w:space="0" w:color="auto"/>
                            <w:left w:val="none" w:sz="0" w:space="0" w:color="auto"/>
                            <w:bottom w:val="none" w:sz="0" w:space="0" w:color="auto"/>
                            <w:right w:val="none" w:sz="0" w:space="0" w:color="auto"/>
                          </w:divBdr>
                          <w:divsChild>
                            <w:div w:id="1347753679">
                              <w:marLeft w:val="0"/>
                              <w:marRight w:val="0"/>
                              <w:marTop w:val="0"/>
                              <w:marBottom w:val="0"/>
                              <w:divBdr>
                                <w:top w:val="none" w:sz="0" w:space="0" w:color="auto"/>
                                <w:left w:val="none" w:sz="0" w:space="0" w:color="auto"/>
                                <w:bottom w:val="none" w:sz="0" w:space="0" w:color="auto"/>
                                <w:right w:val="none" w:sz="0" w:space="0" w:color="auto"/>
                              </w:divBdr>
                              <w:divsChild>
                                <w:div w:id="973875308">
                                  <w:marLeft w:val="0"/>
                                  <w:marRight w:val="0"/>
                                  <w:marTop w:val="0"/>
                                  <w:marBottom w:val="0"/>
                                  <w:divBdr>
                                    <w:top w:val="none" w:sz="0" w:space="0" w:color="auto"/>
                                    <w:left w:val="none" w:sz="0" w:space="0" w:color="auto"/>
                                    <w:bottom w:val="none" w:sz="0" w:space="0" w:color="auto"/>
                                    <w:right w:val="none" w:sz="0" w:space="0" w:color="auto"/>
                                  </w:divBdr>
                                  <w:divsChild>
                                    <w:div w:id="513612717">
                                      <w:marLeft w:val="0"/>
                                      <w:marRight w:val="0"/>
                                      <w:marTop w:val="0"/>
                                      <w:marBottom w:val="0"/>
                                      <w:divBdr>
                                        <w:top w:val="none" w:sz="0" w:space="0" w:color="auto"/>
                                        <w:left w:val="none" w:sz="0" w:space="0" w:color="auto"/>
                                        <w:bottom w:val="none" w:sz="0" w:space="0" w:color="auto"/>
                                        <w:right w:val="none" w:sz="0" w:space="0" w:color="auto"/>
                                      </w:divBdr>
                                      <w:divsChild>
                                        <w:div w:id="2066677824">
                                          <w:marLeft w:val="0"/>
                                          <w:marRight w:val="0"/>
                                          <w:marTop w:val="0"/>
                                          <w:marBottom w:val="0"/>
                                          <w:divBdr>
                                            <w:top w:val="none" w:sz="0" w:space="0" w:color="auto"/>
                                            <w:left w:val="none" w:sz="0" w:space="0" w:color="auto"/>
                                            <w:bottom w:val="none" w:sz="0" w:space="0" w:color="auto"/>
                                            <w:right w:val="none" w:sz="0" w:space="0" w:color="auto"/>
                                          </w:divBdr>
                                          <w:divsChild>
                                            <w:div w:id="1111315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2/rev3.70063" TargetMode="External"/><Relationship Id="rId18" Type="http://schemas.openxmlformats.org/officeDocument/2006/relationships/hyperlink" Target="https://doi.org/10.1080/00098655.2023.2286373" TargetMode="External"/><Relationship Id="rId26" Type="http://schemas.openxmlformats.org/officeDocument/2006/relationships/hyperlink" Target="https://doi.org/10.1080/13603116.2021.1916111" TargetMode="External"/><Relationship Id="rId39" Type="http://schemas.openxmlformats.org/officeDocument/2006/relationships/header" Target="header1.xml"/><Relationship Id="rId21" Type="http://schemas.openxmlformats.org/officeDocument/2006/relationships/hyperlink" Target="https://doi.org/10.1177/2156759X211018640" TargetMode="External"/><Relationship Id="rId34" Type="http://schemas.openxmlformats.org/officeDocument/2006/relationships/hyperlink" Target="https://www.skolverket.se"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80/02619768.2019.1693996" TargetMode="External"/><Relationship Id="rId20" Type="http://schemas.openxmlformats.org/officeDocument/2006/relationships/hyperlink" Target="https://doi.org/10.1080/02188791.2022.2066628" TargetMode="External"/><Relationship Id="rId29" Type="http://schemas.openxmlformats.org/officeDocument/2006/relationships/hyperlink" Target="https://doi.org/10.26634/jsch.19.3.20379"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files.eric.ed.gov/fulltext/EJ1428688.pdf" TargetMode="External"/><Relationship Id="rId24" Type="http://schemas.openxmlformats.org/officeDocument/2006/relationships/hyperlink" Target="https://doi.org/10.3390/bs15101426" TargetMode="External"/><Relationship Id="rId32" Type="http://schemas.openxmlformats.org/officeDocument/2006/relationships/hyperlink" Target="https://doi.org/10.1080/02188791.2021.1987185" TargetMode="External"/><Relationship Id="rId37" Type="http://schemas.openxmlformats.org/officeDocument/2006/relationships/hyperlink" Target="https://doi.org/10.1080/2331186X.2025.2533611"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177/15345084221148202" TargetMode="External"/><Relationship Id="rId23" Type="http://schemas.openxmlformats.org/officeDocument/2006/relationships/hyperlink" Target="https://doi.org/10.1080/2331186X.2025.2564494" TargetMode="External"/><Relationship Id="rId28" Type="http://schemas.openxmlformats.org/officeDocument/2006/relationships/hyperlink" Target="https://doi.org/10.1080/20020317.2022.2083053" TargetMode="External"/><Relationship Id="rId36" Type="http://schemas.openxmlformats.org/officeDocument/2006/relationships/hyperlink" Target="https://doi.org/10.1080/00405841.2020.1827905" TargetMode="External"/><Relationship Id="rId10" Type="http://schemas.openxmlformats.org/officeDocument/2006/relationships/hyperlink" Target="https://doi.org/10.1177/1321103X211009323" TargetMode="External"/><Relationship Id="rId19" Type="http://schemas.openxmlformats.org/officeDocument/2006/relationships/hyperlink" Target="https://doi.org/10.3102/0013189X241227445" TargetMode="External"/><Relationship Id="rId31" Type="http://schemas.openxmlformats.org/officeDocument/2006/relationships/hyperlink" Target="https://doi.org/10.5212/PraxEduc.v.20.24544.046" TargetMode="External"/><Relationship Id="rId4" Type="http://schemas.openxmlformats.org/officeDocument/2006/relationships/settings" Target="settings.xml"/><Relationship Id="rId9" Type="http://schemas.openxmlformats.org/officeDocument/2006/relationships/hyperlink" Target="https://doi.org/10.1080/03075079.2025.2455431" TargetMode="External"/><Relationship Id="rId14" Type="http://schemas.openxmlformats.org/officeDocument/2006/relationships/hyperlink" Target="https://files.eric.ed.gov/fulltext/EJ1444588.pdf" TargetMode="External"/><Relationship Id="rId22" Type="http://schemas.openxmlformats.org/officeDocument/2006/relationships/hyperlink" Target="https://doi.org/10.1016/j.tate.2024.104626" TargetMode="External"/><Relationship Id="rId27" Type="http://schemas.openxmlformats.org/officeDocument/2006/relationships/hyperlink" Target="https://doi.org/10.1080/08856257.2020.1754547" TargetMode="External"/><Relationship Id="rId30" Type="http://schemas.openxmlformats.org/officeDocument/2006/relationships/hyperlink" Target="https://doi.org/10.3138/cjpe.76737" TargetMode="External"/><Relationship Id="rId35" Type="http://schemas.openxmlformats.org/officeDocument/2006/relationships/hyperlink" Target="https://doi.org/10.1080/00131857.2022.2138745" TargetMode="External"/><Relationship Id="rId8" Type="http://schemas.openxmlformats.org/officeDocument/2006/relationships/hyperlink" Target="https://doi.org/10.22521/edupij.2025.17.364" TargetMode="External"/><Relationship Id="rId3" Type="http://schemas.openxmlformats.org/officeDocument/2006/relationships/styles" Target="styles.xml"/><Relationship Id="rId12" Type="http://schemas.openxmlformats.org/officeDocument/2006/relationships/hyperlink" Target="https://doi.org/10.1080/13632434.2025.2587117" TargetMode="External"/><Relationship Id="rId17" Type="http://schemas.openxmlformats.org/officeDocument/2006/relationships/hyperlink" Target="https://doi.org/10.1177/07419325241268867" TargetMode="External"/><Relationship Id="rId25" Type="http://schemas.openxmlformats.org/officeDocument/2006/relationships/hyperlink" Target="https://doi.org/10.1080/00313831.2023.2196525" TargetMode="External"/><Relationship Id="rId33" Type="http://schemas.openxmlformats.org/officeDocument/2006/relationships/hyperlink" Target="https://doi.org/10.1016/j.profnurs.2025.12.003" TargetMode="External"/><Relationship Id="rId38" Type="http://schemas.openxmlformats.org/officeDocument/2006/relationships/hyperlink" Target="https://doi.org/10.1080/87567555.2024.2327075" TargetMode="External"/></Relationships>
</file>

<file path=word/theme/theme1.xml><?xml version="1.0" encoding="utf-8"?>
<a:theme xmlns:a="http://schemas.openxmlformats.org/drawingml/2006/main" name="Office-te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32F330-6BE7-4296-9F16-4D547393F6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31327</TotalTime>
  <Pages>25</Pages>
  <Words>9632</Words>
  <Characters>51051</Characters>
  <Application>Microsoft Office Word</Application>
  <DocSecurity>0</DocSecurity>
  <Lines>425</Lines>
  <Paragraphs>121</Paragraphs>
  <ScaleCrop>false</ScaleCrop>
  <HeadingPairs>
    <vt:vector size="2" baseType="variant">
      <vt:variant>
        <vt:lpstr>Rubrik</vt:lpstr>
      </vt:variant>
      <vt:variant>
        <vt:i4>1</vt:i4>
      </vt:variant>
    </vt:vector>
  </HeadingPairs>
  <TitlesOfParts>
    <vt:vector size="1" baseType="lpstr">
      <vt:lpstr/>
    </vt:vector>
  </TitlesOfParts>
  <Company>BUF</Company>
  <LinksUpToDate>false</LinksUpToDate>
  <CharactersWithSpaces>60562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Arthur Nkalubo</dc:creator>
  <cp:keywords/>
  <dc:description/>
  <cp:lastModifiedBy>Arthur Nkalubo</cp:lastModifiedBy>
  <cp:revision>2932</cp:revision>
  <dcterms:created xsi:type="dcterms:W3CDTF">2025-10-29T19:00:00Z</dcterms:created>
  <dcterms:modified xsi:type="dcterms:W3CDTF">2026-01-15T21:22:00Z</dcterms:modified>
</cp:coreProperties>
</file>