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before="20" w:line="360" w:lineRule="auto"/>
        <w:ind w:right="20"/>
        <w:jc w:val="center"/>
        <w:rPr>
          <w:b w:val="1"/>
          <w:bCs w:val="1"/>
          <w:sz w:val="40"/>
          <w:szCs w:val="40"/>
        </w:rPr>
      </w:pPr>
      <w:r w:rsidDel="00000000" w:rsidR="00000000" w:rsidRPr="00000000">
        <w:rPr>
          <w:b w:val="1"/>
          <w:bCs w:val="1"/>
          <w:sz w:val="40"/>
          <w:szCs w:val="40"/>
          <w:rtl w:val="0"/>
        </w:rPr>
        <w:t xml:space="preserve">University of Wales Trinity Saint David</w:t>
      </w:r>
    </w:p>
    <w:p w:rsidR="00000000" w:rsidDel="00000000" w:rsidP="00000000" w:rsidRDefault="00000000" w:rsidRPr="00000000" w14:paraId="00000002">
      <w:pPr>
        <w:spacing w:before="280" w:line="360" w:lineRule="auto"/>
        <w:jc w:val="center"/>
        <w:rPr>
          <w:b w:val="1"/>
          <w:bCs w:val="1"/>
          <w:sz w:val="40"/>
          <w:szCs w:val="40"/>
        </w:rPr>
      </w:pPr>
      <w:r w:rsidDel="00000000" w:rsidR="00000000" w:rsidRPr="00000000">
        <w:rPr>
          <w:b w:val="1"/>
          <w:bCs w:val="1"/>
          <w:sz w:val="40"/>
          <w:szCs w:val="40"/>
          <w:rtl w:val="0"/>
        </w:rPr>
        <w:t xml:space="preserve">Wales Institute of Science &amp; Art </w:t>
      </w:r>
    </w:p>
    <w:p w:rsidR="00000000" w:rsidDel="00000000" w:rsidP="00000000" w:rsidRDefault="00000000" w:rsidRPr="00000000" w14:paraId="00000003">
      <w:pPr>
        <w:pStyle w:val="Heading1"/>
        <w:shd w:fill="ffffff" w:val="clear"/>
        <w:spacing w:before="240"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04">
      <w:pPr>
        <w:pStyle w:val="Heading1"/>
        <w:shd w:fill="ffffff" w:val="clear"/>
        <w:spacing w:before="240" w:lineRule="auto"/>
        <w:rPr>
          <w:b w:val="1"/>
          <w:bCs w:val="1"/>
          <w:sz w:val="20"/>
          <w:szCs w:val="20"/>
        </w:rPr>
      </w:pPr>
      <w:r w:rsidDel="00000000" w:rsidR="00000000" w:rsidRPr="00000000">
        <w:rPr>
          <w:b w:val="1"/>
          <w:bCs w:val="1"/>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19052</wp:posOffset>
            </wp:positionH>
            <wp:positionV relativeFrom="paragraph">
              <wp:posOffset>238106</wp:posOffset>
            </wp:positionV>
            <wp:extent cx="5731200" cy="3187700"/>
            <wp:effectExtent b="0" l="0" r="0" t="0"/>
            <wp:wrapSquare wrapText="bothSides" distB="114300" distT="114300" distL="114300" distR="114300"/>
            <wp:docPr id="10"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5731200" cy="3187700"/>
                    </a:xfrm>
                    <a:prstGeom prst="rect"/>
                    <a:ln/>
                  </pic:spPr>
                </pic:pic>
              </a:graphicData>
            </a:graphic>
          </wp:anchor>
        </w:drawing>
      </w:r>
    </w:p>
    <w:p w:rsidR="00000000" w:rsidDel="00000000" w:rsidP="00000000" w:rsidRDefault="00000000" w:rsidRPr="00000000" w14:paraId="00000005">
      <w:pPr>
        <w:pStyle w:val="Heading1"/>
        <w:shd w:fill="ffffff" w:val="clear"/>
        <w:spacing w:before="240" w:lineRule="auto"/>
        <w:rPr>
          <w:b w:val="1"/>
          <w:bCs w:val="1"/>
          <w:sz w:val="20"/>
          <w:szCs w:val="20"/>
        </w:rPr>
      </w:pPr>
      <w:r w:rsidDel="00000000" w:rsidR="00000000" w:rsidRPr="00000000">
        <w:rPr>
          <w:b w:val="1"/>
          <w:bCs w:val="1"/>
          <w:sz w:val="20"/>
          <w:szCs w:val="20"/>
          <w:rtl w:val="0"/>
        </w:rPr>
        <w:t xml:space="preserve"> </w:t>
      </w:r>
    </w:p>
    <w:tbl>
      <w:tblPr>
        <w:tblStyle w:val="Table1"/>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780"/>
        <w:gridCol w:w="220"/>
        <w:tblGridChange w:id="0">
          <w:tblGrid>
            <w:gridCol w:w="8780"/>
            <w:gridCol w:w="2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06">
            <w:pPr>
              <w:pStyle w:val="Heading1"/>
              <w:shd w:fill="auto" w:val="clear"/>
              <w:spacing w:after="0" w:before="0" w:lineRule="auto"/>
              <w:rPr>
                <w:sz w:val="32"/>
                <w:szCs w:val="3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07">
            <w:pPr>
              <w:pStyle w:val="Heading1"/>
              <w:shd w:fill="auto" w:val="clear"/>
              <w:spacing w:after="0" w:before="0" w:lineRule="auto"/>
              <w:rPr>
                <w:sz w:val="32"/>
                <w:szCs w:val="32"/>
              </w:rPr>
            </w:pPr>
            <w:bookmarkStart w:colFirst="0" w:colLast="0" w:name="_7ohllg5059ea" w:id="0"/>
            <w:bookmarkEnd w:id="0"/>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08">
            <w:pPr>
              <w:spacing w:line="240" w:lineRule="auto"/>
              <w:ind w:left="-992" w:right="-1109" w:firstLine="0"/>
              <w:jc w:val="center"/>
              <w:rPr>
                <w:sz w:val="38"/>
                <w:szCs w:val="38"/>
              </w:rPr>
            </w:pPr>
            <w:r w:rsidDel="00000000" w:rsidR="00000000" w:rsidRPr="00000000">
              <w:rPr>
                <w:sz w:val="32"/>
                <w:szCs w:val="32"/>
                <w:rtl w:val="0"/>
              </w:rPr>
              <w:t xml:space="preserve">  </w:t>
            </w:r>
            <w:r w:rsidDel="00000000" w:rsidR="00000000" w:rsidRPr="00000000">
              <w:rPr>
                <w:sz w:val="38"/>
                <w:szCs w:val="38"/>
                <w:rtl w:val="0"/>
              </w:rPr>
              <w:t xml:space="preserve">   Evaluating the Effectiveness of Chosen </w:t>
            </w:r>
          </w:p>
          <w:p w:rsidR="00000000" w:rsidDel="00000000" w:rsidP="00000000" w:rsidRDefault="00000000" w:rsidRPr="00000000" w14:paraId="00000009">
            <w:pPr>
              <w:spacing w:line="240" w:lineRule="auto"/>
              <w:ind w:left="-992" w:right="-1109" w:firstLine="0"/>
              <w:jc w:val="center"/>
              <w:rPr>
                <w:sz w:val="38"/>
                <w:szCs w:val="38"/>
              </w:rPr>
            </w:pPr>
            <w:r w:rsidDel="00000000" w:rsidR="00000000" w:rsidRPr="00000000">
              <w:rPr>
                <w:sz w:val="38"/>
                <w:szCs w:val="38"/>
                <w:rtl w:val="0"/>
              </w:rPr>
              <w:t xml:space="preserve">Maintenance Strategies for Dedicated Equipment:</w:t>
            </w:r>
          </w:p>
          <w:p w:rsidR="00000000" w:rsidDel="00000000" w:rsidP="00000000" w:rsidRDefault="00000000" w:rsidRPr="00000000" w14:paraId="0000000A">
            <w:pPr>
              <w:spacing w:line="240" w:lineRule="auto"/>
              <w:ind w:left="-992" w:right="-1109" w:firstLine="0"/>
              <w:rPr>
                <w:sz w:val="38"/>
                <w:szCs w:val="38"/>
              </w:rPr>
            </w:pPr>
            <w:r w:rsidDel="00000000" w:rsidR="00000000" w:rsidRPr="00000000">
              <w:rPr>
                <w:sz w:val="38"/>
                <w:szCs w:val="38"/>
                <w:rtl w:val="0"/>
              </w:rPr>
              <w:t xml:space="preserve">                                         ACMA6007</w:t>
            </w:r>
          </w:p>
          <w:p w:rsidR="00000000" w:rsidDel="00000000" w:rsidP="00000000" w:rsidRDefault="00000000" w:rsidRPr="00000000" w14:paraId="0000000B">
            <w:pPr>
              <w:spacing w:line="240" w:lineRule="auto"/>
              <w:ind w:left="-992" w:right="-1109" w:firstLine="0"/>
              <w:rPr>
                <w:sz w:val="38"/>
                <w:szCs w:val="38"/>
              </w:rPr>
            </w:pPr>
            <w:r w:rsidDel="00000000" w:rsidR="00000000" w:rsidRPr="00000000">
              <w:rPr>
                <w:sz w:val="38"/>
                <w:szCs w:val="38"/>
                <w:rtl w:val="0"/>
              </w:rPr>
              <w:t xml:space="preserve">A</w:t>
            </w:r>
          </w:p>
          <w:p w:rsidR="00000000" w:rsidDel="00000000" w:rsidP="00000000" w:rsidRDefault="00000000" w:rsidRPr="00000000" w14:paraId="0000000C">
            <w:pPr>
              <w:spacing w:line="240" w:lineRule="auto"/>
              <w:ind w:left="-992" w:right="-1109" w:firstLine="0"/>
              <w:jc w:val="left"/>
              <w:rPr>
                <w:sz w:val="38"/>
                <w:szCs w:val="38"/>
              </w:rPr>
            </w:pPr>
            <w:r w:rsidDel="00000000" w:rsidR="00000000" w:rsidRPr="00000000">
              <w:rPr>
                <w:rtl w:val="0"/>
              </w:rPr>
            </w:r>
          </w:p>
          <w:p w:rsidR="00000000" w:rsidDel="00000000" w:rsidP="00000000" w:rsidRDefault="00000000" w:rsidRPr="00000000" w14:paraId="0000000D">
            <w:pPr>
              <w:spacing w:line="240" w:lineRule="auto"/>
              <w:ind w:left="-992" w:right="-1109" w:firstLine="0"/>
              <w:jc w:val="center"/>
              <w:rPr>
                <w:sz w:val="38"/>
                <w:szCs w:val="38"/>
              </w:rPr>
            </w:pPr>
            <w:r w:rsidDel="00000000" w:rsidR="00000000" w:rsidRPr="00000000">
              <w:rPr>
                <w:sz w:val="38"/>
                <w:szCs w:val="38"/>
                <w:rtl w:val="0"/>
              </w:rPr>
              <w:t xml:space="preserve">Ryan lewis</w:t>
            </w:r>
          </w:p>
          <w:p w:rsidR="00000000" w:rsidDel="00000000" w:rsidP="00000000" w:rsidRDefault="00000000" w:rsidRPr="00000000" w14:paraId="0000000E">
            <w:pPr>
              <w:spacing w:line="240" w:lineRule="auto"/>
              <w:ind w:left="-992" w:right="-1109" w:firstLine="0"/>
              <w:jc w:val="center"/>
              <w:rPr>
                <w:sz w:val="38"/>
                <w:szCs w:val="38"/>
              </w:rPr>
            </w:pPr>
            <w:r w:rsidDel="00000000" w:rsidR="00000000" w:rsidRPr="00000000">
              <w:rPr>
                <w:sz w:val="38"/>
                <w:szCs w:val="38"/>
                <w:rtl w:val="0"/>
              </w:rPr>
              <w:t xml:space="preserve">2318511</w:t>
            </w:r>
          </w:p>
          <w:p w:rsidR="00000000" w:rsidDel="00000000" w:rsidP="00000000" w:rsidRDefault="00000000" w:rsidRPr="00000000" w14:paraId="0000000F">
            <w:pPr>
              <w:spacing w:line="240" w:lineRule="auto"/>
              <w:ind w:left="-992" w:right="-1109" w:firstLine="0"/>
              <w:jc w:val="center"/>
              <w:rPr>
                <w:sz w:val="38"/>
                <w:szCs w:val="38"/>
              </w:rPr>
            </w:pPr>
            <w:r w:rsidDel="00000000" w:rsidR="00000000" w:rsidRPr="00000000">
              <w:rPr>
                <w:sz w:val="38"/>
                <w:szCs w:val="38"/>
                <w:rtl w:val="0"/>
              </w:rPr>
              <w:t xml:space="preserve">April 2026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10">
            <w:pPr>
              <w:spacing w:line="240" w:lineRule="auto"/>
              <w:ind w:left="-885" w:right="-5631" w:firstLine="0"/>
              <w:rPr>
                <w:sz w:val="24"/>
                <w:szCs w:val="24"/>
              </w:rPr>
            </w:pPr>
            <w:r w:rsidDel="00000000" w:rsidR="00000000" w:rsidRPr="00000000">
              <w:rPr>
                <w:rtl w:val="0"/>
              </w:rPr>
            </w:r>
          </w:p>
        </w:tc>
      </w:tr>
    </w:tbl>
    <w:p w:rsidR="00000000" w:rsidDel="00000000" w:rsidP="00000000" w:rsidRDefault="00000000" w:rsidRPr="00000000" w14:paraId="00000011">
      <w:pPr>
        <w:keepNext w:val="0"/>
        <w:keepLines w:val="0"/>
        <w:rPr>
          <w:sz w:val="32"/>
          <w:szCs w:val="32"/>
        </w:rPr>
      </w:pPr>
      <w:r w:rsidDel="00000000" w:rsidR="00000000" w:rsidRPr="00000000">
        <w:rPr>
          <w:sz w:val="32"/>
          <w:szCs w:val="32"/>
          <w:rtl w:val="0"/>
        </w:rPr>
        <w:t xml:space="preserve">Table of Contents</w:t>
      </w:r>
    </w:p>
    <w:sdt>
      <w:sdtPr>
        <w:id w:val="1229794528"/>
        <w:docPartObj>
          <w:docPartGallery w:val="Table of Contents"/>
          <w:docPartUnique w:val="1"/>
        </w:docPartObj>
      </w:sdtPr>
      <w:sdtContent>
        <w:p w:rsidR="00000000" w:rsidDel="00000000" w:rsidP="00000000" w:rsidRDefault="00000000" w:rsidRPr="00000000" w14:paraId="00000012">
          <w:pPr>
            <w:widowControl w:val="0"/>
            <w:tabs>
              <w:tab w:val="right" w:leader="dot"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gg3s5xeaemm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rPr>
              <w:b w:val="1"/>
              <w:bCs w:val="1"/>
              <w:color w:val="000000"/>
              <w:u w:val="none"/>
            </w:rPr>
          </w:pPr>
          <w:hyperlink w:anchor="_5ojim08p374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Critical Review of Current Maintenance Practices</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color w:val="000000"/>
              <w:u w:val="none"/>
            </w:rPr>
          </w:pPr>
          <w:hyperlink w:anchor="_60p7y3ol5nn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Overview of the Anodising Process Line</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color w:val="000000"/>
              <w:u w:val="none"/>
            </w:rPr>
          </w:pPr>
          <w:hyperlink w:anchor="_gogqu538d6r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Current Maintenance Approach</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color w:val="000000"/>
              <w:u w:val="none"/>
            </w:rPr>
          </w:pPr>
          <w:hyperlink w:anchor="_r2as9ahe3h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Strengths of the Current Approach</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color w:val="000000"/>
              <w:u w:val="none"/>
            </w:rPr>
          </w:pPr>
          <w:hyperlink w:anchor="_32aoa1v8e57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Weaknesses and Limitations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720" w:firstLine="0"/>
            <w:rPr>
              <w:color w:val="000000"/>
              <w:u w:val="none"/>
            </w:rPr>
          </w:pPr>
          <w:hyperlink w:anchor="_ic1fc5uzbsh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2.4.1 Absence of Condition Monitoring</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720" w:firstLine="0"/>
            <w:rPr>
              <w:color w:val="000000"/>
              <w:u w:val="none"/>
            </w:rPr>
          </w:pPr>
          <w:hyperlink w:anchor="_gpwdikkbvy6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2.4.2 Reactive Response to Filtration Blockages</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720" w:firstLine="0"/>
            <w:rPr>
              <w:color w:val="000000"/>
              <w:u w:val="none"/>
            </w:rPr>
          </w:pPr>
          <w:hyperlink w:anchor="_qxp0k9oykwx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2.4.3 Lack of Electrical Infrastructure Monitoring</w:t>
              <w:tab/>
              <w:t xml:space="preserve">7</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720" w:firstLine="0"/>
            <w:rPr>
              <w:color w:val="000000"/>
              <w:u w:val="none"/>
            </w:rPr>
          </w:pPr>
          <w:hyperlink w:anchor="_jopoihnaph2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2.4.4 Maintainability Design Issues</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720" w:firstLine="0"/>
            <w:rPr>
              <w:color w:val="000000"/>
              <w:u w:val="none"/>
            </w:rPr>
          </w:pPr>
          <w:hyperlink w:anchor="_gp957984ag0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2.4.5 Calibration Tolerance Gaps</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360" w:firstLine="0"/>
            <w:rPr>
              <w:color w:val="000000"/>
              <w:u w:val="none"/>
            </w:rPr>
          </w:pPr>
          <w:hyperlink w:anchor="_ou775b6xbg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2.5 Why Was This Approach Chosen?</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rPr>
              <w:b w:val="1"/>
              <w:bCs w:val="1"/>
              <w:color w:val="000000"/>
              <w:u w:val="none"/>
            </w:rPr>
          </w:pPr>
          <w:hyperlink w:anchor="_sh9yyspgjw9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Evaluation of Proposed Improvements</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firstLine="0"/>
            <w:rPr>
              <w:color w:val="000000"/>
              <w:u w:val="none"/>
            </w:rPr>
          </w:pPr>
          <w:hyperlink w:anchor="_j8uhhxgtrgr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Installation of Flow Monitoring on Filtration Systems</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720" w:firstLine="0"/>
            <w:rPr>
              <w:color w:val="000000"/>
              <w:u w:val="none"/>
            </w:rPr>
          </w:pPr>
          <w:hyperlink w:anchor="_3jv0w9lrphf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3.1.1 Proposal Description</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720" w:firstLine="0"/>
            <w:rPr>
              <w:color w:val="000000"/>
              <w:u w:val="none"/>
            </w:rPr>
          </w:pPr>
          <w:hyperlink w:anchor="_t2ltpr65fe6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3.1.2 Theoretical Justification</w:t>
              <w:tab/>
              <w:t xml:space="preserve">9</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720" w:firstLine="0"/>
            <w:rPr>
              <w:color w:val="000000"/>
              <w:u w:val="none"/>
            </w:rPr>
          </w:pPr>
          <w:hyperlink w:anchor="_ul9cswu3s7k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3.1.3 Implementation Approach</w:t>
              <w:tab/>
              <w:t xml:space="preserve">9</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720" w:firstLine="0"/>
            <w:rPr>
              <w:color w:val="000000"/>
              <w:u w:val="none"/>
            </w:rPr>
          </w:pPr>
          <w:hyperlink w:anchor="_vn3l13wbqmu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3.1.4 Expected Benefits</w:t>
              <w:tab/>
              <w:t xml:space="preserve">10</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color w:val="000000"/>
              <w:u w:val="none"/>
            </w:rPr>
          </w:pPr>
          <w:hyperlink w:anchor="_ge4poux21hc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Thermal Imaging of Rectifier Cables</w:t>
              <w:tab/>
              <w:t xml:space="preserve">10</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720" w:firstLine="0"/>
            <w:rPr>
              <w:color w:val="000000"/>
              <w:u w:val="none"/>
            </w:rPr>
          </w:pPr>
          <w:hyperlink w:anchor="_2w6c72xhgt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3.2.1 Proposal Description</w:t>
              <w:tab/>
              <w:t xml:space="preserve">10</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720" w:firstLine="0"/>
            <w:rPr>
              <w:color w:val="000000"/>
              <w:u w:val="none"/>
            </w:rPr>
          </w:pPr>
          <w:hyperlink w:anchor="_9j8zhdm9d44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3.2.2 Theoretical Justification</w:t>
              <w:tab/>
              <w:t xml:space="preserve">10</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720" w:firstLine="0"/>
            <w:rPr>
              <w:color w:val="000000"/>
              <w:u w:val="none"/>
            </w:rPr>
          </w:pPr>
          <w:hyperlink w:anchor="_xg99mk6kuhn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3.2.3 Implementation Approach</w:t>
              <w:tab/>
              <w:t xml:space="preserve">10</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720" w:firstLine="0"/>
            <w:rPr>
              <w:color w:val="000000"/>
              <w:u w:val="none"/>
            </w:rPr>
          </w:pPr>
          <w:hyperlink w:anchor="_1zh5r3bxrc4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3.2.4 Expected Benefits</w:t>
              <w:tab/>
              <w:t xml:space="preserve">10</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firstLine="0"/>
            <w:rPr>
              <w:color w:val="000000"/>
              <w:u w:val="none"/>
            </w:rPr>
          </w:pPr>
          <w:hyperlink w:anchor="_gzk4jk1m9fz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Tighter Calibration Tolerances</w:t>
              <w:tab/>
              <w:t xml:space="preserve">11</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ind w:left="720" w:firstLine="0"/>
            <w:rPr>
              <w:color w:val="000000"/>
              <w:u w:val="none"/>
            </w:rPr>
          </w:pPr>
          <w:hyperlink w:anchor="_pr1ens9ssdw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3.3.1 Proposal Description</w:t>
              <w:tab/>
              <w:t xml:space="preserve">11</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ind w:left="720" w:firstLine="0"/>
            <w:rPr>
              <w:color w:val="000000"/>
              <w:u w:val="none"/>
            </w:rPr>
          </w:pPr>
          <w:hyperlink w:anchor="_d43gynjver9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3.3.2 Theoretical Justification</w:t>
              <w:tab/>
              <w:t xml:space="preserve">11</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ind w:left="720" w:firstLine="0"/>
            <w:rPr>
              <w:color w:val="000000"/>
              <w:u w:val="none"/>
            </w:rPr>
          </w:pPr>
          <w:hyperlink w:anchor="_cytenxjdign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3.3.3 Implementation Approach</w:t>
              <w:tab/>
              <w:t xml:space="preserve">11</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ind w:left="720" w:firstLine="0"/>
            <w:rPr>
              <w:color w:val="000000"/>
              <w:u w:val="none"/>
            </w:rPr>
          </w:pPr>
          <w:hyperlink w:anchor="_eosdq56mhb0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3.3.4 Expected Benefits</w:t>
              <w:tab/>
              <w:t xml:space="preserve">11</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ind w:left="360" w:firstLine="0"/>
            <w:rPr>
              <w:color w:val="000000"/>
              <w:u w:val="none"/>
            </w:rPr>
          </w:pPr>
          <w:hyperlink w:anchor="_r50l23z7li3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 Redesign of Push Button Control Panels</w:t>
              <w:tab/>
              <w:t xml:space="preserve">12</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ind w:left="720" w:firstLine="0"/>
            <w:rPr>
              <w:color w:val="000000"/>
              <w:u w:val="none"/>
            </w:rPr>
          </w:pPr>
          <w:hyperlink w:anchor="_f6iwbtbttw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3.4.1 Proposal Description</w:t>
              <w:tab/>
              <w:t xml:space="preserve">12</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ind w:left="720" w:firstLine="0"/>
            <w:rPr>
              <w:color w:val="000000"/>
              <w:u w:val="none"/>
            </w:rPr>
          </w:pPr>
          <w:hyperlink w:anchor="_ro63rajzbs5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3.4.2 Theoretical Justification</w:t>
              <w:tab/>
              <w:t xml:space="preserve">12</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720" w:firstLine="0"/>
            <w:rPr>
              <w:color w:val="000000"/>
              <w:u w:val="none"/>
            </w:rPr>
          </w:pPr>
          <w:hyperlink w:anchor="_kxvjn3xzt9q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3.4.3 Implementation Approach</w:t>
              <w:tab/>
              <w:t xml:space="preserve">13</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ind w:left="720" w:firstLine="0"/>
            <w:rPr>
              <w:color w:val="000000"/>
              <w:u w:val="none"/>
            </w:rPr>
          </w:pPr>
          <w:hyperlink w:anchor="_ci97rc151au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3.4.4 Expected Benefits</w:t>
              <w:tab/>
              <w:t xml:space="preserve">13</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ind w:left="360" w:firstLine="0"/>
            <w:rPr>
              <w:color w:val="000000"/>
              <w:u w:val="none"/>
            </w:rPr>
          </w:pPr>
          <w:hyperlink w:anchor="_r5e4kws15qd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 Electrical Condition Monitoring for Submerged Tank Heaters</w:t>
              <w:tab/>
              <w:t xml:space="preserve">13</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left="720" w:firstLine="0"/>
            <w:rPr>
              <w:color w:val="000000"/>
              <w:u w:val="none"/>
            </w:rPr>
          </w:pPr>
          <w:hyperlink w:anchor="_e6jzhc09m7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3.5.1 Proposal Description</w:t>
              <w:tab/>
              <w:t xml:space="preserve">13</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ind w:left="720" w:firstLine="0"/>
            <w:rPr>
              <w:color w:val="000000"/>
              <w:u w:val="none"/>
            </w:rPr>
          </w:pPr>
          <w:hyperlink w:anchor="_pskhh75uad3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3.5.2 Theoretical Justification</w:t>
              <w:tab/>
              <w:t xml:space="preserve">13</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left="720" w:firstLine="0"/>
            <w:rPr>
              <w:color w:val="000000"/>
              <w:u w:val="none"/>
            </w:rPr>
          </w:pPr>
          <w:hyperlink w:anchor="_ci3khk5kbvm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3.5.3 Implementation Approach</w:t>
              <w:tab/>
              <w:t xml:space="preserve">14</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left="720" w:firstLine="0"/>
            <w:rPr>
              <w:color w:val="000000"/>
              <w:u w:val="none"/>
            </w:rPr>
          </w:pPr>
          <w:hyperlink w:anchor="_3izbmerkzjf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3.5.4 Expected Benefits</w:t>
              <w:tab/>
              <w:t xml:space="preserve">14</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left="360" w:firstLine="0"/>
            <w:rPr>
              <w:color w:val="000000"/>
              <w:u w:val="none"/>
            </w:rPr>
          </w:pPr>
          <w:hyperlink w:anchor="_hbx9ucelkse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3.6 Segmentation of the PPM Schedule</w:t>
              <w:tab/>
              <w:t xml:space="preserve">14</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ind w:left="360" w:firstLine="0"/>
            <w:rPr>
              <w:color w:val="000000"/>
              <w:u w:val="none"/>
            </w:rPr>
          </w:pPr>
          <w:hyperlink w:anchor="_i60ltcg49p7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3.7 Integration into Revised PPM Schedule</w:t>
              <w:tab/>
              <w:t xml:space="preserve">15</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rPr>
              <w:b w:val="1"/>
              <w:bCs w:val="1"/>
              <w:color w:val="000000"/>
              <w:u w:val="none"/>
            </w:rPr>
          </w:pPr>
          <w:hyperlink w:anchor="_c4p9b2oyz04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Consideration of Costs and Resources</w:t>
              <w:tab/>
              <w:t xml:space="preserve">16</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left="360" w:firstLine="0"/>
            <w:rPr>
              <w:color w:val="000000"/>
              <w:u w:val="none"/>
            </w:rPr>
          </w:pPr>
          <w:hyperlink w:anchor="_7nydcgf19t4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Direct Costs</w:t>
              <w:tab/>
              <w:t xml:space="preserve">16</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left="360" w:firstLine="0"/>
            <w:rPr>
              <w:color w:val="000000"/>
              <w:u w:val="none"/>
            </w:rPr>
          </w:pPr>
          <w:hyperlink w:anchor="_qpf5fa6glt3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Indirect Costs and Savings</w:t>
              <w:tab/>
              <w:t xml:space="preserve">17</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240" w:lineRule="auto"/>
            <w:ind w:left="360" w:firstLine="0"/>
            <w:rPr>
              <w:color w:val="000000"/>
              <w:u w:val="none"/>
            </w:rPr>
          </w:pPr>
          <w:hyperlink w:anchor="_3iv2h2rzx4d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Resource Requirements</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240" w:lineRule="auto"/>
            <w:ind w:left="720" w:firstLine="0"/>
            <w:rPr>
              <w:color w:val="000000"/>
              <w:u w:val="none"/>
            </w:rPr>
          </w:pPr>
          <w:hyperlink w:anchor="_xgp7jkwyeu3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4.3.1 Staff Training</w:t>
              <w:tab/>
              <w:t xml:space="preserve">17</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240" w:lineRule="auto"/>
            <w:ind w:left="720" w:firstLine="0"/>
            <w:rPr>
              <w:color w:val="000000"/>
              <w:u w:val="none"/>
            </w:rPr>
          </w:pPr>
          <w:hyperlink w:anchor="_nz2dd9y099a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4.3.2 Change Management Implications</w:t>
              <w:tab/>
              <w:t xml:space="preserve">18</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rPr>
              <w:b w:val="1"/>
              <w:bCs w:val="1"/>
              <w:color w:val="000000"/>
              <w:u w:val="none"/>
            </w:rPr>
          </w:pPr>
          <w:hyperlink w:anchor="_oibdghuvo7y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Conclusions and Recommendations</w:t>
              <w:tab/>
              <w:t xml:space="preserve">18</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ind w:left="360" w:firstLine="0"/>
            <w:rPr>
              <w:color w:val="000000"/>
              <w:u w:val="none"/>
            </w:rPr>
          </w:pPr>
          <w:hyperlink w:anchor="_pzmblhuyb6v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Conclusions</w:t>
              <w:tab/>
              <w:t xml:space="preserve">18</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ind w:left="360" w:firstLine="0"/>
            <w:rPr>
              <w:color w:val="000000"/>
              <w:u w:val="none"/>
            </w:rPr>
          </w:pPr>
          <w:hyperlink w:anchor="_khif5f7enax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Recommendations</w:t>
              <w:tab/>
              <w:t xml:space="preserve">19</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ind w:left="1080" w:firstLine="0"/>
            <w:rPr>
              <w:color w:val="000000"/>
              <w:u w:val="none"/>
            </w:rPr>
          </w:pPr>
          <w:hyperlink w:anchor="_nxn58c711ck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Short-term (0–3 months)</w:t>
              <w:tab/>
              <w:t xml:space="preserve">19</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ind w:left="1080" w:firstLine="0"/>
            <w:rPr>
              <w:color w:val="000000"/>
              <w:u w:val="none"/>
            </w:rPr>
          </w:pPr>
          <w:hyperlink w:anchor="_dj5ft7r65fd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Medium-term (3–12 months)</w:t>
              <w:tab/>
              <w:t xml:space="preserve">19</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ind w:left="1080" w:firstLine="0"/>
            <w:rPr>
              <w:color w:val="000000"/>
              <w:u w:val="none"/>
            </w:rPr>
          </w:pPr>
          <w:hyperlink w:anchor="_eknuie8yogz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Long-term (12–24 months)</w:t>
              <w:tab/>
              <w:t xml:space="preserve">19</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ind w:left="360" w:firstLine="0"/>
            <w:rPr>
              <w:color w:val="000000"/>
              <w:u w:val="none"/>
            </w:rPr>
          </w:pPr>
          <w:hyperlink w:anchor="_yojiz78odpq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Final Remarks</w:t>
              <w:tab/>
              <w:t xml:space="preserve">19</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rPr>
              <w:b w:val="1"/>
              <w:bCs w:val="1"/>
              <w:color w:val="000000"/>
              <w:u w:val="none"/>
            </w:rPr>
          </w:pPr>
          <w:hyperlink w:anchor="_uke816q4sp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References</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sz w:val="32"/>
          <w:szCs w:val="32"/>
        </w:rPr>
      </w:pPr>
      <w:r w:rsidDel="00000000" w:rsidR="00000000" w:rsidRPr="00000000">
        <w:rPr>
          <w:rtl w:val="0"/>
        </w:rPr>
      </w:r>
    </w:p>
    <w:p w:rsidR="00000000" w:rsidDel="00000000" w:rsidP="00000000" w:rsidRDefault="00000000" w:rsidRPr="00000000" w14:paraId="0000004A">
      <w:pPr>
        <w:rPr>
          <w:sz w:val="32"/>
          <w:szCs w:val="32"/>
        </w:rPr>
      </w:pPr>
      <w:r w:rsidDel="00000000" w:rsidR="00000000" w:rsidRPr="00000000">
        <w:rPr>
          <w:rtl w:val="0"/>
        </w:rPr>
      </w:r>
    </w:p>
    <w:p w:rsidR="00000000" w:rsidDel="00000000" w:rsidP="00000000" w:rsidRDefault="00000000" w:rsidRPr="00000000" w14:paraId="0000004B">
      <w:pPr>
        <w:rPr>
          <w:sz w:val="32"/>
          <w:szCs w:val="32"/>
        </w:rPr>
      </w:pPr>
      <w:r w:rsidDel="00000000" w:rsidR="00000000" w:rsidRPr="00000000">
        <w:rPr>
          <w:rtl w:val="0"/>
        </w:rPr>
      </w:r>
    </w:p>
    <w:p w:rsidR="00000000" w:rsidDel="00000000" w:rsidP="00000000" w:rsidRDefault="00000000" w:rsidRPr="00000000" w14:paraId="0000004C">
      <w:pPr>
        <w:rPr>
          <w:sz w:val="32"/>
          <w:szCs w:val="32"/>
        </w:rPr>
      </w:pPr>
      <w:r w:rsidDel="00000000" w:rsidR="00000000" w:rsidRPr="00000000">
        <w:rPr>
          <w:rtl w:val="0"/>
        </w:rPr>
      </w:r>
    </w:p>
    <w:p w:rsidR="00000000" w:rsidDel="00000000" w:rsidP="00000000" w:rsidRDefault="00000000" w:rsidRPr="00000000" w14:paraId="0000004D">
      <w:pPr>
        <w:rPr>
          <w:sz w:val="32"/>
          <w:szCs w:val="32"/>
        </w:rPr>
      </w:pPr>
      <w:r w:rsidDel="00000000" w:rsidR="00000000" w:rsidRPr="00000000">
        <w:rPr>
          <w:rtl w:val="0"/>
        </w:rPr>
      </w:r>
    </w:p>
    <w:p w:rsidR="00000000" w:rsidDel="00000000" w:rsidP="00000000" w:rsidRDefault="00000000" w:rsidRPr="00000000" w14:paraId="0000004E">
      <w:pPr>
        <w:rPr>
          <w:sz w:val="32"/>
          <w:szCs w:val="32"/>
        </w:rPr>
      </w:pPr>
      <w:r w:rsidDel="00000000" w:rsidR="00000000" w:rsidRPr="00000000">
        <w:rPr>
          <w:rtl w:val="0"/>
        </w:rPr>
      </w:r>
    </w:p>
    <w:p w:rsidR="00000000" w:rsidDel="00000000" w:rsidP="00000000" w:rsidRDefault="00000000" w:rsidRPr="00000000" w14:paraId="0000004F">
      <w:pPr>
        <w:rPr>
          <w:sz w:val="32"/>
          <w:szCs w:val="32"/>
        </w:rPr>
      </w:pPr>
      <w:r w:rsidDel="00000000" w:rsidR="00000000" w:rsidRPr="00000000">
        <w:rPr>
          <w:rtl w:val="0"/>
        </w:rPr>
      </w:r>
    </w:p>
    <w:p w:rsidR="00000000" w:rsidDel="00000000" w:rsidP="00000000" w:rsidRDefault="00000000" w:rsidRPr="00000000" w14:paraId="00000050">
      <w:pPr>
        <w:rPr>
          <w:sz w:val="32"/>
          <w:szCs w:val="32"/>
        </w:rPr>
      </w:pPr>
      <w:r w:rsidDel="00000000" w:rsidR="00000000" w:rsidRPr="00000000">
        <w:rPr>
          <w:rtl w:val="0"/>
        </w:rPr>
      </w:r>
    </w:p>
    <w:p w:rsidR="00000000" w:rsidDel="00000000" w:rsidP="00000000" w:rsidRDefault="00000000" w:rsidRPr="00000000" w14:paraId="00000051">
      <w:pPr>
        <w:rPr>
          <w:sz w:val="32"/>
          <w:szCs w:val="32"/>
        </w:rPr>
      </w:pPr>
      <w:r w:rsidDel="00000000" w:rsidR="00000000" w:rsidRPr="00000000">
        <w:rPr>
          <w:rtl w:val="0"/>
        </w:rPr>
      </w:r>
    </w:p>
    <w:p w:rsidR="00000000" w:rsidDel="00000000" w:rsidP="00000000" w:rsidRDefault="00000000" w:rsidRPr="00000000" w14:paraId="00000052">
      <w:pPr>
        <w:rPr>
          <w:sz w:val="32"/>
          <w:szCs w:val="32"/>
        </w:rPr>
      </w:pPr>
      <w:r w:rsidDel="00000000" w:rsidR="00000000" w:rsidRPr="00000000">
        <w:rPr>
          <w:rtl w:val="0"/>
        </w:rPr>
      </w:r>
    </w:p>
    <w:p w:rsidR="00000000" w:rsidDel="00000000" w:rsidP="00000000" w:rsidRDefault="00000000" w:rsidRPr="00000000" w14:paraId="00000053">
      <w:pPr>
        <w:rPr>
          <w:sz w:val="32"/>
          <w:szCs w:val="32"/>
        </w:rPr>
      </w:pPr>
      <w:r w:rsidDel="00000000" w:rsidR="00000000" w:rsidRPr="00000000">
        <w:rPr>
          <w:rtl w:val="0"/>
        </w:rPr>
      </w:r>
    </w:p>
    <w:p w:rsidR="00000000" w:rsidDel="00000000" w:rsidP="00000000" w:rsidRDefault="00000000" w:rsidRPr="00000000" w14:paraId="00000054">
      <w:pPr>
        <w:rPr>
          <w:sz w:val="32"/>
          <w:szCs w:val="32"/>
        </w:rPr>
      </w:pPr>
      <w:r w:rsidDel="00000000" w:rsidR="00000000" w:rsidRPr="00000000">
        <w:rPr>
          <w:sz w:val="32"/>
          <w:szCs w:val="32"/>
          <w:rtl w:val="0"/>
        </w:rPr>
        <w:t xml:space="preserve">Lists of tables and figures. </w:t>
      </w:r>
      <w:r w:rsidDel="00000000" w:rsidR="00000000" w:rsidRPr="00000000">
        <w:rPr>
          <w:rtl w:val="0"/>
        </w:rPr>
      </w:r>
    </w:p>
    <w:p w:rsidR="00000000" w:rsidDel="00000000" w:rsidP="00000000" w:rsidRDefault="00000000" w:rsidRPr="00000000" w14:paraId="00000055">
      <w:pPr>
        <w:widowControl w:val="0"/>
        <w:tabs>
          <w:tab w:val="right" w:leader="dot" w:pos="12000"/>
        </w:tabs>
        <w:spacing w:before="60" w:line="240" w:lineRule="auto"/>
        <w:ind w:left="1080" w:firstLine="0"/>
        <w:rPr/>
      </w:pPr>
      <w:r w:rsidDel="00000000" w:rsidR="00000000" w:rsidRPr="00000000">
        <w:rPr>
          <w:rtl w:val="0"/>
        </w:rPr>
        <w:t xml:space="preserve">Figure 1: Layout of the anodising tanks</w:t>
        <w:tab/>
        <w:t xml:space="preserve">4</w:t>
      </w:r>
    </w:p>
    <w:p w:rsidR="00000000" w:rsidDel="00000000" w:rsidP="00000000" w:rsidRDefault="00000000" w:rsidRPr="00000000" w14:paraId="00000056">
      <w:pPr>
        <w:widowControl w:val="0"/>
        <w:tabs>
          <w:tab w:val="right" w:leader="dot" w:pos="12000"/>
        </w:tabs>
        <w:spacing w:before="60" w:line="240" w:lineRule="auto"/>
        <w:ind w:left="1080" w:firstLine="0"/>
        <w:rPr>
          <w:color w:val="0f1115"/>
        </w:rPr>
      </w:pPr>
      <w:hyperlink w:anchor="_w25dflpo5b69">
        <w:r w:rsidDel="00000000" w:rsidR="00000000" w:rsidRPr="00000000">
          <w:rPr>
            <w:rtl w:val="0"/>
          </w:rPr>
          <w:t xml:space="preserve">Figure 2: Process flow diagram of the anodising process.</w:t>
          <w:tab/>
          <w:t xml:space="preserve">5</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before="60" w:line="240" w:lineRule="auto"/>
        <w:ind w:left="1080" w:firstLine="0"/>
        <w:rPr/>
      </w:pPr>
      <w:hyperlink w:anchor="_r3385ky5wb5d">
        <w:r w:rsidDel="00000000" w:rsidR="00000000" w:rsidRPr="00000000">
          <w:rPr>
            <w:rtl w:val="0"/>
          </w:rPr>
          <w:t xml:space="preserve">Figure 3: Bathtub curve image (Ahmad and Kamaruddin, 2012)</w:t>
          <w:tab/>
          <w:t xml:space="preserve">7</w:t>
        </w:r>
      </w:hyperlink>
      <w:r w:rsidDel="00000000" w:rsidR="00000000" w:rsidRPr="00000000">
        <w:rPr>
          <w:rtl w:val="0"/>
        </w:rPr>
      </w:r>
    </w:p>
    <w:p w:rsidR="00000000" w:rsidDel="00000000" w:rsidP="00000000" w:rsidRDefault="00000000" w:rsidRPr="00000000" w14:paraId="00000058">
      <w:pPr>
        <w:widowControl w:val="0"/>
        <w:tabs>
          <w:tab w:val="right" w:leader="dot" w:pos="12000"/>
        </w:tabs>
        <w:spacing w:before="60" w:line="240" w:lineRule="auto"/>
        <w:ind w:left="1080" w:firstLine="0"/>
        <w:rPr/>
      </w:pPr>
      <w:hyperlink w:anchor="_wbresvgaznsz">
        <w:r w:rsidDel="00000000" w:rsidR="00000000" w:rsidRPr="00000000">
          <w:rPr>
            <w:rtl w:val="0"/>
          </w:rPr>
          <w:t xml:space="preserve">Figure 4: Images from tank 8 and its degraded buttons.</w:t>
          <w:tab/>
          <w:t xml:space="preserve">12</w:t>
        </w:r>
      </w:hyperlink>
      <w:r w:rsidDel="00000000" w:rsidR="00000000" w:rsidRPr="00000000">
        <w:rPr>
          <w:rtl w:val="0"/>
        </w:rPr>
      </w:r>
    </w:p>
    <w:p w:rsidR="00000000" w:rsidDel="00000000" w:rsidP="00000000" w:rsidRDefault="00000000" w:rsidRPr="00000000" w14:paraId="00000059">
      <w:pPr>
        <w:widowControl w:val="0"/>
        <w:tabs>
          <w:tab w:val="right" w:leader="dot" w:pos="12000"/>
        </w:tabs>
        <w:spacing w:before="60" w:line="240" w:lineRule="auto"/>
        <w:ind w:left="1080" w:firstLine="0"/>
        <w:rPr/>
      </w:pPr>
      <w:r w:rsidDel="00000000" w:rsidR="00000000" w:rsidRPr="00000000">
        <w:rPr>
          <w:rtl w:val="0"/>
        </w:rPr>
        <w:t xml:space="preserve">Table 1</w:t>
      </w:r>
      <w:hyperlink w:anchor="_vbl45rb3ybel">
        <w:r w:rsidDel="00000000" w:rsidR="00000000" w:rsidRPr="00000000">
          <w:rPr>
            <w:rtl w:val="0"/>
          </w:rPr>
          <w:t xml:space="preserve">: Revised  copy of the PPM schedule for the process line.</w:t>
          <w:tab/>
          <w:t xml:space="preserve">16</w:t>
        </w:r>
      </w:hyperlink>
      <w:r w:rsidDel="00000000" w:rsidR="00000000" w:rsidRPr="00000000">
        <w:rPr>
          <w:rtl w:val="0"/>
        </w:rPr>
      </w:r>
    </w:p>
    <w:p w:rsidR="00000000" w:rsidDel="00000000" w:rsidP="00000000" w:rsidRDefault="00000000" w:rsidRPr="00000000" w14:paraId="0000005A">
      <w:pPr>
        <w:widowControl w:val="0"/>
        <w:tabs>
          <w:tab w:val="right" w:leader="dot" w:pos="12000"/>
        </w:tabs>
        <w:spacing w:before="60" w:line="240" w:lineRule="auto"/>
        <w:ind w:left="1080" w:firstLine="0"/>
        <w:rPr/>
      </w:pPr>
      <w:r w:rsidDel="00000000" w:rsidR="00000000" w:rsidRPr="00000000">
        <w:rPr>
          <w:rtl w:val="0"/>
        </w:rPr>
        <w:t xml:space="preserve">Table 2:</w:t>
      </w:r>
      <w:hyperlink w:anchor="_xw0m1z84tcek">
        <w:r w:rsidDel="00000000" w:rsidR="00000000" w:rsidRPr="00000000">
          <w:rPr>
            <w:rtl w:val="0"/>
          </w:rPr>
          <w:t xml:space="preserve">: Estimated  costs and pay back periods</w:t>
          <w:tab/>
          <w:t xml:space="preserve">17</w:t>
        </w:r>
      </w:hyperlink>
      <w:r w:rsidDel="00000000" w:rsidR="00000000" w:rsidRPr="00000000">
        <w:rPr>
          <w:rtl w:val="0"/>
        </w:rPr>
      </w:r>
    </w:p>
    <w:p w:rsidR="00000000" w:rsidDel="00000000" w:rsidP="00000000" w:rsidRDefault="00000000" w:rsidRPr="00000000" w14:paraId="0000005B">
      <w:pPr>
        <w:widowControl w:val="0"/>
        <w:tabs>
          <w:tab w:val="right" w:leader="dot" w:pos="12000"/>
        </w:tabs>
        <w:spacing w:before="60" w:line="240" w:lineRule="auto"/>
        <w:ind w:left="1080" w:firstLine="0"/>
        <w:rPr>
          <w:color w:val="0f1115"/>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1"/>
        <w:keepNext w:val="0"/>
        <w:keepLines w:val="0"/>
        <w:rPr/>
      </w:pPr>
      <w:bookmarkStart w:colFirst="0" w:colLast="0" w:name="_qaj4rozeyg4q" w:id="1"/>
      <w:bookmarkEnd w:id="1"/>
      <w:r w:rsidDel="00000000" w:rsidR="00000000" w:rsidRPr="00000000">
        <w:rPr>
          <w:rtl w:val="0"/>
        </w:rPr>
      </w:r>
    </w:p>
    <w:p w:rsidR="00000000" w:rsidDel="00000000" w:rsidP="00000000" w:rsidRDefault="00000000" w:rsidRPr="00000000" w14:paraId="0000005E">
      <w:pPr>
        <w:pStyle w:val="Heading1"/>
        <w:keepNext w:val="0"/>
        <w:keepLines w:val="0"/>
        <w:rPr/>
      </w:pPr>
      <w:bookmarkStart w:colFirst="0" w:colLast="0" w:name="_6zwa00hycfdp" w:id="2"/>
      <w:bookmarkEnd w:id="2"/>
      <w:r w:rsidDel="00000000" w:rsidR="00000000" w:rsidRPr="00000000">
        <w:rPr>
          <w:rtl w:val="0"/>
        </w:rPr>
      </w:r>
    </w:p>
    <w:p w:rsidR="00000000" w:rsidDel="00000000" w:rsidP="00000000" w:rsidRDefault="00000000" w:rsidRPr="00000000" w14:paraId="0000005F">
      <w:pPr>
        <w:pStyle w:val="Heading1"/>
        <w:keepNext w:val="0"/>
        <w:keepLines w:val="0"/>
        <w:rPr>
          <w:sz w:val="36"/>
          <w:szCs w:val="36"/>
        </w:rPr>
      </w:pPr>
      <w:bookmarkStart w:colFirst="0" w:colLast="0" w:name="_gg3s5xeaemmv" w:id="3"/>
      <w:bookmarkEnd w:id="3"/>
      <w:r w:rsidDel="00000000" w:rsidR="00000000" w:rsidRPr="00000000">
        <w:rPr>
          <w:rtl w:val="0"/>
        </w:rPr>
        <w:t xml:space="preserve">1. Introduction</w:t>
      </w:r>
      <w:r w:rsidDel="00000000" w:rsidR="00000000" w:rsidRPr="00000000">
        <w:rPr>
          <w:rtl w:val="0"/>
        </w:rPr>
      </w:r>
    </w:p>
    <w:p w:rsidR="00000000" w:rsidDel="00000000" w:rsidP="00000000" w:rsidRDefault="00000000" w:rsidRPr="00000000" w14:paraId="00000060">
      <w:pPr>
        <w:shd w:fill="ffffff" w:val="clear"/>
        <w:spacing w:after="240" w:before="240" w:line="360" w:lineRule="auto"/>
        <w:rPr>
          <w:color w:val="0f1115"/>
        </w:rPr>
      </w:pPr>
      <w:r w:rsidDel="00000000" w:rsidR="00000000" w:rsidRPr="00000000">
        <w:rPr>
          <w:color w:val="0f1115"/>
          <w:rtl w:val="0"/>
        </w:rPr>
        <w:t xml:space="preserve">Renishaw PLC is a global leader in metrology, healthcare, and additive manufacturing technologies (Renishaw, 2020). Its Miskin facility in Cardiff operates a complex anodising process line, a critical asset used to provide surface finishing for aluminium components. Maintaining this system is essential to ensure product quality, regulatory compliance, and safe operation (Renishaw, 2012).</w:t>
      </w:r>
    </w:p>
    <w:p w:rsidR="00000000" w:rsidDel="00000000" w:rsidP="00000000" w:rsidRDefault="00000000" w:rsidRPr="00000000" w14:paraId="00000061">
      <w:pPr>
        <w:shd w:fill="ffffff" w:val="clear"/>
        <w:spacing w:after="240" w:before="240" w:line="360" w:lineRule="auto"/>
        <w:rPr>
          <w:color w:val="0f1115"/>
        </w:rPr>
      </w:pPr>
      <w:r w:rsidDel="00000000" w:rsidR="00000000" w:rsidRPr="00000000">
        <w:rPr>
          <w:color w:val="0f1115"/>
          <w:rtl w:val="0"/>
        </w:rPr>
        <w:t xml:space="preserve">This report evaluates the current preventative maintenance (PM) strategy and proposes targeted improvements based on condition monitoring and reliability engineering principles. Key areas of focus include flow monitoring of filtration systems, thermal inspection of electrical components, and improved maintainability through control panel redesign. These proposals align with modern maintenance approaches that prioritise data-driven decision-making to reduce unplanned downtime and improve asset performance (Gomaa, 2025; Afefy et al., 2019).</w:t>
      </w:r>
    </w:p>
    <w:p w:rsidR="00000000" w:rsidDel="00000000" w:rsidP="00000000" w:rsidRDefault="00000000" w:rsidRPr="00000000" w14:paraId="00000062">
      <w:pPr>
        <w:shd w:fill="ffffff" w:val="clear"/>
        <w:spacing w:after="240" w:before="240" w:line="360" w:lineRule="auto"/>
        <w:rPr>
          <w:color w:val="0f1115"/>
        </w:rPr>
      </w:pPr>
      <w:r w:rsidDel="00000000" w:rsidR="00000000" w:rsidRPr="00000000">
        <w:rPr>
          <w:color w:val="0f1115"/>
          <w:rtl w:val="0"/>
        </w:rPr>
        <w:t xml:space="preserve">The report critically reviews existing practices, assesses proposed improvements, and considers their cost and implementation requirements before presenting practical recommendations. Given that downtime can cost up to £30,000 per day (Joynes, 2026), effective maintenance is essential to operational performance.</w:t>
      </w:r>
    </w:p>
    <w:p w:rsidR="00000000" w:rsidDel="00000000" w:rsidP="00000000" w:rsidRDefault="00000000" w:rsidRPr="00000000" w14:paraId="00000063">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4">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1"/>
        <w:keepNext w:val="0"/>
        <w:keepLines w:val="0"/>
        <w:shd w:fill="ffffff" w:val="clear"/>
        <w:spacing w:after="240" w:before="480" w:line="360" w:lineRule="auto"/>
        <w:rPr/>
      </w:pPr>
      <w:bookmarkStart w:colFirst="0" w:colLast="0" w:name="_5ojim08p3742" w:id="4"/>
      <w:bookmarkEnd w:id="4"/>
      <w:r w:rsidDel="00000000" w:rsidR="00000000" w:rsidRPr="00000000">
        <w:rPr>
          <w:rtl w:val="0"/>
        </w:rPr>
        <w:t xml:space="preserve">2. Critical Review of Current Maintenance Practices</w:t>
      </w:r>
    </w:p>
    <w:p w:rsidR="00000000" w:rsidDel="00000000" w:rsidP="00000000" w:rsidRDefault="00000000" w:rsidRPr="00000000" w14:paraId="00000066">
      <w:pPr>
        <w:pStyle w:val="Heading2"/>
        <w:keepNext w:val="0"/>
        <w:keepLines w:val="0"/>
        <w:rPr/>
      </w:pPr>
      <w:bookmarkStart w:colFirst="0" w:colLast="0" w:name="_60p7y3ol5nn0" w:id="5"/>
      <w:bookmarkEnd w:id="5"/>
      <w:r w:rsidDel="00000000" w:rsidR="00000000" w:rsidRPr="00000000">
        <w:rPr>
          <w:rtl w:val="0"/>
        </w:rPr>
        <w:t xml:space="preserve">2.1 Overview of the Anodising Process Line</w:t>
      </w:r>
    </w:p>
    <w:p w:rsidR="00000000" w:rsidDel="00000000" w:rsidP="00000000" w:rsidRDefault="00000000" w:rsidRPr="00000000" w14:paraId="00000067">
      <w:pPr>
        <w:shd w:fill="ffffff" w:val="clear"/>
        <w:spacing w:after="240" w:before="240" w:line="360" w:lineRule="auto"/>
        <w:rPr>
          <w:color w:val="0f1115"/>
        </w:rPr>
      </w:pPr>
      <w:r w:rsidDel="00000000" w:rsidR="00000000" w:rsidRPr="00000000">
        <w:rPr>
          <w:color w:val="0f1115"/>
          <w:rtl w:val="0"/>
        </w:rPr>
        <w:t xml:space="preserve">The Renishaw anodising process line consists of multiple chemical tanks, each serving a specific function within the treatment process (Renishaw, 2012), as shown in </w:t>
      </w:r>
    </w:p>
    <w:p w:rsidR="00000000" w:rsidDel="00000000" w:rsidP="00000000" w:rsidRDefault="00000000" w:rsidRPr="00000000" w14:paraId="00000068">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9">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A">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B">
      <w:pPr>
        <w:shd w:fill="ffffff" w:val="clear"/>
        <w:spacing w:after="240" w:before="240" w:line="360" w:lineRule="auto"/>
        <w:rPr>
          <w:color w:val="0f1115"/>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228600</wp:posOffset>
            </wp:positionH>
            <wp:positionV relativeFrom="paragraph">
              <wp:posOffset>114300</wp:posOffset>
            </wp:positionV>
            <wp:extent cx="2738438" cy="4908170"/>
            <wp:effectExtent b="0" l="0" r="0" t="0"/>
            <wp:wrapSquare wrapText="bothSides" distB="114300" distT="114300" distL="114300" distR="114300"/>
            <wp:docPr id="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rot="16200000">
                      <a:off x="0" y="0"/>
                      <a:ext cx="2738438" cy="4908170"/>
                    </a:xfrm>
                    <a:prstGeom prst="rect"/>
                    <a:ln/>
                  </pic:spPr>
                </pic:pic>
              </a:graphicData>
            </a:graphic>
          </wp:anchor>
        </w:drawing>
      </w:r>
    </w:p>
    <w:p w:rsidR="00000000" w:rsidDel="00000000" w:rsidP="00000000" w:rsidRDefault="00000000" w:rsidRPr="00000000" w14:paraId="0000006C">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D">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E">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6F">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70">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71">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72">
      <w:pPr>
        <w:pStyle w:val="Heading4"/>
        <w:rPr/>
      </w:pPr>
      <w:bookmarkStart w:colFirst="0" w:colLast="0" w:name="_rd1f8097g1lq" w:id="6"/>
      <w:bookmarkEnd w:id="6"/>
      <w:r w:rsidDel="00000000" w:rsidR="00000000" w:rsidRPr="00000000">
        <w:rPr>
          <w:rtl w:val="0"/>
        </w:rPr>
      </w:r>
    </w:p>
    <w:p w:rsidR="00000000" w:rsidDel="00000000" w:rsidP="00000000" w:rsidRDefault="00000000" w:rsidRPr="00000000" w14:paraId="00000073">
      <w:pPr>
        <w:pStyle w:val="Heading4"/>
        <w:rPr>
          <w:i w:val="1"/>
          <w:iCs w:val="1"/>
        </w:rPr>
      </w:pPr>
      <w:bookmarkStart w:colFirst="0" w:colLast="0" w:name="_7v4hrcruglrf" w:id="7"/>
      <w:bookmarkEnd w:id="7"/>
      <w:r w:rsidDel="00000000" w:rsidR="00000000" w:rsidRPr="00000000">
        <w:rPr>
          <w:rtl w:val="0"/>
        </w:rPr>
        <w:t xml:space="preserve">Figure 1: Layout of the anodising tanks</w:t>
      </w:r>
      <w:r w:rsidDel="00000000" w:rsidR="00000000" w:rsidRPr="00000000">
        <w:rPr>
          <w:rtl w:val="0"/>
        </w:rPr>
      </w:r>
    </w:p>
    <w:p w:rsidR="00000000" w:rsidDel="00000000" w:rsidP="00000000" w:rsidRDefault="00000000" w:rsidRPr="00000000" w14:paraId="00000074">
      <w:pPr>
        <w:shd w:fill="ffffff" w:val="clear"/>
        <w:spacing w:after="240" w:before="240" w:line="360" w:lineRule="auto"/>
        <w:rPr>
          <w:color w:val="0f1115"/>
        </w:rPr>
      </w:pPr>
      <w:r w:rsidDel="00000000" w:rsidR="00000000" w:rsidRPr="00000000">
        <w:rPr>
          <w:color w:val="0f1115"/>
          <w:rtl w:val="0"/>
        </w:rPr>
        <w:t xml:space="preserve">Each tank operates within controlled temperature ranges—from ambient up to 98°C—using heaters to maintain process conditions. The use of aggressive chemicals means that concentrations and parameters must be carefully managed to ensure product quality and safe operation.</w:t>
      </w:r>
      <w:r w:rsidDel="00000000" w:rsidR="00000000" w:rsidRPr="00000000">
        <w:rPr>
          <w:rtl w:val="0"/>
        </w:rPr>
      </w:r>
    </w:p>
    <w:p w:rsidR="00000000" w:rsidDel="00000000" w:rsidP="00000000" w:rsidRDefault="00000000" w:rsidRPr="00000000" w14:paraId="00000075">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76">
      <w:pPr>
        <w:shd w:fill="ffffff" w:val="clear"/>
        <w:spacing w:after="240" w:before="240" w:line="360" w:lineRule="auto"/>
        <w:rPr>
          <w:color w:val="0f1115"/>
        </w:rPr>
      </w:pPr>
      <w:r w:rsidDel="00000000" w:rsidR="00000000" w:rsidRPr="00000000">
        <w:rPr>
          <w:color w:val="0f1115"/>
        </w:rPr>
        <w:drawing>
          <wp:inline distB="114300" distT="114300" distL="114300" distR="114300">
            <wp:extent cx="5731200" cy="7112000"/>
            <wp:effectExtent b="0" l="0" r="0" t="0"/>
            <wp:docPr id="13"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5731200" cy="71120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pStyle w:val="Heading4"/>
        <w:rPr/>
      </w:pPr>
      <w:bookmarkStart w:colFirst="0" w:colLast="0" w:name="_w25dflpo5b69" w:id="8"/>
      <w:bookmarkEnd w:id="8"/>
      <w:r w:rsidDel="00000000" w:rsidR="00000000" w:rsidRPr="00000000">
        <w:rPr>
          <w:rtl w:val="0"/>
        </w:rPr>
        <w:t xml:space="preserve">Figure 2: Process flow diagram of the anodising process.</w:t>
      </w:r>
    </w:p>
    <w:p w:rsidR="00000000" w:rsidDel="00000000" w:rsidP="00000000" w:rsidRDefault="00000000" w:rsidRPr="00000000" w14:paraId="00000078">
      <w:pPr>
        <w:pStyle w:val="Heading2"/>
        <w:keepNext w:val="0"/>
        <w:keepLines w:val="0"/>
        <w:shd w:fill="ffffff" w:val="clear"/>
        <w:spacing w:after="240" w:before="480" w:line="360" w:lineRule="auto"/>
        <w:rPr/>
      </w:pPr>
      <w:bookmarkStart w:colFirst="0" w:colLast="0" w:name="_gogqu538d6rk" w:id="9"/>
      <w:bookmarkEnd w:id="9"/>
      <w:r w:rsidDel="00000000" w:rsidR="00000000" w:rsidRPr="00000000">
        <w:rPr>
          <w:rtl w:val="0"/>
        </w:rPr>
        <w:t xml:space="preserve">2.2 Current Maintenance Approach</w:t>
      </w:r>
    </w:p>
    <w:p w:rsidR="00000000" w:rsidDel="00000000" w:rsidP="00000000" w:rsidRDefault="00000000" w:rsidRPr="00000000" w14:paraId="00000079">
      <w:pPr>
        <w:shd w:fill="ffffff" w:val="clear"/>
        <w:spacing w:after="240" w:before="240" w:line="360" w:lineRule="auto"/>
        <w:rPr>
          <w:color w:val="0f1115"/>
        </w:rPr>
      </w:pPr>
      <w:r w:rsidDel="00000000" w:rsidR="00000000" w:rsidRPr="00000000">
        <w:rPr>
          <w:color w:val="0f1115"/>
          <w:rtl w:val="0"/>
        </w:rPr>
        <w:t xml:space="preserve">Maintenance of the process line is governed by a Planned Preventative Maintenance (PPM) schedule (ST01R) (see Appendix 1), based on fixed time intervals.</w:t>
      </w:r>
    </w:p>
    <w:p w:rsidR="00000000" w:rsidDel="00000000" w:rsidP="00000000" w:rsidRDefault="00000000" w:rsidRPr="00000000" w14:paraId="0000007A">
      <w:pPr>
        <w:shd w:fill="ffffff" w:val="clear"/>
        <w:spacing w:after="240" w:before="240" w:line="360" w:lineRule="auto"/>
        <w:rPr>
          <w:color w:val="0f1115"/>
        </w:rPr>
      </w:pPr>
      <w:r w:rsidDel="00000000" w:rsidR="00000000" w:rsidRPr="00000000">
        <w:rPr>
          <w:color w:val="0f1115"/>
          <w:rtl w:val="0"/>
        </w:rPr>
        <w:t xml:space="preserve">This reflects a traditional time-based maintenance (TBM) approach, where tasks are performed at scheduled intervals rather than in response to actual equipment condition (Syamsundar, Naikan and Wu, 2021).</w:t>
      </w:r>
      <w:r w:rsidDel="00000000" w:rsidR="00000000" w:rsidRPr="00000000">
        <w:rPr>
          <w:rtl w:val="0"/>
        </w:rPr>
      </w:r>
    </w:p>
    <w:p w:rsidR="00000000" w:rsidDel="00000000" w:rsidP="00000000" w:rsidRDefault="00000000" w:rsidRPr="00000000" w14:paraId="0000007B">
      <w:pPr>
        <w:pStyle w:val="Heading2"/>
        <w:keepNext w:val="0"/>
        <w:keepLines w:val="0"/>
        <w:shd w:fill="ffffff" w:val="clear"/>
        <w:spacing w:after="240" w:before="480" w:line="360" w:lineRule="auto"/>
        <w:rPr/>
      </w:pPr>
      <w:bookmarkStart w:colFirst="0" w:colLast="0" w:name="_r2as9ahe3h0" w:id="10"/>
      <w:bookmarkEnd w:id="10"/>
      <w:r w:rsidDel="00000000" w:rsidR="00000000" w:rsidRPr="00000000">
        <w:rPr>
          <w:rtl w:val="0"/>
        </w:rPr>
        <w:t xml:space="preserve">2.3 Strengths of the Current Approach</w:t>
      </w:r>
    </w:p>
    <w:p w:rsidR="00000000" w:rsidDel="00000000" w:rsidP="00000000" w:rsidRDefault="00000000" w:rsidRPr="00000000" w14:paraId="0000007C">
      <w:pPr>
        <w:shd w:fill="ffffff" w:val="clear"/>
        <w:spacing w:after="240" w:before="240" w:line="360" w:lineRule="auto"/>
        <w:rPr>
          <w:color w:val="0f1115"/>
        </w:rPr>
      </w:pPr>
      <w:r w:rsidDel="00000000" w:rsidR="00000000" w:rsidRPr="00000000">
        <w:rPr>
          <w:color w:val="0f1115"/>
          <w:rtl w:val="0"/>
        </w:rPr>
        <w:t xml:space="preserve">The existing PM schedule has several strengths. Its structured format provides consistency and traceability, reducing the risk of missed tasks (Mobley, 2014). The inclusion of RCBO testing also demonstrates attention to electrical safety.</w:t>
      </w:r>
    </w:p>
    <w:p w:rsidR="00000000" w:rsidDel="00000000" w:rsidP="00000000" w:rsidRDefault="00000000" w:rsidRPr="00000000" w14:paraId="0000007D">
      <w:pPr>
        <w:shd w:fill="ffffff" w:val="clear"/>
        <w:spacing w:after="240" w:before="240" w:line="360" w:lineRule="auto"/>
        <w:rPr>
          <w:color w:val="0f1115"/>
        </w:rPr>
      </w:pPr>
      <w:r w:rsidDel="00000000" w:rsidR="00000000" w:rsidRPr="00000000">
        <w:rPr>
          <w:color w:val="0f1115"/>
          <w:rtl w:val="0"/>
        </w:rPr>
        <w:t xml:space="preserve">In addition, the requirement to consult operators recognises the value of frontline knowledge. This aligns with Total Productive Maintenance (TPM), where operators play an active role in routine inspection and are often best placed to identify early signs of deterioration (Ngoy and Israel, 2021).</w:t>
      </w:r>
      <w:r w:rsidDel="00000000" w:rsidR="00000000" w:rsidRPr="00000000">
        <w:rPr>
          <w:rtl w:val="0"/>
        </w:rPr>
      </w:r>
    </w:p>
    <w:p w:rsidR="00000000" w:rsidDel="00000000" w:rsidP="00000000" w:rsidRDefault="00000000" w:rsidRPr="00000000" w14:paraId="0000007E">
      <w:pPr>
        <w:pStyle w:val="Heading2"/>
        <w:keepNext w:val="0"/>
        <w:keepLines w:val="0"/>
        <w:rPr>
          <w:b w:val="1"/>
          <w:bCs w:val="1"/>
        </w:rPr>
      </w:pPr>
      <w:bookmarkStart w:colFirst="0" w:colLast="0" w:name="_32aoa1v8e572" w:id="11"/>
      <w:bookmarkEnd w:id="11"/>
      <w:r w:rsidDel="00000000" w:rsidR="00000000" w:rsidRPr="00000000">
        <w:rPr>
          <w:rtl w:val="0"/>
        </w:rPr>
        <w:t xml:space="preserve">2.4 Weaknesses and Limitations</w:t>
      </w:r>
      <w:r w:rsidDel="00000000" w:rsidR="00000000" w:rsidRPr="00000000">
        <w:rPr>
          <w:rtl w:val="0"/>
        </w:rPr>
      </w:r>
    </w:p>
    <w:p w:rsidR="00000000" w:rsidDel="00000000" w:rsidP="00000000" w:rsidRDefault="00000000" w:rsidRPr="00000000" w14:paraId="0000007F">
      <w:pPr>
        <w:shd w:fill="ffffff" w:val="clear"/>
        <w:spacing w:after="240" w:before="240" w:line="360" w:lineRule="auto"/>
        <w:rPr>
          <w:color w:val="0f1115"/>
        </w:rPr>
      </w:pPr>
      <w:r w:rsidDel="00000000" w:rsidR="00000000" w:rsidRPr="00000000">
        <w:rPr>
          <w:color w:val="0f1115"/>
          <w:rtl w:val="0"/>
        </w:rPr>
        <w:t xml:space="preserve">Despite its strengths, the current maintenance approach has several important limitations.</w:t>
      </w:r>
    </w:p>
    <w:p w:rsidR="00000000" w:rsidDel="00000000" w:rsidP="00000000" w:rsidRDefault="00000000" w:rsidRPr="00000000" w14:paraId="00000080">
      <w:pPr>
        <w:pStyle w:val="Heading3"/>
        <w:keepNext w:val="0"/>
        <w:keepLines w:val="0"/>
        <w:rPr>
          <w:b w:val="1"/>
          <w:bCs w:val="1"/>
          <w:sz w:val="24"/>
          <w:szCs w:val="24"/>
        </w:rPr>
      </w:pPr>
      <w:bookmarkStart w:colFirst="0" w:colLast="0" w:name="_ic1fc5uzbshz" w:id="12"/>
      <w:bookmarkEnd w:id="12"/>
      <w:r w:rsidDel="00000000" w:rsidR="00000000" w:rsidRPr="00000000">
        <w:rPr>
          <w:rtl w:val="0"/>
        </w:rPr>
        <w:t xml:space="preserve">2.4.1 Absence of Condition Monitoring</w:t>
      </w:r>
      <w:r w:rsidDel="00000000" w:rsidR="00000000" w:rsidRPr="00000000">
        <w:rPr>
          <w:rtl w:val="0"/>
        </w:rPr>
      </w:r>
    </w:p>
    <w:p w:rsidR="00000000" w:rsidDel="00000000" w:rsidP="00000000" w:rsidRDefault="00000000" w:rsidRPr="00000000" w14:paraId="00000081">
      <w:pPr>
        <w:shd w:fill="ffffff" w:val="clear"/>
        <w:spacing w:after="240" w:before="240" w:line="360" w:lineRule="auto"/>
        <w:rPr>
          <w:color w:val="0f1115"/>
        </w:rPr>
      </w:pPr>
      <w:r w:rsidDel="00000000" w:rsidR="00000000" w:rsidRPr="00000000">
        <w:rPr>
          <w:color w:val="0f1115"/>
          <w:rtl w:val="0"/>
        </w:rPr>
        <w:t xml:space="preserve">The most significant issue is the reliance on time-based maintenance without the use of condition monitoring. Condition-based maintenance instead uses real-time data to determine when intervention is required (Ahmad and Kamaruddin, 2012). Bloch and Geitner (1983, cited in Ahmad and Kamaruddin, 2012) highlight that most equipment failures precede detectable warning signs.</w:t>
      </w:r>
    </w:p>
    <w:p w:rsidR="00000000" w:rsidDel="00000000" w:rsidP="00000000" w:rsidRDefault="00000000" w:rsidRPr="00000000" w14:paraId="00000082">
      <w:pPr>
        <w:shd w:fill="ffffff" w:val="clear"/>
        <w:spacing w:after="240" w:before="240" w:line="360" w:lineRule="auto"/>
        <w:rPr>
          <w:color w:val="0f1115"/>
        </w:rPr>
      </w:pPr>
      <w:r w:rsidDel="00000000" w:rsidR="00000000" w:rsidRPr="00000000">
        <w:rPr>
          <w:color w:val="0f1115"/>
          <w:rtl w:val="0"/>
        </w:rPr>
        <w:t xml:space="preserve">However, the current schedule does not monitor key parameters such as vibration, temperature, or flow rate, limiting the ability to predict failures in advance.</w:t>
      </w:r>
    </w:p>
    <w:p w:rsidR="00000000" w:rsidDel="00000000" w:rsidP="00000000" w:rsidRDefault="00000000" w:rsidRPr="00000000" w14:paraId="00000083">
      <w:pPr>
        <w:shd w:fill="ffffff" w:val="clear"/>
        <w:spacing w:after="240" w:before="240" w:line="360" w:lineRule="auto"/>
        <w:rPr>
          <w:color w:val="0f1115"/>
        </w:rPr>
      </w:pPr>
      <w:r w:rsidDel="00000000" w:rsidR="00000000" w:rsidRPr="00000000">
        <w:rPr>
          <w:rtl w:val="0"/>
        </w:rPr>
      </w:r>
    </w:p>
    <w:p w:rsidR="00000000" w:rsidDel="00000000" w:rsidP="00000000" w:rsidRDefault="00000000" w:rsidRPr="00000000" w14:paraId="00000084">
      <w:pPr>
        <w:shd w:fill="ffffff" w:val="clear"/>
        <w:spacing w:after="240" w:before="240" w:line="360" w:lineRule="auto"/>
        <w:rPr>
          <w:color w:val="0f1115"/>
        </w:rPr>
      </w:pPr>
      <w:r w:rsidDel="00000000" w:rsidR="00000000" w:rsidRPr="00000000">
        <w:rPr>
          <w:color w:val="0f1115"/>
        </w:rPr>
        <w:drawing>
          <wp:inline distB="114300" distT="114300" distL="114300" distR="114300">
            <wp:extent cx="5731200" cy="2781300"/>
            <wp:effectExtent b="0" l="0" r="0" t="0"/>
            <wp:docPr id="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pStyle w:val="Heading4"/>
        <w:shd w:fill="ffffff" w:val="clear"/>
        <w:spacing w:after="240" w:before="240" w:line="360" w:lineRule="auto"/>
        <w:rPr/>
      </w:pPr>
      <w:bookmarkStart w:colFirst="0" w:colLast="0" w:name="_r3385ky5wb5d" w:id="13"/>
      <w:bookmarkEnd w:id="13"/>
      <w:r w:rsidDel="00000000" w:rsidR="00000000" w:rsidRPr="00000000">
        <w:rPr>
          <w:rtl w:val="0"/>
        </w:rPr>
        <w:t xml:space="preserve">Figure 3: Bathtub curve image (Ahmad and Kamaruddin, 2012)</w:t>
      </w:r>
    </w:p>
    <w:p w:rsidR="00000000" w:rsidDel="00000000" w:rsidP="00000000" w:rsidRDefault="00000000" w:rsidRPr="00000000" w14:paraId="00000086">
      <w:pPr>
        <w:shd w:fill="ffffff" w:val="clear"/>
        <w:spacing w:after="240" w:before="240" w:line="360" w:lineRule="auto"/>
        <w:rPr>
          <w:color w:val="0f1115"/>
        </w:rPr>
      </w:pPr>
      <w:r w:rsidDel="00000000" w:rsidR="00000000" w:rsidRPr="00000000">
        <w:rPr>
          <w:color w:val="0f1115"/>
          <w:rtl w:val="0"/>
        </w:rPr>
        <w:t xml:space="preserve">This is a missed opportunity. While the bathtub curve suggests some failures are age-related, only 15–20% actually follow this pattern, with the majority occurring randomly (Ahmad and Kamaruddin, 2012). As a result, relying solely on time-based intervals can lead to unnecessary maintenance or unexpected failures (Zhu et al., 2020).</w:t>
      </w:r>
    </w:p>
    <w:p w:rsidR="00000000" w:rsidDel="00000000" w:rsidP="00000000" w:rsidRDefault="00000000" w:rsidRPr="00000000" w14:paraId="00000087">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3"/>
        <w:keepNext w:val="0"/>
        <w:keepLines w:val="0"/>
        <w:spacing w:after="40" w:lineRule="auto"/>
        <w:rPr/>
      </w:pPr>
      <w:bookmarkStart w:colFirst="0" w:colLast="0" w:name="_gpwdikkbvy6e" w:id="14"/>
      <w:bookmarkEnd w:id="14"/>
      <w:r w:rsidDel="00000000" w:rsidR="00000000" w:rsidRPr="00000000">
        <w:rPr>
          <w:rtl w:val="0"/>
        </w:rPr>
        <w:t xml:space="preserve">2.4.2 Reactive Response to Filtration Blockages</w:t>
      </w:r>
    </w:p>
    <w:p w:rsidR="00000000" w:rsidDel="00000000" w:rsidP="00000000" w:rsidRDefault="00000000" w:rsidRPr="00000000" w14:paraId="00000089">
      <w:pPr>
        <w:shd w:fill="ffffff" w:val="clear"/>
        <w:spacing w:after="240" w:before="240" w:line="360" w:lineRule="auto"/>
        <w:rPr>
          <w:color w:val="0f1115"/>
        </w:rPr>
      </w:pPr>
      <w:r w:rsidDel="00000000" w:rsidR="00000000" w:rsidRPr="00000000">
        <w:rPr>
          <w:color w:val="0f1115"/>
          <w:rtl w:val="0"/>
        </w:rPr>
        <w:t xml:space="preserve">The PPM schedule includes periodic cleaning of strainers (24 weeks) and replacement of feed pipes (48 weeks) (Bird, 2022), but does not monitor filter condition between intervals.</w:t>
      </w:r>
    </w:p>
    <w:p w:rsidR="00000000" w:rsidDel="00000000" w:rsidP="00000000" w:rsidRDefault="00000000" w:rsidRPr="00000000" w14:paraId="0000008A">
      <w:pPr>
        <w:shd w:fill="ffffff" w:val="clear"/>
        <w:spacing w:after="240" w:before="240" w:line="360" w:lineRule="auto"/>
        <w:rPr>
          <w:color w:val="0f1115"/>
        </w:rPr>
      </w:pPr>
      <w:r w:rsidDel="00000000" w:rsidR="00000000" w:rsidRPr="00000000">
        <w:rPr>
          <w:color w:val="0f1115"/>
          <w:rtl w:val="0"/>
        </w:rPr>
        <w:t xml:space="preserve">This means blockages are only identified once performance is affected or alarms are triggered, resulting in a reactive rather than proactive approach.</w:t>
      </w:r>
    </w:p>
    <w:p w:rsidR="00000000" w:rsidDel="00000000" w:rsidP="00000000" w:rsidRDefault="00000000" w:rsidRPr="00000000" w14:paraId="0000008B">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3"/>
        <w:keepNext w:val="0"/>
        <w:keepLines w:val="0"/>
        <w:spacing w:after="40" w:lineRule="auto"/>
        <w:rPr/>
      </w:pPr>
      <w:bookmarkStart w:colFirst="0" w:colLast="0" w:name="_qxp0k9oykwx6" w:id="15"/>
      <w:bookmarkEnd w:id="15"/>
      <w:r w:rsidDel="00000000" w:rsidR="00000000" w:rsidRPr="00000000">
        <w:rPr>
          <w:rtl w:val="0"/>
        </w:rPr>
        <w:t xml:space="preserve">2.4.3 Lack of Electrical Infrastructure Monitoring</w:t>
      </w:r>
    </w:p>
    <w:p w:rsidR="00000000" w:rsidDel="00000000" w:rsidP="00000000" w:rsidRDefault="00000000" w:rsidRPr="00000000" w14:paraId="0000008D">
      <w:pPr>
        <w:shd w:fill="ffffff" w:val="clear"/>
        <w:spacing w:after="240" w:before="240" w:line="360" w:lineRule="auto"/>
        <w:rPr>
          <w:color w:val="0f1115"/>
        </w:rPr>
      </w:pPr>
      <w:r w:rsidDel="00000000" w:rsidR="00000000" w:rsidRPr="00000000">
        <w:rPr>
          <w:color w:val="0f1115"/>
          <w:rtl w:val="0"/>
        </w:rPr>
        <w:t xml:space="preserve">The process line depends heavily on electrical systems, including heaters, controllers, and rectifiers. While heater replacement is documented (Renishaw PLC, 2010), there is no method for predicting failure.</w:t>
      </w:r>
    </w:p>
    <w:p w:rsidR="00000000" w:rsidDel="00000000" w:rsidP="00000000" w:rsidRDefault="00000000" w:rsidRPr="00000000" w14:paraId="0000008E">
      <w:pPr>
        <w:shd w:fill="ffffff" w:val="clear"/>
        <w:spacing w:after="240" w:before="240" w:line="360" w:lineRule="auto"/>
        <w:rPr>
          <w:color w:val="0f1115"/>
        </w:rPr>
      </w:pPr>
      <w:r w:rsidDel="00000000" w:rsidR="00000000" w:rsidRPr="00000000">
        <w:rPr>
          <w:color w:val="0f1115"/>
          <w:rtl w:val="0"/>
        </w:rPr>
        <w:t xml:space="preserve">Similarly, rectifier cables receive only visual inspection, despite being critical to the anodising process. Degradation can increase resistance, leading to localised heating, failure, or fire risk.</w:t>
      </w:r>
    </w:p>
    <w:p w:rsidR="00000000" w:rsidDel="00000000" w:rsidP="00000000" w:rsidRDefault="00000000" w:rsidRPr="00000000" w14:paraId="0000008F">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0">
      <w:pPr>
        <w:pStyle w:val="Heading3"/>
        <w:keepNext w:val="0"/>
        <w:keepLines w:val="0"/>
        <w:rPr/>
      </w:pPr>
      <w:bookmarkStart w:colFirst="0" w:colLast="0" w:name="_jopoihnaph2y" w:id="16"/>
      <w:bookmarkEnd w:id="16"/>
      <w:r w:rsidDel="00000000" w:rsidR="00000000" w:rsidRPr="00000000">
        <w:rPr>
          <w:rtl w:val="0"/>
        </w:rPr>
        <w:t xml:space="preserve">2.4.4 Maintainability Design Issues</w:t>
      </w:r>
    </w:p>
    <w:p w:rsidR="00000000" w:rsidDel="00000000" w:rsidP="00000000" w:rsidRDefault="00000000" w:rsidRPr="00000000" w14:paraId="00000091">
      <w:pPr>
        <w:shd w:fill="ffffff" w:val="clear"/>
        <w:spacing w:after="240" w:before="240" w:line="360" w:lineRule="auto"/>
        <w:rPr>
          <w:color w:val="0f1115"/>
        </w:rPr>
      </w:pPr>
      <w:r w:rsidDel="00000000" w:rsidR="00000000" w:rsidRPr="00000000">
        <w:rPr>
          <w:color w:val="0f1115"/>
          <w:rtl w:val="0"/>
        </w:rPr>
        <w:t xml:space="preserve">The push button control panels present a clear maintainability issue. Accessing electrical connections requires isolating and working under the tanks, resulting in significant downtime and safety constraints.</w:t>
      </w:r>
    </w:p>
    <w:p w:rsidR="00000000" w:rsidDel="00000000" w:rsidP="00000000" w:rsidRDefault="00000000" w:rsidRPr="00000000" w14:paraId="00000092">
      <w:pPr>
        <w:shd w:fill="ffffff" w:val="clear"/>
        <w:spacing w:after="240" w:before="240" w:line="360" w:lineRule="auto"/>
        <w:rPr>
          <w:color w:val="0f1115"/>
        </w:rPr>
      </w:pPr>
      <w:r w:rsidDel="00000000" w:rsidR="00000000" w:rsidRPr="00000000">
        <w:rPr>
          <w:color w:val="0f1115"/>
          <w:rtl w:val="0"/>
        </w:rPr>
        <w:t xml:space="preserve">The fixed panel design makes even minor faults time-consuming to diagnose and repair. This contradicts Reliability Centred Maintenance (RCM) principles, which emphasise ease of access to reduce mean time to repair (MTTR) (Afefy et al., 2019). As noted by Aji and Uchendu (2025), minimising MTTR is essential for reducing downtime, and poor accessibility directly undermines this goal.</w:t>
      </w:r>
    </w:p>
    <w:p w:rsidR="00000000" w:rsidDel="00000000" w:rsidP="00000000" w:rsidRDefault="00000000" w:rsidRPr="00000000" w14:paraId="00000093">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Style w:val="Heading3"/>
        <w:keepNext w:val="0"/>
        <w:keepLines w:val="0"/>
        <w:spacing w:after="40" w:lineRule="auto"/>
        <w:rPr/>
      </w:pPr>
      <w:bookmarkStart w:colFirst="0" w:colLast="0" w:name="_gp957984ag06" w:id="17"/>
      <w:bookmarkEnd w:id="17"/>
      <w:r w:rsidDel="00000000" w:rsidR="00000000" w:rsidRPr="00000000">
        <w:rPr>
          <w:rtl w:val="0"/>
        </w:rPr>
        <w:t xml:space="preserve">2.4.5 Calibration Tolerance Gaps</w:t>
      </w:r>
    </w:p>
    <w:p w:rsidR="00000000" w:rsidDel="00000000" w:rsidP="00000000" w:rsidRDefault="00000000" w:rsidRPr="00000000" w14:paraId="00000095">
      <w:pPr>
        <w:shd w:fill="ffffff" w:val="clear"/>
        <w:spacing w:after="240" w:before="240" w:line="360" w:lineRule="auto"/>
        <w:rPr>
          <w:color w:val="0f1115"/>
        </w:rPr>
      </w:pPr>
      <w:r w:rsidDel="00000000" w:rsidR="00000000" w:rsidRPr="00000000">
        <w:rPr>
          <w:color w:val="0f1115"/>
          <w:rtl w:val="0"/>
        </w:rPr>
        <w:t xml:space="preserve">The process relies on pH electrodes calibrated monthly (Renishaw, 2012), with corrective action triggered at a 0.5 pH deviation. Given discharge limits of pH 6–10 (Renishaw, 2012), this tolerance may be too broad for effective control.</w:t>
      </w:r>
    </w:p>
    <w:p w:rsidR="00000000" w:rsidDel="00000000" w:rsidP="00000000" w:rsidRDefault="00000000" w:rsidRPr="00000000" w14:paraId="00000096">
      <w:pPr>
        <w:shd w:fill="ffffff" w:val="clear"/>
        <w:spacing w:after="240" w:before="240" w:line="360" w:lineRule="auto"/>
        <w:rPr>
          <w:color w:val="0f1115"/>
        </w:rPr>
      </w:pPr>
      <w:r w:rsidDel="00000000" w:rsidR="00000000" w:rsidRPr="00000000">
        <w:rPr>
          <w:color w:val="0f1115"/>
          <w:rtl w:val="0"/>
        </w:rPr>
        <w:t xml:space="preserve">Tighter tolerances would allow earlier detection of electrode drift and reduce the risk of non-compliance.</w:t>
      </w:r>
    </w:p>
    <w:p w:rsidR="00000000" w:rsidDel="00000000" w:rsidP="00000000" w:rsidRDefault="00000000" w:rsidRPr="00000000" w14:paraId="00000097">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pStyle w:val="Heading2"/>
        <w:keepNext w:val="0"/>
        <w:keepLines w:val="0"/>
        <w:shd w:fill="ffffff" w:val="clear"/>
        <w:spacing w:before="280" w:line="360" w:lineRule="auto"/>
        <w:rPr/>
      </w:pPr>
      <w:bookmarkStart w:colFirst="0" w:colLast="0" w:name="_ou775b6xbgx" w:id="18"/>
      <w:bookmarkEnd w:id="18"/>
      <w:r w:rsidDel="00000000" w:rsidR="00000000" w:rsidRPr="00000000">
        <w:rPr>
          <w:rtl w:val="0"/>
        </w:rPr>
        <w:t xml:space="preserve">2.5 Why Was This Approach Chosen?</w:t>
      </w:r>
    </w:p>
    <w:p w:rsidR="00000000" w:rsidDel="00000000" w:rsidP="00000000" w:rsidRDefault="00000000" w:rsidRPr="00000000" w14:paraId="00000099">
      <w:pPr>
        <w:shd w:fill="ffffff" w:val="clear"/>
        <w:spacing w:after="240" w:before="240" w:line="360" w:lineRule="auto"/>
        <w:rPr>
          <w:color w:val="0f1115"/>
        </w:rPr>
      </w:pPr>
      <w:r w:rsidDel="00000000" w:rsidR="00000000" w:rsidRPr="00000000">
        <w:rPr>
          <w:color w:val="0f1115"/>
          <w:rtl w:val="0"/>
        </w:rPr>
        <w:t xml:space="preserve">The current time-based approach is likely a result of historical practice. Time-based maintenance was widely used before condition monitoring technologies became more accessible (Mobley, 2014).</w:t>
      </w:r>
    </w:p>
    <w:p w:rsidR="00000000" w:rsidDel="00000000" w:rsidP="00000000" w:rsidRDefault="00000000" w:rsidRPr="00000000" w14:paraId="0000009A">
      <w:pPr>
        <w:shd w:fill="ffffff" w:val="clear"/>
        <w:spacing w:after="240" w:before="240" w:line="360" w:lineRule="auto"/>
        <w:rPr>
          <w:color w:val="0f1115"/>
        </w:rPr>
      </w:pPr>
      <w:r w:rsidDel="00000000" w:rsidR="00000000" w:rsidRPr="00000000">
        <w:rPr>
          <w:color w:val="0f1115"/>
          <w:rtl w:val="0"/>
        </w:rPr>
        <w:t xml:space="preserve">Since the plant was commissioned in 2012, earlier limitations in available technology may have influenced this approach. In addition, regulatory pressures—such as legal requirements around effluent discharge (Water Industry Act 1991)—may have prioritised compliance at the output stage rather than proactive maintenance upstream.</w:t>
      </w:r>
    </w:p>
    <w:p w:rsidR="00000000" w:rsidDel="00000000" w:rsidP="00000000" w:rsidRDefault="00000000" w:rsidRPr="00000000" w14:paraId="0000009B">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1"/>
        <w:keepNext w:val="0"/>
        <w:keepLines w:val="0"/>
        <w:rPr/>
      </w:pPr>
      <w:bookmarkStart w:colFirst="0" w:colLast="0" w:name="_sh9yyspgjw9z" w:id="19"/>
      <w:bookmarkEnd w:id="19"/>
      <w:r w:rsidDel="00000000" w:rsidR="00000000" w:rsidRPr="00000000">
        <w:rPr>
          <w:rtl w:val="0"/>
        </w:rPr>
        <w:t xml:space="preserve">3. Evaluation of Proposed Improvements</w:t>
      </w:r>
    </w:p>
    <w:p w:rsidR="00000000" w:rsidDel="00000000" w:rsidP="00000000" w:rsidRDefault="00000000" w:rsidRPr="00000000" w14:paraId="0000009D">
      <w:pPr>
        <w:pStyle w:val="Heading2"/>
        <w:keepNext w:val="0"/>
        <w:keepLines w:val="0"/>
        <w:shd w:fill="ffffff" w:val="clear"/>
        <w:spacing w:after="240" w:before="480" w:line="360" w:lineRule="auto"/>
        <w:rPr/>
      </w:pPr>
      <w:bookmarkStart w:colFirst="0" w:colLast="0" w:name="_j8uhhxgtrgrl" w:id="20"/>
      <w:bookmarkEnd w:id="20"/>
      <w:r w:rsidDel="00000000" w:rsidR="00000000" w:rsidRPr="00000000">
        <w:rPr>
          <w:rtl w:val="0"/>
        </w:rPr>
        <w:t xml:space="preserve">3.1 Installation of Flow Monitoring on Filtration Systems</w:t>
      </w:r>
    </w:p>
    <w:p w:rsidR="00000000" w:rsidDel="00000000" w:rsidP="00000000" w:rsidRDefault="00000000" w:rsidRPr="00000000" w14:paraId="0000009E">
      <w:pPr>
        <w:pStyle w:val="Heading3"/>
        <w:keepNext w:val="0"/>
        <w:keepLines w:val="0"/>
        <w:spacing w:after="40" w:lineRule="auto"/>
        <w:rPr/>
      </w:pPr>
      <w:bookmarkStart w:colFirst="0" w:colLast="0" w:name="_3jv0w9lrphfs" w:id="21"/>
      <w:bookmarkEnd w:id="21"/>
      <w:r w:rsidDel="00000000" w:rsidR="00000000" w:rsidRPr="00000000">
        <w:rPr>
          <w:rtl w:val="0"/>
        </w:rPr>
        <w:t xml:space="preserve">3.1.1 Proposal Description</w:t>
      </w:r>
    </w:p>
    <w:p w:rsidR="00000000" w:rsidDel="00000000" w:rsidP="00000000" w:rsidRDefault="00000000" w:rsidRPr="00000000" w14:paraId="0000009F">
      <w:pPr>
        <w:shd w:fill="ffffff" w:val="clear"/>
        <w:spacing w:after="240" w:before="240" w:line="360" w:lineRule="auto"/>
        <w:rPr>
          <w:color w:val="0f1115"/>
        </w:rPr>
      </w:pPr>
      <w:r w:rsidDel="00000000" w:rsidR="00000000" w:rsidRPr="00000000">
        <w:rPr>
          <w:color w:val="0f1115"/>
          <w:rtl w:val="0"/>
        </w:rPr>
        <w:t xml:space="preserve">Install inline flow meters or differential pressure gauges on the outlet side of filters and strainers. These would allow periodic or continuous monitoring of flow, enabling trends to be tracked and gradual reductions caused by blockage to be identified early.</w:t>
      </w:r>
    </w:p>
    <w:p w:rsidR="00000000" w:rsidDel="00000000" w:rsidP="00000000" w:rsidRDefault="00000000" w:rsidRPr="00000000" w14:paraId="000000A0">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3"/>
        <w:keepNext w:val="0"/>
        <w:keepLines w:val="0"/>
        <w:spacing w:after="40" w:lineRule="auto"/>
        <w:rPr/>
      </w:pPr>
      <w:bookmarkStart w:colFirst="0" w:colLast="0" w:name="_t2ltpr65fe6l" w:id="22"/>
      <w:bookmarkEnd w:id="22"/>
      <w:r w:rsidDel="00000000" w:rsidR="00000000" w:rsidRPr="00000000">
        <w:rPr>
          <w:rtl w:val="0"/>
        </w:rPr>
        <w:t xml:space="preserve">3.1.2 Theoretical Justification</w:t>
      </w:r>
    </w:p>
    <w:p w:rsidR="00000000" w:rsidDel="00000000" w:rsidP="00000000" w:rsidRDefault="00000000" w:rsidRPr="00000000" w14:paraId="000000A2">
      <w:pPr>
        <w:shd w:fill="ffffff" w:val="clear"/>
        <w:spacing w:after="240" w:before="240" w:line="360" w:lineRule="auto"/>
        <w:rPr>
          <w:color w:val="0f1115"/>
        </w:rPr>
      </w:pPr>
      <w:r w:rsidDel="00000000" w:rsidR="00000000" w:rsidRPr="00000000">
        <w:rPr>
          <w:color w:val="0f1115"/>
          <w:rtl w:val="0"/>
        </w:rPr>
        <w:t xml:space="preserve">As filters become clogged, differential pressure increases while flow rate decreases under constant pump conditions (Juanico et al., 1995; Ma et al., 2024; Singh et al., 2016). In condition-based maintenance, monitoring parameters must align with the failure mode—in this case, flow or pressure changes caused by blockage (Shanbhag et al., 2021).</w:t>
      </w:r>
    </w:p>
    <w:p w:rsidR="00000000" w:rsidDel="00000000" w:rsidP="00000000" w:rsidRDefault="00000000" w:rsidRPr="00000000" w14:paraId="000000A3">
      <w:pPr>
        <w:shd w:fill="ffffff" w:val="clear"/>
        <w:spacing w:after="240" w:before="240" w:line="360" w:lineRule="auto"/>
        <w:rPr>
          <w:color w:val="0f1115"/>
        </w:rPr>
      </w:pPr>
      <w:r w:rsidDel="00000000" w:rsidR="00000000" w:rsidRPr="00000000">
        <w:rPr>
          <w:color w:val="0f1115"/>
          <w:rtl w:val="0"/>
        </w:rPr>
        <w:t xml:space="preserve">Sampling frequency must be sufficient to capture system changes (Shannon, 1949). In practice, weekly operator readings would likely be adequate, although continuous monitoring would provide more reliable data and allow alarm thresholds to be set.</w:t>
      </w:r>
    </w:p>
    <w:p w:rsidR="00000000" w:rsidDel="00000000" w:rsidP="00000000" w:rsidRDefault="00000000" w:rsidRPr="00000000" w14:paraId="000000A4">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pStyle w:val="Heading3"/>
        <w:keepNext w:val="0"/>
        <w:keepLines w:val="0"/>
        <w:spacing w:after="40" w:lineRule="auto"/>
        <w:rPr/>
      </w:pPr>
      <w:bookmarkStart w:colFirst="0" w:colLast="0" w:name="_ul9cswu3s7kd" w:id="23"/>
      <w:bookmarkEnd w:id="23"/>
      <w:r w:rsidDel="00000000" w:rsidR="00000000" w:rsidRPr="00000000">
        <w:rPr>
          <w:rtl w:val="0"/>
        </w:rPr>
        <w:t xml:space="preserve">3.1.3 Implementation Approach</w:t>
      </w:r>
    </w:p>
    <w:p w:rsidR="00000000" w:rsidDel="00000000" w:rsidP="00000000" w:rsidRDefault="00000000" w:rsidRPr="00000000" w14:paraId="000000A6">
      <w:pPr>
        <w:shd w:fill="ffffff" w:val="clear"/>
        <w:spacing w:after="240" w:before="240" w:line="360" w:lineRule="auto"/>
        <w:rPr>
          <w:color w:val="0f1115"/>
        </w:rPr>
      </w:pPr>
      <w:r w:rsidDel="00000000" w:rsidR="00000000" w:rsidRPr="00000000">
        <w:rPr>
          <w:color w:val="0f1115"/>
          <w:rtl w:val="0"/>
        </w:rPr>
        <w:t xml:space="preserve">Low-cost mechanical flow meters (e.g., Key Instruments MR3000 Series) could be installed and recorded during routine inspections (RS Components, 2026). Alternatively, electronic flow transmitters (e.g., ICON Truflo UltraFlo 4000) could be integrated with the existing Mitsubishi FX2N PLC (Appendix 5) to enable real-time monitoring and alarms.</w:t>
      </w:r>
    </w:p>
    <w:p w:rsidR="00000000" w:rsidDel="00000000" w:rsidP="00000000" w:rsidRDefault="00000000" w:rsidRPr="00000000" w14:paraId="000000A7">
      <w:pPr>
        <w:shd w:fill="ffffff" w:val="clear"/>
        <w:spacing w:after="240" w:before="240" w:line="360" w:lineRule="auto"/>
        <w:rPr>
          <w:color w:val="0f1115"/>
        </w:rPr>
      </w:pPr>
      <w:r w:rsidDel="00000000" w:rsidR="00000000" w:rsidRPr="00000000">
        <w:rPr>
          <w:color w:val="0f1115"/>
          <w:rtl w:val="0"/>
        </w:rPr>
        <w:t xml:space="preserve">Costs range from approximately £100 to £1,500 per unit (Appendix 4), depending on the level of automation required.</w:t>
      </w:r>
    </w:p>
    <w:p w:rsidR="00000000" w:rsidDel="00000000" w:rsidP="00000000" w:rsidRDefault="00000000" w:rsidRPr="00000000" w14:paraId="000000A8">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pStyle w:val="Heading3"/>
        <w:keepNext w:val="0"/>
        <w:keepLines w:val="0"/>
        <w:spacing w:after="40" w:lineRule="auto"/>
        <w:rPr/>
      </w:pPr>
      <w:bookmarkStart w:colFirst="0" w:colLast="0" w:name="_vn3l13wbqmu8" w:id="24"/>
      <w:bookmarkEnd w:id="24"/>
      <w:r w:rsidDel="00000000" w:rsidR="00000000" w:rsidRPr="00000000">
        <w:rPr>
          <w:rtl w:val="0"/>
        </w:rPr>
        <w:t xml:space="preserve">3.1.4 Expected Benefits</w:t>
      </w:r>
    </w:p>
    <w:p w:rsidR="00000000" w:rsidDel="00000000" w:rsidP="00000000" w:rsidRDefault="00000000" w:rsidRPr="00000000" w14:paraId="000000AA">
      <w:pPr>
        <w:numPr>
          <w:ilvl w:val="0"/>
          <w:numId w:val="13"/>
        </w:numPr>
        <w:shd w:fill="ffffff" w:val="clear"/>
        <w:spacing w:after="0" w:afterAutospacing="0" w:before="240" w:line="360" w:lineRule="auto"/>
        <w:ind w:left="720" w:hanging="360"/>
        <w:rPr>
          <w:color w:val="0f1115"/>
        </w:rPr>
      </w:pPr>
      <w:r w:rsidDel="00000000" w:rsidR="00000000" w:rsidRPr="00000000">
        <w:rPr>
          <w:color w:val="0f1115"/>
          <w:rtl w:val="0"/>
        </w:rPr>
        <w:t xml:space="preserve">Early detection of filter blockage</w:t>
      </w:r>
    </w:p>
    <w:p w:rsidR="00000000" w:rsidDel="00000000" w:rsidP="00000000" w:rsidRDefault="00000000" w:rsidRPr="00000000" w14:paraId="000000AB">
      <w:pPr>
        <w:numPr>
          <w:ilvl w:val="0"/>
          <w:numId w:val="13"/>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Condition-based filter replacement intervals</w:t>
      </w:r>
    </w:p>
    <w:p w:rsidR="00000000" w:rsidDel="00000000" w:rsidP="00000000" w:rsidRDefault="00000000" w:rsidRPr="00000000" w14:paraId="000000AC">
      <w:pPr>
        <w:numPr>
          <w:ilvl w:val="0"/>
          <w:numId w:val="13"/>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Reduced unplanned downtime</w:t>
      </w:r>
    </w:p>
    <w:p w:rsidR="00000000" w:rsidDel="00000000" w:rsidP="00000000" w:rsidRDefault="00000000" w:rsidRPr="00000000" w14:paraId="000000AD">
      <w:pPr>
        <w:numPr>
          <w:ilvl w:val="0"/>
          <w:numId w:val="13"/>
        </w:numPr>
        <w:shd w:fill="ffffff" w:val="clear"/>
        <w:spacing w:after="240" w:before="0" w:beforeAutospacing="0" w:line="360" w:lineRule="auto"/>
        <w:ind w:left="720" w:hanging="360"/>
        <w:rPr>
          <w:color w:val="0f1115"/>
        </w:rPr>
      </w:pPr>
      <w:r w:rsidDel="00000000" w:rsidR="00000000" w:rsidRPr="00000000">
        <w:rPr>
          <w:color w:val="0f1115"/>
          <w:rtl w:val="0"/>
        </w:rPr>
        <w:t xml:space="preserve">Improved fault diagnosis through trend data</w:t>
      </w:r>
    </w:p>
    <w:p w:rsidR="00000000" w:rsidDel="00000000" w:rsidP="00000000" w:rsidRDefault="00000000" w:rsidRPr="00000000" w14:paraId="000000AE">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Style w:val="Heading2"/>
        <w:keepNext w:val="0"/>
        <w:keepLines w:val="0"/>
        <w:shd w:fill="ffffff" w:val="clear"/>
        <w:spacing w:before="280" w:line="360" w:lineRule="auto"/>
        <w:rPr/>
      </w:pPr>
      <w:bookmarkStart w:colFirst="0" w:colLast="0" w:name="_ge4poux21hcl" w:id="25"/>
      <w:bookmarkEnd w:id="25"/>
      <w:r w:rsidDel="00000000" w:rsidR="00000000" w:rsidRPr="00000000">
        <w:rPr>
          <w:rtl w:val="0"/>
        </w:rPr>
        <w:t xml:space="preserve">3.2 Thermal Imaging of Rectifier Cables</w:t>
      </w:r>
    </w:p>
    <w:p w:rsidR="00000000" w:rsidDel="00000000" w:rsidP="00000000" w:rsidRDefault="00000000" w:rsidRPr="00000000" w14:paraId="000000B0">
      <w:pPr>
        <w:pStyle w:val="Heading3"/>
        <w:keepNext w:val="0"/>
        <w:keepLines w:val="0"/>
        <w:spacing w:after="40" w:lineRule="auto"/>
        <w:rPr/>
      </w:pPr>
      <w:bookmarkStart w:colFirst="0" w:colLast="0" w:name="_2w6c72xhgt9" w:id="26"/>
      <w:bookmarkEnd w:id="26"/>
      <w:r w:rsidDel="00000000" w:rsidR="00000000" w:rsidRPr="00000000">
        <w:rPr>
          <w:rtl w:val="0"/>
        </w:rPr>
        <w:t xml:space="preserve">3.2.1 Proposal Description</w:t>
      </w:r>
    </w:p>
    <w:p w:rsidR="00000000" w:rsidDel="00000000" w:rsidP="00000000" w:rsidRDefault="00000000" w:rsidRPr="00000000" w14:paraId="000000B1">
      <w:pPr>
        <w:shd w:fill="ffffff" w:val="clear"/>
        <w:spacing w:after="240" w:before="240" w:line="360" w:lineRule="auto"/>
        <w:rPr>
          <w:color w:val="0f1115"/>
        </w:rPr>
      </w:pPr>
      <w:r w:rsidDel="00000000" w:rsidR="00000000" w:rsidRPr="00000000">
        <w:rPr>
          <w:color w:val="0f1115"/>
          <w:rtl w:val="0"/>
        </w:rPr>
        <w:t xml:space="preserve">Introduce quarterly thermal imaging inspections of high-current DC rectifier cables supplying Tanks 8 and 8A. This would identify localised hot spots caused by increased resistance.</w:t>
      </w:r>
    </w:p>
    <w:p w:rsidR="00000000" w:rsidDel="00000000" w:rsidP="00000000" w:rsidRDefault="00000000" w:rsidRPr="00000000" w14:paraId="000000B2">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pStyle w:val="Heading3"/>
        <w:keepNext w:val="0"/>
        <w:keepLines w:val="0"/>
        <w:spacing w:after="40" w:lineRule="auto"/>
        <w:rPr/>
      </w:pPr>
      <w:bookmarkStart w:colFirst="0" w:colLast="0" w:name="_9j8zhdm9d443" w:id="27"/>
      <w:bookmarkEnd w:id="27"/>
      <w:r w:rsidDel="00000000" w:rsidR="00000000" w:rsidRPr="00000000">
        <w:rPr>
          <w:rtl w:val="0"/>
        </w:rPr>
        <w:t xml:space="preserve">3.2.2 Theoretical Justification</w:t>
      </w:r>
    </w:p>
    <w:p w:rsidR="00000000" w:rsidDel="00000000" w:rsidP="00000000" w:rsidRDefault="00000000" w:rsidRPr="00000000" w14:paraId="000000B4">
      <w:pPr>
        <w:shd w:fill="ffffff" w:val="clear"/>
        <w:spacing w:after="240" w:before="240" w:line="360" w:lineRule="auto"/>
        <w:rPr>
          <w:color w:val="0f1115"/>
        </w:rPr>
      </w:pPr>
      <w:r w:rsidDel="00000000" w:rsidR="00000000" w:rsidRPr="00000000">
        <w:rPr>
          <w:color w:val="0f1115"/>
          <w:rtl w:val="0"/>
        </w:rPr>
        <w:t xml:space="preserve">Degraded or loose connections increase electrical resistance, generating heat that can be detected using thermography before failure occurs (Balakrishnan et al., 2022).</w:t>
      </w:r>
    </w:p>
    <w:p w:rsidR="00000000" w:rsidDel="00000000" w:rsidP="00000000" w:rsidRDefault="00000000" w:rsidRPr="00000000" w14:paraId="000000B5">
      <w:pPr>
        <w:shd w:fill="ffffff" w:val="clear"/>
        <w:spacing w:after="240" w:before="240" w:line="360" w:lineRule="auto"/>
        <w:rPr>
          <w:color w:val="0f1115"/>
        </w:rPr>
      </w:pPr>
      <w:r w:rsidDel="00000000" w:rsidR="00000000" w:rsidRPr="00000000">
        <w:rPr>
          <w:color w:val="0f1115"/>
          <w:rtl w:val="0"/>
        </w:rPr>
        <w:t xml:space="preserve">This supports a condition-based approach, enabling intervention before failure and improving mean time between failures (MTBF) (Maiorano et al., 2019).</w:t>
      </w:r>
    </w:p>
    <w:p w:rsidR="00000000" w:rsidDel="00000000" w:rsidP="00000000" w:rsidRDefault="00000000" w:rsidRPr="00000000" w14:paraId="000000B6">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7">
      <w:pPr>
        <w:pStyle w:val="Heading3"/>
        <w:keepNext w:val="0"/>
        <w:keepLines w:val="0"/>
        <w:spacing w:after="40" w:lineRule="auto"/>
        <w:rPr/>
      </w:pPr>
      <w:bookmarkStart w:colFirst="0" w:colLast="0" w:name="_xg99mk6kuhno" w:id="28"/>
      <w:bookmarkEnd w:id="28"/>
      <w:r w:rsidDel="00000000" w:rsidR="00000000" w:rsidRPr="00000000">
        <w:rPr>
          <w:rtl w:val="0"/>
        </w:rPr>
        <w:t xml:space="preserve">3.2.3 Implementation Approach</w:t>
      </w:r>
    </w:p>
    <w:p w:rsidR="00000000" w:rsidDel="00000000" w:rsidP="00000000" w:rsidRDefault="00000000" w:rsidRPr="00000000" w14:paraId="000000B8">
      <w:pPr>
        <w:shd w:fill="ffffff" w:val="clear"/>
        <w:spacing w:after="240" w:before="240" w:line="360" w:lineRule="auto"/>
        <w:rPr>
          <w:color w:val="0f1115"/>
        </w:rPr>
      </w:pPr>
      <w:r w:rsidDel="00000000" w:rsidR="00000000" w:rsidRPr="00000000">
        <w:rPr>
          <w:color w:val="0f1115"/>
          <w:rtl w:val="0"/>
        </w:rPr>
        <w:t xml:space="preserve">A thermal imaging camera (e.g., Fluke or FLIR) would be required, with costs typically between £5,000 and £12,000 for a suitable mid-range model (Media, 2026; Appendix 6). Engineers could carry out inspections following basic training, with images stored and trended to identify deterioration over time.</w:t>
      </w:r>
    </w:p>
    <w:p w:rsidR="00000000" w:rsidDel="00000000" w:rsidP="00000000" w:rsidRDefault="00000000" w:rsidRPr="00000000" w14:paraId="000000B9">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A">
      <w:pPr>
        <w:pStyle w:val="Heading3"/>
        <w:keepNext w:val="0"/>
        <w:keepLines w:val="0"/>
        <w:spacing w:after="40" w:lineRule="auto"/>
        <w:rPr/>
      </w:pPr>
      <w:bookmarkStart w:colFirst="0" w:colLast="0" w:name="_1zh5r3bxrc4l" w:id="29"/>
      <w:bookmarkEnd w:id="29"/>
      <w:r w:rsidDel="00000000" w:rsidR="00000000" w:rsidRPr="00000000">
        <w:rPr>
          <w:rtl w:val="0"/>
        </w:rPr>
        <w:t xml:space="preserve">3.2.4 Expected Benefits</w:t>
      </w:r>
    </w:p>
    <w:p w:rsidR="00000000" w:rsidDel="00000000" w:rsidP="00000000" w:rsidRDefault="00000000" w:rsidRPr="00000000" w14:paraId="000000BB">
      <w:pPr>
        <w:numPr>
          <w:ilvl w:val="0"/>
          <w:numId w:val="1"/>
        </w:numPr>
        <w:shd w:fill="ffffff" w:val="clear"/>
        <w:spacing w:after="0" w:afterAutospacing="0" w:before="240" w:line="360" w:lineRule="auto"/>
        <w:ind w:left="720" w:hanging="360"/>
        <w:rPr>
          <w:color w:val="0f1115"/>
        </w:rPr>
      </w:pPr>
      <w:r w:rsidDel="00000000" w:rsidR="00000000" w:rsidRPr="00000000">
        <w:rPr>
          <w:color w:val="0f1115"/>
          <w:rtl w:val="0"/>
        </w:rPr>
        <w:t xml:space="preserve">Reduced risk of electrical failure or fire</w:t>
      </w:r>
    </w:p>
    <w:p w:rsidR="00000000" w:rsidDel="00000000" w:rsidP="00000000" w:rsidRDefault="00000000" w:rsidRPr="00000000" w14:paraId="000000BC">
      <w:pPr>
        <w:numPr>
          <w:ilvl w:val="0"/>
          <w:numId w:val="1"/>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Avoided production downtime</w:t>
      </w:r>
    </w:p>
    <w:p w:rsidR="00000000" w:rsidDel="00000000" w:rsidP="00000000" w:rsidRDefault="00000000" w:rsidRPr="00000000" w14:paraId="000000BD">
      <w:pPr>
        <w:numPr>
          <w:ilvl w:val="0"/>
          <w:numId w:val="1"/>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Extended cable lifespan</w:t>
      </w:r>
    </w:p>
    <w:p w:rsidR="00000000" w:rsidDel="00000000" w:rsidP="00000000" w:rsidRDefault="00000000" w:rsidRPr="00000000" w14:paraId="000000BE">
      <w:pPr>
        <w:numPr>
          <w:ilvl w:val="0"/>
          <w:numId w:val="1"/>
        </w:numPr>
        <w:shd w:fill="ffffff" w:val="clear"/>
        <w:spacing w:after="240" w:before="0" w:beforeAutospacing="0" w:line="360" w:lineRule="auto"/>
        <w:ind w:left="720" w:hanging="360"/>
        <w:rPr>
          <w:color w:val="0f1115"/>
        </w:rPr>
      </w:pPr>
      <w:r w:rsidDel="00000000" w:rsidR="00000000" w:rsidRPr="00000000">
        <w:rPr>
          <w:color w:val="0f1115"/>
          <w:rtl w:val="0"/>
        </w:rPr>
        <w:t xml:space="preserve">Improved compliance with electrical safety regulations</w:t>
      </w:r>
    </w:p>
    <w:p w:rsidR="00000000" w:rsidDel="00000000" w:rsidP="00000000" w:rsidRDefault="00000000" w:rsidRPr="00000000" w14:paraId="000000BF">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pStyle w:val="Heading2"/>
        <w:keepNext w:val="0"/>
        <w:keepLines w:val="0"/>
        <w:shd w:fill="ffffff" w:val="clear"/>
        <w:spacing w:before="280" w:line="360" w:lineRule="auto"/>
        <w:rPr/>
      </w:pPr>
      <w:bookmarkStart w:colFirst="0" w:colLast="0" w:name="_gzk4jk1m9fzi" w:id="30"/>
      <w:bookmarkEnd w:id="30"/>
      <w:r w:rsidDel="00000000" w:rsidR="00000000" w:rsidRPr="00000000">
        <w:rPr>
          <w:rtl w:val="0"/>
        </w:rPr>
        <w:t xml:space="preserve">3.3 Tighter Calibration Tolerances</w:t>
      </w:r>
    </w:p>
    <w:p w:rsidR="00000000" w:rsidDel="00000000" w:rsidP="00000000" w:rsidRDefault="00000000" w:rsidRPr="00000000" w14:paraId="000000C1">
      <w:pPr>
        <w:pStyle w:val="Heading3"/>
        <w:keepNext w:val="0"/>
        <w:keepLines w:val="0"/>
        <w:spacing w:after="40" w:lineRule="auto"/>
        <w:rPr/>
      </w:pPr>
      <w:bookmarkStart w:colFirst="0" w:colLast="0" w:name="_pr1ens9ssdw8" w:id="31"/>
      <w:bookmarkEnd w:id="31"/>
      <w:r w:rsidDel="00000000" w:rsidR="00000000" w:rsidRPr="00000000">
        <w:rPr>
          <w:rtl w:val="0"/>
        </w:rPr>
        <w:t xml:space="preserve">3.3.1 Proposal Description</w:t>
      </w:r>
    </w:p>
    <w:p w:rsidR="00000000" w:rsidDel="00000000" w:rsidP="00000000" w:rsidRDefault="00000000" w:rsidRPr="00000000" w14:paraId="000000C2">
      <w:pPr>
        <w:shd w:fill="ffffff" w:val="clear"/>
        <w:spacing w:after="240" w:before="240" w:line="360" w:lineRule="auto"/>
        <w:rPr>
          <w:color w:val="0f1115"/>
        </w:rPr>
      </w:pPr>
      <w:r w:rsidDel="00000000" w:rsidR="00000000" w:rsidRPr="00000000">
        <w:rPr>
          <w:color w:val="0f1115"/>
          <w:rtl w:val="0"/>
        </w:rPr>
        <w:t xml:space="preserve">Reduce the allowable difference between neutralisation tank pH meters from 0.5 pH to 0.2 pH, and increase calibration frequency from monthly to fortnightly.</w:t>
      </w:r>
    </w:p>
    <w:p w:rsidR="00000000" w:rsidDel="00000000" w:rsidP="00000000" w:rsidRDefault="00000000" w:rsidRPr="00000000" w14:paraId="000000C3">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pStyle w:val="Heading3"/>
        <w:keepNext w:val="0"/>
        <w:keepLines w:val="0"/>
        <w:spacing w:after="40" w:lineRule="auto"/>
        <w:rPr/>
      </w:pPr>
      <w:bookmarkStart w:colFirst="0" w:colLast="0" w:name="_d43gynjver9l" w:id="32"/>
      <w:bookmarkEnd w:id="32"/>
      <w:r w:rsidDel="00000000" w:rsidR="00000000" w:rsidRPr="00000000">
        <w:rPr>
          <w:rtl w:val="0"/>
        </w:rPr>
        <w:t xml:space="preserve">3.3.2 Theoretical Justification</w:t>
      </w:r>
    </w:p>
    <w:p w:rsidR="00000000" w:rsidDel="00000000" w:rsidP="00000000" w:rsidRDefault="00000000" w:rsidRPr="00000000" w14:paraId="000000C5">
      <w:pPr>
        <w:shd w:fill="ffffff" w:val="clear"/>
        <w:spacing w:after="240" w:before="240" w:line="360" w:lineRule="auto"/>
        <w:rPr>
          <w:color w:val="0f1115"/>
        </w:rPr>
      </w:pPr>
      <w:r w:rsidDel="00000000" w:rsidR="00000000" w:rsidRPr="00000000">
        <w:rPr>
          <w:color w:val="0f1115"/>
          <w:rtl w:val="0"/>
        </w:rPr>
        <w:t xml:space="preserve">pH electrodes gradually degrade, causing measurement drift over time (Wiora and Wiora, 2018). A 0.5 pH tolerance may allow significant deviation before corrective action, increasing the risk of process instability or discharge non-compliance.</w:t>
      </w:r>
    </w:p>
    <w:p w:rsidR="00000000" w:rsidDel="00000000" w:rsidP="00000000" w:rsidRDefault="00000000" w:rsidRPr="00000000" w14:paraId="000000C6">
      <w:pPr>
        <w:shd w:fill="ffffff" w:val="clear"/>
        <w:spacing w:after="240" w:before="240" w:line="360" w:lineRule="auto"/>
        <w:rPr>
          <w:color w:val="0f1115"/>
        </w:rPr>
      </w:pPr>
      <w:r w:rsidDel="00000000" w:rsidR="00000000" w:rsidRPr="00000000">
        <w:rPr>
          <w:color w:val="0f1115"/>
          <w:rtl w:val="0"/>
        </w:rPr>
        <w:t xml:space="preserve">Tighter tolerances would allow earlier detection of drift and reduce the likelihood of alarms or process interruptions (Renishaw, 2010).</w:t>
      </w:r>
    </w:p>
    <w:p w:rsidR="00000000" w:rsidDel="00000000" w:rsidP="00000000" w:rsidRDefault="00000000" w:rsidRPr="00000000" w14:paraId="000000C7">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pStyle w:val="Heading3"/>
        <w:keepNext w:val="0"/>
        <w:keepLines w:val="0"/>
        <w:spacing w:after="40" w:lineRule="auto"/>
        <w:rPr/>
      </w:pPr>
      <w:bookmarkStart w:colFirst="0" w:colLast="0" w:name="_cytenxjdign0" w:id="33"/>
      <w:bookmarkEnd w:id="33"/>
      <w:r w:rsidDel="00000000" w:rsidR="00000000" w:rsidRPr="00000000">
        <w:rPr>
          <w:rtl w:val="0"/>
        </w:rPr>
        <w:t xml:space="preserve">3.3.3 Implementation Approach</w:t>
      </w:r>
    </w:p>
    <w:p w:rsidR="00000000" w:rsidDel="00000000" w:rsidP="00000000" w:rsidRDefault="00000000" w:rsidRPr="00000000" w14:paraId="000000C9">
      <w:pPr>
        <w:shd w:fill="ffffff" w:val="clear"/>
        <w:spacing w:after="240" w:before="240" w:line="360" w:lineRule="auto"/>
        <w:rPr>
          <w:color w:val="0f1115"/>
        </w:rPr>
      </w:pPr>
      <w:r w:rsidDel="00000000" w:rsidR="00000000" w:rsidRPr="00000000">
        <w:rPr>
          <w:color w:val="0f1115"/>
          <w:rtl w:val="0"/>
        </w:rPr>
        <w:t xml:space="preserve">Existing Eutech Alpha pH 200 meters are capable of higher precision (±0.01 pH) (ManualMachine, 2026), so implementation would require only procedural changes and slightly increased operator involvement.</w:t>
      </w:r>
    </w:p>
    <w:p w:rsidR="00000000" w:rsidDel="00000000" w:rsidP="00000000" w:rsidRDefault="00000000" w:rsidRPr="00000000" w14:paraId="000000CA">
      <w:pPr>
        <w:shd w:fill="ffffff" w:val="clear"/>
        <w:spacing w:after="240" w:before="22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Style w:val="Heading3"/>
        <w:keepNext w:val="0"/>
        <w:keepLines w:val="0"/>
        <w:spacing w:after="40" w:lineRule="auto"/>
        <w:rPr/>
      </w:pPr>
      <w:bookmarkStart w:colFirst="0" w:colLast="0" w:name="_eosdq56mhb0w" w:id="34"/>
      <w:bookmarkEnd w:id="34"/>
      <w:r w:rsidDel="00000000" w:rsidR="00000000" w:rsidRPr="00000000">
        <w:rPr>
          <w:rtl w:val="0"/>
        </w:rPr>
        <w:t xml:space="preserve">3.3.4 Expected Benefits</w:t>
      </w:r>
    </w:p>
    <w:p w:rsidR="00000000" w:rsidDel="00000000" w:rsidP="00000000" w:rsidRDefault="00000000" w:rsidRPr="00000000" w14:paraId="000000CC">
      <w:pPr>
        <w:numPr>
          <w:ilvl w:val="0"/>
          <w:numId w:val="6"/>
        </w:numPr>
        <w:shd w:fill="ffffff" w:val="clear"/>
        <w:spacing w:after="0" w:afterAutospacing="0" w:before="240" w:line="360" w:lineRule="auto"/>
        <w:ind w:left="720" w:hanging="360"/>
        <w:rPr>
          <w:color w:val="0f1115"/>
        </w:rPr>
      </w:pPr>
      <w:r w:rsidDel="00000000" w:rsidR="00000000" w:rsidRPr="00000000">
        <w:rPr>
          <w:color w:val="0f1115"/>
          <w:rtl w:val="0"/>
        </w:rPr>
        <w:t xml:space="preserve">Reduced risk of discharge consent violations</w:t>
      </w:r>
    </w:p>
    <w:p w:rsidR="00000000" w:rsidDel="00000000" w:rsidP="00000000" w:rsidRDefault="00000000" w:rsidRPr="00000000" w14:paraId="000000CD">
      <w:pPr>
        <w:numPr>
          <w:ilvl w:val="0"/>
          <w:numId w:val="6"/>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Improved process stability</w:t>
      </w:r>
    </w:p>
    <w:p w:rsidR="00000000" w:rsidDel="00000000" w:rsidP="00000000" w:rsidRDefault="00000000" w:rsidRPr="00000000" w14:paraId="000000CE">
      <w:pPr>
        <w:numPr>
          <w:ilvl w:val="0"/>
          <w:numId w:val="6"/>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Earlier detection of electrode degradation</w:t>
      </w:r>
    </w:p>
    <w:p w:rsidR="00000000" w:rsidDel="00000000" w:rsidP="00000000" w:rsidRDefault="00000000" w:rsidRPr="00000000" w14:paraId="000000CF">
      <w:pPr>
        <w:numPr>
          <w:ilvl w:val="0"/>
          <w:numId w:val="6"/>
        </w:numPr>
        <w:shd w:fill="ffffff" w:val="clear"/>
        <w:spacing w:after="240" w:before="0" w:beforeAutospacing="0" w:line="360" w:lineRule="auto"/>
        <w:ind w:left="720" w:hanging="360"/>
        <w:rPr>
          <w:color w:val="0f1115"/>
        </w:rPr>
      </w:pPr>
      <w:r w:rsidDel="00000000" w:rsidR="00000000" w:rsidRPr="00000000">
        <w:rPr>
          <w:color w:val="0f1115"/>
          <w:rtl w:val="0"/>
        </w:rPr>
        <w:t xml:space="preserve">Demonstration of environmental compliance</w:t>
      </w:r>
    </w:p>
    <w:p w:rsidR="00000000" w:rsidDel="00000000" w:rsidP="00000000" w:rsidRDefault="00000000" w:rsidRPr="00000000" w14:paraId="000000D0">
      <w:pPr>
        <w:shd w:fill="ffffff" w:val="clear"/>
        <w:spacing w:after="240" w:before="240" w:line="360" w:lineRule="auto"/>
        <w:rPr>
          <w:color w:val="0f1115"/>
        </w:rPr>
      </w:pPr>
      <w:r w:rsidDel="00000000" w:rsidR="00000000" w:rsidRPr="00000000">
        <w:rPr>
          <w:color w:val="0f1115"/>
          <w:rtl w:val="0"/>
        </w:rPr>
        <w:t xml:space="preserve">This approach could also be extended to sump pump pH probes.</w:t>
      </w:r>
    </w:p>
    <w:p w:rsidR="00000000" w:rsidDel="00000000" w:rsidP="00000000" w:rsidRDefault="00000000" w:rsidRPr="00000000" w14:paraId="000000D1">
      <w:pPr>
        <w:pStyle w:val="Heading2"/>
        <w:keepNext w:val="0"/>
        <w:keepLines w:val="0"/>
        <w:shd w:fill="ffffff" w:val="clear"/>
        <w:spacing w:after="240" w:before="480" w:line="360" w:lineRule="auto"/>
        <w:rPr/>
      </w:pPr>
      <w:bookmarkStart w:colFirst="0" w:colLast="0" w:name="_r50l23z7li3b" w:id="35"/>
      <w:bookmarkEnd w:id="35"/>
      <w:r w:rsidDel="00000000" w:rsidR="00000000" w:rsidRPr="00000000">
        <w:rPr>
          <w:rtl w:val="0"/>
        </w:rPr>
        <w:t xml:space="preserve">3.4 Redesign of Push Button Control Panels</w:t>
      </w:r>
    </w:p>
    <w:p w:rsidR="00000000" w:rsidDel="00000000" w:rsidP="00000000" w:rsidRDefault="00000000" w:rsidRPr="00000000" w14:paraId="000000D2">
      <w:pPr>
        <w:pStyle w:val="Heading3"/>
        <w:keepNext w:val="0"/>
        <w:keepLines w:val="0"/>
        <w:spacing w:after="40" w:lineRule="auto"/>
        <w:rPr/>
      </w:pPr>
      <w:bookmarkStart w:colFirst="0" w:colLast="0" w:name="_f6iwbtbttwo" w:id="36"/>
      <w:bookmarkEnd w:id="36"/>
      <w:r w:rsidDel="00000000" w:rsidR="00000000" w:rsidRPr="00000000">
        <w:rPr>
          <w:rtl w:val="0"/>
        </w:rPr>
        <w:t xml:space="preserve">3.4.1 Proposal Description</w:t>
      </w:r>
    </w:p>
    <w:p w:rsidR="00000000" w:rsidDel="00000000" w:rsidP="00000000" w:rsidRDefault="00000000" w:rsidRPr="00000000" w14:paraId="000000D3">
      <w:pPr>
        <w:shd w:fill="ffffff" w:val="clear"/>
        <w:spacing w:after="240" w:before="240" w:line="360" w:lineRule="auto"/>
        <w:rPr>
          <w:color w:val="0f1115"/>
        </w:rPr>
      </w:pPr>
      <w:r w:rsidDel="00000000" w:rsidR="00000000" w:rsidRPr="00000000">
        <w:rPr>
          <w:color w:val="0f1115"/>
          <w:rtl w:val="0"/>
        </w:rPr>
        <w:t xml:space="preserve">Replace fixed push button panels with removable units containing the same controls, designed for easy withdrawal from the tank cladding. This would provide safe and direct access to wiring connections.</w:t>
      </w:r>
    </w:p>
    <w:p w:rsidR="00000000" w:rsidDel="00000000" w:rsidP="00000000" w:rsidRDefault="00000000" w:rsidRPr="00000000" w14:paraId="000000D4">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3"/>
        <w:keepNext w:val="0"/>
        <w:keepLines w:val="0"/>
        <w:spacing w:after="40" w:lineRule="auto"/>
        <w:rPr/>
      </w:pPr>
      <w:bookmarkStart w:colFirst="0" w:colLast="0" w:name="_ro63rajzbs5p" w:id="37"/>
      <w:bookmarkEnd w:id="37"/>
      <w:r w:rsidDel="00000000" w:rsidR="00000000" w:rsidRPr="00000000">
        <w:rPr>
          <w:rtl w:val="0"/>
        </w:rPr>
        <w:t xml:space="preserve">3.4.2 Theoretical Justification</w:t>
      </w:r>
    </w:p>
    <w:p w:rsidR="00000000" w:rsidDel="00000000" w:rsidP="00000000" w:rsidRDefault="00000000" w:rsidRPr="00000000" w14:paraId="000000D6">
      <w:pPr>
        <w:shd w:fill="ffffff" w:val="clear"/>
        <w:spacing w:after="240" w:before="240" w:line="360" w:lineRule="auto"/>
        <w:rPr>
          <w:color w:val="0f1115"/>
        </w:rPr>
      </w:pPr>
      <w:r w:rsidDel="00000000" w:rsidR="00000000" w:rsidRPr="00000000">
        <w:rPr>
          <w:color w:val="0f1115"/>
          <w:rtl w:val="0"/>
        </w:rPr>
        <w:t xml:space="preserve">This proposal addresses maintainability—the ease with which equipment can be repaired. Push buttons are prone to failure due to chemical exposure and contamination, often becoming corroded and unresponsive</w:t>
      </w:r>
    </w:p>
    <w:p w:rsidR="00000000" w:rsidDel="00000000" w:rsidP="00000000" w:rsidRDefault="00000000" w:rsidRPr="00000000" w14:paraId="000000D7">
      <w:pPr>
        <w:shd w:fill="ffffff" w:val="clear"/>
        <w:spacing w:after="240" w:before="240" w:line="360" w:lineRule="auto"/>
        <w:rPr>
          <w:color w:val="0f1115"/>
        </w:rPr>
      </w:pPr>
      <w:r w:rsidDel="00000000" w:rsidR="00000000" w:rsidRPr="00000000">
        <w:rPr>
          <w:color w:val="0f1115"/>
          <w:rtl w:val="0"/>
        </w:rPr>
        <w:t xml:space="preserve">I</w:t>
      </w:r>
      <w:r w:rsidDel="00000000" w:rsidR="00000000" w:rsidRPr="00000000">
        <w:rPr>
          <w:color w:val="0f1115"/>
        </w:rPr>
        <w:drawing>
          <wp:inline distB="114300" distT="114300" distL="114300" distR="114300">
            <wp:extent cx="2838450" cy="3548063"/>
            <wp:effectExtent b="0" l="0" r="0" t="0"/>
            <wp:docPr id="22" name="image23.png"/>
            <a:graphic>
              <a:graphicData uri="http://schemas.openxmlformats.org/drawingml/2006/picture">
                <pic:pic>
                  <pic:nvPicPr>
                    <pic:cNvPr id="0" name="image23.png"/>
                    <pic:cNvPicPr preferRelativeResize="0"/>
                  </pic:nvPicPr>
                  <pic:blipFill>
                    <a:blip r:embed="rId10"/>
                    <a:srcRect b="0" l="0" r="0" t="0"/>
                    <a:stretch>
                      <a:fillRect/>
                    </a:stretch>
                  </pic:blipFill>
                  <pic:spPr>
                    <a:xfrm>
                      <a:off x="0" y="0"/>
                      <a:ext cx="2838450" cy="3548063"/>
                    </a:xfrm>
                    <a:prstGeom prst="rect"/>
                    <a:ln/>
                  </pic:spPr>
                </pic:pic>
              </a:graphicData>
            </a:graphic>
          </wp:inline>
        </w:drawing>
      </w:r>
      <w:r w:rsidDel="00000000" w:rsidR="00000000" w:rsidRPr="00000000">
        <w:rPr>
          <w:color w:val="0f1115"/>
        </w:rPr>
        <w:drawing>
          <wp:inline distB="114300" distT="114300" distL="114300" distR="114300">
            <wp:extent cx="2671763" cy="3581582"/>
            <wp:effectExtent b="0" l="0" r="0" t="0"/>
            <wp:docPr id="14"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2671763" cy="3581582"/>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pStyle w:val="Heading4"/>
        <w:shd w:fill="ffffff" w:val="clear"/>
        <w:spacing w:after="240" w:before="240" w:line="360" w:lineRule="auto"/>
        <w:rPr/>
      </w:pPr>
      <w:bookmarkStart w:colFirst="0" w:colLast="0" w:name="_wbresvgaznsz" w:id="38"/>
      <w:bookmarkEnd w:id="38"/>
      <w:r w:rsidDel="00000000" w:rsidR="00000000" w:rsidRPr="00000000">
        <w:rPr>
          <w:rtl w:val="0"/>
        </w:rPr>
        <w:t xml:space="preserve">Figure 4: Images from tank 8 and its degraded buttons. </w:t>
      </w:r>
    </w:p>
    <w:p w:rsidR="00000000" w:rsidDel="00000000" w:rsidP="00000000" w:rsidRDefault="00000000" w:rsidRPr="00000000" w14:paraId="000000D9">
      <w:pPr>
        <w:shd w:fill="ffffff" w:val="clear"/>
        <w:spacing w:after="240" w:before="240" w:line="360" w:lineRule="auto"/>
        <w:rPr/>
      </w:pPr>
      <w:r w:rsidDel="00000000" w:rsidR="00000000" w:rsidRPr="00000000">
        <w:rPr>
          <w:rtl w:val="0"/>
        </w:rPr>
        <w:t xml:space="preserve">The current design significantly increases mean time to repair (MTTR), as accessing wiring requires isolating the system and working in restricted, unsafe conditions. MTTR includes diagnosis, repair, and reassembly time (Aguilar, 2022), all of which are extended by poor accessibility.</w:t>
      </w:r>
    </w:p>
    <w:p w:rsidR="00000000" w:rsidDel="00000000" w:rsidP="00000000" w:rsidRDefault="00000000" w:rsidRPr="00000000" w14:paraId="000000DA">
      <w:pPr>
        <w:shd w:fill="ffffff" w:val="clear"/>
        <w:spacing w:after="240" w:before="240" w:line="360" w:lineRule="auto"/>
        <w:rPr/>
      </w:pPr>
      <w:r w:rsidDel="00000000" w:rsidR="00000000" w:rsidRPr="00000000">
        <w:rPr>
          <w:rtl w:val="0"/>
        </w:rPr>
        <w:t xml:space="preserve">A removable design would simplify this process, allowing rapid replacement with minimal disruption. As availability is a function of MTBF and MTTR, reducing repair time directly improves operational performance (Alavian et al., 2019).</w:t>
      </w:r>
    </w:p>
    <w:p w:rsidR="00000000" w:rsidDel="00000000" w:rsidP="00000000" w:rsidRDefault="00000000" w:rsidRPr="00000000" w14:paraId="000000DB">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pStyle w:val="Heading3"/>
        <w:keepNext w:val="0"/>
        <w:keepLines w:val="0"/>
        <w:spacing w:after="40" w:lineRule="auto"/>
        <w:rPr/>
      </w:pPr>
      <w:bookmarkStart w:colFirst="0" w:colLast="0" w:name="_kxvjn3xzt9qf" w:id="39"/>
      <w:bookmarkEnd w:id="39"/>
      <w:r w:rsidDel="00000000" w:rsidR="00000000" w:rsidRPr="00000000">
        <w:rPr>
          <w:rtl w:val="0"/>
        </w:rPr>
        <w:t xml:space="preserve">3.4.3 Implementation Approach</w:t>
      </w:r>
    </w:p>
    <w:p w:rsidR="00000000" w:rsidDel="00000000" w:rsidP="00000000" w:rsidRDefault="00000000" w:rsidRPr="00000000" w14:paraId="000000DD">
      <w:pPr>
        <w:shd w:fill="ffffff" w:val="clear"/>
        <w:spacing w:after="240" w:before="240" w:line="360" w:lineRule="auto"/>
        <w:rPr/>
      </w:pPr>
      <w:r w:rsidDel="00000000" w:rsidR="00000000" w:rsidRPr="00000000">
        <w:rPr>
          <w:rtl w:val="0"/>
        </w:rPr>
        <w:t xml:space="preserve">Removable control boxes would be designed and installed across all tanks. Each unit would include:</w:t>
      </w:r>
    </w:p>
    <w:p w:rsidR="00000000" w:rsidDel="00000000" w:rsidP="00000000" w:rsidRDefault="00000000" w:rsidRPr="00000000" w14:paraId="000000DE">
      <w:pPr>
        <w:numPr>
          <w:ilvl w:val="0"/>
          <w:numId w:val="10"/>
        </w:numPr>
        <w:shd w:fill="ffffff" w:val="clear"/>
        <w:spacing w:after="0" w:afterAutospacing="0" w:before="240" w:line="360" w:lineRule="auto"/>
        <w:ind w:left="720" w:hanging="360"/>
        <w:rPr/>
      </w:pPr>
      <w:r w:rsidDel="00000000" w:rsidR="00000000" w:rsidRPr="00000000">
        <w:rPr>
          <w:rtl w:val="0"/>
        </w:rPr>
        <w:t xml:space="preserve">Multi-pin connectors for quick disconnection</w:t>
      </w:r>
    </w:p>
    <w:p w:rsidR="00000000" w:rsidDel="00000000" w:rsidP="00000000" w:rsidRDefault="00000000" w:rsidRPr="00000000" w14:paraId="000000DF">
      <w:pPr>
        <w:numPr>
          <w:ilvl w:val="0"/>
          <w:numId w:val="10"/>
        </w:numPr>
        <w:shd w:fill="ffffff" w:val="clear"/>
        <w:spacing w:after="0" w:afterAutospacing="0" w:before="0" w:beforeAutospacing="0" w:line="360" w:lineRule="auto"/>
        <w:ind w:left="720" w:hanging="360"/>
        <w:rPr/>
      </w:pPr>
      <w:r w:rsidDel="00000000" w:rsidR="00000000" w:rsidRPr="00000000">
        <w:rPr>
          <w:rtl w:val="0"/>
        </w:rPr>
        <w:t xml:space="preserve">PTFE seals for chemical protection</w:t>
      </w:r>
    </w:p>
    <w:p w:rsidR="00000000" w:rsidDel="00000000" w:rsidP="00000000" w:rsidRDefault="00000000" w:rsidRPr="00000000" w14:paraId="000000E0">
      <w:pPr>
        <w:numPr>
          <w:ilvl w:val="0"/>
          <w:numId w:val="10"/>
        </w:numPr>
        <w:shd w:fill="ffffff" w:val="clear"/>
        <w:spacing w:after="0" w:afterAutospacing="0" w:before="0" w:beforeAutospacing="0" w:line="360" w:lineRule="auto"/>
        <w:ind w:left="720" w:hanging="360"/>
        <w:rPr/>
      </w:pPr>
      <w:r w:rsidDel="00000000" w:rsidR="00000000" w:rsidRPr="00000000">
        <w:rPr>
          <w:rtl w:val="0"/>
        </w:rPr>
        <w:t xml:space="preserve">Quick-release fixings</w:t>
      </w:r>
    </w:p>
    <w:p w:rsidR="00000000" w:rsidDel="00000000" w:rsidP="00000000" w:rsidRDefault="00000000" w:rsidRPr="00000000" w14:paraId="000000E1">
      <w:pPr>
        <w:numPr>
          <w:ilvl w:val="0"/>
          <w:numId w:val="10"/>
        </w:numPr>
        <w:shd w:fill="ffffff" w:val="clear"/>
        <w:spacing w:after="240" w:before="0" w:beforeAutospacing="0" w:line="360" w:lineRule="auto"/>
        <w:ind w:left="720" w:hanging="360"/>
        <w:rPr/>
      </w:pPr>
      <w:r w:rsidDel="00000000" w:rsidR="00000000" w:rsidRPr="00000000">
        <w:rPr>
          <w:rtl w:val="0"/>
        </w:rPr>
        <w:t xml:space="preserve">Extended cable looms for easy withdrawal</w:t>
      </w:r>
    </w:p>
    <w:p w:rsidR="00000000" w:rsidDel="00000000" w:rsidP="00000000" w:rsidRDefault="00000000" w:rsidRPr="00000000" w14:paraId="000000E2">
      <w:pPr>
        <w:shd w:fill="ffffff" w:val="clear"/>
        <w:spacing w:after="240" w:before="240" w:line="360" w:lineRule="auto"/>
        <w:rPr/>
      </w:pPr>
      <w:r w:rsidDel="00000000" w:rsidR="00000000" w:rsidRPr="00000000">
        <w:rPr>
          <w:rtl w:val="0"/>
        </w:rPr>
        <w:t xml:space="preserve">This would require a one-time modification to existing wiring.</w:t>
      </w:r>
    </w:p>
    <w:p w:rsidR="00000000" w:rsidDel="00000000" w:rsidP="00000000" w:rsidRDefault="00000000" w:rsidRPr="00000000" w14:paraId="000000E3">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3"/>
        <w:keepNext w:val="0"/>
        <w:keepLines w:val="0"/>
        <w:spacing w:after="40" w:lineRule="auto"/>
        <w:rPr/>
      </w:pPr>
      <w:bookmarkStart w:colFirst="0" w:colLast="0" w:name="_ci97rc151aug" w:id="40"/>
      <w:bookmarkEnd w:id="40"/>
      <w:r w:rsidDel="00000000" w:rsidR="00000000" w:rsidRPr="00000000">
        <w:rPr>
          <w:rtl w:val="0"/>
        </w:rPr>
        <w:t xml:space="preserve">3.4.4 Expected Benefits</w:t>
      </w:r>
    </w:p>
    <w:p w:rsidR="00000000" w:rsidDel="00000000" w:rsidP="00000000" w:rsidRDefault="00000000" w:rsidRPr="00000000" w14:paraId="000000E5">
      <w:pPr>
        <w:numPr>
          <w:ilvl w:val="0"/>
          <w:numId w:val="3"/>
        </w:numPr>
        <w:shd w:fill="ffffff" w:val="clear"/>
        <w:spacing w:after="0" w:afterAutospacing="0" w:before="240" w:line="360" w:lineRule="auto"/>
        <w:ind w:left="720" w:hanging="360"/>
        <w:rPr/>
      </w:pPr>
      <w:r w:rsidDel="00000000" w:rsidR="00000000" w:rsidRPr="00000000">
        <w:rPr>
          <w:rtl w:val="0"/>
        </w:rPr>
        <w:t xml:space="preserve">Reduced MTTR (from hours to minutes)</w:t>
      </w:r>
    </w:p>
    <w:p w:rsidR="00000000" w:rsidDel="00000000" w:rsidP="00000000" w:rsidRDefault="00000000" w:rsidRPr="00000000" w14:paraId="000000E6">
      <w:pPr>
        <w:numPr>
          <w:ilvl w:val="0"/>
          <w:numId w:val="3"/>
        </w:numPr>
        <w:shd w:fill="ffffff" w:val="clear"/>
        <w:spacing w:after="0" w:afterAutospacing="0" w:before="0" w:beforeAutospacing="0" w:line="360" w:lineRule="auto"/>
        <w:ind w:left="720" w:hanging="360"/>
        <w:rPr/>
      </w:pPr>
      <w:r w:rsidDel="00000000" w:rsidR="00000000" w:rsidRPr="00000000">
        <w:rPr>
          <w:rtl w:val="0"/>
        </w:rPr>
        <w:t xml:space="preserve">Improved engineer safety and working conditions</w:t>
      </w:r>
    </w:p>
    <w:p w:rsidR="00000000" w:rsidDel="00000000" w:rsidP="00000000" w:rsidRDefault="00000000" w:rsidRPr="00000000" w14:paraId="000000E7">
      <w:pPr>
        <w:numPr>
          <w:ilvl w:val="0"/>
          <w:numId w:val="3"/>
        </w:numPr>
        <w:shd w:fill="ffffff" w:val="clear"/>
        <w:spacing w:after="0" w:afterAutospacing="0" w:before="0" w:beforeAutospacing="0" w:line="360" w:lineRule="auto"/>
        <w:ind w:left="720" w:hanging="360"/>
        <w:rPr/>
      </w:pPr>
      <w:r w:rsidDel="00000000" w:rsidR="00000000" w:rsidRPr="00000000">
        <w:rPr>
          <w:rtl w:val="0"/>
        </w:rPr>
        <w:t xml:space="preserve">Easier preventative replacement of worn components</w:t>
      </w:r>
    </w:p>
    <w:p w:rsidR="00000000" w:rsidDel="00000000" w:rsidP="00000000" w:rsidRDefault="00000000" w:rsidRPr="00000000" w14:paraId="000000E8">
      <w:pPr>
        <w:numPr>
          <w:ilvl w:val="0"/>
          <w:numId w:val="3"/>
        </w:numPr>
        <w:shd w:fill="ffffff" w:val="clear"/>
        <w:spacing w:after="240" w:before="0" w:beforeAutospacing="0" w:line="360" w:lineRule="auto"/>
        <w:ind w:left="720" w:hanging="360"/>
        <w:rPr/>
      </w:pPr>
      <w:r w:rsidDel="00000000" w:rsidR="00000000" w:rsidRPr="00000000">
        <w:rPr>
          <w:rtl w:val="0"/>
        </w:rPr>
        <w:t xml:space="preserve">Potential integration of temperature probe wiring for improved accessibility</w:t>
      </w:r>
    </w:p>
    <w:p w:rsidR="00000000" w:rsidDel="00000000" w:rsidP="00000000" w:rsidRDefault="00000000" w:rsidRPr="00000000" w14:paraId="000000E9">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pStyle w:val="Heading2"/>
        <w:keepNext w:val="0"/>
        <w:keepLines w:val="0"/>
        <w:shd w:fill="ffffff" w:val="clear"/>
        <w:spacing w:before="280" w:line="360" w:lineRule="auto"/>
        <w:rPr/>
      </w:pPr>
      <w:bookmarkStart w:colFirst="0" w:colLast="0" w:name="_r5e4kws15qdn" w:id="41"/>
      <w:bookmarkEnd w:id="41"/>
      <w:r w:rsidDel="00000000" w:rsidR="00000000" w:rsidRPr="00000000">
        <w:rPr>
          <w:rtl w:val="0"/>
        </w:rPr>
        <w:t xml:space="preserve">3.5 Electrical Condition Monitoring for Submerged Tank Heaters</w:t>
      </w:r>
    </w:p>
    <w:p w:rsidR="00000000" w:rsidDel="00000000" w:rsidP="00000000" w:rsidRDefault="00000000" w:rsidRPr="00000000" w14:paraId="000000EB">
      <w:pPr>
        <w:pStyle w:val="Heading3"/>
        <w:keepNext w:val="0"/>
        <w:keepLines w:val="0"/>
        <w:spacing w:after="40" w:lineRule="auto"/>
        <w:rPr/>
      </w:pPr>
      <w:bookmarkStart w:colFirst="0" w:colLast="0" w:name="_e6jzhc09m7b" w:id="42"/>
      <w:bookmarkEnd w:id="42"/>
      <w:r w:rsidDel="00000000" w:rsidR="00000000" w:rsidRPr="00000000">
        <w:rPr>
          <w:rtl w:val="0"/>
        </w:rPr>
        <w:t xml:space="preserve">3.5.1 Proposal Description</w:t>
      </w:r>
    </w:p>
    <w:p w:rsidR="00000000" w:rsidDel="00000000" w:rsidP="00000000" w:rsidRDefault="00000000" w:rsidRPr="00000000" w14:paraId="000000EC">
      <w:pPr>
        <w:shd w:fill="ffffff" w:val="clear"/>
        <w:spacing w:after="240" w:before="240" w:line="360" w:lineRule="auto"/>
        <w:rPr/>
      </w:pPr>
      <w:r w:rsidDel="00000000" w:rsidR="00000000" w:rsidRPr="00000000">
        <w:rPr>
          <w:rtl w:val="0"/>
        </w:rPr>
        <w:t xml:space="preserve">Introduce a condition-monitoring programme for tank heaters using resistance, insulation resistance, and current measurements. These tests can be performed without draining the tank, avoiding the current reactive approach (Ellis, 2008).</w:t>
      </w:r>
    </w:p>
    <w:p w:rsidR="00000000" w:rsidDel="00000000" w:rsidP="00000000" w:rsidRDefault="00000000" w:rsidRPr="00000000" w14:paraId="000000ED">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3"/>
        <w:keepNext w:val="0"/>
        <w:keepLines w:val="0"/>
        <w:spacing w:after="40" w:lineRule="auto"/>
        <w:rPr/>
      </w:pPr>
      <w:bookmarkStart w:colFirst="0" w:colLast="0" w:name="_pskhh75uad35" w:id="43"/>
      <w:bookmarkEnd w:id="43"/>
      <w:r w:rsidDel="00000000" w:rsidR="00000000" w:rsidRPr="00000000">
        <w:rPr>
          <w:rtl w:val="0"/>
        </w:rPr>
        <w:t xml:space="preserve">3.5.2 Theoretical Justification</w:t>
      </w:r>
    </w:p>
    <w:p w:rsidR="00000000" w:rsidDel="00000000" w:rsidP="00000000" w:rsidRDefault="00000000" w:rsidRPr="00000000" w14:paraId="000000EF">
      <w:pPr>
        <w:shd w:fill="ffffff" w:val="clear"/>
        <w:spacing w:after="240" w:before="240" w:line="360" w:lineRule="auto"/>
        <w:rPr/>
      </w:pPr>
      <w:r w:rsidDel="00000000" w:rsidR="00000000" w:rsidRPr="00000000">
        <w:rPr>
          <w:rtl w:val="0"/>
        </w:rPr>
        <w:t xml:space="preserve">Heating elements degrade over time, with resistance increasing prior to failure. Small changes in resistance can act as early warning indicators (Livina, Lewis and Wickham, 2024).</w:t>
      </w:r>
    </w:p>
    <w:p w:rsidR="00000000" w:rsidDel="00000000" w:rsidP="00000000" w:rsidRDefault="00000000" w:rsidRPr="00000000" w14:paraId="000000F0">
      <w:pPr>
        <w:shd w:fill="ffffff" w:val="clear"/>
        <w:spacing w:after="240" w:before="240" w:line="360" w:lineRule="auto"/>
        <w:rPr/>
      </w:pPr>
      <w:r w:rsidDel="00000000" w:rsidR="00000000" w:rsidRPr="00000000">
        <w:rPr>
          <w:rtl w:val="0"/>
        </w:rPr>
        <w:t xml:space="preserve">Similarly, reduced insulation resistance indicates moisture ingress (Shankar and Dave, 2021), while a drop in current draw suggests reduced heat output (Bell, 2026). Monitoring these trends enables prediction of failure and supports condition-based maintenance (Mählkvist, Ejenstam and Kyprianidis, 2024).</w:t>
      </w:r>
    </w:p>
    <w:p w:rsidR="00000000" w:rsidDel="00000000" w:rsidP="00000000" w:rsidRDefault="00000000" w:rsidRPr="00000000" w14:paraId="000000F1">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pStyle w:val="Heading3"/>
        <w:keepNext w:val="0"/>
        <w:keepLines w:val="0"/>
        <w:spacing w:after="40" w:lineRule="auto"/>
        <w:rPr/>
      </w:pPr>
      <w:bookmarkStart w:colFirst="0" w:colLast="0" w:name="_ci3khk5kbvmn" w:id="44"/>
      <w:bookmarkEnd w:id="44"/>
      <w:r w:rsidDel="00000000" w:rsidR="00000000" w:rsidRPr="00000000">
        <w:rPr>
          <w:rtl w:val="0"/>
        </w:rPr>
        <w:t xml:space="preserve">3.5.3 Implementation Approach</w:t>
      </w:r>
    </w:p>
    <w:p w:rsidR="00000000" w:rsidDel="00000000" w:rsidP="00000000" w:rsidRDefault="00000000" w:rsidRPr="00000000" w14:paraId="000000F3">
      <w:pPr>
        <w:numPr>
          <w:ilvl w:val="0"/>
          <w:numId w:val="7"/>
        </w:numPr>
        <w:shd w:fill="ffffff" w:val="clear"/>
        <w:spacing w:after="0" w:afterAutospacing="0" w:before="240" w:line="360" w:lineRule="auto"/>
        <w:ind w:left="720" w:hanging="360"/>
        <w:rPr/>
      </w:pPr>
      <w:r w:rsidDel="00000000" w:rsidR="00000000" w:rsidRPr="00000000">
        <w:rPr>
          <w:rtl w:val="0"/>
        </w:rPr>
        <w:t xml:space="preserve">Measure resistance monthly and trend against baseline values</w:t>
      </w:r>
    </w:p>
    <w:p w:rsidR="00000000" w:rsidDel="00000000" w:rsidP="00000000" w:rsidRDefault="00000000" w:rsidRPr="00000000" w14:paraId="000000F4">
      <w:pPr>
        <w:numPr>
          <w:ilvl w:val="0"/>
          <w:numId w:val="7"/>
        </w:numPr>
        <w:shd w:fill="ffffff" w:val="clear"/>
        <w:spacing w:after="0" w:afterAutospacing="0" w:before="0" w:beforeAutospacing="0" w:line="360" w:lineRule="auto"/>
        <w:ind w:left="720" w:hanging="360"/>
        <w:rPr/>
      </w:pPr>
      <w:r w:rsidDel="00000000" w:rsidR="00000000" w:rsidRPr="00000000">
        <w:rPr>
          <w:rtl w:val="0"/>
        </w:rPr>
        <w:t xml:space="preserve">Conduct quarterly insulation (megger) tests</w:t>
      </w:r>
    </w:p>
    <w:p w:rsidR="00000000" w:rsidDel="00000000" w:rsidP="00000000" w:rsidRDefault="00000000" w:rsidRPr="00000000" w14:paraId="000000F5">
      <w:pPr>
        <w:numPr>
          <w:ilvl w:val="0"/>
          <w:numId w:val="7"/>
        </w:numPr>
        <w:shd w:fill="ffffff" w:val="clear"/>
        <w:spacing w:after="240" w:before="0" w:beforeAutospacing="0" w:line="360" w:lineRule="auto"/>
        <w:ind w:left="720" w:hanging="360"/>
        <w:rPr/>
      </w:pPr>
      <w:r w:rsidDel="00000000" w:rsidR="00000000" w:rsidRPr="00000000">
        <w:rPr>
          <w:rtl w:val="0"/>
        </w:rPr>
        <w:t xml:space="preserve">Monitor current draw during operation using a clamp meter</w:t>
      </w:r>
    </w:p>
    <w:p w:rsidR="00000000" w:rsidDel="00000000" w:rsidP="00000000" w:rsidRDefault="00000000" w:rsidRPr="00000000" w14:paraId="000000F6">
      <w:pPr>
        <w:shd w:fill="ffffff" w:val="clear"/>
        <w:spacing w:after="240" w:before="240" w:line="360" w:lineRule="auto"/>
        <w:rPr/>
      </w:pPr>
      <w:r w:rsidDel="00000000" w:rsidR="00000000" w:rsidRPr="00000000">
        <w:rPr>
          <w:rtl w:val="0"/>
        </w:rPr>
        <w:t xml:space="preserve">Results can be logged in a simple spreadsheet to identify trends and plan replacements.</w:t>
      </w:r>
    </w:p>
    <w:p w:rsidR="00000000" w:rsidDel="00000000" w:rsidP="00000000" w:rsidRDefault="00000000" w:rsidRPr="00000000" w14:paraId="000000F7">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pStyle w:val="Heading3"/>
        <w:keepNext w:val="0"/>
        <w:keepLines w:val="0"/>
        <w:spacing w:after="40" w:lineRule="auto"/>
        <w:rPr/>
      </w:pPr>
      <w:bookmarkStart w:colFirst="0" w:colLast="0" w:name="_3izbmerkzjfg" w:id="45"/>
      <w:bookmarkEnd w:id="45"/>
      <w:r w:rsidDel="00000000" w:rsidR="00000000" w:rsidRPr="00000000">
        <w:rPr>
          <w:rtl w:val="0"/>
        </w:rPr>
        <w:t xml:space="preserve">3.5.4 Expected Benefits</w:t>
      </w:r>
    </w:p>
    <w:p w:rsidR="00000000" w:rsidDel="00000000" w:rsidP="00000000" w:rsidRDefault="00000000" w:rsidRPr="00000000" w14:paraId="000000F9">
      <w:pPr>
        <w:numPr>
          <w:ilvl w:val="0"/>
          <w:numId w:val="11"/>
        </w:numPr>
        <w:shd w:fill="ffffff" w:val="clear"/>
        <w:spacing w:after="0" w:afterAutospacing="0" w:before="240" w:line="360" w:lineRule="auto"/>
        <w:ind w:left="720" w:hanging="360"/>
        <w:rPr/>
      </w:pPr>
      <w:r w:rsidDel="00000000" w:rsidR="00000000" w:rsidRPr="00000000">
        <w:rPr>
          <w:rtl w:val="0"/>
        </w:rPr>
        <w:t xml:space="preserve">Eliminates unnecessary tank drainage and cooling delays</w:t>
      </w:r>
    </w:p>
    <w:p w:rsidR="00000000" w:rsidDel="00000000" w:rsidP="00000000" w:rsidRDefault="00000000" w:rsidRPr="00000000" w14:paraId="000000FA">
      <w:pPr>
        <w:numPr>
          <w:ilvl w:val="0"/>
          <w:numId w:val="11"/>
        </w:numPr>
        <w:shd w:fill="ffffff" w:val="clear"/>
        <w:spacing w:after="0" w:afterAutospacing="0" w:before="0" w:beforeAutospacing="0" w:line="360" w:lineRule="auto"/>
        <w:ind w:left="720" w:hanging="360"/>
        <w:rPr/>
      </w:pPr>
      <w:r w:rsidDel="00000000" w:rsidR="00000000" w:rsidRPr="00000000">
        <w:rPr>
          <w:rtl w:val="0"/>
        </w:rPr>
        <w:t xml:space="preserve">Reduces chemical waste</w:t>
      </w:r>
    </w:p>
    <w:p w:rsidR="00000000" w:rsidDel="00000000" w:rsidP="00000000" w:rsidRDefault="00000000" w:rsidRPr="00000000" w14:paraId="000000FB">
      <w:pPr>
        <w:numPr>
          <w:ilvl w:val="0"/>
          <w:numId w:val="11"/>
        </w:numPr>
        <w:shd w:fill="ffffff" w:val="clear"/>
        <w:spacing w:after="0" w:afterAutospacing="0" w:before="0" w:beforeAutospacing="0" w:line="360" w:lineRule="auto"/>
        <w:ind w:left="720" w:hanging="360"/>
        <w:rPr/>
      </w:pPr>
      <w:r w:rsidDel="00000000" w:rsidR="00000000" w:rsidRPr="00000000">
        <w:rPr>
          <w:rtl w:val="0"/>
        </w:rPr>
        <w:t xml:space="preserve">Enables planned heater replacement</w:t>
      </w:r>
    </w:p>
    <w:p w:rsidR="00000000" w:rsidDel="00000000" w:rsidP="00000000" w:rsidRDefault="00000000" w:rsidRPr="00000000" w14:paraId="000000FC">
      <w:pPr>
        <w:numPr>
          <w:ilvl w:val="0"/>
          <w:numId w:val="11"/>
        </w:numPr>
        <w:shd w:fill="ffffff" w:val="clear"/>
        <w:spacing w:after="240" w:before="0" w:beforeAutospacing="0" w:line="360" w:lineRule="auto"/>
        <w:ind w:left="720" w:hanging="360"/>
        <w:rPr/>
      </w:pPr>
      <w:r w:rsidDel="00000000" w:rsidR="00000000" w:rsidRPr="00000000">
        <w:rPr>
          <w:rtl w:val="0"/>
        </w:rPr>
        <w:t xml:space="preserve">Supports data-driven maintenance decisions (Gomaa, 2025)</w:t>
      </w:r>
    </w:p>
    <w:p w:rsidR="00000000" w:rsidDel="00000000" w:rsidP="00000000" w:rsidRDefault="00000000" w:rsidRPr="00000000" w14:paraId="000000FD">
      <w:pPr>
        <w:shd w:fill="ffffff" w:val="clear"/>
        <w:spacing w:after="240" w:before="240" w:line="360" w:lineRule="auto"/>
        <w:rPr/>
      </w:pPr>
      <w:r w:rsidDel="00000000" w:rsidR="00000000" w:rsidRPr="00000000">
        <w:rPr>
          <w:rtl w:val="0"/>
        </w:rPr>
        <w:t xml:space="preserve">This approach can also be applied to hot air box heaters.</w:t>
      </w:r>
    </w:p>
    <w:p w:rsidR="00000000" w:rsidDel="00000000" w:rsidP="00000000" w:rsidRDefault="00000000" w:rsidRPr="00000000" w14:paraId="000000FE">
      <w:pPr>
        <w:shd w:fill="ffffff" w:val="clear"/>
        <w:spacing w:after="240" w:before="2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pStyle w:val="Heading2"/>
        <w:keepNext w:val="0"/>
        <w:keepLines w:val="0"/>
        <w:shd w:fill="ffffff" w:val="clear"/>
        <w:spacing w:before="280" w:line="360" w:lineRule="auto"/>
        <w:rPr/>
      </w:pPr>
      <w:bookmarkStart w:colFirst="0" w:colLast="0" w:name="_hbx9ucelkse9" w:id="46"/>
      <w:bookmarkEnd w:id="46"/>
      <w:r w:rsidDel="00000000" w:rsidR="00000000" w:rsidRPr="00000000">
        <w:rPr>
          <w:rtl w:val="0"/>
        </w:rPr>
        <w:t xml:space="preserve">3.6 Segmentation of the PPM Schedule</w:t>
      </w:r>
    </w:p>
    <w:p w:rsidR="00000000" w:rsidDel="00000000" w:rsidP="00000000" w:rsidRDefault="00000000" w:rsidRPr="00000000" w14:paraId="00000100">
      <w:pPr>
        <w:shd w:fill="ffffff" w:val="clear"/>
        <w:spacing w:after="240" w:before="240" w:line="360" w:lineRule="auto"/>
        <w:rPr/>
      </w:pPr>
      <w:r w:rsidDel="00000000" w:rsidR="00000000" w:rsidRPr="00000000">
        <w:rPr>
          <w:rtl w:val="0"/>
        </w:rPr>
        <w:t xml:space="preserve">Restructuring the existing PPM schedule into smaller, area-based sections would improve maintenance effectiveness. Instead of completing all tasks at once, activities would be distributed across different areas and time periods.</w:t>
      </w:r>
    </w:p>
    <w:p w:rsidR="00000000" w:rsidDel="00000000" w:rsidP="00000000" w:rsidRDefault="00000000" w:rsidRPr="00000000" w14:paraId="00000101">
      <w:pPr>
        <w:shd w:fill="ffffff" w:val="clear"/>
        <w:spacing w:after="240" w:before="240" w:line="360" w:lineRule="auto"/>
        <w:rPr/>
      </w:pPr>
      <w:r w:rsidDel="00000000" w:rsidR="00000000" w:rsidRPr="00000000">
        <w:rPr>
          <w:rtl w:val="0"/>
        </w:rPr>
        <w:t xml:space="preserve">This reduces time pressure and allows more thorough inspections. Rushed maintenance increases the likelihood of missed faults (Mobley, 2014), whereas a more focused approach improves detection of early-stage issues such as leaks or corrosion (Ahmad and Kamaruddin, 2012).</w:t>
      </w:r>
    </w:p>
    <w:p w:rsidR="00000000" w:rsidDel="00000000" w:rsidP="00000000" w:rsidRDefault="00000000" w:rsidRPr="00000000" w14:paraId="00000102">
      <w:pPr>
        <w:shd w:fill="ffffff" w:val="clear"/>
        <w:spacing w:after="240" w:before="240" w:line="360" w:lineRule="auto"/>
        <w:rPr/>
      </w:pPr>
      <w:r w:rsidDel="00000000" w:rsidR="00000000" w:rsidRPr="00000000">
        <w:rPr>
          <w:rtl w:val="0"/>
        </w:rPr>
        <w:t xml:space="preserve">This change requires no additional resources but supports more consistent and effective maintenance, aligning with planned maintenance principles (Gomaa, 2025).</w:t>
      </w:r>
    </w:p>
    <w:p w:rsidR="00000000" w:rsidDel="00000000" w:rsidP="00000000" w:rsidRDefault="00000000" w:rsidRPr="00000000" w14:paraId="00000103">
      <w:pPr>
        <w:shd w:fill="ffffff" w:val="clea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4">
      <w:pPr>
        <w:pStyle w:val="Heading2"/>
        <w:keepNext w:val="0"/>
        <w:keepLines w:val="0"/>
        <w:shd w:fill="ffffff" w:val="clear"/>
        <w:spacing w:after="240" w:before="480" w:line="360" w:lineRule="auto"/>
        <w:rPr/>
      </w:pPr>
      <w:bookmarkStart w:colFirst="0" w:colLast="0" w:name="_i60ltcg49p70" w:id="47"/>
      <w:bookmarkEnd w:id="47"/>
      <w:r w:rsidDel="00000000" w:rsidR="00000000" w:rsidRPr="00000000">
        <w:rPr>
          <w:rtl w:val="0"/>
        </w:rPr>
        <w:t xml:space="preserve">3.7 Integration into Revised PPM Schedule</w:t>
      </w:r>
    </w:p>
    <w:p w:rsidR="00000000" w:rsidDel="00000000" w:rsidP="00000000" w:rsidRDefault="00000000" w:rsidRPr="00000000" w14:paraId="00000105">
      <w:pPr>
        <w:shd w:fill="ffffff" w:val="clear"/>
        <w:spacing w:after="240" w:before="240" w:line="360" w:lineRule="auto"/>
        <w:rPr>
          <w:color w:val="0f1115"/>
        </w:rPr>
      </w:pPr>
      <w:r w:rsidDel="00000000" w:rsidR="00000000" w:rsidRPr="00000000">
        <w:rPr>
          <w:color w:val="0f1115"/>
          <w:rtl w:val="0"/>
        </w:rPr>
        <w:t xml:space="preserve">The proposed improvements would be integrated into a new single area (Process line) PPM schedule as follows. </w:t>
      </w:r>
    </w:p>
    <w:p w:rsidR="00000000" w:rsidDel="00000000" w:rsidP="00000000" w:rsidRDefault="00000000" w:rsidRPr="00000000" w14:paraId="00000106">
      <w:pPr>
        <w:shd w:fill="ffffff" w:val="clear"/>
        <w:spacing w:after="240" w:before="240" w:line="360" w:lineRule="auto"/>
        <w:rPr>
          <w:color w:val="ff0000"/>
        </w:rPr>
      </w:pPr>
      <w:r w:rsidDel="00000000" w:rsidR="00000000" w:rsidRPr="00000000">
        <w:rPr>
          <w:color w:val="0f1115"/>
        </w:rPr>
        <w:drawing>
          <wp:inline distB="114300" distT="114300" distL="114300" distR="114300">
            <wp:extent cx="5734050" cy="6605588"/>
            <wp:effectExtent b="0" l="0" r="0" t="0"/>
            <wp:docPr id="5"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5734050" cy="6605588"/>
                    </a:xfrm>
                    <a:prstGeom prst="rect"/>
                    <a:ln/>
                  </pic:spPr>
                </pic:pic>
              </a:graphicData>
            </a:graphic>
          </wp:inline>
        </w:drawing>
      </w:r>
      <w:r w:rsidDel="00000000" w:rsidR="00000000" w:rsidRPr="00000000">
        <w:rPr>
          <w:color w:val="ff0000"/>
          <w:rtl w:val="0"/>
        </w:rPr>
        <w:t xml:space="preserve"> </w:t>
      </w:r>
    </w:p>
    <w:p w:rsidR="00000000" w:rsidDel="00000000" w:rsidP="00000000" w:rsidRDefault="00000000" w:rsidRPr="00000000" w14:paraId="00000107">
      <w:pPr>
        <w:pStyle w:val="Heading4"/>
        <w:keepNext w:val="0"/>
        <w:keepLines w:val="0"/>
        <w:rPr/>
      </w:pPr>
      <w:bookmarkStart w:colFirst="0" w:colLast="0" w:name="_vbl45rb3ybel" w:id="48"/>
      <w:bookmarkEnd w:id="48"/>
      <w:r w:rsidDel="00000000" w:rsidR="00000000" w:rsidRPr="00000000">
        <w:rPr>
          <w:rtl w:val="0"/>
        </w:rPr>
        <w:t xml:space="preserve">FTable 1: Revised  copy of the PPM schedule for the process line.</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pStyle w:val="Heading1"/>
        <w:keepNext w:val="0"/>
        <w:keepLines w:val="0"/>
        <w:rPr/>
      </w:pPr>
      <w:bookmarkStart w:colFirst="0" w:colLast="0" w:name="_c4p9b2oyz04e" w:id="49"/>
      <w:bookmarkEnd w:id="49"/>
      <w:r w:rsidDel="00000000" w:rsidR="00000000" w:rsidRPr="00000000">
        <w:rPr>
          <w:rtl w:val="0"/>
        </w:rPr>
        <w:t xml:space="preserve">4. Consideration of Costs and Resources</w:t>
      </w:r>
    </w:p>
    <w:p w:rsidR="00000000" w:rsidDel="00000000" w:rsidP="00000000" w:rsidRDefault="00000000" w:rsidRPr="00000000" w14:paraId="0000010F">
      <w:pPr>
        <w:pStyle w:val="Heading2"/>
        <w:keepNext w:val="0"/>
        <w:keepLines w:val="0"/>
        <w:shd w:fill="ffffff" w:val="clear"/>
        <w:spacing w:after="240" w:before="480" w:line="360" w:lineRule="auto"/>
        <w:rPr/>
      </w:pPr>
      <w:bookmarkStart w:colFirst="0" w:colLast="0" w:name="_7nydcgf19t47" w:id="50"/>
      <w:bookmarkEnd w:id="50"/>
      <w:r w:rsidDel="00000000" w:rsidR="00000000" w:rsidRPr="00000000">
        <w:rPr>
          <w:rtl w:val="0"/>
        </w:rPr>
        <w:t xml:space="preserve">4.1 Direct Costs</w:t>
      </w:r>
    </w:p>
    <w:p w:rsidR="00000000" w:rsidDel="00000000" w:rsidP="00000000" w:rsidRDefault="00000000" w:rsidRPr="00000000" w14:paraId="00000110">
      <w:pPr>
        <w:pStyle w:val="Heading3"/>
        <w:keepNext w:val="0"/>
        <w:keepLines w:val="0"/>
        <w:shd w:fill="ffffff" w:val="clear"/>
        <w:spacing w:after="240" w:before="480" w:line="360" w:lineRule="auto"/>
        <w:rPr>
          <w:color w:val="0f1115"/>
          <w:sz w:val="22"/>
          <w:szCs w:val="22"/>
        </w:rPr>
      </w:pPr>
      <w:bookmarkStart w:colFirst="0" w:colLast="0" w:name="_hpoc9abv81bz" w:id="51"/>
      <w:bookmarkEnd w:id="51"/>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352481</wp:posOffset>
            </wp:positionV>
            <wp:extent cx="5731200" cy="3048000"/>
            <wp:effectExtent b="0" l="0" r="0" t="0"/>
            <wp:wrapSquare wrapText="bothSides" distB="114300" distT="114300" distL="114300" distR="114300"/>
            <wp:docPr id="1"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731200" cy="3048000"/>
                    </a:xfrm>
                    <a:prstGeom prst="rect"/>
                    <a:ln/>
                  </pic:spPr>
                </pic:pic>
              </a:graphicData>
            </a:graphic>
          </wp:anchor>
        </w:drawing>
      </w:r>
    </w:p>
    <w:p w:rsidR="00000000" w:rsidDel="00000000" w:rsidP="00000000" w:rsidRDefault="00000000" w:rsidRPr="00000000" w14:paraId="00000111">
      <w:pPr>
        <w:pStyle w:val="Heading4"/>
        <w:keepNext w:val="0"/>
        <w:keepLines w:val="0"/>
        <w:shd w:fill="ffffff" w:val="clear"/>
        <w:spacing w:after="240" w:before="480" w:line="360" w:lineRule="auto"/>
        <w:rPr/>
      </w:pPr>
      <w:bookmarkStart w:colFirst="0" w:colLast="0" w:name="_xw0m1z84tcek" w:id="52"/>
      <w:bookmarkEnd w:id="52"/>
      <w:r w:rsidDel="00000000" w:rsidR="00000000" w:rsidRPr="00000000">
        <w:rPr>
          <w:rtl w:val="0"/>
        </w:rPr>
        <w:t xml:space="preserve">Table 2</w:t>
      </w:r>
      <w:r w:rsidDel="00000000" w:rsidR="00000000" w:rsidRPr="00000000">
        <w:rPr>
          <w:rtl w:val="0"/>
        </w:rPr>
        <w:t xml:space="preserve"> Estimated  costs and pay back periods</w:t>
      </w:r>
    </w:p>
    <w:p w:rsidR="00000000" w:rsidDel="00000000" w:rsidP="00000000" w:rsidRDefault="00000000" w:rsidRPr="00000000" w14:paraId="00000112">
      <w:pPr>
        <w:pStyle w:val="Heading2"/>
        <w:keepNext w:val="0"/>
        <w:keepLines w:val="0"/>
        <w:shd w:fill="ffffff" w:val="clear"/>
        <w:spacing w:after="240" w:before="480" w:line="360" w:lineRule="auto"/>
        <w:rPr/>
      </w:pPr>
      <w:bookmarkStart w:colFirst="0" w:colLast="0" w:name="_qpf5fa6glt3m" w:id="53"/>
      <w:bookmarkEnd w:id="53"/>
      <w:r w:rsidDel="00000000" w:rsidR="00000000" w:rsidRPr="00000000">
        <w:rPr>
          <w:rtl w:val="0"/>
        </w:rPr>
        <w:t xml:space="preserve">4.2 Indirect Costs and Savings</w:t>
      </w:r>
    </w:p>
    <w:p w:rsidR="00000000" w:rsidDel="00000000" w:rsidP="00000000" w:rsidRDefault="00000000" w:rsidRPr="00000000" w14:paraId="00000113">
      <w:pPr>
        <w:shd w:fill="ffffff" w:val="clear"/>
        <w:spacing w:after="240" w:before="240" w:line="360" w:lineRule="auto"/>
        <w:rPr/>
      </w:pPr>
      <w:r w:rsidDel="00000000" w:rsidR="00000000" w:rsidRPr="00000000">
        <w:rPr>
          <w:rtl w:val="0"/>
        </w:rPr>
        <w:t xml:space="preserve">The maintenance literature consistently shows that condition-based approaches are more cost-effective than reactive or purely time-based strategies. Leoni et al. (2021) note that time-based maintenance can waste useful component life, whereas condition-based maintenance can reduce costs by up to 32.5%. Converting reactive tasks into planned, data-driven interventions therefore offers significant indirect savings.</w:t>
      </w:r>
    </w:p>
    <w:p w:rsidR="00000000" w:rsidDel="00000000" w:rsidP="00000000" w:rsidRDefault="00000000" w:rsidRPr="00000000" w14:paraId="00000114">
      <w:pPr>
        <w:shd w:fill="ffffff" w:val="clear"/>
        <w:spacing w:after="240" w:before="240" w:line="360" w:lineRule="auto"/>
        <w:rPr/>
      </w:pPr>
      <w:r w:rsidDel="00000000" w:rsidR="00000000" w:rsidRPr="00000000">
        <w:rPr>
          <w:rtl w:val="0"/>
        </w:rPr>
        <w:t xml:space="preserve">For example, if the process line experiences two rectifier cable failures per year, each causing 8 hours of downtime at £1,205/hour (Section 1), this equates to an annual cost of £20,000. Implementing thermal imaging at an estimated cost of £6,500 (Fluke Ti300+; Appendix 5) could eliminate these failures, generating a net saving of approximately £13,500 in the first year alone.</w:t>
      </w:r>
    </w:p>
    <w:p w:rsidR="00000000" w:rsidDel="00000000" w:rsidP="00000000" w:rsidRDefault="00000000" w:rsidRPr="00000000" w14:paraId="00000115">
      <w:pPr>
        <w:shd w:fill="ffffff" w:val="clea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6">
      <w:pPr>
        <w:pStyle w:val="Heading2"/>
        <w:keepNext w:val="0"/>
        <w:keepLines w:val="0"/>
        <w:shd w:fill="ffffff" w:val="clear"/>
        <w:spacing w:before="280" w:line="360" w:lineRule="auto"/>
        <w:rPr/>
      </w:pPr>
      <w:bookmarkStart w:colFirst="0" w:colLast="0" w:name="_3iv2h2rzx4dm" w:id="54"/>
      <w:bookmarkEnd w:id="54"/>
      <w:r w:rsidDel="00000000" w:rsidR="00000000" w:rsidRPr="00000000">
        <w:rPr>
          <w:rtl w:val="0"/>
        </w:rPr>
        <w:t xml:space="preserve">4.3 Resource Requirements</w:t>
      </w:r>
    </w:p>
    <w:p w:rsidR="00000000" w:rsidDel="00000000" w:rsidP="00000000" w:rsidRDefault="00000000" w:rsidRPr="00000000" w14:paraId="00000117">
      <w:pPr>
        <w:pStyle w:val="Heading3"/>
        <w:keepNext w:val="0"/>
        <w:keepLines w:val="0"/>
        <w:spacing w:after="40" w:lineRule="auto"/>
        <w:rPr/>
      </w:pPr>
      <w:bookmarkStart w:colFirst="0" w:colLast="0" w:name="_xgp7jkwyeu3p" w:id="55"/>
      <w:bookmarkEnd w:id="55"/>
      <w:r w:rsidDel="00000000" w:rsidR="00000000" w:rsidRPr="00000000">
        <w:rPr>
          <w:rtl w:val="0"/>
        </w:rPr>
        <w:t xml:space="preserve">4.3.1 Staff Training</w:t>
      </w:r>
    </w:p>
    <w:p w:rsidR="00000000" w:rsidDel="00000000" w:rsidP="00000000" w:rsidRDefault="00000000" w:rsidRPr="00000000" w14:paraId="00000118">
      <w:pPr>
        <w:numPr>
          <w:ilvl w:val="0"/>
          <w:numId w:val="2"/>
        </w:numPr>
        <w:shd w:fill="ffffff" w:val="clear"/>
        <w:spacing w:after="0" w:afterAutospacing="0" w:before="240" w:line="360" w:lineRule="auto"/>
        <w:ind w:left="720" w:hanging="360"/>
        <w:rPr>
          <w:rFonts w:ascii="Roboto" w:cs="Roboto" w:eastAsia="Roboto" w:hAnsi="Roboto"/>
        </w:rPr>
      </w:pPr>
      <w:r w:rsidDel="00000000" w:rsidR="00000000" w:rsidRPr="00000000">
        <w:rPr>
          <w:rtl w:val="0"/>
        </w:rPr>
        <w:t xml:space="preserve">Thermography: One engineer trained from each shift trained in thermography. (Can then pass knowledge onto other engineers)</w:t>
      </w:r>
    </w:p>
    <w:p w:rsidR="00000000" w:rsidDel="00000000" w:rsidP="00000000" w:rsidRDefault="00000000" w:rsidRPr="00000000" w14:paraId="00000119">
      <w:pPr>
        <w:numPr>
          <w:ilvl w:val="0"/>
          <w:numId w:val="2"/>
        </w:numPr>
        <w:shd w:fill="ffffff" w:val="clear"/>
        <w:spacing w:after="0" w:afterAutospacing="0" w:before="0" w:beforeAutospacing="0" w:line="360" w:lineRule="auto"/>
        <w:ind w:left="720" w:hanging="360"/>
        <w:rPr>
          <w:rFonts w:ascii="Roboto" w:cs="Roboto" w:eastAsia="Roboto" w:hAnsi="Roboto"/>
        </w:rPr>
      </w:pPr>
      <w:r w:rsidDel="00000000" w:rsidR="00000000" w:rsidRPr="00000000">
        <w:rPr>
          <w:rtl w:val="0"/>
        </w:rPr>
        <w:t xml:space="preserve">Condition monitoring: Delivered in-house using existing materials</w:t>
      </w:r>
    </w:p>
    <w:p w:rsidR="00000000" w:rsidDel="00000000" w:rsidP="00000000" w:rsidRDefault="00000000" w:rsidRPr="00000000" w14:paraId="0000011A">
      <w:pPr>
        <w:numPr>
          <w:ilvl w:val="0"/>
          <w:numId w:val="2"/>
        </w:numPr>
        <w:shd w:fill="ffffff" w:val="clear"/>
        <w:spacing w:after="240" w:before="0" w:beforeAutospacing="0" w:line="360" w:lineRule="auto"/>
        <w:ind w:left="720" w:hanging="360"/>
        <w:rPr>
          <w:rFonts w:ascii="Roboto" w:cs="Roboto" w:eastAsia="Roboto" w:hAnsi="Roboto"/>
        </w:rPr>
      </w:pPr>
      <w:r w:rsidDel="00000000" w:rsidR="00000000" w:rsidRPr="00000000">
        <w:rPr>
          <w:rtl w:val="0"/>
        </w:rPr>
        <w:t xml:space="preserve">pH calibration: No additional training required; procedural update only</w:t>
      </w:r>
    </w:p>
    <w:p w:rsidR="00000000" w:rsidDel="00000000" w:rsidP="00000000" w:rsidRDefault="00000000" w:rsidRPr="00000000" w14:paraId="0000011B">
      <w:pPr>
        <w:shd w:fill="ffffff" w:val="clea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C">
      <w:pPr>
        <w:pStyle w:val="Heading3"/>
        <w:keepNext w:val="0"/>
        <w:keepLines w:val="0"/>
        <w:spacing w:after="40" w:lineRule="auto"/>
        <w:rPr/>
      </w:pPr>
      <w:bookmarkStart w:colFirst="0" w:colLast="0" w:name="_nz2dd9y099ay" w:id="56"/>
      <w:bookmarkEnd w:id="56"/>
      <w:r w:rsidDel="00000000" w:rsidR="00000000" w:rsidRPr="00000000">
        <w:rPr>
          <w:rtl w:val="0"/>
        </w:rPr>
        <w:t xml:space="preserve">4.3.2 Change Management Implications</w:t>
      </w:r>
    </w:p>
    <w:p w:rsidR="00000000" w:rsidDel="00000000" w:rsidP="00000000" w:rsidRDefault="00000000" w:rsidRPr="00000000" w14:paraId="0000011D">
      <w:pPr>
        <w:shd w:fill="ffffff" w:val="clear"/>
        <w:spacing w:after="240" w:before="240" w:line="360" w:lineRule="auto"/>
        <w:rPr/>
      </w:pPr>
      <w:r w:rsidDel="00000000" w:rsidR="00000000" w:rsidRPr="00000000">
        <w:rPr>
          <w:rtl w:val="0"/>
        </w:rPr>
        <w:t xml:space="preserve">Adopting condition monitoring represents a shift from time-based to evidence-based maintenance. Successful implementation depends on:</w:t>
      </w:r>
    </w:p>
    <w:p w:rsidR="00000000" w:rsidDel="00000000" w:rsidP="00000000" w:rsidRDefault="00000000" w:rsidRPr="00000000" w14:paraId="0000011E">
      <w:pPr>
        <w:numPr>
          <w:ilvl w:val="0"/>
          <w:numId w:val="4"/>
        </w:numPr>
        <w:shd w:fill="ffffff" w:val="clear"/>
        <w:spacing w:after="0" w:afterAutospacing="0" w:before="240" w:line="360" w:lineRule="auto"/>
        <w:ind w:left="720" w:hanging="360"/>
        <w:rPr>
          <w:rFonts w:ascii="Roboto" w:cs="Roboto" w:eastAsia="Roboto" w:hAnsi="Roboto"/>
        </w:rPr>
      </w:pPr>
      <w:r w:rsidDel="00000000" w:rsidR="00000000" w:rsidRPr="00000000">
        <w:rPr>
          <w:rtl w:val="0"/>
        </w:rPr>
        <w:t xml:space="preserve">Management support: Essential for approval of investment and resources</w:t>
      </w:r>
    </w:p>
    <w:p w:rsidR="00000000" w:rsidDel="00000000" w:rsidP="00000000" w:rsidRDefault="00000000" w:rsidRPr="00000000" w14:paraId="0000011F">
      <w:pPr>
        <w:numPr>
          <w:ilvl w:val="0"/>
          <w:numId w:val="4"/>
        </w:numPr>
        <w:shd w:fill="ffffff" w:val="clear"/>
        <w:spacing w:after="0" w:afterAutospacing="0" w:before="0" w:beforeAutospacing="0" w:line="360" w:lineRule="auto"/>
        <w:ind w:left="720" w:hanging="360"/>
        <w:rPr>
          <w:rFonts w:ascii="Roboto" w:cs="Roboto" w:eastAsia="Roboto" w:hAnsi="Roboto"/>
        </w:rPr>
      </w:pPr>
      <w:r w:rsidDel="00000000" w:rsidR="00000000" w:rsidRPr="00000000">
        <w:rPr>
          <w:rtl w:val="0"/>
        </w:rPr>
        <w:t xml:space="preserve">Staff involvement: Engineers must understand the value of accurate, consistent data collection</w:t>
      </w:r>
    </w:p>
    <w:p w:rsidR="00000000" w:rsidDel="00000000" w:rsidP="00000000" w:rsidRDefault="00000000" w:rsidRPr="00000000" w14:paraId="00000120">
      <w:pPr>
        <w:numPr>
          <w:ilvl w:val="0"/>
          <w:numId w:val="4"/>
        </w:numPr>
        <w:shd w:fill="ffffff" w:val="clear"/>
        <w:spacing w:after="240" w:before="0" w:beforeAutospacing="0" w:line="360" w:lineRule="auto"/>
        <w:ind w:left="720" w:hanging="360"/>
        <w:rPr>
          <w:rFonts w:ascii="Roboto" w:cs="Roboto" w:eastAsia="Roboto" w:hAnsi="Roboto"/>
        </w:rPr>
      </w:pPr>
      <w:r w:rsidDel="00000000" w:rsidR="00000000" w:rsidRPr="00000000">
        <w:rPr>
          <w:rtl w:val="0"/>
        </w:rPr>
        <w:t xml:space="preserve">Data capability: Basic spreadsheet tracking may suffice initially, with scope to adopt dedicated software</w:t>
      </w:r>
    </w:p>
    <w:p w:rsidR="00000000" w:rsidDel="00000000" w:rsidP="00000000" w:rsidRDefault="00000000" w:rsidRPr="00000000" w14:paraId="00000121">
      <w:pPr>
        <w:shd w:fill="ffffff" w:val="clear"/>
        <w:spacing w:after="240" w:before="240" w:line="360" w:lineRule="auto"/>
        <w:rPr/>
      </w:pPr>
      <w:r w:rsidDel="00000000" w:rsidR="00000000" w:rsidRPr="00000000">
        <w:rPr>
          <w:rtl w:val="0"/>
        </w:rPr>
        <w:t xml:space="preserve">Some resistance to change is likely, particularly if new practices are seen as additional workload. Clear communication of benefits and early involvement of maintenance staff can reduce this. As noted by Alfaro Solano and Preuß (2019), resistance should be treated as useful feedback rather than a barrier.</w:t>
      </w:r>
    </w:p>
    <w:p w:rsidR="00000000" w:rsidDel="00000000" w:rsidP="00000000" w:rsidRDefault="00000000" w:rsidRPr="00000000" w14:paraId="00000122">
      <w:pPr>
        <w:shd w:fill="ffffff" w:val="clear"/>
        <w:spacing w:after="240" w:before="240" w:line="360" w:lineRule="auto"/>
        <w:rPr>
          <w:i w:val="1"/>
          <w:iCs w:val="1"/>
          <w:color w:val="0f1115"/>
        </w:rPr>
      </w:pPr>
      <w:r w:rsidDel="00000000" w:rsidR="00000000" w:rsidRPr="00000000">
        <w:rPr>
          <w:rtl w:val="0"/>
        </w:rPr>
      </w:r>
    </w:p>
    <w:p w:rsidR="00000000" w:rsidDel="00000000" w:rsidP="00000000" w:rsidRDefault="00000000" w:rsidRPr="00000000" w14:paraId="00000123">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Style w:val="Heading1"/>
        <w:rPr/>
      </w:pPr>
      <w:bookmarkStart w:colFirst="0" w:colLast="0" w:name="_6v1cdr1utz0t" w:id="57"/>
      <w:bookmarkEnd w:id="57"/>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pStyle w:val="Heading1"/>
        <w:rPr/>
      </w:pPr>
      <w:bookmarkStart w:colFirst="0" w:colLast="0" w:name="_oibdghuvo7yl" w:id="58"/>
      <w:bookmarkEnd w:id="58"/>
      <w:r w:rsidDel="00000000" w:rsidR="00000000" w:rsidRPr="00000000">
        <w:rPr>
          <w:rtl w:val="0"/>
        </w:rPr>
        <w:t xml:space="preserve">5. Conclusions and Recommendations</w:t>
      </w:r>
    </w:p>
    <w:p w:rsidR="00000000" w:rsidDel="00000000" w:rsidP="00000000" w:rsidRDefault="00000000" w:rsidRPr="00000000" w14:paraId="00000127">
      <w:pPr>
        <w:pStyle w:val="Heading2"/>
        <w:keepNext w:val="0"/>
        <w:keepLines w:val="0"/>
        <w:shd w:fill="ffffff" w:val="clear"/>
        <w:spacing w:before="280" w:line="360" w:lineRule="auto"/>
        <w:rPr/>
      </w:pPr>
      <w:bookmarkStart w:colFirst="0" w:colLast="0" w:name="_pzmblhuyb6ve" w:id="59"/>
      <w:bookmarkEnd w:id="59"/>
      <w:r w:rsidDel="00000000" w:rsidR="00000000" w:rsidRPr="00000000">
        <w:rPr>
          <w:rtl w:val="0"/>
        </w:rPr>
        <w:t xml:space="preserve">5.1 Conclusions</w:t>
      </w:r>
    </w:p>
    <w:p w:rsidR="00000000" w:rsidDel="00000000" w:rsidP="00000000" w:rsidRDefault="00000000" w:rsidRPr="00000000" w14:paraId="00000128">
      <w:pPr>
        <w:shd w:fill="ffffff" w:val="clear"/>
        <w:spacing w:after="240" w:before="240" w:line="360" w:lineRule="auto"/>
        <w:rPr>
          <w:color w:val="0f1115"/>
        </w:rPr>
      </w:pPr>
      <w:r w:rsidDel="00000000" w:rsidR="00000000" w:rsidRPr="00000000">
        <w:rPr>
          <w:color w:val="0f1115"/>
          <w:rtl w:val="0"/>
        </w:rPr>
        <w:t xml:space="preserve">The current preventative maintenance strategy provides a structured foundation but lacks the condition monitoring and maintainability improvements now widely available. This analysis identified six key opportunities to enhance performance:</w:t>
      </w:r>
    </w:p>
    <w:p w:rsidR="00000000" w:rsidDel="00000000" w:rsidP="00000000" w:rsidRDefault="00000000" w:rsidRPr="00000000" w14:paraId="00000129">
      <w:pPr>
        <w:numPr>
          <w:ilvl w:val="0"/>
          <w:numId w:val="5"/>
        </w:numPr>
        <w:shd w:fill="ffffff" w:val="clear"/>
        <w:spacing w:after="0" w:afterAutospacing="0" w:before="240" w:line="360" w:lineRule="auto"/>
        <w:ind w:left="720" w:hanging="360"/>
        <w:rPr>
          <w:rFonts w:ascii="Roboto" w:cs="Roboto" w:eastAsia="Roboto" w:hAnsi="Roboto"/>
          <w:color w:val="0f1115"/>
        </w:rPr>
      </w:pPr>
      <w:r w:rsidDel="00000000" w:rsidR="00000000" w:rsidRPr="00000000">
        <w:rPr>
          <w:color w:val="0f1115"/>
          <w:rtl w:val="0"/>
        </w:rPr>
        <w:t xml:space="preserve">Flow monitoring enables early detection of blockages, shifting from reactive to condition-based maintenance.</w:t>
      </w:r>
    </w:p>
    <w:p w:rsidR="00000000" w:rsidDel="00000000" w:rsidP="00000000" w:rsidRDefault="00000000" w:rsidRPr="00000000" w14:paraId="0000012A">
      <w:pPr>
        <w:numPr>
          <w:ilvl w:val="0"/>
          <w:numId w:val="5"/>
        </w:numPr>
        <w:shd w:fill="ffffff" w:val="clear"/>
        <w:spacing w:after="0" w:afterAutospacing="0" w:before="0" w:beforeAutospacing="0" w:line="360" w:lineRule="auto"/>
        <w:ind w:left="720" w:hanging="360"/>
        <w:rPr>
          <w:rFonts w:ascii="Roboto" w:cs="Roboto" w:eastAsia="Roboto" w:hAnsi="Roboto"/>
          <w:color w:val="0f1115"/>
        </w:rPr>
      </w:pPr>
      <w:r w:rsidDel="00000000" w:rsidR="00000000" w:rsidRPr="00000000">
        <w:rPr>
          <w:color w:val="0f1115"/>
          <w:rtl w:val="0"/>
        </w:rPr>
        <w:t xml:space="preserve">Thermal imaging identifies cable faults before failure, reducing safety risks and downtime.</w:t>
      </w:r>
    </w:p>
    <w:p w:rsidR="00000000" w:rsidDel="00000000" w:rsidP="00000000" w:rsidRDefault="00000000" w:rsidRPr="00000000" w14:paraId="0000012B">
      <w:pPr>
        <w:numPr>
          <w:ilvl w:val="0"/>
          <w:numId w:val="5"/>
        </w:numPr>
        <w:shd w:fill="ffffff" w:val="clear"/>
        <w:spacing w:after="0" w:afterAutospacing="0" w:before="0" w:beforeAutospacing="0" w:line="360" w:lineRule="auto"/>
        <w:ind w:left="720" w:hanging="360"/>
        <w:rPr>
          <w:rFonts w:ascii="Roboto" w:cs="Roboto" w:eastAsia="Roboto" w:hAnsi="Roboto"/>
          <w:color w:val="0f1115"/>
        </w:rPr>
      </w:pPr>
      <w:r w:rsidDel="00000000" w:rsidR="00000000" w:rsidRPr="00000000">
        <w:rPr>
          <w:color w:val="0f1115"/>
          <w:rtl w:val="0"/>
        </w:rPr>
        <w:t xml:space="preserve">Tighter pH calibration improves process stability and reduces the risk of non-compliance.</w:t>
      </w:r>
    </w:p>
    <w:p w:rsidR="00000000" w:rsidDel="00000000" w:rsidP="00000000" w:rsidRDefault="00000000" w:rsidRPr="00000000" w14:paraId="0000012C">
      <w:pPr>
        <w:numPr>
          <w:ilvl w:val="0"/>
          <w:numId w:val="5"/>
        </w:numPr>
        <w:shd w:fill="ffffff" w:val="clear"/>
        <w:spacing w:after="0" w:afterAutospacing="0" w:before="0" w:beforeAutospacing="0" w:line="360" w:lineRule="auto"/>
        <w:ind w:left="720" w:hanging="360"/>
        <w:rPr>
          <w:rFonts w:ascii="Roboto" w:cs="Roboto" w:eastAsia="Roboto" w:hAnsi="Roboto"/>
          <w:color w:val="0f1115"/>
        </w:rPr>
      </w:pPr>
      <w:r w:rsidDel="00000000" w:rsidR="00000000" w:rsidRPr="00000000">
        <w:rPr>
          <w:color w:val="0f1115"/>
          <w:rtl w:val="0"/>
        </w:rPr>
        <w:t xml:space="preserve">Removable control panels reduce mean time to repair (MTTR) and improve safety.</w:t>
      </w:r>
    </w:p>
    <w:p w:rsidR="00000000" w:rsidDel="00000000" w:rsidP="00000000" w:rsidRDefault="00000000" w:rsidRPr="00000000" w14:paraId="0000012D">
      <w:pPr>
        <w:numPr>
          <w:ilvl w:val="0"/>
          <w:numId w:val="5"/>
        </w:numPr>
        <w:shd w:fill="ffffff" w:val="clear"/>
        <w:spacing w:after="0" w:afterAutospacing="0" w:before="0" w:beforeAutospacing="0" w:line="360" w:lineRule="auto"/>
        <w:ind w:left="720" w:hanging="360"/>
        <w:rPr>
          <w:rFonts w:ascii="Roboto" w:cs="Roboto" w:eastAsia="Roboto" w:hAnsi="Roboto"/>
          <w:color w:val="0f1115"/>
        </w:rPr>
      </w:pPr>
      <w:r w:rsidDel="00000000" w:rsidR="00000000" w:rsidRPr="00000000">
        <w:rPr>
          <w:color w:val="0f1115"/>
          <w:rtl w:val="0"/>
        </w:rPr>
        <w:t xml:space="preserve">Electrical monitoring of heaters enables early fault detection without tank drainage.</w:t>
      </w:r>
    </w:p>
    <w:p w:rsidR="00000000" w:rsidDel="00000000" w:rsidP="00000000" w:rsidRDefault="00000000" w:rsidRPr="00000000" w14:paraId="0000012E">
      <w:pPr>
        <w:numPr>
          <w:ilvl w:val="0"/>
          <w:numId w:val="5"/>
        </w:numPr>
        <w:shd w:fill="ffffff" w:val="clear"/>
        <w:spacing w:after="240" w:before="0" w:beforeAutospacing="0" w:line="360" w:lineRule="auto"/>
        <w:ind w:left="720" w:hanging="360"/>
        <w:rPr>
          <w:rFonts w:ascii="Roboto" w:cs="Roboto" w:eastAsia="Roboto" w:hAnsi="Roboto"/>
          <w:color w:val="0f1115"/>
        </w:rPr>
      </w:pPr>
      <w:r w:rsidDel="00000000" w:rsidR="00000000" w:rsidRPr="00000000">
        <w:rPr>
          <w:color w:val="0f1115"/>
          <w:rtl w:val="0"/>
        </w:rPr>
        <w:t xml:space="preserve">Segmented PPM scheduling improves inspection quality and reduces missed defects.</w:t>
      </w:r>
    </w:p>
    <w:p w:rsidR="00000000" w:rsidDel="00000000" w:rsidP="00000000" w:rsidRDefault="00000000" w:rsidRPr="00000000" w14:paraId="0000012F">
      <w:pPr>
        <w:shd w:fill="ffffff" w:val="clear"/>
        <w:spacing w:after="240" w:before="240" w:line="360" w:lineRule="auto"/>
        <w:rPr>
          <w:color w:val="0f1115"/>
        </w:rPr>
      </w:pPr>
      <w:r w:rsidDel="00000000" w:rsidR="00000000" w:rsidRPr="00000000">
        <w:rPr>
          <w:color w:val="0f1115"/>
          <w:rtl w:val="0"/>
        </w:rPr>
        <w:t xml:space="preserve">These improvements are practical, cost-effective, and aligned with reliability-centred maintenance (RCM) and condition-based maintenance (CBM) principles.</w:t>
      </w:r>
    </w:p>
    <w:p w:rsidR="00000000" w:rsidDel="00000000" w:rsidP="00000000" w:rsidRDefault="00000000" w:rsidRPr="00000000" w14:paraId="00000130">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1">
      <w:pPr>
        <w:pStyle w:val="Heading2"/>
        <w:keepNext w:val="0"/>
        <w:keepLines w:val="0"/>
        <w:shd w:fill="ffffff" w:val="clear"/>
        <w:spacing w:before="280" w:line="360" w:lineRule="auto"/>
        <w:rPr/>
      </w:pPr>
      <w:bookmarkStart w:colFirst="0" w:colLast="0" w:name="_khif5f7enaxv" w:id="60"/>
      <w:bookmarkEnd w:id="60"/>
      <w:r w:rsidDel="00000000" w:rsidR="00000000" w:rsidRPr="00000000">
        <w:rPr>
          <w:rtl w:val="0"/>
        </w:rPr>
        <w:t xml:space="preserve">5.2 Recommendations</w:t>
      </w:r>
    </w:p>
    <w:p w:rsidR="00000000" w:rsidDel="00000000" w:rsidP="00000000" w:rsidRDefault="00000000" w:rsidRPr="00000000" w14:paraId="00000132">
      <w:pPr>
        <w:pStyle w:val="Heading4"/>
        <w:keepNext w:val="0"/>
        <w:keepLines w:val="0"/>
        <w:shd w:fill="ffffff" w:val="clear"/>
        <w:spacing w:after="40" w:before="240" w:line="360" w:lineRule="auto"/>
        <w:rPr>
          <w:color w:val="0f1115"/>
          <w:sz w:val="22"/>
          <w:szCs w:val="22"/>
        </w:rPr>
      </w:pPr>
      <w:bookmarkStart w:colFirst="0" w:colLast="0" w:name="_nxn58c711ckb" w:id="61"/>
      <w:bookmarkEnd w:id="61"/>
      <w:r w:rsidDel="00000000" w:rsidR="00000000" w:rsidRPr="00000000">
        <w:rPr>
          <w:color w:val="0f1115"/>
          <w:sz w:val="22"/>
          <w:szCs w:val="22"/>
          <w:rtl w:val="0"/>
        </w:rPr>
        <w:t xml:space="preserve">Short-term (0–3 months)</w:t>
      </w:r>
    </w:p>
    <w:p w:rsidR="00000000" w:rsidDel="00000000" w:rsidP="00000000" w:rsidRDefault="00000000" w:rsidRPr="00000000" w14:paraId="00000133">
      <w:pPr>
        <w:numPr>
          <w:ilvl w:val="0"/>
          <w:numId w:val="12"/>
        </w:numPr>
        <w:shd w:fill="ffffff" w:val="clear"/>
        <w:spacing w:after="0" w:afterAutospacing="0" w:before="240" w:line="360" w:lineRule="auto"/>
        <w:ind w:left="720" w:hanging="360"/>
        <w:rPr>
          <w:color w:val="0f1115"/>
        </w:rPr>
      </w:pPr>
      <w:r w:rsidDel="00000000" w:rsidR="00000000" w:rsidRPr="00000000">
        <w:rPr>
          <w:color w:val="0f1115"/>
          <w:rtl w:val="0"/>
        </w:rPr>
        <w:t xml:space="preserve">Implement tighter pH calibration (0.2 pH, fortnightly)</w:t>
      </w:r>
    </w:p>
    <w:p w:rsidR="00000000" w:rsidDel="00000000" w:rsidP="00000000" w:rsidRDefault="00000000" w:rsidRPr="00000000" w14:paraId="00000134">
      <w:pPr>
        <w:numPr>
          <w:ilvl w:val="0"/>
          <w:numId w:val="12"/>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Install mechanical flow gauges at critical points and begin operator logging</w:t>
      </w:r>
    </w:p>
    <w:p w:rsidR="00000000" w:rsidDel="00000000" w:rsidP="00000000" w:rsidRDefault="00000000" w:rsidRPr="00000000" w14:paraId="00000135">
      <w:pPr>
        <w:numPr>
          <w:ilvl w:val="0"/>
          <w:numId w:val="12"/>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Start heater condition monitoring using existing tools</w:t>
      </w:r>
    </w:p>
    <w:p w:rsidR="00000000" w:rsidDel="00000000" w:rsidP="00000000" w:rsidRDefault="00000000" w:rsidRPr="00000000" w14:paraId="00000136">
      <w:pPr>
        <w:numPr>
          <w:ilvl w:val="0"/>
          <w:numId w:val="12"/>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Restructure the PPM schedule into area-based tasks</w:t>
      </w:r>
    </w:p>
    <w:p w:rsidR="00000000" w:rsidDel="00000000" w:rsidP="00000000" w:rsidRDefault="00000000" w:rsidRPr="00000000" w14:paraId="00000137">
      <w:pPr>
        <w:numPr>
          <w:ilvl w:val="0"/>
          <w:numId w:val="12"/>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Procure a thermal imaging camera and train one engineer, then record baseline thermal images.</w:t>
      </w:r>
    </w:p>
    <w:p w:rsidR="00000000" w:rsidDel="00000000" w:rsidP="00000000" w:rsidRDefault="00000000" w:rsidRPr="00000000" w14:paraId="00000138">
      <w:pPr>
        <w:numPr>
          <w:ilvl w:val="0"/>
          <w:numId w:val="12"/>
        </w:numPr>
        <w:shd w:fill="ffffff" w:val="clear"/>
        <w:spacing w:after="240" w:before="0" w:beforeAutospacing="0" w:line="360" w:lineRule="auto"/>
        <w:ind w:left="720" w:hanging="360"/>
        <w:rPr>
          <w:color w:val="0f1115"/>
        </w:rPr>
      </w:pPr>
      <w:r w:rsidDel="00000000" w:rsidR="00000000" w:rsidRPr="00000000">
        <w:rPr>
          <w:color w:val="0f1115"/>
          <w:rtl w:val="0"/>
        </w:rPr>
        <w:t xml:space="preserve">Prototype a removable push-button panel on a low-risk tank</w:t>
      </w:r>
    </w:p>
    <w:p w:rsidR="00000000" w:rsidDel="00000000" w:rsidP="00000000" w:rsidRDefault="00000000" w:rsidRPr="00000000" w14:paraId="00000139">
      <w:pPr>
        <w:pStyle w:val="Heading4"/>
        <w:keepNext w:val="0"/>
        <w:keepLines w:val="0"/>
        <w:shd w:fill="ffffff" w:val="clear"/>
        <w:spacing w:after="40" w:before="240" w:line="360" w:lineRule="auto"/>
        <w:rPr>
          <w:color w:val="0f1115"/>
          <w:sz w:val="22"/>
          <w:szCs w:val="22"/>
        </w:rPr>
      </w:pPr>
      <w:bookmarkStart w:colFirst="0" w:colLast="0" w:name="_dj5ft7r65fdr" w:id="62"/>
      <w:bookmarkEnd w:id="62"/>
      <w:r w:rsidDel="00000000" w:rsidR="00000000" w:rsidRPr="00000000">
        <w:rPr>
          <w:color w:val="0f1115"/>
          <w:sz w:val="22"/>
          <w:szCs w:val="22"/>
          <w:rtl w:val="0"/>
        </w:rPr>
        <w:t xml:space="preserve">Medium-term (3–12 months)</w:t>
      </w:r>
    </w:p>
    <w:p w:rsidR="00000000" w:rsidDel="00000000" w:rsidP="00000000" w:rsidRDefault="00000000" w:rsidRPr="00000000" w14:paraId="0000013A">
      <w:pPr>
        <w:numPr>
          <w:ilvl w:val="0"/>
          <w:numId w:val="8"/>
        </w:numPr>
        <w:shd w:fill="ffffff" w:val="clear"/>
        <w:spacing w:after="0" w:afterAutospacing="0" w:before="240" w:line="360" w:lineRule="auto"/>
        <w:ind w:left="720" w:hanging="360"/>
        <w:rPr>
          <w:color w:val="0f1115"/>
        </w:rPr>
      </w:pPr>
      <w:r w:rsidDel="00000000" w:rsidR="00000000" w:rsidRPr="00000000">
        <w:rPr>
          <w:color w:val="0f1115"/>
          <w:rtl w:val="0"/>
        </w:rPr>
        <w:t xml:space="preserve">Develop data trending and alarm thresholds</w:t>
      </w:r>
    </w:p>
    <w:p w:rsidR="00000000" w:rsidDel="00000000" w:rsidP="00000000" w:rsidRDefault="00000000" w:rsidRPr="00000000" w14:paraId="0000013B">
      <w:pPr>
        <w:numPr>
          <w:ilvl w:val="0"/>
          <w:numId w:val="8"/>
        </w:numPr>
        <w:shd w:fill="ffffff" w:val="clear"/>
        <w:spacing w:after="240" w:before="0" w:beforeAutospacing="0" w:line="360" w:lineRule="auto"/>
        <w:ind w:left="720" w:hanging="360"/>
        <w:rPr>
          <w:color w:val="0f1115"/>
        </w:rPr>
      </w:pPr>
      <w:r w:rsidDel="00000000" w:rsidR="00000000" w:rsidRPr="00000000">
        <w:rPr>
          <w:color w:val="0f1115"/>
          <w:rtl w:val="0"/>
        </w:rPr>
        <w:t xml:space="preserve">Integrate condition-based tasks into the PPM schedule</w:t>
      </w:r>
    </w:p>
    <w:p w:rsidR="00000000" w:rsidDel="00000000" w:rsidP="00000000" w:rsidRDefault="00000000" w:rsidRPr="00000000" w14:paraId="0000013C">
      <w:pPr>
        <w:pStyle w:val="Heading4"/>
        <w:keepNext w:val="0"/>
        <w:keepLines w:val="0"/>
        <w:shd w:fill="ffffff" w:val="clear"/>
        <w:spacing w:after="40" w:before="240" w:line="360" w:lineRule="auto"/>
        <w:rPr>
          <w:color w:val="0f1115"/>
          <w:sz w:val="22"/>
          <w:szCs w:val="22"/>
        </w:rPr>
      </w:pPr>
      <w:bookmarkStart w:colFirst="0" w:colLast="0" w:name="_eknuie8yogzs" w:id="63"/>
      <w:bookmarkEnd w:id="63"/>
      <w:r w:rsidDel="00000000" w:rsidR="00000000" w:rsidRPr="00000000">
        <w:rPr>
          <w:color w:val="0f1115"/>
          <w:sz w:val="22"/>
          <w:szCs w:val="22"/>
          <w:rtl w:val="0"/>
        </w:rPr>
        <w:t xml:space="preserve">Long-term (12–24 months)</w:t>
      </w:r>
    </w:p>
    <w:p w:rsidR="00000000" w:rsidDel="00000000" w:rsidP="00000000" w:rsidRDefault="00000000" w:rsidRPr="00000000" w14:paraId="0000013D">
      <w:pPr>
        <w:numPr>
          <w:ilvl w:val="0"/>
          <w:numId w:val="9"/>
        </w:numPr>
        <w:shd w:fill="ffffff" w:val="clear"/>
        <w:spacing w:after="0" w:afterAutospacing="0" w:before="240" w:line="360" w:lineRule="auto"/>
        <w:ind w:left="720" w:hanging="360"/>
        <w:rPr>
          <w:color w:val="0f1115"/>
        </w:rPr>
      </w:pPr>
      <w:r w:rsidDel="00000000" w:rsidR="00000000" w:rsidRPr="00000000">
        <w:rPr>
          <w:color w:val="0f1115"/>
          <w:rtl w:val="0"/>
        </w:rPr>
        <w:t xml:space="preserve">Roll out removable panels across all tanks</w:t>
      </w:r>
    </w:p>
    <w:p w:rsidR="00000000" w:rsidDel="00000000" w:rsidP="00000000" w:rsidRDefault="00000000" w:rsidRPr="00000000" w14:paraId="0000013E">
      <w:pPr>
        <w:numPr>
          <w:ilvl w:val="0"/>
          <w:numId w:val="9"/>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Upgrade to electronic flow monitoring integrated with the PLC</w:t>
      </w:r>
    </w:p>
    <w:p w:rsidR="00000000" w:rsidDel="00000000" w:rsidP="00000000" w:rsidRDefault="00000000" w:rsidRPr="00000000" w14:paraId="0000013F">
      <w:pPr>
        <w:numPr>
          <w:ilvl w:val="0"/>
          <w:numId w:val="9"/>
        </w:numPr>
        <w:shd w:fill="ffffff" w:val="clear"/>
        <w:spacing w:after="0" w:afterAutospacing="0" w:before="0" w:beforeAutospacing="0" w:line="360" w:lineRule="auto"/>
        <w:ind w:left="720" w:hanging="360"/>
        <w:rPr>
          <w:color w:val="0f1115"/>
        </w:rPr>
      </w:pPr>
      <w:r w:rsidDel="00000000" w:rsidR="00000000" w:rsidRPr="00000000">
        <w:rPr>
          <w:color w:val="0f1115"/>
          <w:rtl w:val="0"/>
        </w:rPr>
        <w:t xml:space="preserve">Extend condition monitoring to additional parameters</w:t>
      </w:r>
    </w:p>
    <w:p w:rsidR="00000000" w:rsidDel="00000000" w:rsidP="00000000" w:rsidRDefault="00000000" w:rsidRPr="00000000" w14:paraId="00000140">
      <w:pPr>
        <w:numPr>
          <w:ilvl w:val="0"/>
          <w:numId w:val="9"/>
        </w:numPr>
        <w:shd w:fill="ffffff" w:val="clear"/>
        <w:spacing w:after="240" w:before="0" w:beforeAutospacing="0" w:line="360" w:lineRule="auto"/>
        <w:ind w:left="720" w:hanging="360"/>
        <w:rPr>
          <w:color w:val="0f1115"/>
        </w:rPr>
      </w:pPr>
      <w:r w:rsidDel="00000000" w:rsidR="00000000" w:rsidRPr="00000000">
        <w:rPr>
          <w:color w:val="0f1115"/>
          <w:rtl w:val="0"/>
        </w:rPr>
        <w:t xml:space="preserve">Track performance using KPIs (MTBF, MTTR, planned maintenance %, unplanned stoppages)</w:t>
      </w:r>
    </w:p>
    <w:p w:rsidR="00000000" w:rsidDel="00000000" w:rsidP="00000000" w:rsidRDefault="00000000" w:rsidRPr="00000000" w14:paraId="00000141">
      <w:pPr>
        <w:shd w:fill="ffffff" w:val="clear"/>
        <w:spacing w:after="240" w:before="240" w:line="360" w:lineRule="auto"/>
        <w:rPr>
          <w:color w:val="0f1115"/>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Style w:val="Heading2"/>
        <w:keepNext w:val="0"/>
        <w:keepLines w:val="0"/>
        <w:shd w:fill="ffffff" w:val="clear"/>
        <w:spacing w:before="280" w:line="360" w:lineRule="auto"/>
        <w:rPr/>
      </w:pPr>
      <w:bookmarkStart w:colFirst="0" w:colLast="0" w:name="_yojiz78odpqt" w:id="64"/>
      <w:bookmarkEnd w:id="64"/>
      <w:r w:rsidDel="00000000" w:rsidR="00000000" w:rsidRPr="00000000">
        <w:rPr>
          <w:rtl w:val="0"/>
        </w:rPr>
        <w:t xml:space="preserve">5.3 Final Remarks</w:t>
      </w:r>
    </w:p>
    <w:p w:rsidR="00000000" w:rsidDel="00000000" w:rsidP="00000000" w:rsidRDefault="00000000" w:rsidRPr="00000000" w14:paraId="00000143">
      <w:pPr>
        <w:shd w:fill="ffffff" w:val="clear"/>
        <w:spacing w:after="240" w:before="240" w:line="360" w:lineRule="auto"/>
        <w:rPr>
          <w:color w:val="0f1115"/>
        </w:rPr>
      </w:pPr>
      <w:r w:rsidDel="00000000" w:rsidR="00000000" w:rsidRPr="00000000">
        <w:rPr>
          <w:color w:val="0f1115"/>
          <w:rtl w:val="0"/>
        </w:rPr>
        <w:t xml:space="preserve">These improvements represent an incremental upgrade rather than a complete overhaul. By introducing targeted condition monitoring, improving maintainability, and refining existing practices, the process line can achieve greater reliability, reduced downtime, improved safety, and stronger environmental compliance.</w:t>
      </w:r>
    </w:p>
    <w:p w:rsidR="00000000" w:rsidDel="00000000" w:rsidP="00000000" w:rsidRDefault="00000000" w:rsidRPr="00000000" w14:paraId="00000144">
      <w:pPr>
        <w:shd w:fill="ffffff" w:val="clear"/>
        <w:spacing w:after="240" w:before="240" w:line="360" w:lineRule="auto"/>
        <w:rPr>
          <w:color w:val="0f1115"/>
        </w:rPr>
      </w:pPr>
      <w:r w:rsidDel="00000000" w:rsidR="00000000" w:rsidRPr="00000000">
        <w:rPr>
          <w:color w:val="0f1115"/>
          <w:rtl w:val="0"/>
        </w:rPr>
        <w:t xml:space="preserve">As Moleda et al. (2023) highlight, maintenance strategy should be based on equipment criticality and available data, rather than a single fixed approach. Similarly, Farahani and Tohidi (2021) emphasise the need to integrate maintenance with production and quality decisions.</w:t>
      </w:r>
    </w:p>
    <w:p w:rsidR="00000000" w:rsidDel="00000000" w:rsidP="00000000" w:rsidRDefault="00000000" w:rsidRPr="00000000" w14:paraId="00000145">
      <w:pPr>
        <w:shd w:fill="ffffff" w:val="clear"/>
        <w:spacing w:after="240" w:before="240" w:line="360" w:lineRule="auto"/>
        <w:rPr>
          <w:color w:val="0f1115"/>
        </w:rPr>
      </w:pPr>
      <w:r w:rsidDel="00000000" w:rsidR="00000000" w:rsidRPr="00000000">
        <w:rPr>
          <w:color w:val="0f1115"/>
          <w:rtl w:val="0"/>
        </w:rPr>
        <w:t xml:space="preserve">This report applies those principles in a practical context, presenting achievable actions that deliver measurable improvements in performance and cost.</w:t>
      </w:r>
    </w:p>
    <w:p w:rsidR="00000000" w:rsidDel="00000000" w:rsidP="00000000" w:rsidRDefault="00000000" w:rsidRPr="00000000" w14:paraId="00000146">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7">
      <w:pPr>
        <w:pStyle w:val="Heading1"/>
        <w:keepNext w:val="0"/>
        <w:keepLines w:val="0"/>
        <w:rPr/>
      </w:pPr>
      <w:bookmarkStart w:colFirst="0" w:colLast="0" w:name="_kofjyr9fep34" w:id="65"/>
      <w:bookmarkEnd w:id="65"/>
      <w:r w:rsidDel="00000000" w:rsidR="00000000" w:rsidRPr="00000000">
        <w:rPr>
          <w:rtl w:val="0"/>
        </w:rPr>
      </w:r>
    </w:p>
    <w:p w:rsidR="00000000" w:rsidDel="00000000" w:rsidP="00000000" w:rsidRDefault="00000000" w:rsidRPr="00000000" w14:paraId="00000148">
      <w:pPr>
        <w:pStyle w:val="Heading1"/>
        <w:keepNext w:val="0"/>
        <w:keepLines w:val="0"/>
        <w:rPr/>
      </w:pPr>
      <w:bookmarkStart w:colFirst="0" w:colLast="0" w:name="_neyztqf1qmm5" w:id="66"/>
      <w:bookmarkEnd w:id="66"/>
      <w:r w:rsidDel="00000000" w:rsidR="00000000" w:rsidRPr="00000000">
        <w:rPr>
          <w:rtl w:val="0"/>
        </w:rPr>
      </w:r>
    </w:p>
    <w:p w:rsidR="00000000" w:rsidDel="00000000" w:rsidP="00000000" w:rsidRDefault="00000000" w:rsidRPr="00000000" w14:paraId="00000149">
      <w:pPr>
        <w:pStyle w:val="Heading1"/>
        <w:keepNext w:val="0"/>
        <w:keepLines w:val="0"/>
        <w:rPr/>
      </w:pPr>
      <w:bookmarkStart w:colFirst="0" w:colLast="0" w:name="_wu3ry6qtzs5i" w:id="67"/>
      <w:bookmarkEnd w:id="67"/>
      <w:r w:rsidDel="00000000" w:rsidR="00000000" w:rsidRPr="00000000">
        <w:rPr>
          <w:rtl w:val="0"/>
        </w:rPr>
      </w:r>
    </w:p>
    <w:p w:rsidR="00000000" w:rsidDel="00000000" w:rsidP="00000000" w:rsidRDefault="00000000" w:rsidRPr="00000000" w14:paraId="0000014A">
      <w:pPr>
        <w:pStyle w:val="Heading1"/>
        <w:keepNext w:val="0"/>
        <w:keepLines w:val="0"/>
        <w:rPr/>
      </w:pPr>
      <w:bookmarkStart w:colFirst="0" w:colLast="0" w:name="_oewwxge6f0y6" w:id="68"/>
      <w:bookmarkEnd w:id="68"/>
      <w:r w:rsidDel="00000000" w:rsidR="00000000" w:rsidRPr="00000000">
        <w:rPr>
          <w:rtl w:val="0"/>
        </w:rPr>
      </w:r>
    </w:p>
    <w:p w:rsidR="00000000" w:rsidDel="00000000" w:rsidP="00000000" w:rsidRDefault="00000000" w:rsidRPr="00000000" w14:paraId="0000014B">
      <w:pPr>
        <w:pStyle w:val="Heading1"/>
        <w:keepNext w:val="0"/>
        <w:keepLines w:val="0"/>
        <w:rPr/>
      </w:pPr>
      <w:bookmarkStart w:colFirst="0" w:colLast="0" w:name="_uke816q4sp1" w:id="69"/>
      <w:bookmarkEnd w:id="69"/>
      <w:r w:rsidDel="00000000" w:rsidR="00000000" w:rsidRPr="00000000">
        <w:rPr>
          <w:rtl w:val="0"/>
        </w:rPr>
        <w:t xml:space="preserve">6. References</w:t>
      </w:r>
    </w:p>
    <w:p w:rsidR="00000000" w:rsidDel="00000000" w:rsidP="00000000" w:rsidRDefault="00000000" w:rsidRPr="00000000" w14:paraId="0000014C">
      <w:pPr>
        <w:spacing w:after="240" w:before="240" w:line="360" w:lineRule="auto"/>
        <w:rPr/>
      </w:pPr>
      <w:r w:rsidDel="00000000" w:rsidR="00000000" w:rsidRPr="00000000">
        <w:rPr>
          <w:rtl w:val="0"/>
        </w:rPr>
        <w:t xml:space="preserve">Afefy, I., Mohib, A., El-Kamash, A. and Mahmoud, M. (2019) ‘A new framework of reliability centered maintenance’, </w:t>
      </w:r>
      <w:r w:rsidDel="00000000" w:rsidR="00000000" w:rsidRPr="00000000">
        <w:rPr>
          <w:i w:val="1"/>
          <w:iCs w:val="1"/>
          <w:rtl w:val="0"/>
        </w:rPr>
        <w:t xml:space="preserve">Jordan Journal of Mechanical and Industrial Engineering</w:t>
      </w:r>
      <w:r w:rsidDel="00000000" w:rsidR="00000000" w:rsidRPr="00000000">
        <w:rPr>
          <w:rtl w:val="0"/>
        </w:rPr>
        <w:t xml:space="preserve">, 13(3).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https://jjmie.hu.edu.jo/vol-13-3/88-19-01.pdf</w:t>
        </w:r>
      </w:hyperlink>
      <w:r w:rsidDel="00000000" w:rsidR="00000000" w:rsidRPr="00000000">
        <w:rPr>
          <w:rtl w:val="0"/>
        </w:rPr>
        <w:t xml:space="preserve"> (Accessed: 19 April 2026).</w:t>
      </w:r>
    </w:p>
    <w:p w:rsidR="00000000" w:rsidDel="00000000" w:rsidP="00000000" w:rsidRDefault="00000000" w:rsidRPr="00000000" w14:paraId="0000014D">
      <w:pPr>
        <w:spacing w:after="240" w:before="240" w:line="360" w:lineRule="auto"/>
        <w:rPr/>
      </w:pPr>
      <w:r w:rsidDel="00000000" w:rsidR="00000000" w:rsidRPr="00000000">
        <w:rPr>
          <w:rtl w:val="0"/>
        </w:rPr>
        <w:t xml:space="preserve">Ahmad, R. and Kamaruddin, S. (2012) ‘An overview of time-based and condition-based maintenance in industrial application’, </w:t>
      </w:r>
      <w:r w:rsidDel="00000000" w:rsidR="00000000" w:rsidRPr="00000000">
        <w:rPr>
          <w:i w:val="1"/>
          <w:iCs w:val="1"/>
          <w:rtl w:val="0"/>
        </w:rPr>
        <w:t xml:space="preserve">Computers &amp; Industrial Engineering</w:t>
      </w:r>
      <w:r w:rsidDel="00000000" w:rsidR="00000000" w:rsidRPr="00000000">
        <w:rPr>
          <w:rtl w:val="0"/>
        </w:rPr>
        <w:t xml:space="preserve">, 63(1), pp. 135–149. </w:t>
      </w:r>
      <w:r w:rsidDel="00000000" w:rsidR="00000000" w:rsidRPr="00000000">
        <w:rPr>
          <w:rtl w:val="0"/>
        </w:rPr>
        <w:t xml:space="preserve">Available at:</w:t>
      </w:r>
      <w:hyperlink r:id="rId16">
        <w:r w:rsidDel="00000000" w:rsidR="00000000" w:rsidRPr="00000000">
          <w:rPr>
            <w:rtl w:val="0"/>
          </w:rPr>
          <w:t xml:space="preserve"> </w:t>
        </w:r>
      </w:hyperlink>
      <w:r w:rsidDel="00000000" w:rsidR="00000000" w:rsidRPr="00000000">
        <w:rPr>
          <w:rtl w:val="0"/>
        </w:rPr>
        <w:t xml:space="preserve">:</w:t>
      </w:r>
      <w:hyperlink r:id="rId17">
        <w:r w:rsidDel="00000000" w:rsidR="00000000" w:rsidRPr="00000000">
          <w:rPr>
            <w:color w:val="1155cc"/>
            <w:u w:val="single"/>
            <w:rtl w:val="0"/>
          </w:rPr>
          <w:t xml:space="preserve">https://doi.org/10.1016/j.cie.2012.02.002</w:t>
        </w:r>
      </w:hyperlink>
      <w:r w:rsidDel="00000000" w:rsidR="00000000" w:rsidRPr="00000000">
        <w:rPr>
          <w:rtl w:val="0"/>
        </w:rPr>
        <w:t xml:space="preserve">. </w:t>
      </w:r>
      <w:r w:rsidDel="00000000" w:rsidR="00000000" w:rsidRPr="00000000">
        <w:rPr>
          <w:rtl w:val="0"/>
        </w:rPr>
        <w:t xml:space="preserve">(Accessed: 19 April 2026).</w:t>
      </w:r>
    </w:p>
    <w:p w:rsidR="00000000" w:rsidDel="00000000" w:rsidP="00000000" w:rsidRDefault="00000000" w:rsidRPr="00000000" w14:paraId="0000014E">
      <w:pPr>
        <w:spacing w:after="240" w:before="240" w:line="360" w:lineRule="auto"/>
        <w:rPr/>
      </w:pPr>
      <w:r w:rsidDel="00000000" w:rsidR="00000000" w:rsidRPr="00000000">
        <w:rPr>
          <w:rtl w:val="0"/>
        </w:rPr>
        <w:t xml:space="preserve">Aji, J.O. and Uchendu, I. (2025) ‘Improving facility operations: A quantitative evaluation of MTBF, MTTR, and SLA targets’, </w:t>
      </w:r>
      <w:r w:rsidDel="00000000" w:rsidR="00000000" w:rsidRPr="00000000">
        <w:rPr>
          <w:i w:val="1"/>
          <w:iCs w:val="1"/>
          <w:rtl w:val="0"/>
        </w:rPr>
        <w:t xml:space="preserve">European Journal of Innovative Studies and Sustainability</w:t>
      </w:r>
      <w:r w:rsidDel="00000000" w:rsidR="00000000" w:rsidRPr="00000000">
        <w:rPr>
          <w:rtl w:val="0"/>
        </w:rPr>
        <w:t xml:space="preserve">, 1(3), pp. 247–261.Available at: </w:t>
      </w:r>
      <w:hyperlink r:id="rId18">
        <w:r w:rsidDel="00000000" w:rsidR="00000000" w:rsidRPr="00000000">
          <w:rPr>
            <w:color w:val="1155cc"/>
            <w:u w:val="single"/>
            <w:rtl w:val="0"/>
          </w:rPr>
          <w:t xml:space="preserve">doi.org/10.59324/ejiss.2025.1(3).20</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4F">
      <w:pPr>
        <w:spacing w:after="240" w:before="240" w:line="360" w:lineRule="auto"/>
        <w:rPr/>
      </w:pPr>
      <w:r w:rsidDel="00000000" w:rsidR="00000000" w:rsidRPr="00000000">
        <w:rPr>
          <w:rtl w:val="0"/>
        </w:rPr>
        <w:t xml:space="preserve">Alavian, P., Eun, Y., Liu, K., Meerkov, S.M. and Zhang, L. (2019) ‘The (α, β)-precise estimates of MTBF and MTTR: Definitions, calculations, and induced effect on machine efficiency evaluation’, </w:t>
      </w:r>
      <w:r w:rsidDel="00000000" w:rsidR="00000000" w:rsidRPr="00000000">
        <w:rPr>
          <w:i w:val="1"/>
          <w:iCs w:val="1"/>
          <w:rtl w:val="0"/>
        </w:rPr>
        <w:t xml:space="preserve">IFAC-PapersOnLine</w:t>
      </w:r>
      <w:r w:rsidDel="00000000" w:rsidR="00000000" w:rsidRPr="00000000">
        <w:rPr>
          <w:rtl w:val="0"/>
        </w:rPr>
        <w:t xml:space="preserve">, 52(13), pp. 1004–1009. Available at: </w:t>
      </w:r>
      <w:hyperlink r:id="rId19">
        <w:r w:rsidDel="00000000" w:rsidR="00000000" w:rsidRPr="00000000">
          <w:rPr>
            <w:color w:val="1155cc"/>
            <w:u w:val="single"/>
            <w:rtl w:val="0"/>
          </w:rPr>
          <w:t xml:space="preserve">https://doi.org/10.1016/j.ifacol.2019.11.326</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50">
      <w:pPr>
        <w:spacing w:after="240" w:before="240" w:line="360" w:lineRule="auto"/>
        <w:rPr/>
      </w:pPr>
      <w:r w:rsidDel="00000000" w:rsidR="00000000" w:rsidRPr="00000000">
        <w:rPr>
          <w:rtl w:val="0"/>
        </w:rPr>
        <w:t xml:space="preserve">Alfaro Solano, G. and Preuß, M. (2019) </w:t>
      </w:r>
      <w:r w:rsidDel="00000000" w:rsidR="00000000" w:rsidRPr="00000000">
        <w:rPr>
          <w:i w:val="1"/>
          <w:iCs w:val="1"/>
          <w:rtl w:val="0"/>
        </w:rPr>
        <w:t xml:space="preserve">An alternative approach on resistance to change and leadership and its resulting development of Kotter's change models</w:t>
      </w:r>
      <w:r w:rsidDel="00000000" w:rsidR="00000000" w:rsidRPr="00000000">
        <w:rPr>
          <w:rtl w:val="0"/>
        </w:rPr>
        <w:t xml:space="preserve">. Master’s thesis. Linnaeus University.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https://www.diva-portal.org/smash/get/diva2:1319367/FULLTEXT01.pdf</w:t>
        </w:r>
      </w:hyperlink>
      <w:r w:rsidDel="00000000" w:rsidR="00000000" w:rsidRPr="00000000">
        <w:rPr>
          <w:rtl w:val="0"/>
        </w:rPr>
        <w:t xml:space="preserve"> (Accessed: 19 April 2026). (Accessed: 19 April 2026).</w:t>
      </w:r>
    </w:p>
    <w:p w:rsidR="00000000" w:rsidDel="00000000" w:rsidP="00000000" w:rsidRDefault="00000000" w:rsidRPr="00000000" w14:paraId="00000151">
      <w:pPr>
        <w:spacing w:after="240" w:before="240" w:line="360" w:lineRule="auto"/>
        <w:rPr/>
      </w:pPr>
      <w:r w:rsidDel="00000000" w:rsidR="00000000" w:rsidRPr="00000000">
        <w:rPr>
          <w:rtl w:val="0"/>
        </w:rPr>
        <w:t xml:space="preserve">Balakrishnan, G.K., Yaw, C.T., Koh, S.P., Abedin, T., Raj, A.A., Tiong, S.K. and Chen, C.P. (2022) ‘A review of infrared thermography for condition-based monitoring in electrical energy: Applications and recommendations’, </w:t>
      </w:r>
      <w:r w:rsidDel="00000000" w:rsidR="00000000" w:rsidRPr="00000000">
        <w:rPr>
          <w:i w:val="1"/>
          <w:iCs w:val="1"/>
          <w:rtl w:val="0"/>
        </w:rPr>
        <w:t xml:space="preserve">Energies</w:t>
      </w:r>
      <w:r w:rsidDel="00000000" w:rsidR="00000000" w:rsidRPr="00000000">
        <w:rPr>
          <w:rtl w:val="0"/>
        </w:rPr>
        <w:t xml:space="preserve">, 15(16), p. 6000. Available at: </w:t>
      </w:r>
      <w:hyperlink r:id="rId22">
        <w:r w:rsidDel="00000000" w:rsidR="00000000" w:rsidRPr="00000000">
          <w:rPr>
            <w:color w:val="1155cc"/>
            <w:u w:val="single"/>
            <w:rtl w:val="0"/>
          </w:rPr>
          <w:t xml:space="preserve">https://doi.org/10.3390/en15166000</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52">
      <w:pPr>
        <w:spacing w:after="240" w:before="240" w:line="360" w:lineRule="auto"/>
        <w:rPr/>
      </w:pPr>
      <w:r w:rsidDel="00000000" w:rsidR="00000000" w:rsidRPr="00000000">
        <w:rPr>
          <w:rtl w:val="0"/>
        </w:rPr>
        <w:t xml:space="preserve">Bell, I. (2026) </w:t>
      </w:r>
      <w:r w:rsidDel="00000000" w:rsidR="00000000" w:rsidRPr="00000000">
        <w:rPr>
          <w:i w:val="1"/>
          <w:iCs w:val="1"/>
          <w:rtl w:val="0"/>
        </w:rPr>
        <w:t xml:space="preserve">Personal communication with R. Lewis, 10 April</w:t>
      </w:r>
      <w:r w:rsidDel="00000000" w:rsidR="00000000" w:rsidRPr="00000000">
        <w:rPr>
          <w:rtl w:val="0"/>
        </w:rPr>
        <w:t xml:space="preserve">.</w:t>
      </w:r>
    </w:p>
    <w:p w:rsidR="00000000" w:rsidDel="00000000" w:rsidP="00000000" w:rsidRDefault="00000000" w:rsidRPr="00000000" w14:paraId="00000153">
      <w:pPr>
        <w:spacing w:after="240" w:before="240" w:line="360" w:lineRule="auto"/>
        <w:rPr/>
      </w:pPr>
      <w:r w:rsidDel="00000000" w:rsidR="00000000" w:rsidRPr="00000000">
        <w:rPr>
          <w:rtl w:val="0"/>
        </w:rPr>
        <w:t xml:space="preserve">Bird, M. (2022) </w:t>
      </w:r>
      <w:r w:rsidDel="00000000" w:rsidR="00000000" w:rsidRPr="00000000">
        <w:rPr>
          <w:i w:val="1"/>
          <w:iCs w:val="1"/>
          <w:rtl w:val="0"/>
        </w:rPr>
        <w:t xml:space="preserve">PPMST01-001 Renishaw PLC – Plant Maintenance</w:t>
      </w:r>
      <w:r w:rsidDel="00000000" w:rsidR="00000000" w:rsidRPr="00000000">
        <w:rPr>
          <w:rtl w:val="0"/>
        </w:rPr>
        <w:t xml:space="preserve">. Internal report. Unpublished.</w:t>
      </w:r>
    </w:p>
    <w:p w:rsidR="00000000" w:rsidDel="00000000" w:rsidP="00000000" w:rsidRDefault="00000000" w:rsidRPr="00000000" w14:paraId="00000154">
      <w:pPr>
        <w:spacing w:after="240" w:before="240" w:line="360" w:lineRule="auto"/>
        <w:rPr/>
      </w:pPr>
      <w:r w:rsidDel="00000000" w:rsidR="00000000" w:rsidRPr="00000000">
        <w:rPr>
          <w:rtl w:val="0"/>
        </w:rPr>
        <w:t xml:space="preserve">Eker, O.F., Camci, F., and Jennions, I.K. (2016), ‘Physics-based prognostic modelling of filter clogging phenomena, </w:t>
      </w:r>
      <w:r w:rsidDel="00000000" w:rsidR="00000000" w:rsidRPr="00000000">
        <w:rPr>
          <w:i w:val="1"/>
          <w:iCs w:val="1"/>
          <w:rtl w:val="0"/>
        </w:rPr>
        <w:t xml:space="preserve">Mechanical Systems and Signal Processing</w:t>
      </w:r>
      <w:r w:rsidDel="00000000" w:rsidR="00000000" w:rsidRPr="00000000">
        <w:rPr>
          <w:rtl w:val="0"/>
        </w:rPr>
        <w:t xml:space="preserve">, 75, pp. 395–412. Available at::</w:t>
      </w:r>
      <w:hyperlink r:id="rId23">
        <w:r w:rsidDel="00000000" w:rsidR="00000000" w:rsidRPr="00000000">
          <w:rPr>
            <w:color w:val="1155cc"/>
            <w:u w:val="single"/>
            <w:rtl w:val="0"/>
          </w:rPr>
          <w:t xml:space="preserve">https://doi.org/10.1016/j.ymssp.2015.12.011</w:t>
        </w:r>
      </w:hyperlink>
      <w:r w:rsidDel="00000000" w:rsidR="00000000" w:rsidRPr="00000000">
        <w:rPr>
          <w:rtl w:val="0"/>
        </w:rPr>
        <w:t xml:space="preserve"> .(Accessed: 19 April 2026).</w:t>
      </w:r>
    </w:p>
    <w:p w:rsidR="00000000" w:rsidDel="00000000" w:rsidP="00000000" w:rsidRDefault="00000000" w:rsidRPr="00000000" w14:paraId="00000155">
      <w:pPr>
        <w:spacing w:after="240" w:before="240" w:line="360" w:lineRule="auto"/>
        <w:rPr/>
      </w:pPr>
      <w:r w:rsidDel="00000000" w:rsidR="00000000" w:rsidRPr="00000000">
        <w:rPr>
          <w:rtl w:val="0"/>
        </w:rPr>
        <w:t xml:space="preserve">Farahani, A. and Tohidi, H. (2021) ‘Integrated optimization of quality and maintenance: A literature review’, </w:t>
      </w:r>
      <w:r w:rsidDel="00000000" w:rsidR="00000000" w:rsidRPr="00000000">
        <w:rPr>
          <w:i w:val="1"/>
          <w:iCs w:val="1"/>
          <w:rtl w:val="0"/>
        </w:rPr>
        <w:t xml:space="preserve">Computers &amp; Industrial Engineering</w:t>
      </w:r>
      <w:r w:rsidDel="00000000" w:rsidR="00000000" w:rsidRPr="00000000">
        <w:rPr>
          <w:rtl w:val="0"/>
        </w:rPr>
        <w:t xml:space="preserve">, 151, p. 106924. Available at: </w:t>
      </w:r>
      <w:hyperlink r:id="rId24">
        <w:r w:rsidDel="00000000" w:rsidR="00000000" w:rsidRPr="00000000">
          <w:rPr>
            <w:color w:val="1155cc"/>
            <w:u w:val="single"/>
            <w:rtl w:val="0"/>
          </w:rPr>
          <w:t xml:space="preserve">https://doi.org/10.1016/j.cie.2020.106924</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56">
      <w:pPr>
        <w:spacing w:after="240" w:before="240" w:line="360" w:lineRule="auto"/>
        <w:rPr/>
      </w:pPr>
      <w:r w:rsidDel="00000000" w:rsidR="00000000" w:rsidRPr="00000000">
        <w:rPr>
          <w:rtl w:val="0"/>
        </w:rPr>
        <w:t xml:space="preserve">Gomaa, A.H. (2025) ‘Achieving maintenance excellence in manufacturing through integration of Lean Six Sigma and proactive approaches: A case study’, </w:t>
      </w:r>
      <w:r w:rsidDel="00000000" w:rsidR="00000000" w:rsidRPr="00000000">
        <w:rPr>
          <w:i w:val="1"/>
          <w:iCs w:val="1"/>
          <w:rtl w:val="0"/>
        </w:rPr>
        <w:t xml:space="preserve">International Journal of Inventive Engineering and Sciences</w:t>
      </w:r>
      <w:r w:rsidDel="00000000" w:rsidR="00000000" w:rsidRPr="00000000">
        <w:rPr>
          <w:rtl w:val="0"/>
        </w:rPr>
        <w:t xml:space="preserve">, 12(3), pp. 1–14. Available at: </w:t>
      </w:r>
      <w:hyperlink r:id="rId25">
        <w:r w:rsidDel="00000000" w:rsidR="00000000" w:rsidRPr="00000000">
          <w:rPr>
            <w:color w:val="1155cc"/>
            <w:u w:val="single"/>
            <w:rtl w:val="0"/>
          </w:rPr>
          <w:t xml:space="preserve">https://doi.org/10.35940/ijies.b1099.12030325</w:t>
        </w:r>
      </w:hyperlink>
      <w:r w:rsidDel="00000000" w:rsidR="00000000" w:rsidRPr="00000000">
        <w:rPr>
          <w:rtl w:val="0"/>
        </w:rPr>
        <w:t xml:space="preserve">. </w:t>
      </w:r>
      <w:r w:rsidDel="00000000" w:rsidR="00000000" w:rsidRPr="00000000">
        <w:rPr>
          <w:rtl w:val="0"/>
        </w:rPr>
        <w:t xml:space="preserve">(Accessed: 19 April 2026).</w:t>
      </w:r>
      <w:r w:rsidDel="00000000" w:rsidR="00000000" w:rsidRPr="00000000">
        <w:rPr>
          <w:rtl w:val="0"/>
        </w:rPr>
      </w:r>
    </w:p>
    <w:p w:rsidR="00000000" w:rsidDel="00000000" w:rsidP="00000000" w:rsidRDefault="00000000" w:rsidRPr="00000000" w14:paraId="00000157">
      <w:pPr>
        <w:spacing w:after="240" w:before="240" w:line="360" w:lineRule="auto"/>
        <w:rPr/>
      </w:pPr>
      <w:r w:rsidDel="00000000" w:rsidR="00000000" w:rsidRPr="00000000">
        <w:rPr>
          <w:rtl w:val="0"/>
        </w:rPr>
        <w:t xml:space="preserve">Health and Safety Executive (2015) </w:t>
      </w:r>
      <w:r w:rsidDel="00000000" w:rsidR="00000000" w:rsidRPr="00000000">
        <w:rPr>
          <w:i w:val="1"/>
          <w:iCs w:val="1"/>
          <w:rtl w:val="0"/>
        </w:rPr>
        <w:t xml:space="preserve">The Electricity at Work Regulations 1989: Guidance on Regulations</w:t>
      </w:r>
      <w:r w:rsidDel="00000000" w:rsidR="00000000" w:rsidRPr="00000000">
        <w:rPr>
          <w:rtl w:val="0"/>
        </w:rPr>
        <w:t xml:space="preserve">. 3rd edn. London: HSE Books.</w:t>
      </w:r>
    </w:p>
    <w:p w:rsidR="00000000" w:rsidDel="00000000" w:rsidP="00000000" w:rsidRDefault="00000000" w:rsidRPr="00000000" w14:paraId="00000158">
      <w:pPr>
        <w:spacing w:after="240" w:before="240" w:line="360" w:lineRule="auto"/>
        <w:rPr/>
      </w:pPr>
      <w:r w:rsidDel="00000000" w:rsidR="00000000" w:rsidRPr="00000000">
        <w:rPr>
          <w:rtl w:val="0"/>
        </w:rPr>
        <w:t xml:space="preserve">Instrumart (2026) </w:t>
      </w:r>
      <w:r w:rsidDel="00000000" w:rsidR="00000000" w:rsidRPr="00000000">
        <w:rPr>
          <w:i w:val="1"/>
          <w:iCs w:val="1"/>
          <w:rtl w:val="0"/>
        </w:rPr>
        <w:t xml:space="preserve">ICON Truflo UltraFlo 4000 Series Ultrasonic Flow Meter</w:t>
      </w:r>
      <w:r w:rsidDel="00000000" w:rsidR="00000000" w:rsidRPr="00000000">
        <w:rPr>
          <w:rtl w:val="0"/>
        </w:rPr>
        <w:t xml:space="preserve">. Available at:</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https://www.instrumart.com/products/42402/icon-truflo-ultraflo-4000-series-ultrasonic-flow-meter</w:t>
        </w:r>
      </w:hyperlink>
      <w:r w:rsidDel="00000000" w:rsidR="00000000" w:rsidRPr="00000000">
        <w:rPr>
          <w:rtl w:val="0"/>
        </w:rPr>
        <w:t xml:space="preserve"> (Accessed: 19 April 2026).(Accessed: 19 April 2026).</w:t>
      </w:r>
    </w:p>
    <w:p w:rsidR="00000000" w:rsidDel="00000000" w:rsidP="00000000" w:rsidRDefault="00000000" w:rsidRPr="00000000" w14:paraId="00000159">
      <w:pPr>
        <w:spacing w:after="240" w:before="240" w:line="360" w:lineRule="auto"/>
        <w:rPr/>
      </w:pPr>
      <w:r w:rsidDel="00000000" w:rsidR="00000000" w:rsidRPr="00000000">
        <w:rPr>
          <w:rtl w:val="0"/>
        </w:rPr>
        <w:t xml:space="preserve">Joynes, A. (2026) </w:t>
      </w:r>
      <w:r w:rsidDel="00000000" w:rsidR="00000000" w:rsidRPr="00000000">
        <w:rPr>
          <w:i w:val="1"/>
          <w:iCs w:val="1"/>
          <w:rtl w:val="0"/>
        </w:rPr>
        <w:t xml:space="preserve">Personal communication with R. Lewis, 10 April</w:t>
      </w:r>
      <w:r w:rsidDel="00000000" w:rsidR="00000000" w:rsidRPr="00000000">
        <w:rPr>
          <w:rtl w:val="0"/>
        </w:rPr>
        <w:t xml:space="preserve">.</w:t>
      </w:r>
    </w:p>
    <w:p w:rsidR="00000000" w:rsidDel="00000000" w:rsidP="00000000" w:rsidRDefault="00000000" w:rsidRPr="00000000" w14:paraId="0000015A">
      <w:pPr>
        <w:spacing w:after="240" w:before="240" w:line="360" w:lineRule="auto"/>
        <w:rPr/>
      </w:pPr>
      <w:r w:rsidDel="00000000" w:rsidR="00000000" w:rsidRPr="00000000">
        <w:rPr>
          <w:rtl w:val="0"/>
        </w:rPr>
        <w:t xml:space="preserve">Juanico, M., Azov, Y., Teltsch, B. and Shelef, G. (1995) ‘Effect of effluent addition to a freshwater reservoir on the filter clogging capacity of irrigation water’, </w:t>
      </w:r>
      <w:r w:rsidDel="00000000" w:rsidR="00000000" w:rsidRPr="00000000">
        <w:rPr>
          <w:i w:val="1"/>
          <w:iCs w:val="1"/>
          <w:rtl w:val="0"/>
        </w:rPr>
        <w:t xml:space="preserve">Water Research</w:t>
      </w:r>
      <w:r w:rsidDel="00000000" w:rsidR="00000000" w:rsidRPr="00000000">
        <w:rPr>
          <w:rtl w:val="0"/>
        </w:rPr>
        <w:t xml:space="preserve">, 29(7), pp. 1695–1702. </w:t>
      </w:r>
      <w:r w:rsidDel="00000000" w:rsidR="00000000" w:rsidRPr="00000000">
        <w:rPr>
          <w:color w:val="0f1115"/>
          <w:rtl w:val="0"/>
        </w:rPr>
        <w:t xml:space="preserve">Available at:</w:t>
      </w:r>
      <w:hyperlink r:id="rId28">
        <w:r w:rsidDel="00000000" w:rsidR="00000000" w:rsidRPr="00000000">
          <w:rPr>
            <w:color w:val="0f1115"/>
            <w:rtl w:val="0"/>
          </w:rPr>
          <w:t xml:space="preserve"> </w:t>
        </w:r>
      </w:hyperlink>
      <w:hyperlink r:id="rId29">
        <w:r w:rsidDel="00000000" w:rsidR="00000000" w:rsidRPr="00000000">
          <w:rPr>
            <w:color w:val="1155cc"/>
            <w:u w:val="single"/>
            <w:rtl w:val="0"/>
          </w:rPr>
          <w:t xml:space="preserve">https://doi.org/10.1016/0043-1354(94)00325-2</w:t>
        </w:r>
      </w:hyperlink>
      <w:r w:rsidDel="00000000" w:rsidR="00000000" w:rsidRPr="00000000">
        <w:rPr>
          <w:rtl w:val="0"/>
        </w:rPr>
        <w:t xml:space="preserve"> (Accessed: 19 April 2026).</w:t>
      </w:r>
    </w:p>
    <w:p w:rsidR="00000000" w:rsidDel="00000000" w:rsidP="00000000" w:rsidRDefault="00000000" w:rsidRPr="00000000" w14:paraId="0000015B">
      <w:pPr>
        <w:spacing w:after="240" w:before="240" w:line="360" w:lineRule="auto"/>
        <w:rPr/>
      </w:pPr>
      <w:r w:rsidDel="00000000" w:rsidR="00000000" w:rsidRPr="00000000">
        <w:rPr>
          <w:rtl w:val="0"/>
        </w:rPr>
        <w:t xml:space="preserve">Leoni, L., De Carlo, F., Paltrinieri, N., Sgarbossa, F. and BahooToroody, A. (2021) ‘On risk-based maintenance: A comprehensive review of three approaches to track the impact of consequence modelling for predicting maintenance actions’, </w:t>
      </w:r>
      <w:r w:rsidDel="00000000" w:rsidR="00000000" w:rsidRPr="00000000">
        <w:rPr>
          <w:i w:val="1"/>
          <w:iCs w:val="1"/>
          <w:rtl w:val="0"/>
        </w:rPr>
        <w:t xml:space="preserve">Journal of Loss Prevention in the Process Industries</w:t>
      </w:r>
      <w:r w:rsidDel="00000000" w:rsidR="00000000" w:rsidRPr="00000000">
        <w:rPr>
          <w:rtl w:val="0"/>
        </w:rPr>
        <w:t xml:space="preserve">, 72, 104555. Available at:</w:t>
      </w:r>
      <w:hyperlink r:id="rId30">
        <w:r w:rsidDel="00000000" w:rsidR="00000000" w:rsidRPr="00000000">
          <w:rPr>
            <w:rtl w:val="0"/>
          </w:rPr>
          <w:t xml:space="preserve"> </w:t>
        </w:r>
      </w:hyperlink>
      <w:hyperlink r:id="rId31">
        <w:r w:rsidDel="00000000" w:rsidR="00000000" w:rsidRPr="00000000">
          <w:rPr>
            <w:color w:val="1155cc"/>
            <w:u w:val="single"/>
            <w:rtl w:val="0"/>
          </w:rPr>
          <w:t xml:space="preserve">https://www.sciencedirect.com/science/article/pii/S0950423021001637</w:t>
        </w:r>
      </w:hyperlink>
      <w:r w:rsidDel="00000000" w:rsidR="00000000" w:rsidRPr="00000000">
        <w:rPr>
          <w:rtl w:val="0"/>
        </w:rPr>
        <w:t xml:space="preserve"> (Accessed: 19 April 2026). (Accessed: 19 April 2026).</w:t>
      </w:r>
    </w:p>
    <w:p w:rsidR="00000000" w:rsidDel="00000000" w:rsidP="00000000" w:rsidRDefault="00000000" w:rsidRPr="00000000" w14:paraId="0000015C">
      <w:pPr>
        <w:spacing w:after="240" w:before="240" w:line="360" w:lineRule="auto"/>
        <w:rPr/>
      </w:pPr>
      <w:r w:rsidDel="00000000" w:rsidR="00000000" w:rsidRPr="00000000">
        <w:rPr>
          <w:rtl w:val="0"/>
        </w:rPr>
        <w:t xml:space="preserve">Livina, V.N., Lewis, A.P. and Wickham, M. (2020) ‘Tipping point analysis of electrical resistance data with early warning signals of failure for predictive maintenance’, </w:t>
      </w:r>
      <w:r w:rsidDel="00000000" w:rsidR="00000000" w:rsidRPr="00000000">
        <w:rPr>
          <w:i w:val="1"/>
          <w:iCs w:val="1"/>
          <w:rtl w:val="0"/>
        </w:rPr>
        <w:t xml:space="preserve">Journal of Electronic Testing</w:t>
      </w:r>
      <w:r w:rsidDel="00000000" w:rsidR="00000000" w:rsidRPr="00000000">
        <w:rPr>
          <w:rtl w:val="0"/>
        </w:rPr>
        <w:t xml:space="preserve">, 36(5), pp. 569–576. Available at: </w:t>
      </w:r>
      <w:hyperlink r:id="rId32">
        <w:r w:rsidDel="00000000" w:rsidR="00000000" w:rsidRPr="00000000">
          <w:rPr>
            <w:color w:val="1155cc"/>
            <w:u w:val="single"/>
            <w:rtl w:val="0"/>
          </w:rPr>
          <w:t xml:space="preserve">https://doi.org/10.1007/s10836-020-05899-w</w:t>
        </w:r>
      </w:hyperlink>
      <w:r w:rsidDel="00000000" w:rsidR="00000000" w:rsidRPr="00000000">
        <w:rPr>
          <w:color w:val="0f1115"/>
          <w:rtl w:val="0"/>
        </w:rPr>
        <w:t xml:space="preserve">.</w:t>
      </w:r>
      <w:r w:rsidDel="00000000" w:rsidR="00000000" w:rsidRPr="00000000">
        <w:rPr>
          <w:rtl w:val="0"/>
        </w:rPr>
        <w:t xml:space="preserve">(Accessed: 19 April 2026).</w:t>
      </w:r>
      <w:r w:rsidDel="00000000" w:rsidR="00000000" w:rsidRPr="00000000">
        <w:rPr>
          <w:color w:val="0f1115"/>
          <w:rtl w:val="0"/>
        </w:rPr>
        <w:t xml:space="preserve"> </w:t>
      </w:r>
      <w:r w:rsidDel="00000000" w:rsidR="00000000" w:rsidRPr="00000000">
        <w:rPr>
          <w:rtl w:val="0"/>
        </w:rPr>
      </w:r>
    </w:p>
    <w:p w:rsidR="00000000" w:rsidDel="00000000" w:rsidP="00000000" w:rsidRDefault="00000000" w:rsidRPr="00000000" w14:paraId="0000015D">
      <w:pPr>
        <w:spacing w:after="240" w:before="240" w:line="360" w:lineRule="auto"/>
        <w:rPr/>
      </w:pPr>
      <w:r w:rsidDel="00000000" w:rsidR="00000000" w:rsidRPr="00000000">
        <w:rPr>
          <w:rtl w:val="0"/>
        </w:rPr>
        <w:t xml:space="preserve">Mählkvist, S., Söderkvist Vermelin, W., Helander, T. and Kyprianidis, K. (2024) ‘Comparing feature and trajectory-based remaining useful life modelling of electrical resistance heating wires’, </w:t>
      </w:r>
      <w:r w:rsidDel="00000000" w:rsidR="00000000" w:rsidRPr="00000000">
        <w:rPr>
          <w:i w:val="1"/>
          <w:iCs w:val="1"/>
          <w:rtl w:val="0"/>
        </w:rPr>
        <w:t xml:space="preserve">Annual Conference of the PHM Society</w:t>
      </w:r>
      <w:r w:rsidDel="00000000" w:rsidR="00000000" w:rsidRPr="00000000">
        <w:rPr>
          <w:rtl w:val="0"/>
        </w:rPr>
        <w:t xml:space="preserve">, 16(1). Available at: </w:t>
      </w:r>
      <w:hyperlink r:id="rId33">
        <w:r w:rsidDel="00000000" w:rsidR="00000000" w:rsidRPr="00000000">
          <w:rPr>
            <w:color w:val="1155cc"/>
            <w:u w:val="single"/>
            <w:rtl w:val="0"/>
          </w:rPr>
          <w:t xml:space="preserve">https://doi.org/10.36001/phmconf.2024.v16i1.3913</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5E">
      <w:pPr>
        <w:spacing w:after="240" w:before="240" w:line="360" w:lineRule="auto"/>
        <w:rPr/>
      </w:pPr>
      <w:r w:rsidDel="00000000" w:rsidR="00000000" w:rsidRPr="00000000">
        <w:rPr>
          <w:rtl w:val="0"/>
        </w:rPr>
        <w:t xml:space="preserve">Maiorano, C. et al. (2019) ‘MTBF (metric that betrays folk)’, </w:t>
      </w:r>
      <w:r w:rsidDel="00000000" w:rsidR="00000000" w:rsidRPr="00000000">
        <w:rPr>
          <w:i w:val="1"/>
          <w:iCs w:val="1"/>
          <w:rtl w:val="0"/>
        </w:rPr>
        <w:t xml:space="preserve">HAL</w:t>
      </w:r>
      <w:r w:rsidDel="00000000" w:rsidR="00000000" w:rsidRPr="00000000">
        <w:rPr>
          <w:rtl w:val="0"/>
        </w:rPr>
        <w:t xml:space="preserve">. Available at:</w:t>
      </w:r>
      <w:hyperlink r:id="rId34">
        <w:r w:rsidDel="00000000" w:rsidR="00000000" w:rsidRPr="00000000">
          <w:rPr>
            <w:rtl w:val="0"/>
          </w:rPr>
          <w:t xml:space="preserve"> </w:t>
        </w:r>
      </w:hyperlink>
      <w:hyperlink r:id="rId35">
        <w:r w:rsidDel="00000000" w:rsidR="00000000" w:rsidRPr="00000000">
          <w:rPr>
            <w:color w:val="1155cc"/>
            <w:u w:val="single"/>
            <w:rtl w:val="0"/>
          </w:rPr>
          <w:t xml:space="preserve">https://hal.science/hal-02965772</w:t>
        </w:r>
      </w:hyperlink>
      <w:r w:rsidDel="00000000" w:rsidR="00000000" w:rsidRPr="00000000">
        <w:rPr>
          <w:rtl w:val="0"/>
        </w:rPr>
        <w:t xml:space="preserve"> (Accessed: 19 April 2026).</w:t>
      </w:r>
    </w:p>
    <w:p w:rsidR="00000000" w:rsidDel="00000000" w:rsidP="00000000" w:rsidRDefault="00000000" w:rsidRPr="00000000" w14:paraId="0000015F">
      <w:pPr>
        <w:spacing w:after="240" w:before="240" w:line="360" w:lineRule="auto"/>
        <w:rPr/>
      </w:pPr>
      <w:r w:rsidDel="00000000" w:rsidR="00000000" w:rsidRPr="00000000">
        <w:rPr>
          <w:rtl w:val="0"/>
        </w:rPr>
        <w:t xml:space="preserve">ManualMachine (2026) </w:t>
      </w:r>
      <w:r w:rsidDel="00000000" w:rsidR="00000000" w:rsidRPr="00000000">
        <w:rPr>
          <w:i w:val="1"/>
          <w:iCs w:val="1"/>
          <w:rtl w:val="0"/>
        </w:rPr>
        <w:t xml:space="preserve">Eutech Instruments Alpha pH 200 user manual</w:t>
      </w:r>
      <w:r w:rsidDel="00000000" w:rsidR="00000000" w:rsidRPr="00000000">
        <w:rPr>
          <w:rtl w:val="0"/>
        </w:rPr>
        <w:t xml:space="preserve">. Available at:</w:t>
      </w:r>
      <w:hyperlink r:id="rId36">
        <w:r w:rsidDel="00000000" w:rsidR="00000000" w:rsidRPr="00000000">
          <w:rPr>
            <w:rtl w:val="0"/>
          </w:rPr>
          <w:t xml:space="preserve"> </w:t>
        </w:r>
      </w:hyperlink>
      <w:hyperlink r:id="rId37">
        <w:r w:rsidDel="00000000" w:rsidR="00000000" w:rsidRPr="00000000">
          <w:rPr>
            <w:color w:val="1155cc"/>
            <w:u w:val="single"/>
            <w:rtl w:val="0"/>
          </w:rPr>
          <w:t xml:space="preserve">https://manualmachine.com/eutechinstruments/alphaph200/1112256-user-manual/</w:t>
        </w:r>
      </w:hyperlink>
      <w:r w:rsidDel="00000000" w:rsidR="00000000" w:rsidRPr="00000000">
        <w:rPr>
          <w:rtl w:val="0"/>
        </w:rPr>
        <w:t xml:space="preserve"> (Accessed: 17 April 2026).</w:t>
      </w:r>
    </w:p>
    <w:p w:rsidR="00000000" w:rsidDel="00000000" w:rsidP="00000000" w:rsidRDefault="00000000" w:rsidRPr="00000000" w14:paraId="00000160">
      <w:pPr>
        <w:spacing w:after="240" w:before="240" w:line="360" w:lineRule="auto"/>
        <w:rPr/>
      </w:pPr>
      <w:r w:rsidDel="00000000" w:rsidR="00000000" w:rsidRPr="00000000">
        <w:rPr>
          <w:rtl w:val="0"/>
        </w:rPr>
        <w:t xml:space="preserve">Media, R. (2026) </w:t>
      </w:r>
      <w:r w:rsidDel="00000000" w:rsidR="00000000" w:rsidRPr="00000000">
        <w:rPr>
          <w:i w:val="1"/>
          <w:iCs w:val="1"/>
          <w:rtl w:val="0"/>
        </w:rPr>
        <w:t xml:space="preserve">Best thermal imaging cameras for industrial use 2026</w:t>
      </w:r>
      <w:r w:rsidDel="00000000" w:rsidR="00000000" w:rsidRPr="00000000">
        <w:rPr>
          <w:rtl w:val="0"/>
        </w:rPr>
        <w:t xml:space="preserve">. Available at:</w:t>
      </w:r>
      <w:hyperlink r:id="rId38">
        <w:r w:rsidDel="00000000" w:rsidR="00000000" w:rsidRPr="00000000">
          <w:rPr>
            <w:rtl w:val="0"/>
          </w:rPr>
          <w:t xml:space="preserve"> </w:t>
        </w:r>
      </w:hyperlink>
      <w:hyperlink r:id="rId39">
        <w:r w:rsidDel="00000000" w:rsidR="00000000" w:rsidRPr="00000000">
          <w:rPr>
            <w:color w:val="1155cc"/>
            <w:u w:val="single"/>
            <w:rtl w:val="0"/>
          </w:rPr>
          <w:t xml:space="preserve">https://reliamag.com/guides/best-thermal-cameras-industrial-2026/</w:t>
        </w:r>
      </w:hyperlink>
      <w:r w:rsidDel="00000000" w:rsidR="00000000" w:rsidRPr="00000000">
        <w:rPr>
          <w:rtl w:val="0"/>
        </w:rPr>
        <w:t xml:space="preserve"> (Accessed: 19 April 2026).</w:t>
      </w:r>
    </w:p>
    <w:p w:rsidR="00000000" w:rsidDel="00000000" w:rsidP="00000000" w:rsidRDefault="00000000" w:rsidRPr="00000000" w14:paraId="00000161">
      <w:pPr>
        <w:spacing w:after="240" w:before="240" w:line="360" w:lineRule="auto"/>
        <w:rPr/>
      </w:pPr>
      <w:r w:rsidDel="00000000" w:rsidR="00000000" w:rsidRPr="00000000">
        <w:rPr>
          <w:rtl w:val="0"/>
        </w:rPr>
        <w:t xml:space="preserve">Mobley, R.K. (2014) </w:t>
      </w:r>
      <w:r w:rsidDel="00000000" w:rsidR="00000000" w:rsidRPr="00000000">
        <w:rPr>
          <w:i w:val="1"/>
          <w:iCs w:val="1"/>
          <w:rtl w:val="0"/>
        </w:rPr>
        <w:t xml:space="preserve">Maintenance Engineering Handbook</w:t>
      </w:r>
      <w:r w:rsidDel="00000000" w:rsidR="00000000" w:rsidRPr="00000000">
        <w:rPr>
          <w:rtl w:val="0"/>
        </w:rPr>
        <w:t xml:space="preserve">. 7th edn. New York: McGraw-Hill.</w:t>
      </w:r>
    </w:p>
    <w:p w:rsidR="00000000" w:rsidDel="00000000" w:rsidP="00000000" w:rsidRDefault="00000000" w:rsidRPr="00000000" w14:paraId="00000162">
      <w:pPr>
        <w:spacing w:after="240" w:before="240" w:line="360" w:lineRule="auto"/>
        <w:rPr/>
      </w:pPr>
      <w:r w:rsidDel="00000000" w:rsidR="00000000" w:rsidRPr="00000000">
        <w:rPr>
          <w:rtl w:val="0"/>
        </w:rPr>
        <w:t xml:space="preserve">Molęda, M., Małysiak-Mrozek, B., Ding, W., Sunderam, V. and Mrozek, D. (2023) ‘From corrective to predictive maintenance: A review of maintenance approaches for the power industry’, </w:t>
      </w:r>
      <w:r w:rsidDel="00000000" w:rsidR="00000000" w:rsidRPr="00000000">
        <w:rPr>
          <w:i w:val="1"/>
          <w:iCs w:val="1"/>
          <w:rtl w:val="0"/>
        </w:rPr>
        <w:t xml:space="preserve">Sensors</w:t>
      </w:r>
      <w:r w:rsidDel="00000000" w:rsidR="00000000" w:rsidRPr="00000000">
        <w:rPr>
          <w:rtl w:val="0"/>
        </w:rPr>
        <w:t xml:space="preserve">, 23(13), p. 5970. Available at: </w:t>
      </w:r>
      <w:hyperlink r:id="rId40">
        <w:r w:rsidDel="00000000" w:rsidR="00000000" w:rsidRPr="00000000">
          <w:rPr>
            <w:color w:val="1155cc"/>
            <w:u w:val="single"/>
            <w:rtl w:val="0"/>
          </w:rPr>
          <w:t xml:space="preserve">Researchhttps://www.researchgate.net/publication/372370311_From_Corrective_to_Predictive_Maintenance-A_Review_of_Maintenance_Approaches_for_the_Power_Industry/link/6806e694ded433155734f78f/download?_tp=eyJjb250ZXh0Ijp7ImZpcnN0UGFnZSI6InB1YmxpY2F0aW9uIiwicGFnZSI6InB1YmxpY2F0aW9uIn19Gate</w:t>
        </w:r>
      </w:hyperlink>
      <w:r w:rsidDel="00000000" w:rsidR="00000000" w:rsidRPr="00000000">
        <w:rPr>
          <w:rtl w:val="0"/>
        </w:rPr>
        <w:t xml:space="preserve"> (Accessed: 19 April 2026).</w:t>
      </w:r>
    </w:p>
    <w:p w:rsidR="00000000" w:rsidDel="00000000" w:rsidP="00000000" w:rsidRDefault="00000000" w:rsidRPr="00000000" w14:paraId="00000163">
      <w:pPr>
        <w:spacing w:after="240" w:before="240" w:line="360" w:lineRule="auto"/>
        <w:rPr/>
      </w:pPr>
      <w:r w:rsidDel="00000000" w:rsidR="00000000" w:rsidRPr="00000000">
        <w:rPr>
          <w:rtl w:val="0"/>
        </w:rPr>
        <w:t xml:space="preserve">Ngoy, K.R. and Israel, K. (2021) ‘The strategy of successful total productive maintenance (TPM): Implementation and benefits of TPM’, </w:t>
      </w:r>
      <w:r w:rsidDel="00000000" w:rsidR="00000000" w:rsidRPr="00000000">
        <w:rPr>
          <w:i w:val="1"/>
          <w:iCs w:val="1"/>
          <w:rtl w:val="0"/>
        </w:rPr>
        <w:t xml:space="preserve">IJIRMPS</w:t>
      </w:r>
      <w:r w:rsidDel="00000000" w:rsidR="00000000" w:rsidRPr="00000000">
        <w:rPr>
          <w:rtl w:val="0"/>
        </w:rPr>
        <w:t xml:space="preserve">, 9(6). Available at:</w:t>
      </w:r>
      <w:hyperlink r:id="rId41">
        <w:r w:rsidDel="00000000" w:rsidR="00000000" w:rsidRPr="00000000">
          <w:rPr>
            <w:rtl w:val="0"/>
          </w:rPr>
          <w:t xml:space="preserve"> </w:t>
        </w:r>
      </w:hyperlink>
      <w:hyperlink r:id="rId42">
        <w:r w:rsidDel="00000000" w:rsidR="00000000" w:rsidRPr="00000000">
          <w:rPr>
            <w:color w:val="1155cc"/>
            <w:u w:val="single"/>
            <w:rtl w:val="0"/>
          </w:rPr>
          <w:t xml:space="preserve">https://d1wqtxts1xzle7.cloudfront.net</w:t>
        </w:r>
      </w:hyperlink>
      <w:r w:rsidDel="00000000" w:rsidR="00000000" w:rsidRPr="00000000">
        <w:rPr>
          <w:rtl w:val="0"/>
        </w:rPr>
        <w:t xml:space="preserve"> (Accessed: 17 April 2026).</w:t>
      </w:r>
    </w:p>
    <w:p w:rsidR="00000000" w:rsidDel="00000000" w:rsidP="00000000" w:rsidRDefault="00000000" w:rsidRPr="00000000" w14:paraId="00000164">
      <w:pPr>
        <w:spacing w:after="240" w:before="240" w:line="360" w:lineRule="auto"/>
        <w:rPr/>
      </w:pPr>
      <w:r w:rsidDel="00000000" w:rsidR="00000000" w:rsidRPr="00000000">
        <w:rPr>
          <w:rtl w:val="0"/>
        </w:rPr>
        <w:t xml:space="preserve">Ran, Y., Zhou, X., Lin, P., Wen, Y. and Deng, R. (2019) ‘A survey of predictive maintenance: Systems, purposes and approaches’, </w:t>
      </w:r>
      <w:r w:rsidDel="00000000" w:rsidR="00000000" w:rsidRPr="00000000">
        <w:rPr>
          <w:i w:val="1"/>
          <w:iCs w:val="1"/>
          <w:rtl w:val="0"/>
        </w:rPr>
        <w:t xml:space="preserve">arXiv</w:t>
      </w:r>
      <w:r w:rsidDel="00000000" w:rsidR="00000000" w:rsidRPr="00000000">
        <w:rPr>
          <w:rtl w:val="0"/>
        </w:rPr>
        <w:t xml:space="preserve">. Available at:</w:t>
      </w:r>
      <w:hyperlink r:id="rId43">
        <w:r w:rsidDel="00000000" w:rsidR="00000000" w:rsidRPr="00000000">
          <w:rPr>
            <w:rtl w:val="0"/>
          </w:rPr>
          <w:t xml:space="preserve"> </w:t>
        </w:r>
      </w:hyperlink>
      <w:hyperlink r:id="rId44">
        <w:r w:rsidDel="00000000" w:rsidR="00000000" w:rsidRPr="00000000">
          <w:rPr>
            <w:color w:val="1155cc"/>
            <w:u w:val="single"/>
            <w:rtl w:val="0"/>
          </w:rPr>
          <w:t xml:space="preserve">https://arxiv.org/abs/1912.07383</w:t>
        </w:r>
      </w:hyperlink>
      <w:r w:rsidDel="00000000" w:rsidR="00000000" w:rsidRPr="00000000">
        <w:rPr>
          <w:rtl w:val="0"/>
        </w:rPr>
        <w:t xml:space="preserve"> (Accessed: 19 April 2026).</w:t>
      </w:r>
    </w:p>
    <w:p w:rsidR="00000000" w:rsidDel="00000000" w:rsidP="00000000" w:rsidRDefault="00000000" w:rsidRPr="00000000" w14:paraId="00000165">
      <w:pPr>
        <w:spacing w:after="240" w:before="240" w:line="360" w:lineRule="auto"/>
        <w:rPr/>
      </w:pPr>
      <w:r w:rsidDel="00000000" w:rsidR="00000000" w:rsidRPr="00000000">
        <w:rPr>
          <w:rtl w:val="0"/>
        </w:rPr>
        <w:t xml:space="preserve">Renishaw PLC (2010) </w:t>
      </w:r>
      <w:r w:rsidDel="00000000" w:rsidR="00000000" w:rsidRPr="00000000">
        <w:rPr>
          <w:i w:val="1"/>
          <w:iCs w:val="1"/>
          <w:rtl w:val="0"/>
        </w:rPr>
        <w:t xml:space="preserve">TRSP046 Renishaw anodising training notes</w:t>
      </w:r>
      <w:r w:rsidDel="00000000" w:rsidR="00000000" w:rsidRPr="00000000">
        <w:rPr>
          <w:rtl w:val="0"/>
        </w:rPr>
        <w:t xml:space="preserve">. Internal document. Unpublished.</w:t>
      </w:r>
    </w:p>
    <w:p w:rsidR="00000000" w:rsidDel="00000000" w:rsidP="00000000" w:rsidRDefault="00000000" w:rsidRPr="00000000" w14:paraId="00000166">
      <w:pPr>
        <w:spacing w:after="240" w:before="240" w:line="360" w:lineRule="auto"/>
        <w:rPr/>
      </w:pPr>
      <w:r w:rsidDel="00000000" w:rsidR="00000000" w:rsidRPr="00000000">
        <w:rPr>
          <w:rtl w:val="0"/>
        </w:rPr>
        <w:t xml:space="preserve">Renishaw plc (2020) </w:t>
      </w:r>
      <w:r w:rsidDel="00000000" w:rsidR="00000000" w:rsidRPr="00000000">
        <w:rPr>
          <w:i w:val="1"/>
          <w:iCs w:val="1"/>
          <w:rtl w:val="0"/>
        </w:rPr>
        <w:t xml:space="preserve">About Renishaw</w:t>
      </w:r>
      <w:r w:rsidDel="00000000" w:rsidR="00000000" w:rsidRPr="00000000">
        <w:rPr>
          <w:rtl w:val="0"/>
        </w:rPr>
        <w:t xml:space="preserve">. Available at:</w:t>
      </w:r>
      <w:hyperlink r:id="rId45">
        <w:r w:rsidDel="00000000" w:rsidR="00000000" w:rsidRPr="00000000">
          <w:rPr>
            <w:rtl w:val="0"/>
          </w:rPr>
          <w:t xml:space="preserve"> </w:t>
        </w:r>
      </w:hyperlink>
      <w:hyperlink r:id="rId46">
        <w:r w:rsidDel="00000000" w:rsidR="00000000" w:rsidRPr="00000000">
          <w:rPr>
            <w:color w:val="1155cc"/>
            <w:u w:val="single"/>
            <w:rtl w:val="0"/>
          </w:rPr>
          <w:t xml:space="preserve">https://www.renishaw.com/en/about-renishaw--6432</w:t>
        </w:r>
      </w:hyperlink>
      <w:r w:rsidDel="00000000" w:rsidR="00000000" w:rsidRPr="00000000">
        <w:rPr>
          <w:rtl w:val="0"/>
        </w:rPr>
        <w:t xml:space="preserve"> (Accessed: 19 April 2026).</w:t>
      </w:r>
    </w:p>
    <w:p w:rsidR="00000000" w:rsidDel="00000000" w:rsidP="00000000" w:rsidRDefault="00000000" w:rsidRPr="00000000" w14:paraId="00000167">
      <w:pPr>
        <w:spacing w:after="240" w:before="240" w:line="360" w:lineRule="auto"/>
        <w:rPr/>
      </w:pPr>
      <w:r w:rsidDel="00000000" w:rsidR="00000000" w:rsidRPr="00000000">
        <w:rPr>
          <w:rtl w:val="0"/>
        </w:rPr>
        <w:t xml:space="preserve">RS Components (2026a) </w:t>
      </w:r>
      <w:r w:rsidDel="00000000" w:rsidR="00000000" w:rsidRPr="00000000">
        <w:rPr>
          <w:i w:val="1"/>
          <w:iCs w:val="1"/>
          <w:rtl w:val="0"/>
        </w:rPr>
        <w:t xml:space="preserve">Georg Fischer Signet 2551 Series magmeter flow sensor</w:t>
      </w:r>
      <w:r w:rsidDel="00000000" w:rsidR="00000000" w:rsidRPr="00000000">
        <w:rPr>
          <w:rtl w:val="0"/>
        </w:rPr>
        <w:t xml:space="preserve">. Available at:</w:t>
      </w:r>
      <w:hyperlink r:id="rId47">
        <w:r w:rsidDel="00000000" w:rsidR="00000000" w:rsidRPr="00000000">
          <w:rPr>
            <w:rtl w:val="0"/>
          </w:rPr>
          <w:t xml:space="preserve"> </w:t>
        </w:r>
      </w:hyperlink>
      <w:hyperlink r:id="rId48">
        <w:r w:rsidDel="00000000" w:rsidR="00000000" w:rsidRPr="00000000">
          <w:rPr>
            <w:color w:val="1155cc"/>
            <w:u w:val="single"/>
            <w:rtl w:val="0"/>
          </w:rPr>
          <w:t xml:space="preserve">https://uk.rs-online.com/web/p/flow-sensors/9010078</w:t>
        </w:r>
      </w:hyperlink>
      <w:r w:rsidDel="00000000" w:rsidR="00000000" w:rsidRPr="00000000">
        <w:rPr>
          <w:rtl w:val="0"/>
        </w:rPr>
        <w:t xml:space="preserve"> (Accessed: 19 April 2026).</w:t>
      </w:r>
    </w:p>
    <w:p w:rsidR="00000000" w:rsidDel="00000000" w:rsidP="00000000" w:rsidRDefault="00000000" w:rsidRPr="00000000" w14:paraId="00000168">
      <w:pPr>
        <w:spacing w:after="240" w:before="240" w:line="360" w:lineRule="auto"/>
        <w:rPr/>
      </w:pPr>
      <w:r w:rsidDel="00000000" w:rsidR="00000000" w:rsidRPr="00000000">
        <w:rPr>
          <w:rtl w:val="0"/>
        </w:rPr>
        <w:t xml:space="preserve">RS Components (2026b) </w:t>
      </w:r>
      <w:r w:rsidDel="00000000" w:rsidR="00000000" w:rsidRPr="00000000">
        <w:rPr>
          <w:i w:val="1"/>
          <w:iCs w:val="1"/>
          <w:rtl w:val="0"/>
        </w:rPr>
        <w:t xml:space="preserve">Key Instruments MR3000 Series variable area flow meter</w:t>
      </w:r>
      <w:r w:rsidDel="00000000" w:rsidR="00000000" w:rsidRPr="00000000">
        <w:rPr>
          <w:rtl w:val="0"/>
        </w:rPr>
        <w:t xml:space="preserve">. Available at:</w:t>
      </w:r>
      <w:hyperlink r:id="rId49">
        <w:r w:rsidDel="00000000" w:rsidR="00000000" w:rsidRPr="00000000">
          <w:rPr>
            <w:rtl w:val="0"/>
          </w:rPr>
          <w:t xml:space="preserve"> </w:t>
        </w:r>
      </w:hyperlink>
      <w:hyperlink r:id="rId50">
        <w:r w:rsidDel="00000000" w:rsidR="00000000" w:rsidRPr="00000000">
          <w:rPr>
            <w:color w:val="1155cc"/>
            <w:u w:val="single"/>
            <w:rtl w:val="0"/>
          </w:rPr>
          <w:t xml:space="preserve">https://uk.rs-online.com</w:t>
        </w:r>
      </w:hyperlink>
      <w:r w:rsidDel="00000000" w:rsidR="00000000" w:rsidRPr="00000000">
        <w:rPr>
          <w:rtl w:val="0"/>
        </w:rPr>
        <w:t xml:space="preserve"> (Accessed: 19 April 2026).</w:t>
      </w:r>
    </w:p>
    <w:p w:rsidR="00000000" w:rsidDel="00000000" w:rsidP="00000000" w:rsidRDefault="00000000" w:rsidRPr="00000000" w14:paraId="00000169">
      <w:pPr>
        <w:spacing w:after="240" w:before="240" w:line="360" w:lineRule="auto"/>
        <w:rPr/>
      </w:pPr>
      <w:r w:rsidDel="00000000" w:rsidR="00000000" w:rsidRPr="00000000">
        <w:rPr>
          <w:rtl w:val="0"/>
        </w:rPr>
        <w:t xml:space="preserve">RS Components (2026c) </w:t>
      </w:r>
      <w:r w:rsidDel="00000000" w:rsidR="00000000" w:rsidRPr="00000000">
        <w:rPr>
          <w:i w:val="1"/>
          <w:iCs w:val="1"/>
          <w:rtl w:val="0"/>
        </w:rPr>
        <w:t xml:space="preserve">RS PRO paddle flow switch for liquid</w:t>
      </w:r>
      <w:r w:rsidDel="00000000" w:rsidR="00000000" w:rsidRPr="00000000">
        <w:rPr>
          <w:rtl w:val="0"/>
        </w:rPr>
        <w:t xml:space="preserve">. Available at:</w:t>
      </w:r>
      <w:hyperlink r:id="rId51">
        <w:r w:rsidDel="00000000" w:rsidR="00000000" w:rsidRPr="00000000">
          <w:rPr>
            <w:rtl w:val="0"/>
          </w:rPr>
          <w:t xml:space="preserve"> </w:t>
        </w:r>
      </w:hyperlink>
      <w:hyperlink r:id="rId52">
        <w:r w:rsidDel="00000000" w:rsidR="00000000" w:rsidRPr="00000000">
          <w:rPr>
            <w:color w:val="1155cc"/>
            <w:u w:val="single"/>
            <w:rtl w:val="0"/>
          </w:rPr>
          <w:t xml:space="preserve">https://uk.rs-online.com/web/p/flow-sensors/6134238</w:t>
        </w:r>
      </w:hyperlink>
      <w:r w:rsidDel="00000000" w:rsidR="00000000" w:rsidRPr="00000000">
        <w:rPr>
          <w:rtl w:val="0"/>
        </w:rPr>
        <w:t xml:space="preserve"> (Accessed: 19 April 2026).</w:t>
      </w:r>
    </w:p>
    <w:p w:rsidR="00000000" w:rsidDel="00000000" w:rsidP="00000000" w:rsidRDefault="00000000" w:rsidRPr="00000000" w14:paraId="0000016A">
      <w:pPr>
        <w:spacing w:after="240" w:before="240" w:line="360" w:lineRule="auto"/>
        <w:rPr/>
      </w:pPr>
      <w:r w:rsidDel="00000000" w:rsidR="00000000" w:rsidRPr="00000000">
        <w:rPr>
          <w:rtl w:val="0"/>
        </w:rPr>
        <w:t xml:space="preserve">Shanbhag, V.V., Meyer, T.J., Caspers, L. and Schlanbusch, R. (2021) ‘Failure monitoring and predictive maintenance of hydraulic cylinder: State-of-the-art review’, </w:t>
      </w:r>
      <w:r w:rsidDel="00000000" w:rsidR="00000000" w:rsidRPr="00000000">
        <w:rPr>
          <w:i w:val="1"/>
          <w:iCs w:val="1"/>
          <w:rtl w:val="0"/>
        </w:rPr>
        <w:t xml:space="preserve">IEEE/ASME Transactions on Mechatronics</w:t>
      </w:r>
      <w:r w:rsidDel="00000000" w:rsidR="00000000" w:rsidRPr="00000000">
        <w:rPr>
          <w:rtl w:val="0"/>
        </w:rPr>
        <w:t xml:space="preserve">, 26(6), pp. 3087–3103. Available at: </w:t>
      </w:r>
      <w:hyperlink r:id="rId53">
        <w:r w:rsidDel="00000000" w:rsidR="00000000" w:rsidRPr="00000000">
          <w:rPr>
            <w:color w:val="1155cc"/>
            <w:u w:val="single"/>
            <w:rtl w:val="0"/>
          </w:rPr>
          <w:t xml:space="preserve">https://doi.org/10.1109/tmech.2021.3053173</w:t>
        </w:r>
      </w:hyperlink>
      <w:r w:rsidDel="00000000" w:rsidR="00000000" w:rsidRPr="00000000">
        <w:rPr>
          <w:color w:val="0f1115"/>
          <w:rtl w:val="0"/>
        </w:rPr>
        <w:t xml:space="preserve">.  </w:t>
      </w:r>
      <w:r w:rsidDel="00000000" w:rsidR="00000000" w:rsidRPr="00000000">
        <w:rPr>
          <w:rtl w:val="0"/>
        </w:rPr>
        <w:t xml:space="preserve">(Accessed: 19 April 2026).</w:t>
      </w:r>
    </w:p>
    <w:p w:rsidR="00000000" w:rsidDel="00000000" w:rsidP="00000000" w:rsidRDefault="00000000" w:rsidRPr="00000000" w14:paraId="0000016B">
      <w:pPr>
        <w:spacing w:after="240" w:before="240" w:line="360" w:lineRule="auto"/>
        <w:rPr/>
      </w:pPr>
      <w:r w:rsidDel="00000000" w:rsidR="00000000" w:rsidRPr="00000000">
        <w:rPr>
          <w:rtl w:val="0"/>
        </w:rPr>
        <w:t xml:space="preserve">Shankar, R. and Dave, S. (2021) </w:t>
      </w:r>
      <w:r w:rsidDel="00000000" w:rsidR="00000000" w:rsidRPr="00000000">
        <w:rPr>
          <w:i w:val="1"/>
          <w:iCs w:val="1"/>
          <w:rtl w:val="0"/>
        </w:rPr>
        <w:t xml:space="preserve">Degradation and diagnostics of electrical machines</w:t>
      </w:r>
      <w:r w:rsidDel="00000000" w:rsidR="00000000" w:rsidRPr="00000000">
        <w:rPr>
          <w:rtl w:val="0"/>
        </w:rPr>
        <w:t xml:space="preserve">. Master’s thesis. Chalmers University of Technology. Available at:</w:t>
      </w:r>
      <w:hyperlink r:id="rId54">
        <w:r w:rsidDel="00000000" w:rsidR="00000000" w:rsidRPr="00000000">
          <w:rPr>
            <w:rtl w:val="0"/>
          </w:rPr>
          <w:t xml:space="preserve"> </w:t>
        </w:r>
      </w:hyperlink>
      <w:hyperlink r:id="rId55">
        <w:r w:rsidDel="00000000" w:rsidR="00000000" w:rsidRPr="00000000">
          <w:rPr>
            <w:color w:val="1155cc"/>
            <w:u w:val="single"/>
            <w:rtl w:val="0"/>
          </w:rPr>
          <w:t xml:space="preserve">https://odr.chalmers.se</w:t>
        </w:r>
      </w:hyperlink>
      <w:r w:rsidDel="00000000" w:rsidR="00000000" w:rsidRPr="00000000">
        <w:rPr>
          <w:rtl w:val="0"/>
        </w:rPr>
        <w:t xml:space="preserve"> (Accessed: 19 April 2026).</w:t>
      </w:r>
    </w:p>
    <w:p w:rsidR="00000000" w:rsidDel="00000000" w:rsidP="00000000" w:rsidRDefault="00000000" w:rsidRPr="00000000" w14:paraId="0000016C">
      <w:pPr>
        <w:spacing w:after="240" w:before="240" w:line="360" w:lineRule="auto"/>
        <w:rPr/>
      </w:pPr>
      <w:r w:rsidDel="00000000" w:rsidR="00000000" w:rsidRPr="00000000">
        <w:rPr>
          <w:rtl w:val="0"/>
        </w:rPr>
        <w:t xml:space="preserve">Shannon, C.E. (1949) ‘Communication in the presence of noise’, </w:t>
      </w:r>
      <w:r w:rsidDel="00000000" w:rsidR="00000000" w:rsidRPr="00000000">
        <w:rPr>
          <w:i w:val="1"/>
          <w:iCs w:val="1"/>
          <w:rtl w:val="0"/>
        </w:rPr>
        <w:t xml:space="preserve">Proceedings of the IRE</w:t>
      </w:r>
      <w:r w:rsidDel="00000000" w:rsidR="00000000" w:rsidRPr="00000000">
        <w:rPr>
          <w:rtl w:val="0"/>
        </w:rPr>
        <w:t xml:space="preserve">, 37(1), pp. 10–21.</w:t>
      </w:r>
    </w:p>
    <w:p w:rsidR="00000000" w:rsidDel="00000000" w:rsidP="00000000" w:rsidRDefault="00000000" w:rsidRPr="00000000" w14:paraId="0000016D">
      <w:pPr>
        <w:spacing w:after="240" w:before="240" w:line="360" w:lineRule="auto"/>
        <w:rPr/>
      </w:pPr>
      <w:r w:rsidDel="00000000" w:rsidR="00000000" w:rsidRPr="00000000">
        <w:rPr>
          <w:rtl w:val="0"/>
        </w:rPr>
        <w:t xml:space="preserve">Syamsundar, A., Naikan, V.N.A. and Wu, S. (2021) ‘Estimating maintenance effectiveness of a repairable system under time-based preventive maintenance’, </w:t>
      </w:r>
      <w:r w:rsidDel="00000000" w:rsidR="00000000" w:rsidRPr="00000000">
        <w:rPr>
          <w:i w:val="1"/>
          <w:iCs w:val="1"/>
          <w:rtl w:val="0"/>
        </w:rPr>
        <w:t xml:space="preserve">Computers &amp; Industrial Engineering</w:t>
      </w:r>
      <w:r w:rsidDel="00000000" w:rsidR="00000000" w:rsidRPr="00000000">
        <w:rPr>
          <w:rtl w:val="0"/>
        </w:rPr>
        <w:t xml:space="preserve">, 156, p. 107278.Available at: </w:t>
      </w:r>
      <w:hyperlink r:id="rId56">
        <w:r w:rsidDel="00000000" w:rsidR="00000000" w:rsidRPr="00000000">
          <w:rPr>
            <w:color w:val="1155cc"/>
            <w:u w:val="single"/>
            <w:rtl w:val="0"/>
          </w:rPr>
          <w:t xml:space="preserve">https://doi.org/10.1016/j.cie.2021.107278</w:t>
        </w:r>
      </w:hyperlink>
      <w:r w:rsidDel="00000000" w:rsidR="00000000" w:rsidRPr="00000000">
        <w:rPr>
          <w:rtl w:val="0"/>
        </w:rPr>
        <w:t xml:space="preserve">. </w:t>
      </w:r>
      <w:r w:rsidDel="00000000" w:rsidR="00000000" w:rsidRPr="00000000">
        <w:rPr>
          <w:rtl w:val="0"/>
        </w:rPr>
        <w:t xml:space="preserve">(Accessed: 19 April 2026).</w:t>
      </w:r>
    </w:p>
    <w:p w:rsidR="00000000" w:rsidDel="00000000" w:rsidP="00000000" w:rsidRDefault="00000000" w:rsidRPr="00000000" w14:paraId="0000016E">
      <w:pPr>
        <w:spacing w:after="240" w:before="240" w:line="360" w:lineRule="auto"/>
        <w:rPr/>
      </w:pPr>
      <w:r w:rsidDel="00000000" w:rsidR="00000000" w:rsidRPr="00000000">
        <w:rPr>
          <w:rtl w:val="0"/>
        </w:rPr>
        <w:t xml:space="preserve">Szczap, J., Jung, S. and Pan, L. (2024) ‘Understanding the microscopic mechanism of clogging of both fibrous and mesh filters in flooded-bed wet scrubbers’, </w:t>
      </w:r>
      <w:r w:rsidDel="00000000" w:rsidR="00000000" w:rsidRPr="00000000">
        <w:rPr>
          <w:i w:val="1"/>
          <w:iCs w:val="1"/>
          <w:rtl w:val="0"/>
        </w:rPr>
        <w:t xml:space="preserve">Fuel</w:t>
      </w:r>
      <w:r w:rsidDel="00000000" w:rsidR="00000000" w:rsidRPr="00000000">
        <w:rPr>
          <w:rtl w:val="0"/>
        </w:rPr>
        <w:t xml:space="preserve">, 355, p. 129381. </w:t>
      </w:r>
      <w:r w:rsidDel="00000000" w:rsidR="00000000" w:rsidRPr="00000000">
        <w:rPr>
          <w:color w:val="0f1115"/>
          <w:rtl w:val="0"/>
        </w:rPr>
        <w:t xml:space="preserve">Available at:</w:t>
      </w:r>
      <w:hyperlink r:id="rId57">
        <w:r w:rsidDel="00000000" w:rsidR="00000000" w:rsidRPr="00000000">
          <w:rPr>
            <w:color w:val="0f1115"/>
            <w:rtl w:val="0"/>
          </w:rPr>
          <w:t xml:space="preserve"> </w:t>
        </w:r>
      </w:hyperlink>
      <w:hyperlink r:id="rId58">
        <w:r w:rsidDel="00000000" w:rsidR="00000000" w:rsidRPr="00000000">
          <w:rPr>
            <w:color w:val="1155cc"/>
            <w:u w:val="single"/>
            <w:rtl w:val="0"/>
          </w:rPr>
          <w:t xml:space="preserve">https://doi.org/10.1016/j.fuel.2023.129381</w:t>
        </w:r>
      </w:hyperlink>
      <w:r w:rsidDel="00000000" w:rsidR="00000000" w:rsidRPr="00000000">
        <w:rPr>
          <w:color w:val="0f1115"/>
          <w:rtl w:val="0"/>
        </w:rPr>
        <w:t xml:space="preserve">.</w:t>
      </w:r>
      <w:r w:rsidDel="00000000" w:rsidR="00000000" w:rsidRPr="00000000">
        <w:rPr>
          <w:rtl w:val="0"/>
        </w:rPr>
        <w:t xml:space="preserve">(Accessed: 19 April 2026).</w:t>
      </w:r>
      <w:r w:rsidDel="00000000" w:rsidR="00000000" w:rsidRPr="00000000">
        <w:rPr>
          <w:rtl w:val="0"/>
        </w:rPr>
      </w:r>
    </w:p>
    <w:p w:rsidR="00000000" w:rsidDel="00000000" w:rsidP="00000000" w:rsidRDefault="00000000" w:rsidRPr="00000000" w14:paraId="0000016F">
      <w:pPr>
        <w:spacing w:after="240" w:before="240" w:line="360" w:lineRule="auto"/>
        <w:rPr/>
      </w:pPr>
      <w:r w:rsidDel="00000000" w:rsidR="00000000" w:rsidRPr="00000000">
        <w:rPr>
          <w:rtl w:val="0"/>
        </w:rPr>
      </w:r>
    </w:p>
    <w:p w:rsidR="00000000" w:rsidDel="00000000" w:rsidP="00000000" w:rsidRDefault="00000000" w:rsidRPr="00000000" w14:paraId="00000170">
      <w:pPr>
        <w:spacing w:after="240" w:before="240" w:line="360" w:lineRule="auto"/>
        <w:rPr/>
      </w:pPr>
      <w:r w:rsidDel="00000000" w:rsidR="00000000" w:rsidRPr="00000000">
        <w:rPr>
          <w:rtl w:val="0"/>
        </w:rPr>
        <w:t xml:space="preserve">Water Industry Act 1991. Available at:</w:t>
      </w:r>
      <w:hyperlink r:id="rId59">
        <w:r w:rsidDel="00000000" w:rsidR="00000000" w:rsidRPr="00000000">
          <w:rPr>
            <w:rtl w:val="0"/>
          </w:rPr>
          <w:t xml:space="preserve"> </w:t>
        </w:r>
      </w:hyperlink>
      <w:hyperlink r:id="rId60">
        <w:r w:rsidDel="00000000" w:rsidR="00000000" w:rsidRPr="00000000">
          <w:rPr>
            <w:color w:val="1155cc"/>
            <w:u w:val="single"/>
            <w:rtl w:val="0"/>
          </w:rPr>
          <w:t xml:space="preserve">https://www.legislation.gov.uk/ukpga/1991/56/contents</w:t>
        </w:r>
      </w:hyperlink>
      <w:r w:rsidDel="00000000" w:rsidR="00000000" w:rsidRPr="00000000">
        <w:rPr>
          <w:rtl w:val="0"/>
        </w:rPr>
        <w:t xml:space="preserve"> (Accessed: 17 April 2026).</w:t>
      </w:r>
    </w:p>
    <w:p w:rsidR="00000000" w:rsidDel="00000000" w:rsidP="00000000" w:rsidRDefault="00000000" w:rsidRPr="00000000" w14:paraId="00000171">
      <w:pPr>
        <w:spacing w:after="240" w:before="240" w:line="360" w:lineRule="auto"/>
        <w:rPr/>
      </w:pPr>
      <w:r w:rsidDel="00000000" w:rsidR="00000000" w:rsidRPr="00000000">
        <w:rPr>
          <w:rtl w:val="0"/>
        </w:rPr>
        <w:t xml:space="preserve">Wiora, A. and Wiora, J. (2018) ‘Long-term laboratory tests of pH electrodes in industrial applications’, </w:t>
      </w:r>
      <w:r w:rsidDel="00000000" w:rsidR="00000000" w:rsidRPr="00000000">
        <w:rPr>
          <w:i w:val="1"/>
          <w:iCs w:val="1"/>
          <w:rtl w:val="0"/>
        </w:rPr>
        <w:t xml:space="preserve">Sensors</w:t>
      </w:r>
      <w:r w:rsidDel="00000000" w:rsidR="00000000" w:rsidRPr="00000000">
        <w:rPr>
          <w:rtl w:val="0"/>
        </w:rPr>
        <w:t xml:space="preserve">, 18(12), p. 4102. Available at: </w:t>
      </w:r>
      <w:hyperlink r:id="rId61">
        <w:r w:rsidDel="00000000" w:rsidR="00000000" w:rsidRPr="00000000">
          <w:rPr>
            <w:color w:val="1155cc"/>
            <w:u w:val="single"/>
            <w:rtl w:val="0"/>
          </w:rPr>
          <w:t xml:space="preserve">https://doi.org/10.3390/s18124102</w:t>
        </w:r>
      </w:hyperlink>
      <w:r w:rsidDel="00000000" w:rsidR="00000000" w:rsidRPr="00000000">
        <w:rPr>
          <w:color w:val="0f1115"/>
          <w:rtl w:val="0"/>
        </w:rPr>
        <w:t xml:space="preserve">. </w:t>
      </w:r>
      <w:r w:rsidDel="00000000" w:rsidR="00000000" w:rsidRPr="00000000">
        <w:rPr>
          <w:rtl w:val="0"/>
        </w:rPr>
        <w:t xml:space="preserve">(Accessed: 19 April 2026).</w:t>
      </w:r>
      <w:r w:rsidDel="00000000" w:rsidR="00000000" w:rsidRPr="00000000">
        <w:rPr>
          <w:rtl w:val="0"/>
        </w:rPr>
      </w:r>
    </w:p>
    <w:p w:rsidR="00000000" w:rsidDel="00000000" w:rsidP="00000000" w:rsidRDefault="00000000" w:rsidRPr="00000000" w14:paraId="00000172">
      <w:pPr>
        <w:spacing w:after="240" w:before="240" w:line="360" w:lineRule="auto"/>
        <w:rPr>
          <w:color w:val="0f1115"/>
          <w:highlight w:val="white"/>
        </w:rPr>
      </w:pPr>
      <w:r w:rsidDel="00000000" w:rsidR="00000000" w:rsidRPr="00000000">
        <w:rPr>
          <w:rtl w:val="0"/>
        </w:rPr>
      </w:r>
    </w:p>
    <w:p w:rsidR="00000000" w:rsidDel="00000000" w:rsidP="00000000" w:rsidRDefault="00000000" w:rsidRPr="00000000" w14:paraId="00000173">
      <w:pPr>
        <w:spacing w:after="240" w:before="240" w:line="360" w:lineRule="auto"/>
        <w:rPr>
          <w:color w:val="0f1115"/>
          <w:highlight w:val="white"/>
        </w:rPr>
      </w:pPr>
      <w:r w:rsidDel="00000000" w:rsidR="00000000" w:rsidRPr="00000000">
        <w:rPr>
          <w:rtl w:val="0"/>
        </w:rPr>
      </w:r>
    </w:p>
    <w:p w:rsidR="00000000" w:rsidDel="00000000" w:rsidP="00000000" w:rsidRDefault="00000000" w:rsidRPr="00000000" w14:paraId="00000174">
      <w:pPr>
        <w:spacing w:after="240" w:before="240" w:line="360" w:lineRule="auto"/>
        <w:rPr>
          <w:color w:val="0f1115"/>
          <w:highlight w:val="white"/>
        </w:rPr>
      </w:pPr>
      <w:r w:rsidDel="00000000" w:rsidR="00000000" w:rsidRPr="00000000">
        <w:rPr>
          <w:rtl w:val="0"/>
        </w:rPr>
      </w:r>
    </w:p>
    <w:p w:rsidR="00000000" w:rsidDel="00000000" w:rsidP="00000000" w:rsidRDefault="00000000" w:rsidRPr="00000000" w14:paraId="00000175">
      <w:pPr>
        <w:spacing w:after="240" w:before="240" w:line="360" w:lineRule="auto"/>
        <w:rPr>
          <w:color w:val="0f1115"/>
          <w:sz w:val="32"/>
          <w:szCs w:val="32"/>
          <w:highlight w:val="white"/>
        </w:rPr>
      </w:pPr>
      <w:r w:rsidDel="00000000" w:rsidR="00000000" w:rsidRPr="00000000">
        <w:rPr>
          <w:color w:val="0f1115"/>
          <w:sz w:val="32"/>
          <w:szCs w:val="32"/>
          <w:highlight w:val="white"/>
          <w:rtl w:val="0"/>
        </w:rPr>
        <w:t xml:space="preserve">Appendices  </w:t>
      </w:r>
    </w:p>
    <w:p w:rsidR="00000000" w:rsidDel="00000000" w:rsidP="00000000" w:rsidRDefault="00000000" w:rsidRPr="00000000" w14:paraId="00000176">
      <w:pPr>
        <w:spacing w:after="240" w:before="240" w:line="360" w:lineRule="auto"/>
        <w:rPr>
          <w:color w:val="0f1115"/>
          <w:highlight w:val="white"/>
        </w:rPr>
      </w:pPr>
      <w:r w:rsidDel="00000000" w:rsidR="00000000" w:rsidRPr="00000000">
        <w:rPr>
          <w:b w:val="1"/>
          <w:bCs w:val="1"/>
          <w:color w:val="0f1115"/>
          <w:highlight w:val="white"/>
          <w:rtl w:val="0"/>
        </w:rPr>
        <w:t xml:space="preserve">Appendix 1</w:t>
      </w:r>
      <w:r w:rsidDel="00000000" w:rsidR="00000000" w:rsidRPr="00000000">
        <w:rPr>
          <w:color w:val="0f1115"/>
          <w:highlight w:val="white"/>
          <w:rtl w:val="0"/>
        </w:rPr>
        <w:t xml:space="preserve">: Renishaw, anodising PPM Schedule</w:t>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470691</wp:posOffset>
            </wp:positionV>
            <wp:extent cx="5734050" cy="8320884"/>
            <wp:effectExtent b="0" l="0" r="0" t="0"/>
            <wp:wrapSquare wrapText="bothSides" distB="114300" distT="114300" distL="114300" distR="114300"/>
            <wp:docPr id="3" name="image9.png"/>
            <a:graphic>
              <a:graphicData uri="http://schemas.openxmlformats.org/drawingml/2006/picture">
                <pic:pic>
                  <pic:nvPicPr>
                    <pic:cNvPr id="0" name="image9.png"/>
                    <pic:cNvPicPr preferRelativeResize="0"/>
                  </pic:nvPicPr>
                  <pic:blipFill>
                    <a:blip r:embed="rId62"/>
                    <a:srcRect b="0" l="0" r="0" t="0"/>
                    <a:stretch>
                      <a:fillRect/>
                    </a:stretch>
                  </pic:blipFill>
                  <pic:spPr>
                    <a:xfrm>
                      <a:off x="0" y="0"/>
                      <a:ext cx="5734050" cy="8320884"/>
                    </a:xfrm>
                    <a:prstGeom prst="rect"/>
                    <a:ln/>
                  </pic:spPr>
                </pic:pic>
              </a:graphicData>
            </a:graphic>
          </wp:anchor>
        </w:drawing>
      </w:r>
    </w:p>
    <w:p w:rsidR="00000000" w:rsidDel="00000000" w:rsidP="00000000" w:rsidRDefault="00000000" w:rsidRPr="00000000" w14:paraId="00000177">
      <w:pPr>
        <w:spacing w:after="240" w:before="240" w:line="360" w:lineRule="auto"/>
        <w:rPr>
          <w:color w:val="0f1115"/>
          <w:highlight w:val="white"/>
        </w:rPr>
      </w:pPr>
      <w:r w:rsidDel="00000000" w:rsidR="00000000" w:rsidRPr="00000000">
        <w:rPr>
          <w:color w:val="0f1115"/>
          <w:highlight w:val="white"/>
        </w:rPr>
        <w:drawing>
          <wp:inline distB="114300" distT="114300" distL="114300" distR="114300">
            <wp:extent cx="5731200" cy="7556500"/>
            <wp:effectExtent b="0" l="0" r="0" t="0"/>
            <wp:docPr id="15" name="image16.png"/>
            <a:graphic>
              <a:graphicData uri="http://schemas.openxmlformats.org/drawingml/2006/picture">
                <pic:pic>
                  <pic:nvPicPr>
                    <pic:cNvPr id="0" name="image16.png"/>
                    <pic:cNvPicPr preferRelativeResize="0"/>
                  </pic:nvPicPr>
                  <pic:blipFill>
                    <a:blip r:embed="rId63"/>
                    <a:srcRect b="0" l="0" r="0" t="0"/>
                    <a:stretch>
                      <a:fillRect/>
                    </a:stretch>
                  </pic:blipFill>
                  <pic:spPr>
                    <a:xfrm>
                      <a:off x="0" y="0"/>
                      <a:ext cx="5731200" cy="7556500"/>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spacing w:after="240" w:before="240" w:line="360" w:lineRule="auto"/>
        <w:rPr/>
      </w:pPr>
      <w:r w:rsidDel="00000000" w:rsidR="00000000" w:rsidRPr="00000000">
        <w:rPr>
          <w:rtl w:val="0"/>
        </w:rPr>
        <w:t xml:space="preserve">‌</w:t>
      </w:r>
    </w:p>
    <w:p w:rsidR="00000000" w:rsidDel="00000000" w:rsidP="00000000" w:rsidRDefault="00000000" w:rsidRPr="00000000" w14:paraId="00000179">
      <w:pPr>
        <w:spacing w:after="240" w:before="240" w:line="360" w:lineRule="auto"/>
        <w:rPr/>
      </w:pPr>
      <w:r w:rsidDel="00000000" w:rsidR="00000000" w:rsidRPr="00000000">
        <w:rPr>
          <w:rtl w:val="0"/>
        </w:rPr>
      </w:r>
    </w:p>
    <w:p w:rsidR="00000000" w:rsidDel="00000000" w:rsidP="00000000" w:rsidRDefault="00000000" w:rsidRPr="00000000" w14:paraId="0000017A">
      <w:pPr>
        <w:spacing w:after="240" w:before="240" w:line="360" w:lineRule="auto"/>
        <w:rPr/>
      </w:pPr>
      <w:r w:rsidDel="00000000" w:rsidR="00000000" w:rsidRPr="00000000">
        <w:rPr>
          <w:rtl w:val="0"/>
        </w:rPr>
      </w:r>
    </w:p>
    <w:p w:rsidR="00000000" w:rsidDel="00000000" w:rsidP="00000000" w:rsidRDefault="00000000" w:rsidRPr="00000000" w14:paraId="0000017B">
      <w:pPr>
        <w:spacing w:after="240" w:before="240" w:line="360" w:lineRule="auto"/>
        <w:rPr/>
      </w:pPr>
      <w:r w:rsidDel="00000000" w:rsidR="00000000" w:rsidRPr="00000000">
        <w:rPr>
          <w:b w:val="1"/>
          <w:bCs w:val="1"/>
          <w:rtl w:val="0"/>
        </w:rPr>
        <w:t xml:space="preserve">Appendix 2</w:t>
      </w:r>
      <w:r w:rsidDel="00000000" w:rsidR="00000000" w:rsidRPr="00000000">
        <w:rPr>
          <w:rtl w:val="0"/>
        </w:rPr>
        <w:t xml:space="preserve">: An extracted version of the relevant parts of the Anodising training notes which just include the heater change procedure. </w:t>
      </w:r>
    </w:p>
    <w:p w:rsidR="00000000" w:rsidDel="00000000" w:rsidP="00000000" w:rsidRDefault="00000000" w:rsidRPr="00000000" w14:paraId="0000017C">
      <w:pPr>
        <w:spacing w:after="240" w:before="240" w:line="360" w:lineRule="auto"/>
        <w:rPr/>
      </w:pPr>
      <w:r w:rsidDel="00000000" w:rsidR="00000000" w:rsidRPr="00000000">
        <w:rPr/>
        <w:drawing>
          <wp:inline distB="114300" distT="114300" distL="114300" distR="114300">
            <wp:extent cx="5734050" cy="3561438"/>
            <wp:effectExtent b="0" l="0" r="0" t="0"/>
            <wp:docPr id="20" name="image17.png"/>
            <a:graphic>
              <a:graphicData uri="http://schemas.openxmlformats.org/drawingml/2006/picture">
                <pic:pic>
                  <pic:nvPicPr>
                    <pic:cNvPr id="0" name="image17.png"/>
                    <pic:cNvPicPr preferRelativeResize="0"/>
                  </pic:nvPicPr>
                  <pic:blipFill>
                    <a:blip r:embed="rId64"/>
                    <a:srcRect b="0" l="0" r="0" t="0"/>
                    <a:stretch>
                      <a:fillRect/>
                    </a:stretch>
                  </pic:blipFill>
                  <pic:spPr>
                    <a:xfrm>
                      <a:off x="0" y="0"/>
                      <a:ext cx="5734050" cy="3561438"/>
                    </a:xfrm>
                    <a:prstGeom prst="rect"/>
                    <a:ln/>
                  </pic:spPr>
                </pic:pic>
              </a:graphicData>
            </a:graphic>
          </wp:inline>
        </w:drawing>
      </w:r>
      <w:r w:rsidDel="00000000" w:rsidR="00000000" w:rsidRPr="00000000">
        <w:rPr>
          <w:rtl w:val="0"/>
        </w:rPr>
      </w:r>
    </w:p>
    <w:p w:rsidR="00000000" w:rsidDel="00000000" w:rsidP="00000000" w:rsidRDefault="00000000" w:rsidRPr="00000000" w14:paraId="0000017D">
      <w:pPr>
        <w:spacing w:after="240" w:before="240" w:line="360" w:lineRule="auto"/>
        <w:rPr/>
      </w:pPr>
      <w:r w:rsidDel="00000000" w:rsidR="00000000" w:rsidRPr="00000000">
        <w:rPr/>
        <w:drawing>
          <wp:inline distB="114300" distT="114300" distL="114300" distR="114300">
            <wp:extent cx="5731200" cy="4013200"/>
            <wp:effectExtent b="0" l="0" r="0" t="0"/>
            <wp:docPr id="17" name="image20.png"/>
            <a:graphic>
              <a:graphicData uri="http://schemas.openxmlformats.org/drawingml/2006/picture">
                <pic:pic>
                  <pic:nvPicPr>
                    <pic:cNvPr id="0" name="image20.png"/>
                    <pic:cNvPicPr preferRelativeResize="0"/>
                  </pic:nvPicPr>
                  <pic:blipFill>
                    <a:blip r:embed="rId65"/>
                    <a:srcRect b="0" l="0" r="0" t="0"/>
                    <a:stretch>
                      <a:fillRect/>
                    </a:stretch>
                  </pic:blipFill>
                  <pic:spPr>
                    <a:xfrm>
                      <a:off x="0" y="0"/>
                      <a:ext cx="5731200" cy="40132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after="240" w:before="240" w:line="360" w:lineRule="auto"/>
        <w:rPr/>
      </w:pPr>
      <w:r w:rsidDel="00000000" w:rsidR="00000000" w:rsidRPr="00000000">
        <w:rPr/>
        <w:drawing>
          <wp:inline distB="114300" distT="114300" distL="114300" distR="114300">
            <wp:extent cx="5731200" cy="4051300"/>
            <wp:effectExtent b="0" l="0" r="0" t="0"/>
            <wp:docPr id="23" name="image21.png"/>
            <a:graphic>
              <a:graphicData uri="http://schemas.openxmlformats.org/drawingml/2006/picture">
                <pic:pic>
                  <pic:nvPicPr>
                    <pic:cNvPr id="0" name="image21.png"/>
                    <pic:cNvPicPr preferRelativeResize="0"/>
                  </pic:nvPicPr>
                  <pic:blipFill>
                    <a:blip r:embed="rId66"/>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17F">
      <w:pPr>
        <w:spacing w:after="240" w:before="240" w:line="360" w:lineRule="auto"/>
        <w:rPr/>
      </w:pPr>
      <w:r w:rsidDel="00000000" w:rsidR="00000000" w:rsidRPr="00000000">
        <w:rPr/>
        <w:drawing>
          <wp:inline distB="114300" distT="114300" distL="114300" distR="114300">
            <wp:extent cx="5731200" cy="4038600"/>
            <wp:effectExtent b="0" l="0" r="0" t="0"/>
            <wp:docPr id="19" name="image22.png"/>
            <a:graphic>
              <a:graphicData uri="http://schemas.openxmlformats.org/drawingml/2006/picture">
                <pic:pic>
                  <pic:nvPicPr>
                    <pic:cNvPr id="0" name="image22.png"/>
                    <pic:cNvPicPr preferRelativeResize="0"/>
                  </pic:nvPicPr>
                  <pic:blipFill>
                    <a:blip r:embed="rId67"/>
                    <a:srcRect b="0" l="0" r="0" t="0"/>
                    <a:stretch>
                      <a:fillRect/>
                    </a:stretch>
                  </pic:blipFill>
                  <pic:spPr>
                    <a:xfrm>
                      <a:off x="0" y="0"/>
                      <a:ext cx="57312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spacing w:after="240" w:before="240" w:line="360" w:lineRule="auto"/>
        <w:rPr/>
      </w:pPr>
      <w:r w:rsidDel="00000000" w:rsidR="00000000" w:rsidRPr="00000000">
        <w:rPr/>
        <w:drawing>
          <wp:inline distB="114300" distT="114300" distL="114300" distR="114300">
            <wp:extent cx="5731200" cy="4038600"/>
            <wp:effectExtent b="0" l="0" r="0" t="0"/>
            <wp:docPr id="6" name="image19.png"/>
            <a:graphic>
              <a:graphicData uri="http://schemas.openxmlformats.org/drawingml/2006/picture">
                <pic:pic>
                  <pic:nvPicPr>
                    <pic:cNvPr id="0" name="image19.png"/>
                    <pic:cNvPicPr preferRelativeResize="0"/>
                  </pic:nvPicPr>
                  <pic:blipFill>
                    <a:blip r:embed="rId68"/>
                    <a:srcRect b="0" l="0" r="0" t="0"/>
                    <a:stretch>
                      <a:fillRect/>
                    </a:stretch>
                  </pic:blipFill>
                  <pic:spPr>
                    <a:xfrm>
                      <a:off x="0" y="0"/>
                      <a:ext cx="57312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181">
      <w:pPr>
        <w:spacing w:after="240" w:before="240" w:line="360" w:lineRule="auto"/>
        <w:rPr/>
      </w:pPr>
      <w:r w:rsidDel="00000000" w:rsidR="00000000" w:rsidRPr="00000000">
        <w:rPr/>
        <w:drawing>
          <wp:inline distB="114300" distT="114300" distL="114300" distR="114300">
            <wp:extent cx="5731200" cy="4000500"/>
            <wp:effectExtent b="0" l="0" r="0" t="0"/>
            <wp:docPr id="2" name="image1.png"/>
            <a:graphic>
              <a:graphicData uri="http://schemas.openxmlformats.org/drawingml/2006/picture">
                <pic:pic>
                  <pic:nvPicPr>
                    <pic:cNvPr id="0" name="image1.png"/>
                    <pic:cNvPicPr preferRelativeResize="0"/>
                  </pic:nvPicPr>
                  <pic:blipFill>
                    <a:blip r:embed="rId69"/>
                    <a:srcRect b="0" l="0" r="0" t="0"/>
                    <a:stretch>
                      <a:fillRect/>
                    </a:stretch>
                  </pic:blipFill>
                  <pic:spPr>
                    <a:xfrm>
                      <a:off x="0" y="0"/>
                      <a:ext cx="5731200"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spacing w:after="240" w:before="240" w:line="360" w:lineRule="auto"/>
        <w:rPr/>
      </w:pPr>
      <w:r w:rsidDel="00000000" w:rsidR="00000000" w:rsidRPr="00000000">
        <w:rPr/>
        <w:drawing>
          <wp:inline distB="114300" distT="114300" distL="114300" distR="114300">
            <wp:extent cx="5731200" cy="4000500"/>
            <wp:effectExtent b="0" l="0" r="0" t="0"/>
            <wp:docPr id="21" name="image18.png"/>
            <a:graphic>
              <a:graphicData uri="http://schemas.openxmlformats.org/drawingml/2006/picture">
                <pic:pic>
                  <pic:nvPicPr>
                    <pic:cNvPr id="0" name="image18.png"/>
                    <pic:cNvPicPr preferRelativeResize="0"/>
                  </pic:nvPicPr>
                  <pic:blipFill>
                    <a:blip r:embed="rId70"/>
                    <a:srcRect b="0" l="0" r="0" t="0"/>
                    <a:stretch>
                      <a:fillRect/>
                    </a:stretch>
                  </pic:blipFill>
                  <pic:spPr>
                    <a:xfrm>
                      <a:off x="0" y="0"/>
                      <a:ext cx="5731200"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183">
      <w:pPr>
        <w:spacing w:after="240" w:before="240" w:line="360" w:lineRule="auto"/>
        <w:rPr/>
      </w:pPr>
      <w:r w:rsidDel="00000000" w:rsidR="00000000" w:rsidRPr="00000000">
        <w:rPr>
          <w:rtl w:val="0"/>
        </w:rPr>
      </w:r>
    </w:p>
    <w:p w:rsidR="00000000" w:rsidDel="00000000" w:rsidP="00000000" w:rsidRDefault="00000000" w:rsidRPr="00000000" w14:paraId="00000184">
      <w:pPr>
        <w:spacing w:after="240" w:before="240" w:line="360" w:lineRule="auto"/>
        <w:rPr/>
      </w:pPr>
      <w:r w:rsidDel="00000000" w:rsidR="00000000" w:rsidRPr="00000000">
        <w:rPr>
          <w:b w:val="1"/>
          <w:bCs w:val="1"/>
          <w:rtl w:val="0"/>
        </w:rPr>
        <w:t xml:space="preserve">Appendix 3</w:t>
      </w:r>
      <w:r w:rsidDel="00000000" w:rsidR="00000000" w:rsidRPr="00000000">
        <w:rPr>
          <w:rtl w:val="0"/>
        </w:rPr>
        <w:t xml:space="preserve">: An extracted version of the relevant parts of the anodising training notes which just include the PH probe calibration procedure.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628650</wp:posOffset>
            </wp:positionV>
            <wp:extent cx="2586038" cy="3533775"/>
            <wp:effectExtent b="0" l="0" r="0" t="0"/>
            <wp:wrapSquare wrapText="bothSides" distB="114300" distT="114300" distL="114300" distR="114300"/>
            <wp:docPr id="24" name="image24.png"/>
            <a:graphic>
              <a:graphicData uri="http://schemas.openxmlformats.org/drawingml/2006/picture">
                <pic:pic>
                  <pic:nvPicPr>
                    <pic:cNvPr id="0" name="image24.png"/>
                    <pic:cNvPicPr preferRelativeResize="0"/>
                  </pic:nvPicPr>
                  <pic:blipFill>
                    <a:blip r:embed="rId71"/>
                    <a:srcRect b="0" l="0" r="0" t="0"/>
                    <a:stretch>
                      <a:fillRect/>
                    </a:stretch>
                  </pic:blipFill>
                  <pic:spPr>
                    <a:xfrm>
                      <a:off x="0" y="0"/>
                      <a:ext cx="2586038" cy="3533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2752725</wp:posOffset>
            </wp:positionH>
            <wp:positionV relativeFrom="paragraph">
              <wp:posOffset>625425</wp:posOffset>
            </wp:positionV>
            <wp:extent cx="2990850" cy="3660825"/>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72"/>
                    <a:srcRect b="0" l="0" r="0" t="0"/>
                    <a:stretch>
                      <a:fillRect/>
                    </a:stretch>
                  </pic:blipFill>
                  <pic:spPr>
                    <a:xfrm>
                      <a:off x="0" y="0"/>
                      <a:ext cx="2990850" cy="3660825"/>
                    </a:xfrm>
                    <a:prstGeom prst="rect"/>
                    <a:ln/>
                  </pic:spPr>
                </pic:pic>
              </a:graphicData>
            </a:graphic>
          </wp:anchor>
        </w:drawing>
      </w:r>
    </w:p>
    <w:p w:rsidR="00000000" w:rsidDel="00000000" w:rsidP="00000000" w:rsidRDefault="00000000" w:rsidRPr="00000000" w14:paraId="00000185">
      <w:pPr>
        <w:spacing w:after="240" w:before="240" w:line="360" w:lineRule="auto"/>
        <w:rPr/>
      </w:pPr>
      <w:r w:rsidDel="00000000" w:rsidR="00000000" w:rsidRPr="00000000">
        <w:rPr>
          <w:rtl w:val="0"/>
        </w:rPr>
      </w:r>
    </w:p>
    <w:p w:rsidR="00000000" w:rsidDel="00000000" w:rsidP="00000000" w:rsidRDefault="00000000" w:rsidRPr="00000000" w14:paraId="00000186">
      <w:pPr>
        <w:spacing w:after="240" w:before="240" w:line="360" w:lineRule="auto"/>
        <w:rPr/>
      </w:pPr>
      <w:r w:rsidDel="00000000" w:rsidR="00000000" w:rsidRPr="00000000">
        <w:rPr>
          <w:b w:val="1"/>
          <w:bCs w:val="1"/>
          <w:rtl w:val="0"/>
        </w:rPr>
        <w:t xml:space="preserve">Appendix 4</w:t>
      </w:r>
      <w:r w:rsidDel="00000000" w:rsidR="00000000" w:rsidRPr="00000000">
        <w:rPr>
          <w:rtl w:val="0"/>
        </w:rPr>
        <w:t xml:space="preserve">: Comparison table of different flow meters.</w:t>
      </w:r>
    </w:p>
    <w:p w:rsidR="00000000" w:rsidDel="00000000" w:rsidP="00000000" w:rsidRDefault="00000000" w:rsidRPr="00000000" w14:paraId="00000187">
      <w:pPr>
        <w:spacing w:after="240" w:before="240" w:line="360" w:lineRule="auto"/>
        <w:rPr/>
      </w:pPr>
      <w:r w:rsidDel="00000000" w:rsidR="00000000" w:rsidRPr="00000000">
        <w:rPr/>
        <w:drawing>
          <wp:inline distB="114300" distT="114300" distL="114300" distR="114300">
            <wp:extent cx="5731200" cy="1485900"/>
            <wp:effectExtent b="0" l="0" r="0" t="0"/>
            <wp:docPr id="16" name="image2.png"/>
            <a:graphic>
              <a:graphicData uri="http://schemas.openxmlformats.org/drawingml/2006/picture">
                <pic:pic>
                  <pic:nvPicPr>
                    <pic:cNvPr id="0" name="image2.png"/>
                    <pic:cNvPicPr preferRelativeResize="0"/>
                  </pic:nvPicPr>
                  <pic:blipFill>
                    <a:blip r:embed="rId73"/>
                    <a:srcRect b="0" l="0" r="0" t="0"/>
                    <a:stretch>
                      <a:fillRect/>
                    </a:stretch>
                  </pic:blipFill>
                  <pic:spPr>
                    <a:xfrm>
                      <a:off x="0" y="0"/>
                      <a:ext cx="573120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188">
      <w:pPr>
        <w:spacing w:after="240" w:before="240" w:line="360" w:lineRule="auto"/>
        <w:rPr>
          <w:b w:val="1"/>
          <w:bCs w:val="1"/>
        </w:rPr>
      </w:pPr>
      <w:r w:rsidDel="00000000" w:rsidR="00000000" w:rsidRPr="00000000">
        <w:rPr>
          <w:rtl w:val="0"/>
        </w:rPr>
      </w:r>
    </w:p>
    <w:p w:rsidR="00000000" w:rsidDel="00000000" w:rsidP="00000000" w:rsidRDefault="00000000" w:rsidRPr="00000000" w14:paraId="00000189">
      <w:pPr>
        <w:spacing w:after="240" w:before="240" w:line="360" w:lineRule="auto"/>
        <w:rPr/>
      </w:pPr>
      <w:r w:rsidDel="00000000" w:rsidR="00000000" w:rsidRPr="00000000">
        <w:rPr>
          <w:b w:val="1"/>
          <w:bCs w:val="1"/>
          <w:rtl w:val="0"/>
        </w:rPr>
        <w:t xml:space="preserve">Appendix 5</w:t>
      </w:r>
      <w:r w:rsidDel="00000000" w:rsidR="00000000" w:rsidRPr="00000000">
        <w:rPr>
          <w:rtl w:val="0"/>
        </w:rPr>
        <w:t xml:space="preserve">: Control panel schematic diagram, highlighting the </w:t>
      </w:r>
      <w:r w:rsidDel="00000000" w:rsidR="00000000" w:rsidRPr="00000000">
        <w:rPr>
          <w:color w:val="0f1115"/>
          <w:highlight w:val="white"/>
          <w:rtl w:val="0"/>
        </w:rPr>
        <w:t xml:space="preserve">PLC Mitsubishi FX2N-128MR-ES/UL and its available inputs/ outputs. </w:t>
      </w:r>
      <w:r w:rsidDel="00000000" w:rsidR="00000000" w:rsidRPr="00000000">
        <w:rPr>
          <w:rtl w:val="0"/>
        </w:rPr>
        <w:t xml:space="preserve"> </w:t>
      </w:r>
    </w:p>
    <w:p w:rsidR="00000000" w:rsidDel="00000000" w:rsidP="00000000" w:rsidRDefault="00000000" w:rsidRPr="00000000" w14:paraId="0000018A">
      <w:pPr>
        <w:spacing w:after="240" w:before="240" w:line="360" w:lineRule="auto"/>
        <w:rPr/>
      </w:pPr>
      <w:r w:rsidDel="00000000" w:rsidR="00000000" w:rsidRPr="00000000">
        <w:rPr/>
        <w:drawing>
          <wp:inline distB="114300" distT="114300" distL="114300" distR="114300">
            <wp:extent cx="2719388" cy="3790950"/>
            <wp:effectExtent b="0" l="0" r="0" t="0"/>
            <wp:docPr id="11" name="image14.png"/>
            <a:graphic>
              <a:graphicData uri="http://schemas.openxmlformats.org/drawingml/2006/picture">
                <pic:pic>
                  <pic:nvPicPr>
                    <pic:cNvPr id="0" name="image14.png"/>
                    <pic:cNvPicPr preferRelativeResize="0"/>
                  </pic:nvPicPr>
                  <pic:blipFill>
                    <a:blip r:embed="rId74"/>
                    <a:srcRect b="0" l="13871" r="26774" t="0"/>
                    <a:stretch>
                      <a:fillRect/>
                    </a:stretch>
                  </pic:blipFill>
                  <pic:spPr>
                    <a:xfrm>
                      <a:off x="0" y="0"/>
                      <a:ext cx="2719388" cy="3790950"/>
                    </a:xfrm>
                    <a:prstGeom prst="rect"/>
                    <a:ln/>
                  </pic:spPr>
                </pic:pic>
              </a:graphicData>
            </a:graphic>
          </wp:inline>
        </w:drawing>
      </w:r>
      <w:r w:rsidDel="00000000" w:rsidR="00000000" w:rsidRPr="00000000">
        <w:rPr/>
        <w:drawing>
          <wp:inline distB="114300" distT="114300" distL="114300" distR="114300">
            <wp:extent cx="2786063" cy="3781425"/>
            <wp:effectExtent b="0" l="0" r="0" t="0"/>
            <wp:docPr id="12" name="image8.png"/>
            <a:graphic>
              <a:graphicData uri="http://schemas.openxmlformats.org/drawingml/2006/picture">
                <pic:pic>
                  <pic:nvPicPr>
                    <pic:cNvPr id="0" name="image8.png"/>
                    <pic:cNvPicPr preferRelativeResize="0"/>
                  </pic:nvPicPr>
                  <pic:blipFill>
                    <a:blip r:embed="rId75"/>
                    <a:srcRect b="0" l="17455" r="22909" t="0"/>
                    <a:stretch>
                      <a:fillRect/>
                    </a:stretch>
                  </pic:blipFill>
                  <pic:spPr>
                    <a:xfrm>
                      <a:off x="0" y="0"/>
                      <a:ext cx="2786063" cy="3781425"/>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spacing w:after="240" w:before="240" w:line="360" w:lineRule="auto"/>
        <w:rPr/>
      </w:pPr>
      <w:r w:rsidDel="00000000" w:rsidR="00000000" w:rsidRPr="00000000">
        <w:rPr>
          <w:rtl w:val="0"/>
        </w:rPr>
      </w:r>
    </w:p>
    <w:p w:rsidR="00000000" w:rsidDel="00000000" w:rsidP="00000000" w:rsidRDefault="00000000" w:rsidRPr="00000000" w14:paraId="0000018C">
      <w:pPr>
        <w:spacing w:after="240" w:before="240" w:line="360" w:lineRule="auto"/>
        <w:rPr/>
      </w:pPr>
      <w:r w:rsidDel="00000000" w:rsidR="00000000" w:rsidRPr="00000000">
        <w:rPr>
          <w:rtl w:val="0"/>
        </w:rPr>
      </w:r>
    </w:p>
    <w:p w:rsidR="00000000" w:rsidDel="00000000" w:rsidP="00000000" w:rsidRDefault="00000000" w:rsidRPr="00000000" w14:paraId="0000018D">
      <w:pPr>
        <w:spacing w:after="240" w:before="240" w:line="360" w:lineRule="auto"/>
        <w:rPr/>
      </w:pPr>
      <w:r w:rsidDel="00000000" w:rsidR="00000000" w:rsidRPr="00000000">
        <w:rPr>
          <w:rtl w:val="0"/>
        </w:rPr>
      </w:r>
    </w:p>
    <w:p w:rsidR="00000000" w:rsidDel="00000000" w:rsidP="00000000" w:rsidRDefault="00000000" w:rsidRPr="00000000" w14:paraId="0000018E">
      <w:pPr>
        <w:spacing w:after="240" w:before="240" w:line="360" w:lineRule="auto"/>
        <w:rPr>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114300</wp:posOffset>
            </wp:positionV>
            <wp:extent cx="6038850" cy="8482200"/>
            <wp:effectExtent b="0" l="0" r="0" t="0"/>
            <wp:wrapSquare wrapText="bothSides" distB="114300" distT="114300" distL="114300" distR="114300"/>
            <wp:docPr id="7" name="image15.png"/>
            <a:graphic>
              <a:graphicData uri="http://schemas.openxmlformats.org/drawingml/2006/picture">
                <pic:pic>
                  <pic:nvPicPr>
                    <pic:cNvPr id="0" name="image15.png"/>
                    <pic:cNvPicPr preferRelativeResize="0"/>
                  </pic:nvPicPr>
                  <pic:blipFill>
                    <a:blip r:embed="rId76"/>
                    <a:srcRect b="0" l="0" r="0" t="0"/>
                    <a:stretch>
                      <a:fillRect/>
                    </a:stretch>
                  </pic:blipFill>
                  <pic:spPr>
                    <a:xfrm>
                      <a:off x="0" y="0"/>
                      <a:ext cx="6038850" cy="8482200"/>
                    </a:xfrm>
                    <a:prstGeom prst="rect"/>
                    <a:ln/>
                  </pic:spPr>
                </pic:pic>
              </a:graphicData>
            </a:graphic>
          </wp:anchor>
        </w:drawing>
      </w:r>
    </w:p>
    <w:p w:rsidR="00000000" w:rsidDel="00000000" w:rsidP="00000000" w:rsidRDefault="00000000" w:rsidRPr="00000000" w14:paraId="0000018F">
      <w:pPr>
        <w:spacing w:after="240" w:before="240" w:line="360" w:lineRule="auto"/>
        <w:rPr/>
      </w:pPr>
      <w:r w:rsidDel="00000000" w:rsidR="00000000" w:rsidRPr="00000000">
        <w:rPr>
          <w:b w:val="1"/>
          <w:bCs w:val="1"/>
          <w:rtl w:val="0"/>
        </w:rPr>
        <w:t xml:space="preserve">Appendix 6:</w:t>
      </w:r>
      <w:r w:rsidDel="00000000" w:rsidR="00000000" w:rsidRPr="00000000">
        <w:rPr>
          <w:rtl w:val="0"/>
        </w:rPr>
        <w:t xml:space="preserve"> Comparison table for thermal imaging cameras</w:t>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rPr>
        <w:drawing>
          <wp:inline distB="114300" distT="114300" distL="114300" distR="114300">
            <wp:extent cx="5731200" cy="5067300"/>
            <wp:effectExtent b="0" l="0" r="0" t="0"/>
            <wp:docPr id="18" name="image4.png"/>
            <a:graphic>
              <a:graphicData uri="http://schemas.openxmlformats.org/drawingml/2006/picture">
                <pic:pic>
                  <pic:nvPicPr>
                    <pic:cNvPr id="0" name="image4.png"/>
                    <pic:cNvPicPr preferRelativeResize="0"/>
                  </pic:nvPicPr>
                  <pic:blipFill>
                    <a:blip r:embed="rId77"/>
                    <a:srcRect b="0" l="0" r="0" t="0"/>
                    <a:stretch>
                      <a:fillRect/>
                    </a:stretch>
                  </pic:blipFill>
                  <pic:spPr>
                    <a:xfrm>
                      <a:off x="0" y="0"/>
                      <a:ext cx="5731200" cy="5067300"/>
                    </a:xfrm>
                    <a:prstGeom prst="rect"/>
                    <a:ln/>
                  </pic:spPr>
                </pic:pic>
              </a:graphicData>
            </a:graphic>
          </wp:inline>
        </w:drawing>
      </w:r>
      <w:r w:rsidDel="00000000" w:rsidR="00000000" w:rsidRPr="00000000">
        <w:rPr>
          <w:rtl w:val="0"/>
        </w:rPr>
      </w:r>
    </w:p>
    <w:sectPr>
      <w:headerReference r:id="rId78" w:type="default"/>
      <w:footerReference r:id="rId79" w:type="default"/>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1">
    <w:pPr>
      <w:rPr/>
    </w:pPr>
    <w:r w:rsidDel="00000000" w:rsidR="00000000" w:rsidRPr="00000000">
      <w:rPr>
        <w:rtl w:val="0"/>
      </w:rPr>
      <w:t xml:space="preserve">Ryan Lewis                                               2318511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hd w:fill="ffffff" w:val="clear"/>
      <w:spacing w:after="240" w:before="480" w:line="360" w:lineRule="auto"/>
    </w:pPr>
    <w:rPr>
      <w:sz w:val="36"/>
      <w:szCs w:val="36"/>
    </w:rPr>
  </w:style>
  <w:style w:type="paragraph" w:styleId="Heading2">
    <w:name w:val="heading 2"/>
    <w:basedOn w:val="Normal"/>
    <w:next w:val="Normal"/>
    <w:pPr>
      <w:keepNext w:val="1"/>
      <w:keepLines w:val="1"/>
      <w:shd w:fill="ffffff" w:val="clear"/>
      <w:spacing w:after="240" w:before="480" w:line="360" w:lineRule="auto"/>
    </w:pPr>
    <w:rPr>
      <w:b w:val="1"/>
      <w:bCs w:val="1"/>
      <w:sz w:val="28"/>
      <w:szCs w:val="28"/>
    </w:rPr>
  </w:style>
  <w:style w:type="paragraph" w:styleId="Heading3">
    <w:name w:val="heading 3"/>
    <w:basedOn w:val="Normal"/>
    <w:next w:val="Normal"/>
    <w:pPr>
      <w:keepNext w:val="1"/>
      <w:keepLines w:val="1"/>
      <w:spacing w:after="40" w:before="320" w:lineRule="auto"/>
    </w:pPr>
    <w:rPr>
      <w:b w:val="1"/>
      <w:bCs w:val="1"/>
      <w:color w:val="434343"/>
      <w:sz w:val="24"/>
      <w:szCs w:val="24"/>
    </w:rPr>
  </w:style>
  <w:style w:type="paragraph" w:styleId="Heading4">
    <w:name w:val="heading 4"/>
    <w:basedOn w:val="Normal"/>
    <w:next w:val="Normal"/>
    <w:pPr>
      <w:keepNext w:val="1"/>
      <w:keepLines w:val="1"/>
      <w:shd w:fill="ffffff" w:val="clear"/>
      <w:spacing w:after="240" w:before="240" w:line="360" w:lineRule="auto"/>
    </w:pPr>
    <w:rPr>
      <w:i w:val="1"/>
      <w:iCs w:val="1"/>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researchgate.net/publication/372370311_From_Corrective_to_Predictive_Maintenance-A_Review_of_Maintenance_Approaches_for_the_Power_Industry/link/6806e694ded433155734f78f/download?_tp=eyJjb250ZXh0Ijp7ImZpcnN0UGFnZSI6InB1YmxpY2F0aW9uIiwicGFnZSI6InB1YmxpY2F0aW9uIn19" TargetMode="External"/><Relationship Id="rId42" Type="http://schemas.openxmlformats.org/officeDocument/2006/relationships/hyperlink" Target="https://d1wqtxts1xzle7.cloudfront.net" TargetMode="External"/><Relationship Id="rId41" Type="http://schemas.openxmlformats.org/officeDocument/2006/relationships/hyperlink" Target="https://d1wqtxts1xzle7.cloudfront.net" TargetMode="External"/><Relationship Id="rId44" Type="http://schemas.openxmlformats.org/officeDocument/2006/relationships/hyperlink" Target="https://arxiv.org/abs/1912.07383" TargetMode="External"/><Relationship Id="rId43" Type="http://schemas.openxmlformats.org/officeDocument/2006/relationships/hyperlink" Target="https://arxiv.org/abs/1912.07383" TargetMode="External"/><Relationship Id="rId46" Type="http://schemas.openxmlformats.org/officeDocument/2006/relationships/hyperlink" Target="https://www.renishaw.com/en/about-renishaw--6432" TargetMode="External"/><Relationship Id="rId45" Type="http://schemas.openxmlformats.org/officeDocument/2006/relationships/hyperlink" Target="https://www.renishaw.com/en/about-renishaw--643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48" Type="http://schemas.openxmlformats.org/officeDocument/2006/relationships/hyperlink" Target="https://uk.rs-online.com/web/p/flow-sensors/9010078" TargetMode="External"/><Relationship Id="rId47" Type="http://schemas.openxmlformats.org/officeDocument/2006/relationships/hyperlink" Target="https://uk.rs-online.com/web/p/flow-sensors/9010078" TargetMode="External"/><Relationship Id="rId49" Type="http://schemas.openxmlformats.org/officeDocument/2006/relationships/hyperlink" Target="https://uk.rs-online.com" TargetMode="External"/><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3.png"/><Relationship Id="rId8" Type="http://schemas.openxmlformats.org/officeDocument/2006/relationships/image" Target="media/image13.png"/><Relationship Id="rId73" Type="http://schemas.openxmlformats.org/officeDocument/2006/relationships/image" Target="media/image2.png"/><Relationship Id="rId72" Type="http://schemas.openxmlformats.org/officeDocument/2006/relationships/image" Target="media/image6.png"/><Relationship Id="rId31" Type="http://schemas.openxmlformats.org/officeDocument/2006/relationships/hyperlink" Target="https://www.sciencedirect.com/science/article/pii/S0950423021001637" TargetMode="External"/><Relationship Id="rId75" Type="http://schemas.openxmlformats.org/officeDocument/2006/relationships/image" Target="media/image8.png"/><Relationship Id="rId30" Type="http://schemas.openxmlformats.org/officeDocument/2006/relationships/hyperlink" Target="https://www.sciencedirect.com/science/article/pii/S0950423021001637" TargetMode="External"/><Relationship Id="rId74" Type="http://schemas.openxmlformats.org/officeDocument/2006/relationships/image" Target="media/image14.png"/><Relationship Id="rId33" Type="http://schemas.openxmlformats.org/officeDocument/2006/relationships/hyperlink" Target="https://doi.org/10.36001/phmconf.2024.v16i1.3913" TargetMode="External"/><Relationship Id="rId77" Type="http://schemas.openxmlformats.org/officeDocument/2006/relationships/image" Target="media/image4.png"/><Relationship Id="rId32" Type="http://schemas.openxmlformats.org/officeDocument/2006/relationships/hyperlink" Target="https://doi.org/10.1007/s10836-020-05899-w" TargetMode="External"/><Relationship Id="rId76" Type="http://schemas.openxmlformats.org/officeDocument/2006/relationships/image" Target="media/image15.png"/><Relationship Id="rId35" Type="http://schemas.openxmlformats.org/officeDocument/2006/relationships/hyperlink" Target="https://hal.science/hal-02965772" TargetMode="External"/><Relationship Id="rId79" Type="http://schemas.openxmlformats.org/officeDocument/2006/relationships/footer" Target="footer1.xml"/><Relationship Id="rId34" Type="http://schemas.openxmlformats.org/officeDocument/2006/relationships/hyperlink" Target="https://hal.science/hal-02965772" TargetMode="External"/><Relationship Id="rId78" Type="http://schemas.openxmlformats.org/officeDocument/2006/relationships/header" Target="header1.xml"/><Relationship Id="rId71" Type="http://schemas.openxmlformats.org/officeDocument/2006/relationships/image" Target="media/image24.png"/><Relationship Id="rId70" Type="http://schemas.openxmlformats.org/officeDocument/2006/relationships/image" Target="media/image18.png"/><Relationship Id="rId37" Type="http://schemas.openxmlformats.org/officeDocument/2006/relationships/hyperlink" Target="https://manualmachine.com/eutechinstruments/alphaph200/1112256-user-manual/" TargetMode="External"/><Relationship Id="rId36" Type="http://schemas.openxmlformats.org/officeDocument/2006/relationships/hyperlink" Target="https://manualmachine.com/eutechinstruments/alphaph200/1112256-user-manual/" TargetMode="External"/><Relationship Id="rId39" Type="http://schemas.openxmlformats.org/officeDocument/2006/relationships/hyperlink" Target="https://reliamag.com/guides/best-thermal-cameras-industrial-2026/" TargetMode="External"/><Relationship Id="rId38" Type="http://schemas.openxmlformats.org/officeDocument/2006/relationships/hyperlink" Target="https://reliamag.com/guides/best-thermal-cameras-industrial-2026/" TargetMode="External"/><Relationship Id="rId62" Type="http://schemas.openxmlformats.org/officeDocument/2006/relationships/image" Target="media/image9.png"/><Relationship Id="rId61" Type="http://schemas.openxmlformats.org/officeDocument/2006/relationships/hyperlink" Target="https://doi.org/10.3390/s18124102" TargetMode="External"/><Relationship Id="rId20" Type="http://schemas.openxmlformats.org/officeDocument/2006/relationships/hyperlink" Target="https://www.diva-portal.org/smash/get/diva2:1319367/FULLTEXT01.pdf" TargetMode="External"/><Relationship Id="rId64" Type="http://schemas.openxmlformats.org/officeDocument/2006/relationships/image" Target="media/image17.png"/><Relationship Id="rId63" Type="http://schemas.openxmlformats.org/officeDocument/2006/relationships/image" Target="media/image16.png"/><Relationship Id="rId22" Type="http://schemas.openxmlformats.org/officeDocument/2006/relationships/hyperlink" Target="https://doi.org/10.3390/en15166000" TargetMode="External"/><Relationship Id="rId66" Type="http://schemas.openxmlformats.org/officeDocument/2006/relationships/image" Target="media/image21.png"/><Relationship Id="rId21" Type="http://schemas.openxmlformats.org/officeDocument/2006/relationships/hyperlink" Target="https://www.diva-portal.org/smash/get/diva2:1319367/FULLTEXT01.pdf" TargetMode="External"/><Relationship Id="rId65" Type="http://schemas.openxmlformats.org/officeDocument/2006/relationships/image" Target="media/image20.png"/><Relationship Id="rId24" Type="http://schemas.openxmlformats.org/officeDocument/2006/relationships/hyperlink" Target="https://doi.org/10.1016/j.cie.2020.106924" TargetMode="External"/><Relationship Id="rId68" Type="http://schemas.openxmlformats.org/officeDocument/2006/relationships/image" Target="media/image19.png"/><Relationship Id="rId23" Type="http://schemas.openxmlformats.org/officeDocument/2006/relationships/hyperlink" Target="https://doi.org/10.1016/j.ymssp.2015.12.011" TargetMode="External"/><Relationship Id="rId67" Type="http://schemas.openxmlformats.org/officeDocument/2006/relationships/image" Target="media/image22.png"/><Relationship Id="rId60" Type="http://schemas.openxmlformats.org/officeDocument/2006/relationships/hyperlink" Target="https://www.legislation.gov.uk/ukpga/1991/56/contents" TargetMode="External"/><Relationship Id="rId26" Type="http://schemas.openxmlformats.org/officeDocument/2006/relationships/hyperlink" Target="https://www.instrumart.com/products/42402/icon-truflo-ultraflo-4000-series-ultrasonic-flow-meter" TargetMode="External"/><Relationship Id="rId25" Type="http://schemas.openxmlformats.org/officeDocument/2006/relationships/hyperlink" Target="https://doi.org/10.35940/ijies.b1099.12030325" TargetMode="External"/><Relationship Id="rId69" Type="http://schemas.openxmlformats.org/officeDocument/2006/relationships/image" Target="media/image1.png"/><Relationship Id="rId28" Type="http://schemas.openxmlformats.org/officeDocument/2006/relationships/hyperlink" Target="https://doi.org/10.1016/0043-1354(94)00325-2" TargetMode="External"/><Relationship Id="rId27" Type="http://schemas.openxmlformats.org/officeDocument/2006/relationships/hyperlink" Target="https://www.instrumart.com/products/42402/icon-truflo-ultraflo-4000-series-ultrasonic-flow-meter" TargetMode="External"/><Relationship Id="rId29" Type="http://schemas.openxmlformats.org/officeDocument/2006/relationships/hyperlink" Target="https://doi.org/10.1016/0043-1354(94)00325-2" TargetMode="External"/><Relationship Id="rId51" Type="http://schemas.openxmlformats.org/officeDocument/2006/relationships/hyperlink" Target="https://uk.rs-online.com/web/p/flow-sensors/6134238" TargetMode="External"/><Relationship Id="rId50" Type="http://schemas.openxmlformats.org/officeDocument/2006/relationships/hyperlink" Target="https://uk.rs-online.com" TargetMode="External"/><Relationship Id="rId53" Type="http://schemas.openxmlformats.org/officeDocument/2006/relationships/hyperlink" Target="https://doi.org/10.1109/tmech.2021.3053173" TargetMode="External"/><Relationship Id="rId52" Type="http://schemas.openxmlformats.org/officeDocument/2006/relationships/hyperlink" Target="https://uk.rs-online.com/web/p/flow-sensors/6134238" TargetMode="External"/><Relationship Id="rId11" Type="http://schemas.openxmlformats.org/officeDocument/2006/relationships/image" Target="media/image12.png"/><Relationship Id="rId55" Type="http://schemas.openxmlformats.org/officeDocument/2006/relationships/hyperlink" Target="https://odr.chalmers.se" TargetMode="External"/><Relationship Id="rId10" Type="http://schemas.openxmlformats.org/officeDocument/2006/relationships/image" Target="media/image23.png"/><Relationship Id="rId54" Type="http://schemas.openxmlformats.org/officeDocument/2006/relationships/hyperlink" Target="https://odr.chalmers.se" TargetMode="External"/><Relationship Id="rId13" Type="http://schemas.openxmlformats.org/officeDocument/2006/relationships/image" Target="media/image7.png"/><Relationship Id="rId57" Type="http://schemas.openxmlformats.org/officeDocument/2006/relationships/hyperlink" Target="https://doi.org/10.1016/j.fuel.2023.129381" TargetMode="External"/><Relationship Id="rId12" Type="http://schemas.openxmlformats.org/officeDocument/2006/relationships/image" Target="media/image11.png"/><Relationship Id="rId56" Type="http://schemas.openxmlformats.org/officeDocument/2006/relationships/hyperlink" Target="https://doi.org/10.1016/j.cie.2021.107278" TargetMode="External"/><Relationship Id="rId15" Type="http://schemas.openxmlformats.org/officeDocument/2006/relationships/hyperlink" Target="https://jjmie.hu.edu.jo/vol-13-3/88-19-01.pdf" TargetMode="External"/><Relationship Id="rId59" Type="http://schemas.openxmlformats.org/officeDocument/2006/relationships/hyperlink" Target="https://www.legislation.gov.uk/ukpga/1991/56/contents" TargetMode="External"/><Relationship Id="rId14" Type="http://schemas.openxmlformats.org/officeDocument/2006/relationships/hyperlink" Target="https://jjmie.hu.edu.jo/vol-13-3/88-19-01.pdf" TargetMode="External"/><Relationship Id="rId58" Type="http://schemas.openxmlformats.org/officeDocument/2006/relationships/hyperlink" Target="https://doi.org/10.1016/j.fuel.2023.129381" TargetMode="External"/><Relationship Id="rId17" Type="http://schemas.openxmlformats.org/officeDocument/2006/relationships/hyperlink" Target="https://doi.org/10.1016/j.cie.2012.02.002" TargetMode="External"/><Relationship Id="rId16" Type="http://schemas.openxmlformats.org/officeDocument/2006/relationships/hyperlink" Target="https://jjmie.hu.edu.jo/vol-13-3/88-19-01.pdf" TargetMode="External"/><Relationship Id="rId19" Type="http://schemas.openxmlformats.org/officeDocument/2006/relationships/hyperlink" Target="https://doi.org/10.1016/j.ifacol.2019.11.326" TargetMode="External"/><Relationship Id="rId18" Type="http://schemas.openxmlformats.org/officeDocument/2006/relationships/hyperlink" Target="http://doi.org/10.59324/ejiss.2025.1(3).2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