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D254D2" w14:textId="6B4EF963" w:rsidR="00890CF1" w:rsidRDefault="00977E4B" w:rsidP="00977E4B">
      <w:pPr>
        <w:spacing w:before="1440" w:line="360" w:lineRule="auto"/>
        <w:jc w:val="both"/>
      </w:pPr>
      <w:r>
        <w:t xml:space="preserve">                                                   </w:t>
      </w:r>
      <w:r w:rsidR="00F73B84">
        <w:rPr>
          <w:noProof/>
        </w:rPr>
        <w:drawing>
          <wp:inline distT="0" distB="0" distL="0" distR="0" wp14:anchorId="462BD7FA" wp14:editId="49E0D548">
            <wp:extent cx="1480207" cy="762000"/>
            <wp:effectExtent l="0" t="0" r="5715" b="0"/>
            <wp:docPr id="274893159" name="Picture 1" descr="A blue and white sign with a shield and lea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893159" name="Picture 1" descr="A blue and white sign with a shield and leaf&#10;&#10;AI-generated content may be incorrect."/>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482700" cy="763283"/>
                    </a:xfrm>
                    <a:prstGeom prst="rect">
                      <a:avLst/>
                    </a:prstGeom>
                  </pic:spPr>
                </pic:pic>
              </a:graphicData>
            </a:graphic>
          </wp:inline>
        </w:drawing>
      </w:r>
    </w:p>
    <w:p w14:paraId="73AD0A06" w14:textId="77777777" w:rsidR="00F73B84" w:rsidRDefault="00F73B84" w:rsidP="002653A4">
      <w:pPr>
        <w:spacing w:before="1440" w:line="360" w:lineRule="auto"/>
      </w:pPr>
    </w:p>
    <w:p w14:paraId="180CECE9" w14:textId="77777777" w:rsidR="00890CF1" w:rsidRDefault="00000000">
      <w:pPr>
        <w:jc w:val="center"/>
      </w:pPr>
      <w:r>
        <w:t>University of Wales Trinity Saint David</w:t>
      </w:r>
    </w:p>
    <w:p w14:paraId="42E95A58" w14:textId="77777777" w:rsidR="00890CF1" w:rsidRDefault="00000000">
      <w:pPr>
        <w:spacing w:before="280"/>
        <w:jc w:val="center"/>
      </w:pPr>
      <w:r>
        <w:rPr>
          <w:b/>
          <w:bCs/>
          <w:sz w:val="24"/>
          <w:szCs w:val="24"/>
        </w:rPr>
        <w:t>Digital Transformation in the Health and Care Professions (BMHP6026)</w:t>
      </w:r>
    </w:p>
    <w:p w14:paraId="0D3BC88D" w14:textId="77777777" w:rsidR="00890CF1" w:rsidRDefault="00000000">
      <w:pPr>
        <w:spacing w:before="160"/>
        <w:jc w:val="center"/>
      </w:pPr>
      <w:r>
        <w:t>Component 1: Written Report</w:t>
      </w:r>
    </w:p>
    <w:p w14:paraId="49896FE3" w14:textId="77777777" w:rsidR="00890CF1" w:rsidRDefault="00000000">
      <w:pPr>
        <w:spacing w:before="560"/>
        <w:jc w:val="center"/>
      </w:pPr>
      <w:r>
        <w:rPr>
          <w:b/>
          <w:bCs/>
          <w:sz w:val="24"/>
          <w:szCs w:val="24"/>
        </w:rPr>
        <w:t>Huma: A Critical Evaluation of Remote Patient Monitoring and Its Impact on Health and Social Care in the United Kingdom</w:t>
      </w:r>
    </w:p>
    <w:p w14:paraId="389626D1" w14:textId="77777777" w:rsidR="00890CF1" w:rsidRDefault="00000000">
      <w:pPr>
        <w:spacing w:before="960"/>
        <w:jc w:val="center"/>
      </w:pPr>
      <w:r>
        <w:t>Student Name:  Deise Almada Cardoso</w:t>
      </w:r>
    </w:p>
    <w:p w14:paraId="735BE11C" w14:textId="77777777" w:rsidR="00890CF1" w:rsidRDefault="00000000">
      <w:pPr>
        <w:spacing w:before="120"/>
        <w:jc w:val="center"/>
      </w:pPr>
      <w:r>
        <w:t>Student Number:  2247044</w:t>
      </w:r>
    </w:p>
    <w:p w14:paraId="26D7F06D" w14:textId="77777777" w:rsidR="00890CF1" w:rsidRDefault="00000000">
      <w:pPr>
        <w:spacing w:before="120"/>
        <w:jc w:val="center"/>
      </w:pPr>
      <w:r>
        <w:t>Lecturer’s Name:  Laila Surani</w:t>
      </w:r>
    </w:p>
    <w:p w14:paraId="452F45D0" w14:textId="77777777" w:rsidR="00890CF1" w:rsidRDefault="00000000">
      <w:pPr>
        <w:spacing w:before="320"/>
        <w:jc w:val="center"/>
      </w:pPr>
      <w:r>
        <w:t>Submission Date: 23rd March 2026</w:t>
      </w:r>
    </w:p>
    <w:p w14:paraId="41960997" w14:textId="77777777" w:rsidR="00890CF1" w:rsidRDefault="00890CF1">
      <w:pPr>
        <w:sectPr w:rsidR="00890CF1">
          <w:pgSz w:w="11906" w:h="16838"/>
          <w:pgMar w:top="1440" w:right="1440" w:bottom="1440" w:left="1440" w:header="708" w:footer="708" w:gutter="0"/>
          <w:cols w:space="720"/>
          <w:docGrid w:linePitch="360"/>
        </w:sectPr>
      </w:pPr>
    </w:p>
    <w:p w14:paraId="35178A25" w14:textId="77777777" w:rsidR="009E58B9" w:rsidRDefault="009E58B9">
      <w:pPr>
        <w:spacing w:before="240" w:after="480"/>
        <w:jc w:val="center"/>
        <w:rPr>
          <w:b/>
          <w:bCs/>
          <w:sz w:val="26"/>
          <w:szCs w:val="26"/>
        </w:rPr>
      </w:pPr>
    </w:p>
    <w:sdt>
      <w:sdtPr>
        <w:id w:val="1579252753"/>
        <w:docPartObj>
          <w:docPartGallery w:val="Table of Contents"/>
          <w:docPartUnique/>
        </w:docPartObj>
      </w:sdtPr>
      <w:sdtEndPr>
        <w:rPr>
          <w:rFonts w:ascii="Arial" w:eastAsia="Arial" w:hAnsi="Arial" w:cs="Arial"/>
          <w:b/>
          <w:bCs/>
          <w:color w:val="auto"/>
          <w:sz w:val="22"/>
          <w:szCs w:val="22"/>
        </w:rPr>
      </w:sdtEndPr>
      <w:sdtContent>
        <w:p w14:paraId="54C9D0D2" w14:textId="17583C61" w:rsidR="009E58B9" w:rsidRDefault="009E58B9">
          <w:pPr>
            <w:pStyle w:val="TOCHeading"/>
          </w:pPr>
          <w:r>
            <w:t>Contents</w:t>
          </w:r>
        </w:p>
        <w:p w14:paraId="33A55269" w14:textId="665E25F7" w:rsidR="009E58B9" w:rsidRDefault="009E58B9">
          <w:pPr>
            <w:pStyle w:val="TOC1"/>
            <w:tabs>
              <w:tab w:val="right" w:leader="dot" w:pos="9016"/>
            </w:tabs>
            <w:rPr>
              <w:noProof/>
            </w:rPr>
          </w:pPr>
          <w:r>
            <w:fldChar w:fldCharType="begin"/>
          </w:r>
          <w:r>
            <w:instrText xml:space="preserve"> TOC \o "1-3" \h \z \u </w:instrText>
          </w:r>
          <w:r>
            <w:fldChar w:fldCharType="separate"/>
          </w:r>
          <w:hyperlink w:anchor="_Toc225135181" w:history="1">
            <w:r w:rsidRPr="00393DC1">
              <w:rPr>
                <w:rStyle w:val="Hyperlink"/>
                <w:noProof/>
              </w:rPr>
              <w:t>Introduction</w:t>
            </w:r>
            <w:r>
              <w:rPr>
                <w:noProof/>
                <w:webHidden/>
              </w:rPr>
              <w:tab/>
            </w:r>
            <w:r>
              <w:rPr>
                <w:noProof/>
                <w:webHidden/>
              </w:rPr>
              <w:fldChar w:fldCharType="begin"/>
            </w:r>
            <w:r>
              <w:rPr>
                <w:noProof/>
                <w:webHidden/>
              </w:rPr>
              <w:instrText xml:space="preserve"> PAGEREF _Toc225135181 \h </w:instrText>
            </w:r>
            <w:r>
              <w:rPr>
                <w:noProof/>
                <w:webHidden/>
              </w:rPr>
            </w:r>
            <w:r>
              <w:rPr>
                <w:noProof/>
                <w:webHidden/>
              </w:rPr>
              <w:fldChar w:fldCharType="separate"/>
            </w:r>
            <w:r>
              <w:rPr>
                <w:noProof/>
                <w:webHidden/>
              </w:rPr>
              <w:t>3</w:t>
            </w:r>
            <w:r>
              <w:rPr>
                <w:noProof/>
                <w:webHidden/>
              </w:rPr>
              <w:fldChar w:fldCharType="end"/>
            </w:r>
          </w:hyperlink>
        </w:p>
        <w:p w14:paraId="68574A07" w14:textId="64299095" w:rsidR="009E58B9" w:rsidRDefault="009E58B9">
          <w:pPr>
            <w:pStyle w:val="TOC1"/>
            <w:tabs>
              <w:tab w:val="right" w:leader="dot" w:pos="9016"/>
            </w:tabs>
            <w:rPr>
              <w:noProof/>
            </w:rPr>
          </w:pPr>
          <w:hyperlink w:anchor="_Toc225135182" w:history="1">
            <w:r w:rsidRPr="00393DC1">
              <w:rPr>
                <w:rStyle w:val="Hyperlink"/>
                <w:noProof/>
              </w:rPr>
              <w:t>Impact on the Workforce</w:t>
            </w:r>
            <w:r>
              <w:rPr>
                <w:noProof/>
                <w:webHidden/>
              </w:rPr>
              <w:tab/>
            </w:r>
            <w:r>
              <w:rPr>
                <w:noProof/>
                <w:webHidden/>
              </w:rPr>
              <w:fldChar w:fldCharType="begin"/>
            </w:r>
            <w:r>
              <w:rPr>
                <w:noProof/>
                <w:webHidden/>
              </w:rPr>
              <w:instrText xml:space="preserve"> PAGEREF _Toc225135182 \h </w:instrText>
            </w:r>
            <w:r>
              <w:rPr>
                <w:noProof/>
                <w:webHidden/>
              </w:rPr>
            </w:r>
            <w:r>
              <w:rPr>
                <w:noProof/>
                <w:webHidden/>
              </w:rPr>
              <w:fldChar w:fldCharType="separate"/>
            </w:r>
            <w:r>
              <w:rPr>
                <w:noProof/>
                <w:webHidden/>
              </w:rPr>
              <w:t>3</w:t>
            </w:r>
            <w:r>
              <w:rPr>
                <w:noProof/>
                <w:webHidden/>
              </w:rPr>
              <w:fldChar w:fldCharType="end"/>
            </w:r>
          </w:hyperlink>
        </w:p>
        <w:p w14:paraId="77BFDE1C" w14:textId="75B5CC73" w:rsidR="009E58B9" w:rsidRDefault="009E58B9">
          <w:pPr>
            <w:pStyle w:val="TOC1"/>
            <w:tabs>
              <w:tab w:val="right" w:leader="dot" w:pos="9016"/>
            </w:tabs>
            <w:rPr>
              <w:noProof/>
            </w:rPr>
          </w:pPr>
          <w:hyperlink w:anchor="_Toc225135183" w:history="1">
            <w:r w:rsidRPr="00393DC1">
              <w:rPr>
                <w:rStyle w:val="Hyperlink"/>
                <w:noProof/>
              </w:rPr>
              <w:t>Impact on Service Delivery</w:t>
            </w:r>
            <w:r>
              <w:rPr>
                <w:noProof/>
                <w:webHidden/>
              </w:rPr>
              <w:tab/>
            </w:r>
            <w:r>
              <w:rPr>
                <w:noProof/>
                <w:webHidden/>
              </w:rPr>
              <w:fldChar w:fldCharType="begin"/>
            </w:r>
            <w:r>
              <w:rPr>
                <w:noProof/>
                <w:webHidden/>
              </w:rPr>
              <w:instrText xml:space="preserve"> PAGEREF _Toc225135183 \h </w:instrText>
            </w:r>
            <w:r>
              <w:rPr>
                <w:noProof/>
                <w:webHidden/>
              </w:rPr>
            </w:r>
            <w:r>
              <w:rPr>
                <w:noProof/>
                <w:webHidden/>
              </w:rPr>
              <w:fldChar w:fldCharType="separate"/>
            </w:r>
            <w:r>
              <w:rPr>
                <w:noProof/>
                <w:webHidden/>
              </w:rPr>
              <w:t>4</w:t>
            </w:r>
            <w:r>
              <w:rPr>
                <w:noProof/>
                <w:webHidden/>
              </w:rPr>
              <w:fldChar w:fldCharType="end"/>
            </w:r>
          </w:hyperlink>
        </w:p>
        <w:p w14:paraId="16B8C3C6" w14:textId="481857A4" w:rsidR="009E58B9" w:rsidRDefault="009E58B9">
          <w:pPr>
            <w:pStyle w:val="TOC1"/>
            <w:tabs>
              <w:tab w:val="right" w:leader="dot" w:pos="9016"/>
            </w:tabs>
            <w:rPr>
              <w:noProof/>
            </w:rPr>
          </w:pPr>
          <w:hyperlink w:anchor="_Toc225135184" w:history="1">
            <w:r w:rsidRPr="00393DC1">
              <w:rPr>
                <w:rStyle w:val="Hyperlink"/>
                <w:noProof/>
              </w:rPr>
              <w:t>Impact on Patients</w:t>
            </w:r>
            <w:r>
              <w:rPr>
                <w:noProof/>
                <w:webHidden/>
              </w:rPr>
              <w:tab/>
            </w:r>
            <w:r>
              <w:rPr>
                <w:noProof/>
                <w:webHidden/>
              </w:rPr>
              <w:fldChar w:fldCharType="begin"/>
            </w:r>
            <w:r>
              <w:rPr>
                <w:noProof/>
                <w:webHidden/>
              </w:rPr>
              <w:instrText xml:space="preserve"> PAGEREF _Toc225135184 \h </w:instrText>
            </w:r>
            <w:r>
              <w:rPr>
                <w:noProof/>
                <w:webHidden/>
              </w:rPr>
            </w:r>
            <w:r>
              <w:rPr>
                <w:noProof/>
                <w:webHidden/>
              </w:rPr>
              <w:fldChar w:fldCharType="separate"/>
            </w:r>
            <w:r>
              <w:rPr>
                <w:noProof/>
                <w:webHidden/>
              </w:rPr>
              <w:t>5</w:t>
            </w:r>
            <w:r>
              <w:rPr>
                <w:noProof/>
                <w:webHidden/>
              </w:rPr>
              <w:fldChar w:fldCharType="end"/>
            </w:r>
          </w:hyperlink>
        </w:p>
        <w:p w14:paraId="493B301C" w14:textId="7FAE3FE5" w:rsidR="009E58B9" w:rsidRDefault="009E58B9">
          <w:pPr>
            <w:pStyle w:val="TOC1"/>
            <w:tabs>
              <w:tab w:val="right" w:leader="dot" w:pos="9016"/>
            </w:tabs>
            <w:rPr>
              <w:noProof/>
            </w:rPr>
          </w:pPr>
          <w:hyperlink w:anchor="_Toc225135185" w:history="1">
            <w:r w:rsidRPr="00393DC1">
              <w:rPr>
                <w:rStyle w:val="Hyperlink"/>
                <w:noProof/>
              </w:rPr>
              <w:t>Impact on the Community</w:t>
            </w:r>
            <w:r>
              <w:rPr>
                <w:noProof/>
                <w:webHidden/>
              </w:rPr>
              <w:tab/>
            </w:r>
            <w:r>
              <w:rPr>
                <w:noProof/>
                <w:webHidden/>
              </w:rPr>
              <w:fldChar w:fldCharType="begin"/>
            </w:r>
            <w:r>
              <w:rPr>
                <w:noProof/>
                <w:webHidden/>
              </w:rPr>
              <w:instrText xml:space="preserve"> PAGEREF _Toc225135185 \h </w:instrText>
            </w:r>
            <w:r>
              <w:rPr>
                <w:noProof/>
                <w:webHidden/>
              </w:rPr>
            </w:r>
            <w:r>
              <w:rPr>
                <w:noProof/>
                <w:webHidden/>
              </w:rPr>
              <w:fldChar w:fldCharType="separate"/>
            </w:r>
            <w:r>
              <w:rPr>
                <w:noProof/>
                <w:webHidden/>
              </w:rPr>
              <w:t>6</w:t>
            </w:r>
            <w:r>
              <w:rPr>
                <w:noProof/>
                <w:webHidden/>
              </w:rPr>
              <w:fldChar w:fldCharType="end"/>
            </w:r>
          </w:hyperlink>
        </w:p>
        <w:p w14:paraId="7EB19050" w14:textId="68C9DFCF" w:rsidR="009E58B9" w:rsidRDefault="009E58B9">
          <w:pPr>
            <w:pStyle w:val="TOC1"/>
            <w:tabs>
              <w:tab w:val="right" w:leader="dot" w:pos="9016"/>
            </w:tabs>
            <w:rPr>
              <w:noProof/>
            </w:rPr>
          </w:pPr>
          <w:hyperlink w:anchor="_Toc225135186" w:history="1">
            <w:r w:rsidRPr="00393DC1">
              <w:rPr>
                <w:rStyle w:val="Hyperlink"/>
                <w:noProof/>
              </w:rPr>
              <w:t>Conclusion</w:t>
            </w:r>
            <w:r>
              <w:rPr>
                <w:noProof/>
                <w:webHidden/>
              </w:rPr>
              <w:tab/>
            </w:r>
            <w:r>
              <w:rPr>
                <w:noProof/>
                <w:webHidden/>
              </w:rPr>
              <w:fldChar w:fldCharType="begin"/>
            </w:r>
            <w:r>
              <w:rPr>
                <w:noProof/>
                <w:webHidden/>
              </w:rPr>
              <w:instrText xml:space="preserve"> PAGEREF _Toc225135186 \h </w:instrText>
            </w:r>
            <w:r>
              <w:rPr>
                <w:noProof/>
                <w:webHidden/>
              </w:rPr>
            </w:r>
            <w:r>
              <w:rPr>
                <w:noProof/>
                <w:webHidden/>
              </w:rPr>
              <w:fldChar w:fldCharType="separate"/>
            </w:r>
            <w:r>
              <w:rPr>
                <w:noProof/>
                <w:webHidden/>
              </w:rPr>
              <w:t>6</w:t>
            </w:r>
            <w:r>
              <w:rPr>
                <w:noProof/>
                <w:webHidden/>
              </w:rPr>
              <w:fldChar w:fldCharType="end"/>
            </w:r>
          </w:hyperlink>
        </w:p>
        <w:p w14:paraId="7CFA4DB6" w14:textId="3306D415" w:rsidR="009E58B9" w:rsidRDefault="009E58B9">
          <w:pPr>
            <w:pStyle w:val="TOC1"/>
            <w:tabs>
              <w:tab w:val="right" w:leader="dot" w:pos="9016"/>
            </w:tabs>
            <w:rPr>
              <w:noProof/>
            </w:rPr>
          </w:pPr>
          <w:hyperlink w:anchor="_Toc225135187" w:history="1">
            <w:r w:rsidRPr="00393DC1">
              <w:rPr>
                <w:rStyle w:val="Hyperlink"/>
                <w:noProof/>
              </w:rPr>
              <w:t>References</w:t>
            </w:r>
            <w:r>
              <w:rPr>
                <w:noProof/>
                <w:webHidden/>
              </w:rPr>
              <w:tab/>
            </w:r>
            <w:r>
              <w:rPr>
                <w:noProof/>
                <w:webHidden/>
              </w:rPr>
              <w:fldChar w:fldCharType="begin"/>
            </w:r>
            <w:r>
              <w:rPr>
                <w:noProof/>
                <w:webHidden/>
              </w:rPr>
              <w:instrText xml:space="preserve"> PAGEREF _Toc225135187 \h </w:instrText>
            </w:r>
            <w:r>
              <w:rPr>
                <w:noProof/>
                <w:webHidden/>
              </w:rPr>
            </w:r>
            <w:r>
              <w:rPr>
                <w:noProof/>
                <w:webHidden/>
              </w:rPr>
              <w:fldChar w:fldCharType="separate"/>
            </w:r>
            <w:r>
              <w:rPr>
                <w:noProof/>
                <w:webHidden/>
              </w:rPr>
              <w:t>8</w:t>
            </w:r>
            <w:r>
              <w:rPr>
                <w:noProof/>
                <w:webHidden/>
              </w:rPr>
              <w:fldChar w:fldCharType="end"/>
            </w:r>
          </w:hyperlink>
        </w:p>
        <w:p w14:paraId="5D5CFB9B" w14:textId="2803080A" w:rsidR="009E58B9" w:rsidRDefault="009E58B9">
          <w:r>
            <w:rPr>
              <w:b/>
              <w:bCs/>
            </w:rPr>
            <w:fldChar w:fldCharType="end"/>
          </w:r>
        </w:p>
      </w:sdtContent>
    </w:sdt>
    <w:p w14:paraId="108FD7AD" w14:textId="77777777" w:rsidR="00890CF1" w:rsidRDefault="00890CF1"/>
    <w:p w14:paraId="7951CC07" w14:textId="77777777" w:rsidR="00890CF1" w:rsidRDefault="00890CF1">
      <w:pPr>
        <w:sectPr w:rsidR="00890CF1">
          <w:footerReference w:type="default" r:id="rId10"/>
          <w:pgSz w:w="11906" w:h="16838"/>
          <w:pgMar w:top="1440" w:right="1440" w:bottom="1440" w:left="1440" w:header="708" w:footer="708" w:gutter="0"/>
          <w:pgNumType w:start="2"/>
          <w:cols w:space="720"/>
          <w:docGrid w:linePitch="360"/>
        </w:sectPr>
      </w:pPr>
    </w:p>
    <w:p w14:paraId="520D33FC" w14:textId="77777777" w:rsidR="00890CF1" w:rsidRDefault="00000000">
      <w:pPr>
        <w:pStyle w:val="Heading1"/>
      </w:pPr>
      <w:bookmarkStart w:id="0" w:name="_Toc225135181"/>
      <w:r>
        <w:lastRenderedPageBreak/>
        <w:t>Introduction</w:t>
      </w:r>
      <w:bookmarkEnd w:id="0"/>
    </w:p>
    <w:p w14:paraId="5F9025BC" w14:textId="77777777" w:rsidR="00890CF1" w:rsidRDefault="00000000">
      <w:pPr>
        <w:spacing w:before="120" w:after="120" w:line="360" w:lineRule="auto"/>
        <w:jc w:val="both"/>
      </w:pPr>
      <w:r>
        <w:t>The National Health Service (NHS) faces mounting pressure from an ageing population, rising chronic disease, and an ongoing workforce crisis, making digital innovation not merely compelling but clinically necessary (NHS England, 2019). Wager, Lee and Glaser (2017) argue that healthcare information systems have become essential infrastructure, enabling organisations to manage complexity that paper-based systems cannot support. The NHS Long Term Plan formalised this direction, committing to digital-first access to services and technology-enabled release of clinical capacity (NHS England, 2019). This report focuses on Huma, a remote patient monitoring (RPM) platform implemented across NHS England, NHS Wales, and the wider UK health and social care system since 2015.</w:t>
      </w:r>
    </w:p>
    <w:p w14:paraId="3804794F" w14:textId="77777777" w:rsidR="00890CF1" w:rsidRDefault="00000000">
      <w:pPr>
        <w:spacing w:before="120" w:after="120" w:line="360" w:lineRule="auto"/>
        <w:jc w:val="both"/>
      </w:pPr>
      <w:r>
        <w:t xml:space="preserve">Huma was originally established in 2011 as Medopad, launching the first chemotherapy monitoring application on the Apple Watch in April 2015, which places its NHS deployment firmly within the 2015–2025 window under review (Digital Health Net, 2020). Following </w:t>
      </w:r>
      <w:proofErr w:type="gramStart"/>
      <w:r>
        <w:t>its</w:t>
      </w:r>
      <w:proofErr w:type="gramEnd"/>
      <w:r>
        <w:t xml:space="preserve"> rebrand to Huma in 2020, the platform expanded to more than 80 NHS Trusts and two-thirds of primary care practices in the United Kingdom by 2022 (Digital Marketplace, 2022). The platform enables patients to record vital signs and health measurements in real time via a smartphone application, transmitted securely to a clinician portal for remote review. This report critically evaluates Huma’s impact across four areas: workforce, service delivery, patients, and community, considering both benefits and limitations, as Greenhalgh et al. (2021) caution that digital health evaluations must attend to complexity and context, not only to outcomes.</w:t>
      </w:r>
    </w:p>
    <w:p w14:paraId="1EAEA7A3" w14:textId="77777777" w:rsidR="00890CF1" w:rsidRDefault="00000000">
      <w:pPr>
        <w:pStyle w:val="Heading1"/>
      </w:pPr>
      <w:bookmarkStart w:id="1" w:name="_Toc225135182"/>
      <w:r>
        <w:t>Impact on the Workforce</w:t>
      </w:r>
      <w:bookmarkEnd w:id="1"/>
    </w:p>
    <w:p w14:paraId="2D61ED2F" w14:textId="77777777" w:rsidR="00890CF1" w:rsidRDefault="00000000">
      <w:pPr>
        <w:spacing w:before="120" w:after="120" w:line="360" w:lineRule="auto"/>
        <w:jc w:val="both"/>
      </w:pPr>
      <w:r>
        <w:t>The most immediate workforce impact of Huma has been a restructuring of clinical time. Cresswell and Sheikh (2013) note that health information technologies consistently generate both intended benefits and unintended consequences for staff, and both must be examined honestly. Before remote monitoring, professionals devoted significant hours to face-to-face reviews of stable patients and fragmented data management. Huma altered this by enabling remote review through a structured digital dashboard, reducing routine monitoring time and creating capacity for more complex clinical activity (Digital Marketplace, 2022).</w:t>
      </w:r>
    </w:p>
    <w:p w14:paraId="20D4FD2B" w14:textId="77777777" w:rsidR="00890CF1" w:rsidRDefault="00000000">
      <w:pPr>
        <w:spacing w:before="120" w:after="120" w:line="360" w:lineRule="auto"/>
        <w:jc w:val="both"/>
      </w:pPr>
      <w:r>
        <w:t xml:space="preserve">The efficiency gains are well documented. Huma’s remote monitoring system required 40% less clinician time to review patients compared to conventional methods (Shah et al., 2021, cited in Digital Marketplace, 2022), and clinicians could manage approximately 20 patients per hour versus 12 through traditional approaches (Digital Marketplace, 2022). This is significant given that NHS England (2023) identified substantial staffing shortfalls across nursing, allied health, and medical professions, concluding that technology-enabled models of care would be </w:t>
      </w:r>
      <w:r>
        <w:lastRenderedPageBreak/>
        <w:t>essential to sustaining services. The Wales heart failure pilot further demonstrated that specialist nurses using Huma monitored patients more efficiently and supported earlier hospital discharge (Life Sciences Hub Wales, 2021).</w:t>
      </w:r>
    </w:p>
    <w:p w14:paraId="26010CFA" w14:textId="77777777" w:rsidR="00890CF1" w:rsidRDefault="00000000">
      <w:pPr>
        <w:spacing w:before="120" w:after="120" w:line="360" w:lineRule="auto"/>
        <w:jc w:val="both"/>
      </w:pPr>
      <w:r>
        <w:t>However, these gains must be weighed against significant new demands. Topol (2019) argued that for technology to deliver its NHS potential, the entire workforce would need sustained training in digital tools, data literacy, and AI-assisted decision-making; without this, implementation risks inconsistency. The Health and Social Care Committee (2023) found that the rapid shift to digital delivery generated challenges around training and staff confidence, with the workforce frequently lacking time to engage with learning. Brewster et al. (2014), in a systematic review of telehealth adoption, found that staff confidence and perceived usefulness were the strongest determinants of successful implementation. A key limitation is therefore that the platform’s effectiveness depends not on the technology alone but on the human conditions surrounding it. The NHS Confederation (2024) has raised concerns that digital training funding is short-term and inconsistent, meaning the workforce benefits of Huma risk remaining uneven across NHS settings.</w:t>
      </w:r>
    </w:p>
    <w:p w14:paraId="115B88B2" w14:textId="77777777" w:rsidR="00890CF1" w:rsidRDefault="00000000">
      <w:pPr>
        <w:pStyle w:val="Heading1"/>
      </w:pPr>
      <w:bookmarkStart w:id="2" w:name="_Toc225135183"/>
      <w:r>
        <w:t>Impact on Service Delivery</w:t>
      </w:r>
      <w:bookmarkEnd w:id="2"/>
    </w:p>
    <w:p w14:paraId="7F97DF24" w14:textId="77777777" w:rsidR="00890CF1" w:rsidRDefault="00000000">
      <w:pPr>
        <w:spacing w:before="120" w:after="120" w:line="360" w:lineRule="auto"/>
        <w:jc w:val="both"/>
      </w:pPr>
      <w:r>
        <w:t>Huma’s most consequential service delivery impact has been enabling virtual wards: clinical pathways allowing patients to receive hospital-level monitoring from home. Steventon et al. (2012), in the landmark Whole System Demonstrator trial, found remote monitoring was associated with a 45% reduction in mortality and 20% reduction in emergency admissions among patients with long-term conditions — an influential evidence base for the model Huma now supports. By 2022, NHS England had embedded the virtual ward as a national priority, making 12,000 virtual ward beds available across all Integrated Care Systems (NHS Confederation, 2025). Hayes et al. (2023) note that use of remote monitoring technologies rose dramatically from 2015 across multiple healthcare systems, a trajectory mirrored in the UK through platforms such as Huma.</w:t>
      </w:r>
    </w:p>
    <w:p w14:paraId="0058570D" w14:textId="77777777" w:rsidR="00890CF1" w:rsidRDefault="00000000">
      <w:pPr>
        <w:spacing w:before="120" w:after="120" w:line="360" w:lineRule="auto"/>
        <w:jc w:val="both"/>
      </w:pPr>
      <w:r>
        <w:t xml:space="preserve">The strongest evidence of Huma’s service impact came during COVID-19. Working with NHSX, Huma deployed a remote monitoring solution across six NHS sites within eight days on a not-for-profit basis (PR Newswire, 2020). Data indicated patients monitored through Huma had a mortality rate three to four times lower than those not using the platform and an average hospital stay 40% shorter (Digital Marketplace, 2022). Greenhalgh et al. (2021), evaluating NHS COVID-19 remote monitoring, found staff viewed such programmes as beneficial for reassurance and earlier intervention, though highlighted challenges around digital access and staff workload. Beyond the pandemic, the Wales heart failure pilot demonstrated that Huma could support earlier discharge and priority identification of </w:t>
      </w:r>
      <w:r>
        <w:lastRenderedPageBreak/>
        <w:t>deteriorating patients (Digital Health Wales, 2021), while the 2024 acquisition of eConsult and launch of Huma Workspace sought to create an integrated digital front door for primary care (Huma, 2024), aligning with the NHS Long Term Plan’s digital ambitions (NHS England, 2019).</w:t>
      </w:r>
    </w:p>
    <w:p w14:paraId="581041A6" w14:textId="77777777" w:rsidR="00890CF1" w:rsidRDefault="00000000">
      <w:pPr>
        <w:spacing w:before="120" w:after="120" w:line="360" w:lineRule="auto"/>
        <w:jc w:val="both"/>
      </w:pPr>
      <w:r>
        <w:t>However, a critical reading of these developments raises questions about sustainability. The NHS Confederation (2024) found that over half of NHS organisations identified a lack of revenue funding as a significant barrier, with investment described as reactive and short-term. Many of Huma’s most notable outcomes occurred within time-limited pilots or exceptional pandemic conditions. It could be argued that without stable long-term investment, the service transformation enabled by Huma risks remaining patchy and context-dependent rather than achieving systemic change across the NHS (NHS Providers, 2024).</w:t>
      </w:r>
    </w:p>
    <w:p w14:paraId="02B3526E" w14:textId="77777777" w:rsidR="00890CF1" w:rsidRDefault="00000000">
      <w:pPr>
        <w:pStyle w:val="Heading1"/>
      </w:pPr>
      <w:bookmarkStart w:id="3" w:name="_Toc225135184"/>
      <w:r>
        <w:t>Impact on Patients</w:t>
      </w:r>
      <w:bookmarkEnd w:id="3"/>
    </w:p>
    <w:p w14:paraId="346DEEA6" w14:textId="77777777" w:rsidR="00890CF1" w:rsidRDefault="00000000">
      <w:pPr>
        <w:spacing w:before="120" w:after="120" w:line="360" w:lineRule="auto"/>
        <w:jc w:val="both"/>
      </w:pPr>
      <w:r>
        <w:t xml:space="preserve">Huma has had a direct and measurable impact on patient outcomes. Remote monitoring changes how patients engage with care: rather than episodic clinic attendance, patients participate continuously, submitting real-time data and receiving prompt clinical feedback. Noah et al. (2018), in a meta-analysis of 27 randomised controlled trials published in </w:t>
      </w:r>
      <w:proofErr w:type="spellStart"/>
      <w:r>
        <w:t>npj</w:t>
      </w:r>
      <w:proofErr w:type="spellEnd"/>
      <w:r>
        <w:t xml:space="preserve"> Digital Medicine, found remote monitoring was associated with meaningful improvements in blood pressure, glycaemic control, and weight, supporting the model’s potential across multiple conditions.</w:t>
      </w:r>
    </w:p>
    <w:p w14:paraId="786921FB" w14:textId="77777777" w:rsidR="00890CF1" w:rsidRDefault="00000000">
      <w:pPr>
        <w:spacing w:before="120" w:after="120" w:line="360" w:lineRule="auto"/>
        <w:jc w:val="both"/>
      </w:pPr>
      <w:r>
        <w:t>The most extensively evaluated Huma application is GDm-Health, a remote platform for gestational diabetes mellitus (GDM) co-developed with the University of Oxford. GDM complicates between 4% and 16% of UK pregnancies, carrying serious risks including elevated likelihood of pre-term birth and the mother developing type 2 diabetes in later life (NIHR Oxford BRC, 2021). GDm-Health replaced paper glucose diaries and frequent clinic visits with a smartphone-based system enabling patients to submit readings via a Bluetooth meter, receive real-time traffic light feedback, and communicate directly with their clinical team (Huma, 2022). A randomised controlled trial found GDm-Health users achieved better glycaemic control, a pre-term birth rate of 5.0% versus 12.7% in the control group, and mean healthcare costs more than £1,000 lower (NIHR Oxford BRC, 2021). By 2022, the platform supported over half of all UK women with gestational diabetes across 64 NHS Trusts (Huma, 2022).</w:t>
      </w:r>
    </w:p>
    <w:p w14:paraId="74499C8E" w14:textId="77777777" w:rsidR="00890CF1" w:rsidRDefault="00000000">
      <w:pPr>
        <w:spacing w:before="120" w:after="120" w:line="360" w:lineRule="auto"/>
        <w:jc w:val="both"/>
      </w:pPr>
      <w:r>
        <w:t xml:space="preserve">However, it is important not to generalise from a single well-resourced academic setting. Shaw et al. (2018) caution that contextual factors — clinical support, patient onboarding, and sociodemographic profile — significantly influence whether outcomes from one setting can be reproduced elsewhere. A key limitation is the relationship between digital health and inequality. Sieck et al. (2021) argue that digital inclusion is a social determinant of health, with </w:t>
      </w:r>
      <w:r>
        <w:lastRenderedPageBreak/>
        <w:t>those lacking technology access at risk of compounded disadvantage. NHS Digital (2022) recognises a strong correlation between digital exclusion and social disadvantage, noting that older adults, lower-income individuals, and those in poorly connected areas are disproportionately less likely to engage with digital health tools. Critically, those most at risk of exclusion are often those with the greatest clinical need, raising concerns that Huma could inadvertently deepen existing inequalities.</w:t>
      </w:r>
    </w:p>
    <w:p w14:paraId="4707F5E3" w14:textId="77777777" w:rsidR="00890CF1" w:rsidRDefault="00000000">
      <w:pPr>
        <w:pStyle w:val="Heading1"/>
      </w:pPr>
      <w:bookmarkStart w:id="4" w:name="_Toc225135185"/>
      <w:r>
        <w:t>Impact on the Community</w:t>
      </w:r>
      <w:bookmarkEnd w:id="4"/>
    </w:p>
    <w:p w14:paraId="1770DA83" w14:textId="77777777" w:rsidR="00890CF1" w:rsidRDefault="00000000">
      <w:pPr>
        <w:spacing w:before="120" w:after="120" w:line="360" w:lineRule="auto"/>
        <w:jc w:val="both"/>
      </w:pPr>
      <w:r>
        <w:t>At a community level, Huma has the potential to change the geography of healthcare access. By enabling home monitoring, it reduces repeated hospital journeys, which is particularly significant for rural patients or those facing travel barriers. The Betsi Cadwaladr University Health Board team noted that Huma could transform healthcare in North Wales by reducing unnecessary patient travel and directing resources to those with the greatest need (Life Sciences Hub Wales, 2021). For informal carers, fewer clinic visits can also reduce disruption to employment; Carers UK (2020) found that unpaid carers experience significant financial and employment consequences from accompanying family members to repeated appointments, suggesting remote monitoring carries meaningful secondary benefits for carer wellbeing.</w:t>
      </w:r>
    </w:p>
    <w:p w14:paraId="5F7B8D48" w14:textId="77777777" w:rsidR="00890CF1" w:rsidRDefault="00000000">
      <w:pPr>
        <w:spacing w:before="120" w:after="120" w:line="360" w:lineRule="auto"/>
        <w:jc w:val="both"/>
      </w:pPr>
      <w:r>
        <w:t>Huma has also engaged with the health equity agenda, signing the World Economic Forum’s Zero Health Gaps Pledge and positioning GDm-Health as a tool to address inequalities disproportionately affecting women from South Asian, Chinese, and African-Caribbean communities (Huma, 2022). The co-production of GDm-Health with patients and clinicians at Oxford University Hospitals NHS Foundation Trust represents a more inclusive approach to digital design than is typical in commercial health technology (NIHR Oxford BRC, 2021). However, these commitments must be evaluated critically. Mubarak (2022) argues that the grey digital divide is creating a health divide, with digitally excluded older adults facing compounded inequities. Holmes and Burgess (2022) similarly found that digital exclusion and poverty are structurally interconnected in the UK, with those on the lowest incomes most likely to lack devices, connectivity, or confidence. It could be argued that Huma’s community impact is currently most strongly felt by those who need it least. NHS England (2023) acknowledged this in its Inclusive Digital Healthcare Framework, calling for embedded digital inclusion strategies and maintained non-digital alternatives, while the Government’s Digital Inclusion Action Plan (2025) emphasises long-term coordinated action involving local authorities and community organisations.</w:t>
      </w:r>
    </w:p>
    <w:p w14:paraId="21E7FE1E" w14:textId="77777777" w:rsidR="00890CF1" w:rsidRDefault="00000000">
      <w:pPr>
        <w:pStyle w:val="Heading1"/>
      </w:pPr>
      <w:bookmarkStart w:id="5" w:name="_Toc225135186"/>
      <w:r>
        <w:t>Conclusion</w:t>
      </w:r>
      <w:bookmarkEnd w:id="5"/>
    </w:p>
    <w:p w14:paraId="5C0C7B25" w14:textId="77777777" w:rsidR="00890CF1" w:rsidRDefault="00000000">
      <w:pPr>
        <w:spacing w:before="120" w:after="120" w:line="360" w:lineRule="auto"/>
        <w:jc w:val="both"/>
      </w:pPr>
      <w:r>
        <w:lastRenderedPageBreak/>
        <w:t>The central question this report has sought to answer is whether Huma represents a genuinely transformative innovation within UK health and social care. Greenhalgh et al. (2021) argue that evaluations of digital health must consider whether change is sustainable, equitable, and embedded within organisational culture, not only whether outcomes are positive. Applying this standard, the evidence reviewed suggests a nuanced answer: Huma has demonstrably transformed specific aspects of care delivery and produced credible clinical evidence of benefit, but whether this constitutes transformation in a meaningful, lasting, and equitable sense remains open to critical debate.</w:t>
      </w:r>
    </w:p>
    <w:p w14:paraId="65DD27C3" w14:textId="77777777" w:rsidR="00890CF1" w:rsidRDefault="00000000">
      <w:pPr>
        <w:spacing w:before="120" w:after="120" w:line="360" w:lineRule="auto"/>
        <w:jc w:val="both"/>
      </w:pPr>
      <w:r>
        <w:t>The case for Huma as a significant digital innovation is substantial. It has supported virtual wards as a nationally recognised care model, produced randomised controlled trial evidence of improved outcomes in gestational diabetes — including lower pre-term birth rates and reduced healthcare costs (NIHR Oxford BRC, 2021) — and demonstrated during COVID-19 that remote monitoring can reduce hospital stays and free clinical capacity under acute system pressure (Digital Marketplace, 2022). However, it could be argued that ‘transformation’ is too strong a word when benefits have been unevenly distributed and contingent on conditions that do not exist consistently across the NHS. A key challenge remains workforce readiness: Topol (2019) identified sustained digital education as a prerequisite for effective technology adoption, and the Health and Social Care Committee (2023) found this investment has not been delivered consistently. The sustainability of NHS digital funding is equally concerning; NHS Providers (2024) found many trusts describe their digital strategy as reactive rather than planned, raising the question of what happens to platforms like Huma when pilot funding ends. Perhaps most significantly, Sieck et al. (2021) have argued that digital inclusion is a social determinant of health, and Mubarak (2022) has shown that the grey digital divide is already producing compounded inequalities. A platform that improves outcomes for digitally confident patients while remaining inaccessible to the most vulnerable does not transform care in any meaningful sense; it risks reproducing the inequalities the NHS exists to reduce.</w:t>
      </w:r>
    </w:p>
    <w:p w14:paraId="704B3E33" w14:textId="77777777" w:rsidR="00890CF1" w:rsidRDefault="00000000">
      <w:pPr>
        <w:spacing w:before="120" w:after="120" w:line="360" w:lineRule="auto"/>
        <w:jc w:val="both"/>
      </w:pPr>
      <w:r>
        <w:t xml:space="preserve">Ultimately, Huma is best understood not as a </w:t>
      </w:r>
      <w:proofErr w:type="gramStart"/>
      <w:r>
        <w:t>transformation in itself, but</w:t>
      </w:r>
      <w:proofErr w:type="gramEnd"/>
      <w:r>
        <w:t xml:space="preserve"> as evidence of what digital innovation can achieve when conditions are right — and as a clear illustration of the structural, financial, and social investment still required before that transformation can genuinely reach everyone who needs it. Wager et al. (2017) remind us that health information systems succeed or fail not </w:t>
      </w:r>
      <w:proofErr w:type="gramStart"/>
      <w:r>
        <w:t>on the basis of</w:t>
      </w:r>
      <w:proofErr w:type="gramEnd"/>
      <w:r>
        <w:t xml:space="preserve"> technology alone, but on how well they are integrated into the clinical, organisational, and social environments in which they operate. Digital innovation in health and social care will only be truly transformative when the benefits it delivers are as accessible to the most disadvantaged as they are to the most digitally privileged.</w:t>
      </w:r>
    </w:p>
    <w:p w14:paraId="119E2CFB" w14:textId="77777777" w:rsidR="00890CF1" w:rsidRDefault="00000000">
      <w:pPr>
        <w:pStyle w:val="Heading1"/>
      </w:pPr>
      <w:bookmarkStart w:id="6" w:name="_Toc225135187"/>
      <w:r>
        <w:lastRenderedPageBreak/>
        <w:t>References</w:t>
      </w:r>
      <w:bookmarkEnd w:id="6"/>
    </w:p>
    <w:p w14:paraId="7C3055CC" w14:textId="77777777" w:rsidR="00890CF1" w:rsidRDefault="00000000">
      <w:pPr>
        <w:spacing w:before="80" w:after="80" w:line="360" w:lineRule="auto"/>
        <w:ind w:left="720" w:hanging="720"/>
      </w:pPr>
      <w:r>
        <w:t xml:space="preserve">Brewster, L., Mountain, G., Wessels, B., Kelly, C. and Hawley, M. (2014) ‘Factors affecting front line staff acceptance of telehealth technologies: a mixed-method systematic review’, Journal of Advanced Nursing, 70(1), pp. 21–33. </w:t>
      </w:r>
      <w:proofErr w:type="spellStart"/>
      <w:r>
        <w:t>doi</w:t>
      </w:r>
      <w:proofErr w:type="spellEnd"/>
      <w:r>
        <w:t>: 10.1111/jan.12196.</w:t>
      </w:r>
    </w:p>
    <w:p w14:paraId="65587149" w14:textId="77777777" w:rsidR="00890CF1" w:rsidRDefault="00000000">
      <w:pPr>
        <w:spacing w:before="80" w:after="80" w:line="360" w:lineRule="auto"/>
        <w:ind w:left="720" w:hanging="720"/>
      </w:pPr>
      <w:r>
        <w:t>Carers UK (2020) Caring behind closed doors: forgotten families in the coronavirus outbreak. Available at: https://www.carersuk.org/reports-and-policy/research/caring-behind-closed-doors-forgotten-families-in-the-coronavirus-outbreak/ (Accessed: 15 March 2026).</w:t>
      </w:r>
    </w:p>
    <w:p w14:paraId="0CFEF93B" w14:textId="77777777" w:rsidR="00890CF1" w:rsidRDefault="00000000">
      <w:pPr>
        <w:spacing w:before="80" w:after="80" w:line="360" w:lineRule="auto"/>
        <w:ind w:left="720" w:hanging="720"/>
      </w:pPr>
      <w:r>
        <w:t xml:space="preserve">Cresswell, K. and Sheikh, A. (2013) ‘Organisational issues in the implementation and adoption of health information technology innovations: an interpretative review’, International Journal of Medical Informatics, 82(5), pp. e73–e86. </w:t>
      </w:r>
      <w:proofErr w:type="spellStart"/>
      <w:r>
        <w:t>doi</w:t>
      </w:r>
      <w:proofErr w:type="spellEnd"/>
      <w:r>
        <w:t>: 10.1016/j.ijmedinf.2012.10.007.</w:t>
      </w:r>
    </w:p>
    <w:p w14:paraId="2CABFBA4" w14:textId="77777777" w:rsidR="00890CF1" w:rsidRDefault="00000000">
      <w:pPr>
        <w:spacing w:before="80" w:after="80" w:line="360" w:lineRule="auto"/>
        <w:ind w:left="720" w:hanging="720"/>
      </w:pPr>
      <w:r>
        <w:t xml:space="preserve">Digital Health Net (2020) ‘Medopad rebrands to Huma and acquires two </w:t>
      </w:r>
      <w:proofErr w:type="gramStart"/>
      <w:r>
        <w:t>companies’</w:t>
      </w:r>
      <w:proofErr w:type="gramEnd"/>
      <w:r>
        <w:t>. Available at: https://www.digitalhealth.net/2020/04/medopad-rebrands-huma/ (Accessed: 15 March 2026).</w:t>
      </w:r>
    </w:p>
    <w:p w14:paraId="5CE186B0" w14:textId="77777777" w:rsidR="00890CF1" w:rsidRDefault="00000000">
      <w:pPr>
        <w:spacing w:before="80" w:after="80" w:line="360" w:lineRule="auto"/>
        <w:ind w:left="720" w:hanging="720"/>
      </w:pPr>
      <w:r>
        <w:t>Digital Health Wales (2021) Remote cardiac patient monitoring pilot launched in Wales. Available at: https://digitalhealth.wales/news/remote-cardiac-patient-monitoring-pilot-launched-wales (Accessed: 15 March 2026).</w:t>
      </w:r>
    </w:p>
    <w:p w14:paraId="52F8EC0C" w14:textId="77777777" w:rsidR="00890CF1" w:rsidRDefault="00000000">
      <w:pPr>
        <w:spacing w:before="80" w:after="80" w:line="360" w:lineRule="auto"/>
        <w:ind w:left="720" w:hanging="720"/>
      </w:pPr>
      <w:r>
        <w:t>Digital Marketplace (2022) Huma virtual care / remote patient monitoring. Crown Commercial Service. Available at: https://www.applytosupply.digitalmarketplace.service.gov.uk/g-cloud/services/486746202319775 (Accessed: 15 March 2026).</w:t>
      </w:r>
    </w:p>
    <w:p w14:paraId="32846798" w14:textId="77777777" w:rsidR="00890CF1" w:rsidRDefault="00000000">
      <w:pPr>
        <w:spacing w:before="80" w:after="80" w:line="360" w:lineRule="auto"/>
        <w:ind w:left="720" w:hanging="720"/>
      </w:pPr>
      <w:r>
        <w:t>Government of the United Kingdom (2025) Digital Inclusion Action Plan: first steps. Available at: https://www.gov.uk/government/publications/digital-inclusion-action-plan (Accessed: 15 March 2026).</w:t>
      </w:r>
    </w:p>
    <w:p w14:paraId="1C8706E4" w14:textId="77777777" w:rsidR="00890CF1" w:rsidRDefault="00000000">
      <w:pPr>
        <w:spacing w:before="80" w:after="80" w:line="360" w:lineRule="auto"/>
        <w:ind w:left="720" w:hanging="720"/>
      </w:pPr>
      <w:r>
        <w:t xml:space="preserve">Greenhalgh, T., Rosen, R., Shaw, S.E., Byng, R., Faulkner, S., Finlay, T., Grundy, E., Harvey, G., Humphrey, C., Khan, N., McKinley, R., Mistry, M., Morris, J., Patel, U., Pope, C., Pope, L., </w:t>
      </w:r>
      <w:proofErr w:type="spellStart"/>
      <w:r>
        <w:t>Rybczynska</w:t>
      </w:r>
      <w:proofErr w:type="spellEnd"/>
      <w:r>
        <w:t xml:space="preserve">-Bunt, S., Scott, P., </w:t>
      </w:r>
      <w:proofErr w:type="spellStart"/>
      <w:r>
        <w:t>Sherlaw</w:t>
      </w:r>
      <w:proofErr w:type="spellEnd"/>
      <w:r>
        <w:t xml:space="preserve">-Johnson, C., Smith, J., </w:t>
      </w:r>
      <w:proofErr w:type="spellStart"/>
      <w:r>
        <w:t>Swinglehurst</w:t>
      </w:r>
      <w:proofErr w:type="spellEnd"/>
      <w:r>
        <w:t xml:space="preserve">, D., Wieringa, S., Wulff, J. and Rushforth, A. (2021) ‘Planning and evaluating remote consultation services: a new conceptual framework incorporating complexity and practical ethics’, Frontiers in Digital Health, 3, 726095. </w:t>
      </w:r>
      <w:proofErr w:type="spellStart"/>
      <w:r>
        <w:t>doi</w:t>
      </w:r>
      <w:proofErr w:type="spellEnd"/>
      <w:r>
        <w:t>: 10.3389/fdgth.2021.726095.</w:t>
      </w:r>
    </w:p>
    <w:p w14:paraId="0320160C" w14:textId="77777777" w:rsidR="00890CF1" w:rsidRDefault="00000000">
      <w:pPr>
        <w:spacing w:before="80" w:after="80" w:line="360" w:lineRule="auto"/>
        <w:ind w:left="720" w:hanging="720"/>
      </w:pPr>
      <w:r>
        <w:t xml:space="preserve">Hayes, C.J., Dawson, L., McCoy, H., Hernandez, M., Andersen, J., Ali, M.M., Bogulski, C.A. and Eswaran, H. (2023) ‘Utilization of remote patient monitoring within the United States health care system: a scoping review’, Telemedicine and e-Health, 29(5), pp. 657–668. </w:t>
      </w:r>
      <w:proofErr w:type="spellStart"/>
      <w:r>
        <w:t>doi</w:t>
      </w:r>
      <w:proofErr w:type="spellEnd"/>
      <w:r>
        <w:t>: 10.1089/tmj.2022.0111.</w:t>
      </w:r>
    </w:p>
    <w:p w14:paraId="00FA8D33" w14:textId="77777777" w:rsidR="00890CF1" w:rsidRDefault="00000000">
      <w:pPr>
        <w:spacing w:before="80" w:after="80" w:line="360" w:lineRule="auto"/>
        <w:ind w:left="720" w:hanging="720"/>
      </w:pPr>
      <w:r>
        <w:lastRenderedPageBreak/>
        <w:t>Health and Social Care Committee (2023) Digital transformation in the NHS. House of Commons. Available at: https://publications.parliament.uk/pa/cm5803/cmselect/cmhealth/223/report.html (Accessed: 15 March 2026).</w:t>
      </w:r>
    </w:p>
    <w:p w14:paraId="270791E8" w14:textId="77777777" w:rsidR="00890CF1" w:rsidRDefault="00000000">
      <w:pPr>
        <w:spacing w:before="80" w:after="80" w:line="360" w:lineRule="auto"/>
        <w:ind w:left="720" w:hanging="720"/>
      </w:pPr>
      <w:r>
        <w:t xml:space="preserve">Holmes, H. and Burgess, G. (2022) ‘Digital exclusion and poverty in the UK: how structural inequality shapes experiences of getting online’, Digital Geography and Society, 3, 100041. </w:t>
      </w:r>
      <w:proofErr w:type="spellStart"/>
      <w:r>
        <w:t>doi</w:t>
      </w:r>
      <w:proofErr w:type="spellEnd"/>
      <w:r>
        <w:t>: 10.1016/j.diggeo.2022.100041.</w:t>
      </w:r>
    </w:p>
    <w:p w14:paraId="68753A7A" w14:textId="77777777" w:rsidR="00890CF1" w:rsidRDefault="00000000">
      <w:pPr>
        <w:spacing w:before="80" w:after="80" w:line="360" w:lineRule="auto"/>
        <w:ind w:left="720" w:hanging="720"/>
      </w:pPr>
      <w:r>
        <w:t>Huma (2022) GDm-Health: gestational diabetes remote monitoring. Available at: https://www.huma.com/products/gdm (Accessed: 15 March 2026).</w:t>
      </w:r>
    </w:p>
    <w:p w14:paraId="74515922" w14:textId="77777777" w:rsidR="00890CF1" w:rsidRDefault="00000000">
      <w:pPr>
        <w:spacing w:before="80" w:after="80" w:line="360" w:lineRule="auto"/>
        <w:ind w:left="720" w:hanging="720"/>
      </w:pPr>
      <w:r>
        <w:t>Huma (2022) Zero health gaps pledge. Available at: https://www.huma.com (Accessed: 15 March 2026).</w:t>
      </w:r>
    </w:p>
    <w:p w14:paraId="6FD56AC7" w14:textId="77777777" w:rsidR="00890CF1" w:rsidRDefault="00000000">
      <w:pPr>
        <w:spacing w:before="80" w:after="80" w:line="360" w:lineRule="auto"/>
        <w:ind w:left="720" w:hanging="720"/>
      </w:pPr>
      <w:r>
        <w:t>Huma (2024) Huma acquires eConsult and launches Huma Workspace for health systems. Available at: https://www.huma.com (Accessed: 15 March 2026).</w:t>
      </w:r>
    </w:p>
    <w:p w14:paraId="696E5731" w14:textId="77777777" w:rsidR="00890CF1" w:rsidRDefault="00000000">
      <w:pPr>
        <w:spacing w:before="80" w:after="80" w:line="360" w:lineRule="auto"/>
        <w:ind w:left="720" w:hanging="720"/>
      </w:pPr>
      <w:r>
        <w:t>Life Sciences Hub Wales (2021) Remote cardiac patient monitoring pilot launched in Wales. Available at: https://lshubwales.com/news/remote-cardiac-patient-monitoring-pilot-launched-wales (Accessed: 15 March 2026).</w:t>
      </w:r>
    </w:p>
    <w:p w14:paraId="4913D93A" w14:textId="77777777" w:rsidR="00890CF1" w:rsidRDefault="00000000">
      <w:pPr>
        <w:spacing w:before="80" w:after="80" w:line="360" w:lineRule="auto"/>
        <w:ind w:left="720" w:hanging="720"/>
      </w:pPr>
      <w:r>
        <w:t xml:space="preserve">Mubarak, F. (2022) ‘Elderly forgotten? Digital exclusion in the information age and the rising grey digital divide’, SAGE Open, 12(2). </w:t>
      </w:r>
      <w:proofErr w:type="spellStart"/>
      <w:r>
        <w:t>doi</w:t>
      </w:r>
      <w:proofErr w:type="spellEnd"/>
      <w:r>
        <w:t>: 10.1177/00469580221096272.</w:t>
      </w:r>
    </w:p>
    <w:p w14:paraId="19816B87" w14:textId="77777777" w:rsidR="00890CF1" w:rsidRDefault="00000000">
      <w:pPr>
        <w:spacing w:before="80" w:after="80" w:line="360" w:lineRule="auto"/>
        <w:ind w:left="720" w:hanging="720"/>
      </w:pPr>
      <w:r>
        <w:t>NHS Confederation (2024) Frontline digitisation: survey findings. Available at: https://www.nhsconfed.org/publications/frontline-digitisation (Accessed: 15 March 2026).</w:t>
      </w:r>
    </w:p>
    <w:p w14:paraId="1506CB46" w14:textId="77777777" w:rsidR="00890CF1" w:rsidRDefault="00000000">
      <w:pPr>
        <w:spacing w:before="80" w:after="80" w:line="360" w:lineRule="auto"/>
        <w:ind w:left="720" w:hanging="720"/>
      </w:pPr>
      <w:r>
        <w:t>NHS Confederation (2025) Digital transformation in the NHS: a reference guide. Available at: https://www.nhsconfed.org/publications/digital-transformation-nhs-reference-guide (Accessed: 15 March 2026).</w:t>
      </w:r>
    </w:p>
    <w:p w14:paraId="40B0FCDE" w14:textId="77777777" w:rsidR="00890CF1" w:rsidRDefault="00000000">
      <w:pPr>
        <w:spacing w:before="80" w:after="80" w:line="360" w:lineRule="auto"/>
        <w:ind w:left="720" w:hanging="720"/>
      </w:pPr>
      <w:r>
        <w:t>NHS Digital (2022) Why digital inclusion matters to health and social care. Available at: https://digital.nhs.uk/about-nhs-digital/corporate-information-and-documents/digital-inclusion/digital-inclusion-in-health-and-social-care (Accessed: 15 March 2026).</w:t>
      </w:r>
    </w:p>
    <w:p w14:paraId="60E1B294" w14:textId="77777777" w:rsidR="00890CF1" w:rsidRDefault="00000000">
      <w:pPr>
        <w:spacing w:before="80" w:after="80" w:line="360" w:lineRule="auto"/>
        <w:ind w:left="720" w:hanging="720"/>
      </w:pPr>
      <w:r>
        <w:t>NHS England (2019) NHS long term plan. Available at: https://www.longtermplan.nhs.uk (Accessed: 15 March 2026).</w:t>
      </w:r>
    </w:p>
    <w:p w14:paraId="4D8CC11D" w14:textId="77777777" w:rsidR="00890CF1" w:rsidRDefault="00000000">
      <w:pPr>
        <w:spacing w:before="80" w:after="80" w:line="360" w:lineRule="auto"/>
        <w:ind w:left="720" w:hanging="720"/>
      </w:pPr>
      <w:r>
        <w:t>NHS England (2023) NHS long term workforce plan. Available at: https://www.england.nhs.uk/long-read/nhs-long-term-workforce-plan-2/ (Accessed: 15 March 2026).</w:t>
      </w:r>
    </w:p>
    <w:p w14:paraId="2BD95E36" w14:textId="77777777" w:rsidR="00890CF1" w:rsidRDefault="00000000">
      <w:pPr>
        <w:spacing w:before="80" w:after="80" w:line="360" w:lineRule="auto"/>
        <w:ind w:left="720" w:hanging="720"/>
      </w:pPr>
      <w:r>
        <w:t>NHS England (2023) Inclusive digital healthcare: a framework for NHS action on digital inclusion. Available at: https://www.england.nhs.uk/long-read/inclusive-digital-</w:t>
      </w:r>
      <w:r>
        <w:lastRenderedPageBreak/>
        <w:t>healthcare-a-framework-for-nhs-action-on-digital-inclusion/ (Accessed: 15 March 2026).</w:t>
      </w:r>
    </w:p>
    <w:p w14:paraId="4D000DF1" w14:textId="77777777" w:rsidR="00890CF1" w:rsidRDefault="00000000">
      <w:pPr>
        <w:spacing w:before="80" w:after="80" w:line="360" w:lineRule="auto"/>
        <w:ind w:left="720" w:hanging="720"/>
      </w:pPr>
      <w:r>
        <w:t>NHS Providers (2024) Digital transformation survey: barriers and opportunities. Available at: https://nhsproviders.org/resources/digital-transformation-survey-2024/survey-findings-barriers-and-opportunities (Accessed: 15 March 2026).</w:t>
      </w:r>
    </w:p>
    <w:p w14:paraId="1623A59A" w14:textId="77777777" w:rsidR="00890CF1" w:rsidRDefault="00000000">
      <w:pPr>
        <w:spacing w:before="80" w:after="80" w:line="360" w:lineRule="auto"/>
        <w:ind w:left="720" w:hanging="720"/>
      </w:pPr>
      <w:r>
        <w:t>NIHR Oxford Biomedical Research Centre (2021) Gestational diabetes app study shows positive results. Available at: https://oxfordbrc.nihr.ac.uk/gestational-diabetes-app-study-show-positive-results/ (Accessed: 15 March 2026).</w:t>
      </w:r>
    </w:p>
    <w:p w14:paraId="7094D09F" w14:textId="77777777" w:rsidR="00890CF1" w:rsidRDefault="00000000">
      <w:pPr>
        <w:spacing w:before="80" w:after="80" w:line="360" w:lineRule="auto"/>
        <w:ind w:left="720" w:hanging="720"/>
      </w:pPr>
      <w:r>
        <w:t xml:space="preserve">Noah, B., Keller, M.S., Mosadeghi, S., Stein, L., Johl, S., Delshad, S., </w:t>
      </w:r>
      <w:proofErr w:type="spellStart"/>
      <w:r>
        <w:t>Tasciyan</w:t>
      </w:r>
      <w:proofErr w:type="spellEnd"/>
      <w:r>
        <w:t xml:space="preserve">, T.A., Crigger, C.A. and Felicelli, N. (2018) ‘Impact of remote patient monitoring on clinical outcomes: an updated meta-analysis of randomized controlled trials’, </w:t>
      </w:r>
      <w:proofErr w:type="spellStart"/>
      <w:r>
        <w:t>npj</w:t>
      </w:r>
      <w:proofErr w:type="spellEnd"/>
      <w:r>
        <w:t xml:space="preserve"> Digital Medicine, 1(1), p. 20172. </w:t>
      </w:r>
      <w:proofErr w:type="spellStart"/>
      <w:r>
        <w:t>doi</w:t>
      </w:r>
      <w:proofErr w:type="spellEnd"/>
      <w:r>
        <w:t>: 10.1038/s41746-017-0002-4.</w:t>
      </w:r>
    </w:p>
    <w:p w14:paraId="18144F23" w14:textId="77777777" w:rsidR="00890CF1" w:rsidRDefault="00000000">
      <w:pPr>
        <w:spacing w:before="80" w:after="80" w:line="360" w:lineRule="auto"/>
        <w:ind w:left="720" w:hanging="720"/>
      </w:pPr>
      <w:r>
        <w:t>PR Newswire (2020) NHS using Huma’s remote monitoring to care for patients with COVID-19 symptoms. Available at: https://www.prnewswire.com/news-releases/nhs-using-humas-remote-monitoring-to-care-for-patients-with-covid-19-symptoms-301073723.html (Accessed: 15 March 2026).</w:t>
      </w:r>
    </w:p>
    <w:p w14:paraId="5E2CB06E" w14:textId="77777777" w:rsidR="00890CF1" w:rsidRDefault="00000000">
      <w:pPr>
        <w:spacing w:before="80" w:after="80" w:line="360" w:lineRule="auto"/>
        <w:ind w:left="720" w:hanging="720"/>
      </w:pPr>
      <w:r>
        <w:t>Shah, S.A., Coventry, L.L., Mackey, D.A. and McGowan, M. (2021) ‘Clinician time efficiency through remote patient monitoring’ [cited in Digital Marketplace (2022) Huma virtual care / remote patient monitoring].</w:t>
      </w:r>
    </w:p>
    <w:p w14:paraId="73794712" w14:textId="77777777" w:rsidR="00890CF1" w:rsidRDefault="00000000">
      <w:pPr>
        <w:spacing w:before="80" w:after="80" w:line="360" w:lineRule="auto"/>
        <w:ind w:left="720" w:hanging="720"/>
      </w:pPr>
      <w:r>
        <w:t xml:space="preserve">Shaw, T., McGregor, D., Brunner, M., Keep, M., Janssen, A. and Barnet, S. (2018) ‘What is eHealth (6)? Development of a conceptual model for eHealth: qualitative study with key informants’, Journal of Medical Internet Research, 20(10), e10933. </w:t>
      </w:r>
      <w:proofErr w:type="spellStart"/>
      <w:r>
        <w:t>doi</w:t>
      </w:r>
      <w:proofErr w:type="spellEnd"/>
      <w:r>
        <w:t>: 10.2196/10933.</w:t>
      </w:r>
    </w:p>
    <w:p w14:paraId="0EA878F3" w14:textId="77777777" w:rsidR="00890CF1" w:rsidRDefault="00000000">
      <w:pPr>
        <w:spacing w:before="80" w:after="80" w:line="360" w:lineRule="auto"/>
        <w:ind w:left="720" w:hanging="720"/>
      </w:pPr>
      <w:r>
        <w:t xml:space="preserve">Sieck, C.J., Sheon, A., Ancker, J.S., </w:t>
      </w:r>
      <w:proofErr w:type="spellStart"/>
      <w:r>
        <w:t>Castek</w:t>
      </w:r>
      <w:proofErr w:type="spellEnd"/>
      <w:r>
        <w:t xml:space="preserve">, J., Callahan, B. and Siefer, A. (2021) ‘Digital inclusion as a social determinant of health’, </w:t>
      </w:r>
      <w:proofErr w:type="spellStart"/>
      <w:r>
        <w:t>npj</w:t>
      </w:r>
      <w:proofErr w:type="spellEnd"/>
      <w:r>
        <w:t xml:space="preserve"> Digital Medicine, 4(1), p. 52. </w:t>
      </w:r>
      <w:proofErr w:type="spellStart"/>
      <w:r>
        <w:t>doi</w:t>
      </w:r>
      <w:proofErr w:type="spellEnd"/>
      <w:r>
        <w:t>: 10.1038/s41746-021-00413-8.</w:t>
      </w:r>
    </w:p>
    <w:p w14:paraId="7034BC0B" w14:textId="77777777" w:rsidR="00890CF1" w:rsidRDefault="00000000">
      <w:pPr>
        <w:spacing w:before="80" w:after="80" w:line="360" w:lineRule="auto"/>
        <w:ind w:left="720" w:hanging="720"/>
      </w:pPr>
      <w:proofErr w:type="spellStart"/>
      <w:r>
        <w:t>Smith+Nephew</w:t>
      </w:r>
      <w:proofErr w:type="spellEnd"/>
      <w:r>
        <w:t xml:space="preserve"> (2021) </w:t>
      </w:r>
      <w:proofErr w:type="spellStart"/>
      <w:r>
        <w:t>Smith+Nephew</w:t>
      </w:r>
      <w:proofErr w:type="spellEnd"/>
      <w:r>
        <w:t xml:space="preserve"> and Huma develop remote patient monitoring app to assist the safe restart of UK orthopaedic surgery. Available at: https://www.smith-nephew.com/en/news/2021/03/04 (Accessed: 15 March 2026).</w:t>
      </w:r>
    </w:p>
    <w:p w14:paraId="321EF3EC" w14:textId="77777777" w:rsidR="00890CF1" w:rsidRDefault="00000000">
      <w:pPr>
        <w:spacing w:before="80" w:after="80" w:line="360" w:lineRule="auto"/>
        <w:ind w:left="720" w:hanging="720"/>
      </w:pPr>
      <w:r>
        <w:t xml:space="preserve">Steventon, A., Bardsley, M., Billings, J., Dixon, J., Doll, H., Hirani, S., </w:t>
      </w:r>
      <w:proofErr w:type="spellStart"/>
      <w:r>
        <w:t>Karteszi</w:t>
      </w:r>
      <w:proofErr w:type="spellEnd"/>
      <w:r>
        <w:t xml:space="preserve">, M., </w:t>
      </w:r>
      <w:proofErr w:type="spellStart"/>
      <w:r>
        <w:t>Leuciuc</w:t>
      </w:r>
      <w:proofErr w:type="spellEnd"/>
      <w:r>
        <w:t xml:space="preserve">, L., Looman, W., Newman, S., Sandhu, N., Mays, N., Hendy, J. and Fitzpatrick, R. (2012) ‘Effect of telehealth on use of secondary care and mortality: findings from the Whole System Demonstrator cluster randomised trial’, BMJ, 344, e3874. </w:t>
      </w:r>
      <w:proofErr w:type="spellStart"/>
      <w:r>
        <w:t>doi</w:t>
      </w:r>
      <w:proofErr w:type="spellEnd"/>
      <w:r>
        <w:t>: 10.1136/</w:t>
      </w:r>
      <w:proofErr w:type="gramStart"/>
      <w:r>
        <w:t>bmj.e</w:t>
      </w:r>
      <w:proofErr w:type="gramEnd"/>
      <w:r>
        <w:t>3874.</w:t>
      </w:r>
    </w:p>
    <w:p w14:paraId="68807D5F" w14:textId="77777777" w:rsidR="00890CF1" w:rsidRDefault="00000000">
      <w:pPr>
        <w:spacing w:before="80" w:after="80" w:line="360" w:lineRule="auto"/>
        <w:ind w:left="720" w:hanging="720"/>
      </w:pPr>
      <w:r>
        <w:lastRenderedPageBreak/>
        <w:t>Topol, E. (2019) Preparing the healthcare workforce to deliver the digital future: the Topol Review. Health Education England. Available at: https://topol.hee.nhs.uk/wp-content/uploads/HEE-Topol-Review-2019.pdf (Accessed: 15 March 2026).</w:t>
      </w:r>
    </w:p>
    <w:p w14:paraId="2456A125" w14:textId="77777777" w:rsidR="00890CF1" w:rsidRDefault="00000000">
      <w:pPr>
        <w:spacing w:before="80" w:after="80" w:line="360" w:lineRule="auto"/>
        <w:ind w:left="720" w:hanging="720"/>
      </w:pPr>
      <w:r>
        <w:t xml:space="preserve">Wager, K.A., Lee, F.W. and Glaser, J.P. (2017) Health care information systems: a practical approach for health care management. 4th </w:t>
      </w:r>
      <w:proofErr w:type="spellStart"/>
      <w:r>
        <w:t>edn</w:t>
      </w:r>
      <w:proofErr w:type="spellEnd"/>
      <w:r>
        <w:t>. San Francisco: Jossey-Bass.</w:t>
      </w:r>
    </w:p>
    <w:sectPr w:rsidR="00890CF1">
      <w:footerReference w:type="default" r:id="rId1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28997C" w14:textId="77777777" w:rsidR="00A20313" w:rsidRDefault="00A20313">
      <w:r>
        <w:separator/>
      </w:r>
    </w:p>
  </w:endnote>
  <w:endnote w:type="continuationSeparator" w:id="0">
    <w:p w14:paraId="6B643CEA" w14:textId="77777777" w:rsidR="00A20313" w:rsidRDefault="00A203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E5C285" w14:textId="77777777" w:rsidR="00890CF1" w:rsidRDefault="00000000">
    <w:pPr>
      <w:jc w:val="center"/>
    </w:pPr>
    <w:r>
      <w:rPr>
        <w:sz w:val="20"/>
        <w:szCs w:val="20"/>
      </w:rPr>
      <w:fldChar w:fldCharType="begin"/>
    </w:r>
    <w:r>
      <w:rPr>
        <w:sz w:val="20"/>
        <w:szCs w:val="20"/>
      </w:rPr>
      <w:instrText>PAGE</w:instrText>
    </w:r>
    <w:r>
      <w:rPr>
        <w:sz w:val="20"/>
        <w:szCs w:val="20"/>
      </w:rPr>
      <w:fldChar w:fldCharType="separate"/>
    </w:r>
    <w:r w:rsidR="002653A4">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AF3A2B" w14:textId="5E33114E" w:rsidR="00890CF1" w:rsidRDefault="00000000">
    <w:pPr>
      <w:jc w:val="center"/>
    </w:pPr>
    <w:r>
      <w:rPr>
        <w:sz w:val="20"/>
        <w:szCs w:val="20"/>
      </w:rPr>
      <w:fldChar w:fldCharType="begin"/>
    </w:r>
    <w:r>
      <w:rPr>
        <w:sz w:val="20"/>
        <w:szCs w:val="20"/>
      </w:rPr>
      <w:instrText>PAGE</w:instrText>
    </w:r>
    <w:r>
      <w:rPr>
        <w:sz w:val="20"/>
        <w:szCs w:val="20"/>
      </w:rPr>
      <w:fldChar w:fldCharType="separate"/>
    </w:r>
    <w:r w:rsidR="002653A4">
      <w:rPr>
        <w:noProof/>
        <w:sz w:val="20"/>
        <w:szCs w:val="20"/>
      </w:rPr>
      <w:t>3</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3C874" w14:textId="77777777" w:rsidR="00A20313" w:rsidRDefault="00A20313">
      <w:r>
        <w:separator/>
      </w:r>
    </w:p>
  </w:footnote>
  <w:footnote w:type="continuationSeparator" w:id="0">
    <w:p w14:paraId="2B0701FA" w14:textId="77777777" w:rsidR="00A20313" w:rsidRDefault="00A203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05C41"/>
    <w:multiLevelType w:val="hybridMultilevel"/>
    <w:tmpl w:val="C6F4312C"/>
    <w:lvl w:ilvl="0" w:tplc="E118FDC6">
      <w:start w:val="1"/>
      <w:numFmt w:val="bullet"/>
      <w:lvlText w:val="●"/>
      <w:lvlJc w:val="left"/>
      <w:pPr>
        <w:ind w:left="720" w:hanging="360"/>
      </w:pPr>
    </w:lvl>
    <w:lvl w:ilvl="1" w:tplc="5D32D052">
      <w:start w:val="1"/>
      <w:numFmt w:val="bullet"/>
      <w:lvlText w:val="○"/>
      <w:lvlJc w:val="left"/>
      <w:pPr>
        <w:ind w:left="1440" w:hanging="360"/>
      </w:pPr>
    </w:lvl>
    <w:lvl w:ilvl="2" w:tplc="642694FC">
      <w:start w:val="1"/>
      <w:numFmt w:val="bullet"/>
      <w:lvlText w:val="■"/>
      <w:lvlJc w:val="left"/>
      <w:pPr>
        <w:ind w:left="2160" w:hanging="360"/>
      </w:pPr>
    </w:lvl>
    <w:lvl w:ilvl="3" w:tplc="00BC8CFA">
      <w:start w:val="1"/>
      <w:numFmt w:val="bullet"/>
      <w:lvlText w:val="●"/>
      <w:lvlJc w:val="left"/>
      <w:pPr>
        <w:ind w:left="2880" w:hanging="360"/>
      </w:pPr>
    </w:lvl>
    <w:lvl w:ilvl="4" w:tplc="F4F291B8">
      <w:start w:val="1"/>
      <w:numFmt w:val="bullet"/>
      <w:lvlText w:val="○"/>
      <w:lvlJc w:val="left"/>
      <w:pPr>
        <w:ind w:left="3600" w:hanging="360"/>
      </w:pPr>
    </w:lvl>
    <w:lvl w:ilvl="5" w:tplc="DDD0FA20">
      <w:start w:val="1"/>
      <w:numFmt w:val="bullet"/>
      <w:lvlText w:val="■"/>
      <w:lvlJc w:val="left"/>
      <w:pPr>
        <w:ind w:left="4320" w:hanging="360"/>
      </w:pPr>
    </w:lvl>
    <w:lvl w:ilvl="6" w:tplc="6AAA7E1E">
      <w:start w:val="1"/>
      <w:numFmt w:val="bullet"/>
      <w:lvlText w:val="●"/>
      <w:lvlJc w:val="left"/>
      <w:pPr>
        <w:ind w:left="5040" w:hanging="360"/>
      </w:pPr>
    </w:lvl>
    <w:lvl w:ilvl="7" w:tplc="AE4077EE">
      <w:start w:val="1"/>
      <w:numFmt w:val="bullet"/>
      <w:lvlText w:val="●"/>
      <w:lvlJc w:val="left"/>
      <w:pPr>
        <w:ind w:left="5760" w:hanging="360"/>
      </w:pPr>
    </w:lvl>
    <w:lvl w:ilvl="8" w:tplc="48869CEA">
      <w:start w:val="1"/>
      <w:numFmt w:val="bullet"/>
      <w:lvlText w:val="●"/>
      <w:lvlJc w:val="left"/>
      <w:pPr>
        <w:ind w:left="6480" w:hanging="360"/>
      </w:pPr>
    </w:lvl>
  </w:abstractNum>
  <w:num w:numId="1" w16cid:durableId="76129294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CF1"/>
    <w:rsid w:val="002653A4"/>
    <w:rsid w:val="002A3FC1"/>
    <w:rsid w:val="003D094A"/>
    <w:rsid w:val="00742ABC"/>
    <w:rsid w:val="00890CF1"/>
    <w:rsid w:val="00977E4B"/>
    <w:rsid w:val="009E58B9"/>
    <w:rsid w:val="00A20313"/>
    <w:rsid w:val="00D92706"/>
    <w:rsid w:val="00F73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AFC6F"/>
  <w15:docId w15:val="{FAF23B4F-DD8B-498A-9FF1-784C602E3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20"/>
      <w:outlineLvl w:val="0"/>
    </w:pPr>
    <w:rPr>
      <w:b/>
      <w:bCs/>
      <w:color w:val="000000"/>
      <w:sz w:val="24"/>
      <w:szCs w:val="24"/>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9E58B9"/>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9E58B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current-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EC722A-1B6B-4ED3-8631-24C7FB8D5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3450</Words>
  <Characters>19668</Characters>
  <DocSecurity>0</DocSecurity>
  <Lines>163</Lines>
  <Paragraphs>46</Paragraphs>
  <ScaleCrop>false</ScaleCrop>
  <Company/>
  <LinksUpToDate>false</LinksUpToDate>
  <CharactersWithSpaces>23072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Deise Cardoso</dc:creator>
  <dcterms:created xsi:type="dcterms:W3CDTF">2026-03-23T05:14:00Z</dcterms:created>
  <dcterms:modified xsi:type="dcterms:W3CDTF">2026-03-23T05:37:00Z</dcterms:modified>
</cp:coreProperties>
</file>