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4907F" w14:textId="77777777" w:rsidR="005D0586" w:rsidRDefault="00000000">
      <w:pPr>
        <w:spacing w:before="1800"/>
        <w:jc w:val="center"/>
      </w:pPr>
      <w:r>
        <w:rPr>
          <w:rFonts w:ascii="Arial" w:eastAsia="Arial" w:hAnsi="Arial" w:cs="Arial"/>
          <w:color w:val="555555"/>
          <w:sz w:val="26"/>
          <w:szCs w:val="26"/>
        </w:rPr>
        <w:t>University of Wales Trinity Saint David</w:t>
      </w:r>
    </w:p>
    <w:p w14:paraId="3B98211E" w14:textId="77777777" w:rsidR="005D0586" w:rsidRDefault="00000000">
      <w:pPr>
        <w:spacing w:before="80"/>
        <w:jc w:val="center"/>
      </w:pPr>
      <w:r>
        <w:rPr>
          <w:rFonts w:ascii="Arial" w:eastAsia="Arial" w:hAnsi="Arial" w:cs="Arial"/>
          <w:color w:val="555555"/>
          <w:sz w:val="24"/>
          <w:szCs w:val="24"/>
        </w:rPr>
        <w:t>BSc Health and Social Care</w:t>
      </w:r>
    </w:p>
    <w:p w14:paraId="563B5297" w14:textId="215E0FBE" w:rsidR="005D0586" w:rsidRDefault="00000000">
      <w:pPr>
        <w:spacing w:before="600" w:after="180"/>
        <w:jc w:val="center"/>
      </w:pPr>
      <w:r>
        <w:rPr>
          <w:rFonts w:ascii="Arial" w:eastAsia="Arial" w:hAnsi="Arial" w:cs="Arial"/>
          <w:b/>
          <w:bCs/>
          <w:color w:val="1B2A4A"/>
          <w:sz w:val="48"/>
          <w:szCs w:val="48"/>
        </w:rPr>
        <w:t>Empowering Independence:</w:t>
      </w:r>
      <w:r w:rsidR="004C24DE">
        <w:rPr>
          <w:rFonts w:ascii="Arial" w:eastAsia="Arial" w:hAnsi="Arial" w:cs="Arial"/>
          <w:b/>
          <w:bCs/>
          <w:color w:val="1B2A4A"/>
          <w:sz w:val="48"/>
          <w:szCs w:val="48"/>
        </w:rPr>
        <w:t xml:space="preserve"> </w:t>
      </w:r>
    </w:p>
    <w:p w14:paraId="3CDC4AC4" w14:textId="77777777" w:rsidR="005D0586" w:rsidRDefault="00000000">
      <w:pPr>
        <w:spacing w:after="800"/>
        <w:jc w:val="center"/>
      </w:pPr>
      <w:r>
        <w:rPr>
          <w:rFonts w:ascii="Arial" w:eastAsia="Arial" w:hAnsi="Arial" w:cs="Arial"/>
          <w:b/>
          <w:bCs/>
          <w:color w:val="2E6F6E"/>
          <w:sz w:val="32"/>
          <w:szCs w:val="32"/>
        </w:rPr>
        <w:t>Supporting People Living with Dementia through Domiciliary Care</w:t>
      </w:r>
    </w:p>
    <w:p w14:paraId="6A2D07DC" w14:textId="77777777" w:rsidR="005D0586" w:rsidRDefault="00000000">
      <w:pPr>
        <w:spacing w:before="600" w:after="12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Student name: </w:t>
      </w:r>
      <w:r>
        <w:rPr>
          <w:rFonts w:ascii="Arial" w:eastAsia="Arial" w:hAnsi="Arial" w:cs="Arial"/>
          <w:sz w:val="24"/>
          <w:szCs w:val="24"/>
        </w:rPr>
        <w:t>Deise Almada Cardoso</w:t>
      </w:r>
    </w:p>
    <w:p w14:paraId="5C9367C6" w14:textId="77777777" w:rsidR="005D0586" w:rsidRDefault="00000000">
      <w:pPr>
        <w:spacing w:after="12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Student ID: </w:t>
      </w:r>
      <w:r>
        <w:rPr>
          <w:rFonts w:ascii="Arial" w:eastAsia="Arial" w:hAnsi="Arial" w:cs="Arial"/>
          <w:sz w:val="24"/>
          <w:szCs w:val="24"/>
        </w:rPr>
        <w:t>2247044</w:t>
      </w:r>
    </w:p>
    <w:p w14:paraId="1E010381" w14:textId="77777777" w:rsidR="005D0586" w:rsidRDefault="00000000">
      <w:pPr>
        <w:spacing w:before="200" w:after="12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Module name: </w:t>
      </w:r>
      <w:r>
        <w:rPr>
          <w:rFonts w:ascii="Arial" w:eastAsia="Arial" w:hAnsi="Arial" w:cs="Arial"/>
          <w:sz w:val="24"/>
          <w:szCs w:val="24"/>
        </w:rPr>
        <w:t>Empowering the Older Person</w:t>
      </w:r>
    </w:p>
    <w:p w14:paraId="27F026E9" w14:textId="77777777" w:rsidR="005D0586" w:rsidRDefault="00000000">
      <w:pPr>
        <w:spacing w:after="12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Module code: </w:t>
      </w:r>
      <w:r>
        <w:rPr>
          <w:rFonts w:ascii="Arial" w:eastAsia="Arial" w:hAnsi="Arial" w:cs="Arial"/>
          <w:sz w:val="24"/>
          <w:szCs w:val="24"/>
        </w:rPr>
        <w:t>BMHP6027</w:t>
      </w:r>
    </w:p>
    <w:p w14:paraId="43117137" w14:textId="1C176A21" w:rsidR="005D0586" w:rsidRDefault="00000000">
      <w:pPr>
        <w:spacing w:after="12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Lecturer's name: </w:t>
      </w:r>
      <w:r>
        <w:rPr>
          <w:rFonts w:ascii="Arial" w:eastAsia="Arial" w:hAnsi="Arial" w:cs="Arial"/>
          <w:sz w:val="24"/>
          <w:szCs w:val="24"/>
        </w:rPr>
        <w:t xml:space="preserve">Dr Laila Surani </w:t>
      </w:r>
    </w:p>
    <w:p w14:paraId="0F312A25" w14:textId="77777777" w:rsidR="005D0586" w:rsidRDefault="005D0586">
      <w:pPr>
        <w:sectPr w:rsidR="005D0586"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tbl>
      <w:tblPr>
        <w:tblW w:w="10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06"/>
      </w:tblGrid>
      <w:tr w:rsidR="005D0586" w14:paraId="33CEDDF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C2A74C7" w14:textId="77777777" w:rsidR="005D0586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7"/>
                <w:szCs w:val="27"/>
              </w:rPr>
              <w:lastRenderedPageBreak/>
              <w:t>Empowering Independence: Supporting People Living with Dementia through Domiciliary Care</w:t>
            </w:r>
          </w:p>
        </w:tc>
      </w:tr>
    </w:tbl>
    <w:p w14:paraId="2227421A" w14:textId="77777777" w:rsidR="005D0586" w:rsidRDefault="005D0586">
      <w:pPr>
        <w:spacing w:after="80"/>
      </w:pPr>
    </w:p>
    <w:tbl>
      <w:tblPr>
        <w:tblW w:w="10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98"/>
        <w:gridCol w:w="3708"/>
        <w:gridCol w:w="3600"/>
      </w:tblGrid>
      <w:tr w:rsidR="005D0586" w14:paraId="3C816AB6" w14:textId="77777777">
        <w:tblPrEx>
          <w:tblCellMar>
            <w:top w:w="0" w:type="dxa"/>
            <w:bottom w:w="0" w:type="dxa"/>
          </w:tblCellMar>
        </w:tblPrEx>
        <w:tc>
          <w:tcPr>
            <w:tcW w:w="359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7F4EF"/>
            <w:tcMar>
              <w:top w:w="100" w:type="dxa"/>
              <w:left w:w="130" w:type="dxa"/>
              <w:bottom w:w="100" w:type="dxa"/>
              <w:right w:w="130" w:type="dxa"/>
            </w:tcMar>
          </w:tcPr>
          <w:p w14:paraId="571F9757" w14:textId="77777777" w:rsidR="005D0586" w:rsidRDefault="00000000">
            <w:pPr>
              <w:spacing w:after="55"/>
              <w:jc w:val="center"/>
            </w:pPr>
            <w:r>
              <w:rPr>
                <w:noProof/>
              </w:rPr>
              <w:drawing>
                <wp:inline distT="0" distB="0" distL="0" distR="0" wp14:anchorId="6D31147E" wp14:editId="0EEC0636">
                  <wp:extent cx="1809750" cy="12668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DD1C6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Introduction</w:t>
            </w:r>
          </w:p>
          <w:p w14:paraId="31658BB9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Prevalence: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982,000 people live with dementia in the UK, projected to rise to 1.4 million by 2040 — a crisis costing £34.7 billion annually (Alzheimer's Society, 2025).</w:t>
            </w:r>
          </w:p>
          <w:p w14:paraId="1FADF62D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Home-based care: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~65% of people with dementia live at home; domiciliary care is the primary support vehicle — yet it remains underfunded and inconsistently delivered (Tinker et al., 2021).</w:t>
            </w:r>
          </w:p>
          <w:p w14:paraId="6FC9D823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Scope: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 xml:space="preserve">This poster critically evaluates whether current domiciliary care policy and practice adequately </w:t>
            </w:r>
            <w:proofErr w:type="gramStart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empowers</w:t>
            </w:r>
            <w:proofErr w:type="gramEnd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 xml:space="preserve"> older people with dementia to maintain independence and quality of life.</w:t>
            </w:r>
          </w:p>
          <w:p w14:paraId="2D75B4F8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Care &amp; Support Needs</w:t>
            </w:r>
          </w:p>
          <w:p w14:paraId="17AC6A7C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Functional ability: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ADL support must preserve skills rather than create dependency — the difference between empowerment and institutionalisation at home (NICE, 2018, NG97).</w:t>
            </w:r>
          </w:p>
          <w:p w14:paraId="4C7DC919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Psychological needs: </w:t>
            </w:r>
            <w:proofErr w:type="spellStart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Kitwood</w:t>
            </w:r>
            <w:proofErr w:type="spellEnd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 xml:space="preserve"> (1992) identifies identity, attachment, comfort and occupation as core needs — not optional extras, yet routinely unmet by 15-minute visits.</w:t>
            </w:r>
          </w:p>
          <w:p w14:paraId="1098AAD0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Freedom and choice: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Care Act 2014 s.1 requires dignity and autonomy to be upheld even when risk is present — carers must enable, not restrict.</w:t>
            </w:r>
          </w:p>
          <w:p w14:paraId="4BDDA229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Social inclusion: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Loneliness affects 1.4 million older people in England; domiciliary carers are often the only human contact each day, making relational continuity critical (</w:t>
            </w:r>
            <w:proofErr w:type="spellStart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AgeUK</w:t>
            </w:r>
            <w:proofErr w:type="spellEnd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, 2025).</w:t>
            </w:r>
          </w:p>
          <w:p w14:paraId="10A2EC5E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Safety needs: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Falls prevention, safeguarding and medication management are essential — yet over-emphasis on risk can erode the autonomy that the Care Act 2014 seeks to protect (NICE, 2018, NG97).</w:t>
            </w:r>
          </w:p>
          <w:p w14:paraId="55529416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Dignity and respect: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Person-centred care requires cultural sensitivity and responsiveness to individual identity — particularly for older people from ethnic minority backgrounds who face compounded inequalities (Equality Act, 2010).</w:t>
            </w:r>
          </w:p>
        </w:tc>
        <w:tc>
          <w:tcPr>
            <w:tcW w:w="370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30" w:type="dxa"/>
            </w:tcMar>
          </w:tcPr>
          <w:p w14:paraId="5C07E3D6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Critical Evaluation of Care Needs</w:t>
            </w:r>
          </w:p>
          <w:p w14:paraId="35BC6C66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Care Act 2014: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Establishes the wellbeing principle — yet 1 in 4 eligible adults receive no formal support due to underfunding, exposing a gap between legal mandate and lived experience (</w:t>
            </w:r>
            <w:proofErr w:type="spellStart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AgeUK</w:t>
            </w:r>
            <w:proofErr w:type="spellEnd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, 2025).</w:t>
            </w:r>
          </w:p>
          <w:p w14:paraId="18974EDD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B08D57"/>
                <w:sz w:val="17"/>
                <w:szCs w:val="17"/>
              </w:rPr>
              <w:t xml:space="preserve">Best practice: </w:t>
            </w:r>
            <w:proofErr w:type="spellStart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Oxleas</w:t>
            </w:r>
            <w:proofErr w:type="spellEnd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 xml:space="preserve"> NHS Trust's integrated dementia home care team (London) reduced hospital admissions by 30% by aligning health and social care under one Care Act framework — demonstrating what adequately funded domiciliary care can achieve (NHS England, 2025).</w:t>
            </w:r>
          </w:p>
          <w:p w14:paraId="7FB92489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Equality Act 2010: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Classifies dementia as a disability, requiring reasonable adjustments and prohibiting discrimination — yet Black, Asian and minority ethnic older people remain 40% less likely to receive a diagnosis, breaching the Public Sector Equality Duty (Alzheimer's Society, 2025).</w:t>
            </w:r>
          </w:p>
          <w:p w14:paraId="7CBB9B12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NHS Fit for the Future (2025):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The 10-Year Health Plan shifts care from hospital to community, supporting domiciliary care through integrated neighbourhood teams and prevention (DHSC, 2025).</w:t>
            </w:r>
          </w:p>
          <w:p w14:paraId="4438F2C1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B08D57"/>
                <w:sz w:val="17"/>
                <w:szCs w:val="17"/>
              </w:rPr>
              <w:t xml:space="preserve">Policy gap: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All three Acts and the NHS Plan create the right framework — but without ring-fenced funding and enforceable standards in domiciliary care, they risk being aspirational rather than transformative (House of Lords, 2024).</w:t>
            </w:r>
          </w:p>
          <w:p w14:paraId="57C5C1A2" w14:textId="77777777" w:rsidR="005D0586" w:rsidRDefault="00000000">
            <w:pPr>
              <w:spacing w:after="55"/>
              <w:jc w:val="center"/>
            </w:pPr>
            <w:r>
              <w:rPr>
                <w:noProof/>
              </w:rPr>
              <w:drawing>
                <wp:inline distT="0" distB="0" distL="0" distR="0" wp14:anchorId="0FB6F068" wp14:editId="78316E64">
                  <wp:extent cx="1809750" cy="1266825"/>
                  <wp:effectExtent l="0" t="0" r="0" b="0"/>
                  <wp:docPr id="1413300747" name="Picture 1413300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A256CA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Theory &amp; Interventions</w:t>
            </w:r>
          </w:p>
          <w:p w14:paraId="66E875A5" w14:textId="77777777" w:rsidR="005D0586" w:rsidRDefault="00000000">
            <w:pPr>
              <w:spacing w:before="45" w:after="28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Kitwood's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 xml:space="preserve"> Theory of Personhood (1992)</w:t>
            </w:r>
          </w:p>
          <w:p w14:paraId="7EF63B37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Argument: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Person-centred care must preserve personhood — identity, love, attachment, occupation and inclusion — not treat dementia as purely neurological (Mitchell and Agnelli, 2015).</w:t>
            </w:r>
          </w:p>
          <w:p w14:paraId="474AABFC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B08D57"/>
                <w:sz w:val="17"/>
                <w:szCs w:val="17"/>
              </w:rPr>
              <w:t xml:space="preserve">Critique: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Malignant social psychology (infantilisation, ignoring) remains common in task-driven care, undermining wellbeing — yet the model places heavy demands on underpaid workers (Brooker, 2004).</w:t>
            </w:r>
          </w:p>
          <w:p w14:paraId="16B4B7E5" w14:textId="77777777" w:rsidR="005D0586" w:rsidRDefault="00000000">
            <w:pPr>
              <w:spacing w:before="45" w:after="28"/>
            </w:pPr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Continuity Theory (Atchley, 1989)</w:t>
            </w:r>
          </w:p>
          <w:p w14:paraId="2DFF7B66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Core argument: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Older people preserve wellbeing via home and routine continuity (Atchley, 1989) — yet dementia may undermine this, requiring adaptive care (Zhang et al., 2025).</w:t>
            </w:r>
          </w:p>
        </w:tc>
        <w:tc>
          <w:tcPr>
            <w:tcW w:w="3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7F4EF"/>
            <w:tcMar>
              <w:top w:w="100" w:type="dxa"/>
              <w:left w:w="130" w:type="dxa"/>
              <w:bottom w:w="100" w:type="dxa"/>
              <w:right w:w="130" w:type="dxa"/>
            </w:tcMar>
          </w:tcPr>
          <w:p w14:paraId="3D2DBC2A" w14:textId="77777777" w:rsidR="005D0586" w:rsidRDefault="00000000">
            <w:pPr>
              <w:spacing w:after="55"/>
              <w:jc w:val="center"/>
            </w:pPr>
            <w:r>
              <w:rPr>
                <w:noProof/>
              </w:rPr>
              <w:drawing>
                <wp:inline distT="0" distB="0" distL="0" distR="0" wp14:anchorId="1B64DD67" wp14:editId="078E81A0">
                  <wp:extent cx="1809750" cy="1266825"/>
                  <wp:effectExtent l="0" t="0" r="0" b="0"/>
                  <wp:docPr id="220678064" name="Picture 220678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98755F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Challenges to Independence</w:t>
            </w:r>
          </w:p>
          <w:p w14:paraId="59DB7662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Workforce crisis: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 xml:space="preserve">152,000 vacancies in England's domiciliary care sector (Skills for Care, 2025) make relational continuity impossible — directly undermining </w:t>
            </w:r>
            <w:proofErr w:type="spellStart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Kitwood's</w:t>
            </w:r>
            <w:proofErr w:type="spellEnd"/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 xml:space="preserve"> personhood model and Atchley's continuity framework.</w:t>
            </w:r>
          </w:p>
          <w:p w14:paraId="53596245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B08D57"/>
                <w:sz w:val="17"/>
                <w:szCs w:val="17"/>
              </w:rPr>
              <w:t xml:space="preserve">Task-driven model: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15-minute care visits remain common, driven by cost-cutting commissioning — reducing carers to 'human timers' and making person-centred interaction structurally impossible (Tinker et al., 2021).</w:t>
            </w:r>
          </w:p>
          <w:p w14:paraId="271BD4A6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Diagnosis gap: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34% of people with dementia are undiagnosed — excluding them from Care Act assessments and delaying all support, disproportionately affecting ethnic minority communities (Alzheimer's Society, 2025).</w:t>
            </w:r>
          </w:p>
          <w:p w14:paraId="71B9A723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B08D57"/>
                <w:sz w:val="17"/>
                <w:szCs w:val="17"/>
              </w:rPr>
              <w:t xml:space="preserve">Digital exclusion: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54% of over-75s lack digital skills — meaning assistive technology risks widening inequalities rather than resolving them without targeted co-production (ONS, 2024).</w:t>
            </w:r>
          </w:p>
          <w:p w14:paraId="7A4DEAD0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Recommendations for Improvement</w:t>
            </w:r>
          </w:p>
          <w:p w14:paraId="1A362C92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Invest in community care: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Ring-fence NHS Fit for the Future (2025) funding for community domiciliary services. Barrier: competing NHS budgets. Solution: NHS Integrated Care Boards to prioritise prevention.</w:t>
            </w:r>
          </w:p>
          <w:p w14:paraId="2B588C05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Outcome commissioning: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Replace time-and-task contracts with relationship-based models — Wigan Deal reduced acute demand by 11% (NHS England, 2025). Barrier: short-term cost resistance. Solution: pilot via NHS Integrated Care Boards with ring-fenced funding.</w:t>
            </w:r>
          </w:p>
          <w:p w14:paraId="7F007162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Mandatory training: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Make Tier 2 Dementia Core Skills (HEE, 2015) mandatory for all domiciliary workers. Barrier: provider costs and high turnover. Solution: Government-funded bursaries linked to CQC registration.</w:t>
            </w:r>
          </w:p>
          <w:p w14:paraId="4F0AA713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b/>
                <w:bCs/>
                <w:color w:val="2E6F6E"/>
                <w:sz w:val="17"/>
                <w:szCs w:val="17"/>
              </w:rPr>
              <w:t xml:space="preserve">Fair pay reform: </w:t>
            </w: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Expedite the Fair Pay Agreement to address 152,000 vacancies (Skills for Care, 2025). Barrier: provider cost constraints. Solution: ring-fence domiciliary care efficiency savings to fund pay uplift.</w:t>
            </w:r>
          </w:p>
          <w:p w14:paraId="66B86216" w14:textId="77777777" w:rsidR="005D0586" w:rsidRDefault="00000000">
            <w:pPr>
              <w:pBdr>
                <w:bottom w:val="single" w:sz="10" w:space="2" w:color="2E6F6E"/>
              </w:pBdr>
              <w:spacing w:before="55" w:after="45"/>
            </w:pPr>
            <w:r>
              <w:rPr>
                <w:rFonts w:ascii="Arial" w:eastAsia="Arial" w:hAnsi="Arial" w:cs="Arial"/>
                <w:b/>
                <w:bCs/>
                <w:color w:val="2E6F6E"/>
                <w:sz w:val="22"/>
                <w:szCs w:val="22"/>
              </w:rPr>
              <w:t>Conclusion</w:t>
            </w:r>
          </w:p>
          <w:p w14:paraId="4A97CC32" w14:textId="77777777" w:rsidR="005D0586" w:rsidRDefault="00000000">
            <w:pPr>
              <w:pStyle w:val="ListParagraph"/>
              <w:numPr>
                <w:ilvl w:val="0"/>
                <w:numId w:val="2"/>
              </w:numPr>
              <w:spacing w:after="32"/>
            </w:pPr>
            <w:r>
              <w:rPr>
                <w:rFonts w:ascii="Arial" w:eastAsia="Arial" w:hAnsi="Arial" w:cs="Arial"/>
                <w:color w:val="1A1A1A"/>
                <w:sz w:val="17"/>
                <w:szCs w:val="17"/>
              </w:rPr>
              <w:t>Community-based, person-centred care is essential — without Care Act reform and Fit for the Future investment, dignified ageing at home remains aspiration.</w:t>
            </w:r>
          </w:p>
        </w:tc>
      </w:tr>
    </w:tbl>
    <w:p w14:paraId="4BE7AC12" w14:textId="77777777" w:rsidR="005D0586" w:rsidRDefault="005D0586">
      <w:pPr>
        <w:sectPr w:rsidR="005D0586">
          <w:pgSz w:w="11906" w:h="16838"/>
          <w:pgMar w:top="500" w:right="500" w:bottom="500" w:left="500" w:header="708" w:footer="708" w:gutter="0"/>
          <w:cols w:space="720"/>
          <w:docGrid w:linePitch="360"/>
        </w:sectPr>
      </w:pPr>
    </w:p>
    <w:p w14:paraId="11C11438" w14:textId="4F26BC6C" w:rsidR="005D0586" w:rsidRDefault="00000000">
      <w:pPr>
        <w:spacing w:after="240"/>
      </w:pPr>
      <w:r>
        <w:rPr>
          <w:rFonts w:ascii="Arial" w:eastAsia="Arial" w:hAnsi="Arial" w:cs="Arial"/>
          <w:b/>
          <w:bCs/>
          <w:color w:val="1B2A4A"/>
          <w:sz w:val="32"/>
          <w:szCs w:val="32"/>
        </w:rPr>
        <w:lastRenderedPageBreak/>
        <w:t xml:space="preserve">References </w:t>
      </w:r>
    </w:p>
    <w:p w14:paraId="37316E7A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Age UK (2025)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The State of Health and Care of Older People in England 2025</w:t>
      </w:r>
      <w:r>
        <w:rPr>
          <w:rFonts w:ascii="Arial" w:eastAsia="Arial" w:hAnsi="Arial" w:cs="Arial"/>
          <w:color w:val="2A2A2A"/>
          <w:sz w:val="16"/>
          <w:szCs w:val="16"/>
        </w:rPr>
        <w:t>. London: Age UK.</w:t>
      </w:r>
    </w:p>
    <w:p w14:paraId="7E6818C1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Department of Health and Social Care (2025)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Fit for the Future: 10-Year Health Plan for England</w:t>
      </w:r>
      <w:r>
        <w:rPr>
          <w:rFonts w:ascii="Arial" w:eastAsia="Arial" w:hAnsi="Arial" w:cs="Arial"/>
          <w:color w:val="2A2A2A"/>
          <w:sz w:val="16"/>
          <w:szCs w:val="16"/>
        </w:rPr>
        <w:t>. London: HMSO.</w:t>
      </w:r>
    </w:p>
    <w:p w14:paraId="7A8AAD87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>Alzheimer's Society (2025) How many people have dementia in the UK? Available at: https://www.alzheimers.org.uk (Accessed: June 2026).</w:t>
      </w:r>
    </w:p>
    <w:p w14:paraId="35301957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Alzheimer's Society (2025)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Dementia, Diversity and Equality</w:t>
      </w:r>
      <w:r>
        <w:rPr>
          <w:rFonts w:ascii="Arial" w:eastAsia="Arial" w:hAnsi="Arial" w:cs="Arial"/>
          <w:color w:val="2A2A2A"/>
          <w:sz w:val="16"/>
          <w:szCs w:val="16"/>
        </w:rPr>
        <w:t>. London: Alzheimer's Society.</w:t>
      </w:r>
    </w:p>
    <w:p w14:paraId="1148FDD8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Atchley, R.C. (1989) 'A continuity theory of normal aging',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The Gerontologist</w:t>
      </w:r>
      <w:r>
        <w:rPr>
          <w:rFonts w:ascii="Arial" w:eastAsia="Arial" w:hAnsi="Arial" w:cs="Arial"/>
          <w:color w:val="2A2A2A"/>
          <w:sz w:val="16"/>
          <w:szCs w:val="16"/>
        </w:rPr>
        <w:t>, 29(2), pp. 183-190.</w:t>
      </w:r>
    </w:p>
    <w:p w14:paraId="383EF5C6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Brooker, D. (2004) 'What is person-centred care in dementia?',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Reviews in Clinical Gerontology</w:t>
      </w:r>
      <w:r>
        <w:rPr>
          <w:rFonts w:ascii="Arial" w:eastAsia="Arial" w:hAnsi="Arial" w:cs="Arial"/>
          <w:color w:val="2A2A2A"/>
          <w:sz w:val="16"/>
          <w:szCs w:val="16"/>
        </w:rPr>
        <w:t>, 13(3), pp. 215-222.</w:t>
      </w:r>
    </w:p>
    <w:p w14:paraId="62679082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i/>
          <w:iCs/>
          <w:color w:val="2A2A2A"/>
          <w:sz w:val="16"/>
          <w:szCs w:val="16"/>
        </w:rPr>
        <w:t>Care Act 2014</w:t>
      </w:r>
      <w:r>
        <w:rPr>
          <w:rFonts w:ascii="Arial" w:eastAsia="Arial" w:hAnsi="Arial" w:cs="Arial"/>
          <w:color w:val="2A2A2A"/>
          <w:sz w:val="16"/>
          <w:szCs w:val="16"/>
        </w:rPr>
        <w:t>. London: The Stationery Office.</w:t>
      </w:r>
    </w:p>
    <w:p w14:paraId="3A1FB46D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>Care Learning (2025) Equality Act 2010 and domiciliary care. Available at: https://www.carelearning.org.uk (Accessed: June 2026).</w:t>
      </w:r>
    </w:p>
    <w:p w14:paraId="6D599455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i/>
          <w:iCs/>
          <w:color w:val="2A2A2A"/>
          <w:sz w:val="16"/>
          <w:szCs w:val="16"/>
        </w:rPr>
        <w:t>Equality Act 2010</w:t>
      </w:r>
      <w:r>
        <w:rPr>
          <w:rFonts w:ascii="Arial" w:eastAsia="Arial" w:hAnsi="Arial" w:cs="Arial"/>
          <w:color w:val="2A2A2A"/>
          <w:sz w:val="16"/>
          <w:szCs w:val="16"/>
        </w:rPr>
        <w:t>. London: The Stationery Office.</w:t>
      </w:r>
    </w:p>
    <w:p w14:paraId="209C7FCF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Health Education England (2015)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Dementia Core Skills Education and Training Framework</w:t>
      </w:r>
      <w:r>
        <w:rPr>
          <w:rFonts w:ascii="Arial" w:eastAsia="Arial" w:hAnsi="Arial" w:cs="Arial"/>
          <w:color w:val="2A2A2A"/>
          <w:sz w:val="16"/>
          <w:szCs w:val="16"/>
        </w:rPr>
        <w:t>. London: HEE.</w:t>
      </w:r>
    </w:p>
    <w:p w14:paraId="2EDFF6A7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House of Lords Library (2024)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Dementia Care</w:t>
      </w:r>
      <w:r>
        <w:rPr>
          <w:rFonts w:ascii="Arial" w:eastAsia="Arial" w:hAnsi="Arial" w:cs="Arial"/>
          <w:color w:val="2A2A2A"/>
          <w:sz w:val="16"/>
          <w:szCs w:val="16"/>
        </w:rPr>
        <w:t>. London: UK Parliament.</w:t>
      </w:r>
    </w:p>
    <w:p w14:paraId="61061EF6" w14:textId="77777777" w:rsidR="005D0586" w:rsidRDefault="00000000" w:rsidP="002B4671">
      <w:pPr>
        <w:spacing w:after="52" w:line="360" w:lineRule="auto"/>
        <w:ind w:left="220" w:hanging="220"/>
      </w:pPr>
      <w:proofErr w:type="spellStart"/>
      <w:r>
        <w:rPr>
          <w:rFonts w:ascii="Arial" w:eastAsia="Arial" w:hAnsi="Arial" w:cs="Arial"/>
          <w:color w:val="2A2A2A"/>
          <w:sz w:val="16"/>
          <w:szCs w:val="16"/>
        </w:rPr>
        <w:t>Kitwood</w:t>
      </w:r>
      <w:proofErr w:type="spellEnd"/>
      <w:r>
        <w:rPr>
          <w:rFonts w:ascii="Arial" w:eastAsia="Arial" w:hAnsi="Arial" w:cs="Arial"/>
          <w:color w:val="2A2A2A"/>
          <w:sz w:val="16"/>
          <w:szCs w:val="16"/>
        </w:rPr>
        <w:t xml:space="preserve">, T. and Bredin, K. (1992) 'Towards a theory of dementia care: personhood and well-being',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Ageing &amp; Society</w:t>
      </w:r>
      <w:r>
        <w:rPr>
          <w:rFonts w:ascii="Arial" w:eastAsia="Arial" w:hAnsi="Arial" w:cs="Arial"/>
          <w:color w:val="2A2A2A"/>
          <w:sz w:val="16"/>
          <w:szCs w:val="16"/>
        </w:rPr>
        <w:t>, 12(3), pp. 269-287.</w:t>
      </w:r>
    </w:p>
    <w:p w14:paraId="42DEA958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Mitchell, G. and Agnelli, J. (2015) 'Person-centred care for people with dementia: </w:t>
      </w:r>
      <w:proofErr w:type="spellStart"/>
      <w:r>
        <w:rPr>
          <w:rFonts w:ascii="Arial" w:eastAsia="Arial" w:hAnsi="Arial" w:cs="Arial"/>
          <w:color w:val="2A2A2A"/>
          <w:sz w:val="16"/>
          <w:szCs w:val="16"/>
        </w:rPr>
        <w:t>Kitwood</w:t>
      </w:r>
      <w:proofErr w:type="spellEnd"/>
      <w:r>
        <w:rPr>
          <w:rFonts w:ascii="Arial" w:eastAsia="Arial" w:hAnsi="Arial" w:cs="Arial"/>
          <w:color w:val="2A2A2A"/>
          <w:sz w:val="16"/>
          <w:szCs w:val="16"/>
        </w:rPr>
        <w:t xml:space="preserve"> reconsidered',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Nursing Standard</w:t>
      </w:r>
      <w:r>
        <w:rPr>
          <w:rFonts w:ascii="Arial" w:eastAsia="Arial" w:hAnsi="Arial" w:cs="Arial"/>
          <w:color w:val="2A2A2A"/>
          <w:sz w:val="16"/>
          <w:szCs w:val="16"/>
        </w:rPr>
        <w:t>, 30(7), pp. 46-50.</w:t>
      </w:r>
    </w:p>
    <w:p w14:paraId="731376F9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National Institute for Health and Care Excellence (2018)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Dementia: assessment, management and support for people living with dementia and their carers (NG97)</w:t>
      </w:r>
      <w:r>
        <w:rPr>
          <w:rFonts w:ascii="Arial" w:eastAsia="Arial" w:hAnsi="Arial" w:cs="Arial"/>
          <w:color w:val="2A2A2A"/>
          <w:sz w:val="16"/>
          <w:szCs w:val="16"/>
        </w:rPr>
        <w:t>. London: NICE.</w:t>
      </w:r>
    </w:p>
    <w:p w14:paraId="4CC81EC6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>NHS England (2025) Dementia. Available at: https://www.england.nhs.uk/mental-health/dementia/ (Accessed: June 2026).</w:t>
      </w:r>
    </w:p>
    <w:p w14:paraId="3451768F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>NHS England (2025) The Wigan Deal: population health management case study. Available at: https://www.england.nhs.uk (Accessed: June 2026).</w:t>
      </w:r>
    </w:p>
    <w:p w14:paraId="343E239E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Office for National Statistics (2024)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Internet users, UK: 2024</w:t>
      </w:r>
      <w:r>
        <w:rPr>
          <w:rFonts w:ascii="Arial" w:eastAsia="Arial" w:hAnsi="Arial" w:cs="Arial"/>
          <w:color w:val="2A2A2A"/>
          <w:sz w:val="16"/>
          <w:szCs w:val="16"/>
        </w:rPr>
        <w:t>. Newport: ONS.</w:t>
      </w:r>
    </w:p>
    <w:p w14:paraId="4EE92BCE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NHS Digital (2024)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Adult Social Care Activity and Finance Report, England 2023-24</w:t>
      </w:r>
      <w:r>
        <w:rPr>
          <w:rFonts w:ascii="Arial" w:eastAsia="Arial" w:hAnsi="Arial" w:cs="Arial"/>
          <w:color w:val="2A2A2A"/>
          <w:sz w:val="16"/>
          <w:szCs w:val="16"/>
        </w:rPr>
        <w:t>. Leeds: NHS Digital.</w:t>
      </w:r>
    </w:p>
    <w:p w14:paraId="62425BA5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Skills for Care (2025)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The state of the adult social care sector and workforce in England</w:t>
      </w:r>
      <w:r>
        <w:rPr>
          <w:rFonts w:ascii="Arial" w:eastAsia="Arial" w:hAnsi="Arial" w:cs="Arial"/>
          <w:color w:val="2A2A2A"/>
          <w:sz w:val="16"/>
          <w:szCs w:val="16"/>
        </w:rPr>
        <w:t>. Leeds: Skills for Care.</w:t>
      </w:r>
    </w:p>
    <w:p w14:paraId="26C2B2AB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Tinker, A. et al. (2021) 'Supporting independence at home for people living with dementia: a qualitative ethnographic study of homecare',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BMC Geriatrics</w:t>
      </w:r>
      <w:r>
        <w:rPr>
          <w:rFonts w:ascii="Arial" w:eastAsia="Arial" w:hAnsi="Arial" w:cs="Arial"/>
          <w:color w:val="2A2A2A"/>
          <w:sz w:val="16"/>
          <w:szCs w:val="16"/>
        </w:rPr>
        <w:t>, 21, pp. 1-12.</w:t>
      </w:r>
    </w:p>
    <w:p w14:paraId="164D08EA" w14:textId="77777777" w:rsidR="005D0586" w:rsidRDefault="00000000" w:rsidP="002B4671">
      <w:pPr>
        <w:spacing w:after="52" w:line="360" w:lineRule="auto"/>
        <w:ind w:left="220" w:hanging="220"/>
      </w:pPr>
      <w:r>
        <w:rPr>
          <w:rFonts w:ascii="Arial" w:eastAsia="Arial" w:hAnsi="Arial" w:cs="Arial"/>
          <w:color w:val="2A2A2A"/>
          <w:sz w:val="16"/>
          <w:szCs w:val="16"/>
        </w:rPr>
        <w:t xml:space="preserve">Zhang, Y. et al. (2025) 'Study on the needs of older adults with dementia in care institutions based on a hierarchical interaction model', </w:t>
      </w:r>
      <w:r>
        <w:rPr>
          <w:rFonts w:ascii="Arial" w:eastAsia="Arial" w:hAnsi="Arial" w:cs="Arial"/>
          <w:i/>
          <w:iCs/>
          <w:color w:val="2A2A2A"/>
          <w:sz w:val="16"/>
          <w:szCs w:val="16"/>
        </w:rPr>
        <w:t>BMC Geriatrics</w:t>
      </w:r>
      <w:r>
        <w:rPr>
          <w:rFonts w:ascii="Arial" w:eastAsia="Arial" w:hAnsi="Arial" w:cs="Arial"/>
          <w:color w:val="2A2A2A"/>
          <w:sz w:val="16"/>
          <w:szCs w:val="16"/>
        </w:rPr>
        <w:t xml:space="preserve"> (PMC12479301).</w:t>
      </w:r>
    </w:p>
    <w:p w14:paraId="245BB4BA" w14:textId="3B3A85AB" w:rsidR="005D0586" w:rsidRDefault="005D0586">
      <w:pPr>
        <w:spacing w:before="300"/>
      </w:pPr>
    </w:p>
    <w:sectPr w:rsidR="005D0586">
      <w:pgSz w:w="11906" w:h="16838"/>
      <w:pgMar w:top="1000" w:right="1000" w:bottom="10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40206"/>
    <w:multiLevelType w:val="hybridMultilevel"/>
    <w:tmpl w:val="B5BECB3E"/>
    <w:lvl w:ilvl="0" w:tplc="9F98176E">
      <w:start w:val="1"/>
      <w:numFmt w:val="bullet"/>
      <w:lvlText w:val="●"/>
      <w:lvlJc w:val="left"/>
      <w:pPr>
        <w:ind w:left="720" w:hanging="360"/>
      </w:pPr>
    </w:lvl>
    <w:lvl w:ilvl="1" w:tplc="18B647A0">
      <w:start w:val="1"/>
      <w:numFmt w:val="bullet"/>
      <w:lvlText w:val="○"/>
      <w:lvlJc w:val="left"/>
      <w:pPr>
        <w:ind w:left="1440" w:hanging="360"/>
      </w:pPr>
    </w:lvl>
    <w:lvl w:ilvl="2" w:tplc="4F04C430">
      <w:start w:val="1"/>
      <w:numFmt w:val="bullet"/>
      <w:lvlText w:val="■"/>
      <w:lvlJc w:val="left"/>
      <w:pPr>
        <w:ind w:left="2160" w:hanging="360"/>
      </w:pPr>
    </w:lvl>
    <w:lvl w:ilvl="3" w:tplc="E54E6D1C">
      <w:start w:val="1"/>
      <w:numFmt w:val="bullet"/>
      <w:lvlText w:val="●"/>
      <w:lvlJc w:val="left"/>
      <w:pPr>
        <w:ind w:left="2880" w:hanging="360"/>
      </w:pPr>
    </w:lvl>
    <w:lvl w:ilvl="4" w:tplc="37F4178A">
      <w:start w:val="1"/>
      <w:numFmt w:val="bullet"/>
      <w:lvlText w:val="○"/>
      <w:lvlJc w:val="left"/>
      <w:pPr>
        <w:ind w:left="3600" w:hanging="360"/>
      </w:pPr>
    </w:lvl>
    <w:lvl w:ilvl="5" w:tplc="87764E84">
      <w:start w:val="1"/>
      <w:numFmt w:val="bullet"/>
      <w:lvlText w:val="■"/>
      <w:lvlJc w:val="left"/>
      <w:pPr>
        <w:ind w:left="4320" w:hanging="360"/>
      </w:pPr>
    </w:lvl>
    <w:lvl w:ilvl="6" w:tplc="99CEF0C6">
      <w:start w:val="1"/>
      <w:numFmt w:val="bullet"/>
      <w:lvlText w:val="●"/>
      <w:lvlJc w:val="left"/>
      <w:pPr>
        <w:ind w:left="5040" w:hanging="360"/>
      </w:pPr>
    </w:lvl>
    <w:lvl w:ilvl="7" w:tplc="784C9856">
      <w:start w:val="1"/>
      <w:numFmt w:val="bullet"/>
      <w:lvlText w:val="●"/>
      <w:lvlJc w:val="left"/>
      <w:pPr>
        <w:ind w:left="5760" w:hanging="360"/>
      </w:pPr>
    </w:lvl>
    <w:lvl w:ilvl="8" w:tplc="8CDC4B3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36922A0"/>
    <w:multiLevelType w:val="hybridMultilevel"/>
    <w:tmpl w:val="2646AAE8"/>
    <w:lvl w:ilvl="0" w:tplc="1FAA2D08">
      <w:start w:val="1"/>
      <w:numFmt w:val="bullet"/>
      <w:lvlText w:val="•"/>
      <w:lvlJc w:val="left"/>
      <w:pPr>
        <w:ind w:left="200" w:hanging="165"/>
      </w:pPr>
    </w:lvl>
    <w:lvl w:ilvl="1" w:tplc="D3B44602">
      <w:numFmt w:val="decimal"/>
      <w:lvlText w:val=""/>
      <w:lvlJc w:val="left"/>
    </w:lvl>
    <w:lvl w:ilvl="2" w:tplc="0BAAF40C">
      <w:numFmt w:val="decimal"/>
      <w:lvlText w:val=""/>
      <w:lvlJc w:val="left"/>
    </w:lvl>
    <w:lvl w:ilvl="3" w:tplc="24148C4C">
      <w:numFmt w:val="decimal"/>
      <w:lvlText w:val=""/>
      <w:lvlJc w:val="left"/>
    </w:lvl>
    <w:lvl w:ilvl="4" w:tplc="BEE61C56">
      <w:numFmt w:val="decimal"/>
      <w:lvlText w:val=""/>
      <w:lvlJc w:val="left"/>
    </w:lvl>
    <w:lvl w:ilvl="5" w:tplc="7F8E0F52">
      <w:numFmt w:val="decimal"/>
      <w:lvlText w:val=""/>
      <w:lvlJc w:val="left"/>
    </w:lvl>
    <w:lvl w:ilvl="6" w:tplc="FB2C51FE">
      <w:numFmt w:val="decimal"/>
      <w:lvlText w:val=""/>
      <w:lvlJc w:val="left"/>
    </w:lvl>
    <w:lvl w:ilvl="7" w:tplc="15049AB6">
      <w:numFmt w:val="decimal"/>
      <w:lvlText w:val=""/>
      <w:lvlJc w:val="left"/>
    </w:lvl>
    <w:lvl w:ilvl="8" w:tplc="B52E2274">
      <w:numFmt w:val="decimal"/>
      <w:lvlText w:val=""/>
      <w:lvlJc w:val="left"/>
    </w:lvl>
  </w:abstractNum>
  <w:num w:numId="1" w16cid:durableId="1029337742">
    <w:abstractNumId w:val="0"/>
    <w:lvlOverride w:ilvl="0">
      <w:startOverride w:val="1"/>
    </w:lvlOverride>
  </w:num>
  <w:num w:numId="2" w16cid:durableId="42757726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586"/>
    <w:rsid w:val="002B4671"/>
    <w:rsid w:val="00321E9F"/>
    <w:rsid w:val="004C24DE"/>
    <w:rsid w:val="005D0586"/>
    <w:rsid w:val="007A6A56"/>
    <w:rsid w:val="008C5538"/>
    <w:rsid w:val="00911BAA"/>
    <w:rsid w:val="00C70AFA"/>
    <w:rsid w:val="00C7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78C22"/>
  <w15:docId w15:val="{BD13AA7C-EBE3-43E7-A67B-4E2583EC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Deise Cardoso</cp:lastModifiedBy>
  <cp:revision>8</cp:revision>
  <dcterms:created xsi:type="dcterms:W3CDTF">2026-07-16T13:57:00Z</dcterms:created>
  <dcterms:modified xsi:type="dcterms:W3CDTF">2026-07-16T19:57:00Z</dcterms:modified>
</cp:coreProperties>
</file>