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50A39" w:rsidRPr="00150A39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b/>
          <w:bCs/>
          <w:sz w:val="22"/>
          <w:szCs w:val="22"/>
          <w:u w:val="single"/>
          <w:shd w:val="clear" w:color="auto" w:fill="FFFFFF"/>
        </w:rPr>
      </w:pPr>
      <w:r w:rsidRPr="00150A39">
        <w:rPr>
          <w:rFonts w:asciiTheme="minorHAnsi" w:hAnsiTheme="minorHAnsi" w:cstheme="minorHAnsi"/>
          <w:b/>
          <w:bCs/>
          <w:sz w:val="22"/>
          <w:szCs w:val="22"/>
          <w:u w:val="single"/>
          <w:shd w:val="clear" w:color="auto" w:fill="FFFFFF"/>
        </w:rPr>
        <w:t>References Poster</w:t>
      </w:r>
      <w:r>
        <w:rPr>
          <w:rFonts w:asciiTheme="minorHAnsi" w:hAnsiTheme="minorHAnsi" w:cstheme="minorHAnsi"/>
          <w:b/>
          <w:bCs/>
          <w:sz w:val="22"/>
          <w:szCs w:val="22"/>
          <w:u w:val="single"/>
          <w:shd w:val="clear" w:color="auto" w:fill="FFFFFF"/>
        </w:rPr>
        <w:t>:</w:t>
      </w:r>
      <w:r w:rsidRPr="00150A39">
        <w:rPr>
          <w:rFonts w:asciiTheme="minorHAnsi" w:hAnsiTheme="minorHAnsi" w:cstheme="minorHAnsi"/>
          <w:b/>
          <w:bCs/>
          <w:sz w:val="22"/>
          <w:szCs w:val="22"/>
          <w:u w:val="single"/>
          <w:shd w:val="clear" w:color="auto" w:fill="FFFFFF"/>
        </w:rPr>
        <w:t xml:space="preserve"> </w:t>
      </w:r>
      <w:bookmarkStart w:id="0" w:name="_GoBack"/>
      <w:bookmarkEnd w:id="0"/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proofErr w:type="spellStart"/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>Ainscow</w:t>
      </w:r>
      <w:proofErr w:type="spellEnd"/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>, M., 2011. Some lessons from international efforts to foster inclusive education.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Alexander, R., 2010. Children, their world, their education. </w:t>
      </w:r>
      <w:r w:rsidRPr="00407C0E">
        <w:rPr>
          <w:rFonts w:cstheme="minorHAnsi"/>
          <w:i/>
          <w:iCs/>
        </w:rPr>
        <w:t>Final report and recommendations of the Cambridge Primary Review</w:t>
      </w:r>
      <w:r w:rsidRPr="00407C0E">
        <w:rPr>
          <w:rFonts w:cstheme="minorHAnsi"/>
          <w:shd w:val="clear" w:color="auto" w:fill="FFFFFF"/>
        </w:rPr>
        <w:t>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bookmarkStart w:id="1" w:name="_Hlk27664696"/>
      <w:r w:rsidRPr="00407C0E">
        <w:rPr>
          <w:rFonts w:cstheme="minorHAnsi"/>
          <w:shd w:val="clear" w:color="auto" w:fill="FFFFFF"/>
        </w:rPr>
        <w:t xml:space="preserve">Assessment Reform Group </w:t>
      </w:r>
      <w:r w:rsidRPr="00407C0E">
        <w:rPr>
          <w:rStyle w:val="nlmyear"/>
          <w:rFonts w:cstheme="minorHAnsi"/>
        </w:rPr>
        <w:t>2002</w:t>
      </w:r>
      <w:r w:rsidRPr="00407C0E">
        <w:rPr>
          <w:rFonts w:cstheme="minorHAnsi"/>
          <w:shd w:val="clear" w:color="auto" w:fill="FFFFFF"/>
        </w:rPr>
        <w:t xml:space="preserve"> </w:t>
      </w:r>
      <w:r w:rsidRPr="00407C0E">
        <w:rPr>
          <w:rFonts w:cstheme="minorHAnsi"/>
          <w:i/>
          <w:iCs/>
        </w:rPr>
        <w:t>Assessment for learning: 10 principles</w:t>
      </w:r>
      <w:r w:rsidRPr="00407C0E">
        <w:rPr>
          <w:rFonts w:cstheme="minorHAnsi"/>
          <w:shd w:val="clear" w:color="auto" w:fill="FFFFFF"/>
        </w:rPr>
        <w:t xml:space="preserve"> London </w:t>
      </w:r>
      <w:r w:rsidRPr="00407C0E">
        <w:rPr>
          <w:rFonts w:cstheme="minorHAnsi"/>
          <w:i/>
          <w:iCs/>
        </w:rPr>
        <w:t>Assessment Reform Group</w:t>
      </w:r>
      <w:r w:rsidRPr="00407C0E">
        <w:rPr>
          <w:rFonts w:cstheme="minorHAnsi"/>
          <w:shd w:val="clear" w:color="auto" w:fill="FFFFFF"/>
        </w:rPr>
        <w:t xml:space="preserve">  </w:t>
      </w:r>
    </w:p>
    <w:bookmarkEnd w:id="1"/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Barnes, B., 2013. </w:t>
      </w:r>
      <w:r w:rsidRPr="00407C0E">
        <w:rPr>
          <w:rFonts w:asciiTheme="minorHAnsi" w:hAnsiTheme="minorHAnsi" w:cstheme="minorHAnsi"/>
          <w:i/>
          <w:iCs/>
          <w:sz w:val="22"/>
          <w:szCs w:val="22"/>
        </w:rPr>
        <w:t>Scientific knowledge and sociological theory</w:t>
      </w: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>. Routledge.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Barnes, J. and Shirley, I., 2007. Strangely familiar: cross-curricular and creative thinking in teacher education. </w:t>
      </w:r>
      <w:r w:rsidRPr="00407C0E">
        <w:rPr>
          <w:rFonts w:cstheme="minorHAnsi"/>
          <w:i/>
          <w:iCs/>
        </w:rPr>
        <w:t>Improving Schools</w:t>
      </w:r>
      <w:r w:rsidRPr="00407C0E">
        <w:rPr>
          <w:rFonts w:cstheme="minorHAnsi"/>
          <w:shd w:val="clear" w:color="auto" w:fill="FFFFFF"/>
        </w:rPr>
        <w:t xml:space="preserve">, </w:t>
      </w:r>
      <w:r w:rsidRPr="00407C0E">
        <w:rPr>
          <w:rFonts w:cstheme="minorHAnsi"/>
          <w:i/>
          <w:iCs/>
        </w:rPr>
        <w:t>10</w:t>
      </w:r>
      <w:r w:rsidRPr="00407C0E">
        <w:rPr>
          <w:rFonts w:cstheme="minorHAnsi"/>
          <w:shd w:val="clear" w:color="auto" w:fill="FFFFFF"/>
        </w:rPr>
        <w:t>(2), pp.162-179.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Barnes, J., 2007. </w:t>
      </w:r>
      <w:r w:rsidRPr="00407C0E">
        <w:rPr>
          <w:rFonts w:asciiTheme="minorHAnsi" w:hAnsiTheme="minorHAnsi" w:cstheme="minorHAnsi"/>
          <w:i/>
          <w:iCs/>
          <w:sz w:val="22"/>
          <w:szCs w:val="22"/>
        </w:rPr>
        <w:t>Cross-curricular learning 3-14</w:t>
      </w: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>. Sage.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Barnes, J., 2015. </w:t>
      </w:r>
      <w:r w:rsidRPr="00407C0E">
        <w:rPr>
          <w:rFonts w:asciiTheme="minorHAnsi" w:hAnsiTheme="minorHAnsi" w:cstheme="minorHAnsi"/>
          <w:i/>
          <w:iCs/>
          <w:sz w:val="22"/>
          <w:szCs w:val="22"/>
        </w:rPr>
        <w:t>Cross-curricular learning 3-14</w:t>
      </w: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>. Sage.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Barnes, J., 2015. </w:t>
      </w:r>
      <w:r w:rsidRPr="00407C0E">
        <w:rPr>
          <w:rFonts w:cstheme="minorHAnsi"/>
          <w:i/>
          <w:iCs/>
        </w:rPr>
        <w:t>Cross-curricular learning 3-14</w:t>
      </w:r>
      <w:r w:rsidRPr="00407C0E">
        <w:rPr>
          <w:rFonts w:cstheme="minorHAnsi"/>
          <w:shd w:val="clear" w:color="auto" w:fill="FFFFFF"/>
        </w:rPr>
        <w:t>. Sage.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Bechara, A., Damasio, H., </w:t>
      </w:r>
      <w:proofErr w:type="spellStart"/>
      <w:r w:rsidRPr="00407C0E">
        <w:rPr>
          <w:rFonts w:cstheme="minorHAnsi"/>
          <w:shd w:val="clear" w:color="auto" w:fill="FFFFFF"/>
        </w:rPr>
        <w:t>Tranel</w:t>
      </w:r>
      <w:proofErr w:type="spellEnd"/>
      <w:r w:rsidRPr="00407C0E">
        <w:rPr>
          <w:rFonts w:cstheme="minorHAnsi"/>
          <w:shd w:val="clear" w:color="auto" w:fill="FFFFFF"/>
        </w:rPr>
        <w:t xml:space="preserve">, D. and Damasio, A.R., 1997. Deciding advantageously before knowing the advantageous strategy. </w:t>
      </w:r>
      <w:r w:rsidRPr="00407C0E">
        <w:rPr>
          <w:rFonts w:cstheme="minorHAnsi"/>
          <w:i/>
          <w:iCs/>
        </w:rPr>
        <w:t>Science</w:t>
      </w:r>
      <w:r w:rsidRPr="00407C0E">
        <w:rPr>
          <w:rFonts w:cstheme="minorHAnsi"/>
          <w:shd w:val="clear" w:color="auto" w:fill="FFFFFF"/>
        </w:rPr>
        <w:t xml:space="preserve">, </w:t>
      </w:r>
      <w:r w:rsidRPr="00407C0E">
        <w:rPr>
          <w:rFonts w:cstheme="minorHAnsi"/>
          <w:i/>
          <w:iCs/>
        </w:rPr>
        <w:t>275</w:t>
      </w:r>
      <w:r w:rsidRPr="00407C0E">
        <w:rPr>
          <w:rFonts w:cstheme="minorHAnsi"/>
          <w:shd w:val="clear" w:color="auto" w:fill="FFFFFF"/>
        </w:rPr>
        <w:t>(5304), pp.1293-1295.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Booth, S. and </w:t>
      </w:r>
      <w:proofErr w:type="spellStart"/>
      <w:r w:rsidRPr="00407C0E">
        <w:rPr>
          <w:rFonts w:cstheme="minorHAnsi"/>
          <w:shd w:val="clear" w:color="auto" w:fill="FFFFFF"/>
        </w:rPr>
        <w:t>Marton</w:t>
      </w:r>
      <w:proofErr w:type="spellEnd"/>
      <w:r w:rsidRPr="00407C0E">
        <w:rPr>
          <w:rFonts w:cstheme="minorHAnsi"/>
          <w:shd w:val="clear" w:color="auto" w:fill="FFFFFF"/>
        </w:rPr>
        <w:t xml:space="preserve">, F., 1997. Learning and awareness. </w:t>
      </w:r>
      <w:r w:rsidRPr="00407C0E">
        <w:rPr>
          <w:rFonts w:cstheme="minorHAnsi"/>
          <w:i/>
          <w:iCs/>
        </w:rPr>
        <w:t xml:space="preserve">Mahwah: Lawrence </w:t>
      </w:r>
      <w:proofErr w:type="spellStart"/>
      <w:r w:rsidRPr="00407C0E">
        <w:rPr>
          <w:rFonts w:cstheme="minorHAnsi"/>
          <w:i/>
          <w:iCs/>
        </w:rPr>
        <w:t>Earlbaum</w:t>
      </w:r>
      <w:proofErr w:type="spellEnd"/>
      <w:r w:rsidRPr="00407C0E">
        <w:rPr>
          <w:rFonts w:cstheme="minorHAnsi"/>
          <w:shd w:val="clear" w:color="auto" w:fill="FFFFFF"/>
        </w:rPr>
        <w:t>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Bruner, J.S., 1996. </w:t>
      </w:r>
      <w:r w:rsidRPr="00407C0E">
        <w:rPr>
          <w:rFonts w:cstheme="minorHAnsi"/>
          <w:i/>
          <w:iCs/>
        </w:rPr>
        <w:t xml:space="preserve">The </w:t>
      </w:r>
      <w:r w:rsidRPr="00407C0E">
        <w:rPr>
          <w:rFonts w:cstheme="minorHAnsi"/>
        </w:rPr>
        <w:t>culture</w:t>
      </w:r>
      <w:r w:rsidRPr="00407C0E">
        <w:rPr>
          <w:rFonts w:cstheme="minorHAnsi"/>
          <w:i/>
          <w:iCs/>
        </w:rPr>
        <w:t xml:space="preserve"> of education</w:t>
      </w:r>
      <w:r w:rsidRPr="00407C0E">
        <w:rPr>
          <w:rFonts w:cstheme="minorHAnsi"/>
          <w:shd w:val="clear" w:color="auto" w:fill="FFFFFF"/>
        </w:rPr>
        <w:t>. Harvard University Press.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proofErr w:type="spellStart"/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>Cefai</w:t>
      </w:r>
      <w:proofErr w:type="spellEnd"/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, C., 2008. </w:t>
      </w:r>
      <w:r w:rsidRPr="00407C0E">
        <w:rPr>
          <w:rFonts w:asciiTheme="minorHAnsi" w:hAnsiTheme="minorHAnsi" w:cstheme="minorHAnsi"/>
          <w:i/>
          <w:iCs/>
          <w:sz w:val="22"/>
          <w:szCs w:val="22"/>
        </w:rPr>
        <w:t>Promoting resilience in the classroom: a guide to developing pupils' emotional and cognitive skills</w:t>
      </w: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>. Jessica Kingsley Publishers.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lastRenderedPageBreak/>
        <w:t xml:space="preserve">Christodoulou, D., 2017. </w:t>
      </w:r>
      <w:r w:rsidRPr="00407C0E">
        <w:rPr>
          <w:rFonts w:cstheme="minorHAnsi"/>
          <w:i/>
          <w:iCs/>
        </w:rPr>
        <w:t>Making good progress?: The future of Assessment for Learning</w:t>
      </w:r>
      <w:r w:rsidRPr="00407C0E">
        <w:rPr>
          <w:rFonts w:cstheme="minorHAnsi"/>
          <w:shd w:val="clear" w:color="auto" w:fill="FFFFFF"/>
        </w:rPr>
        <w:t>. OUP Oxford.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Christodoulou, D., 2017. </w:t>
      </w:r>
      <w:r w:rsidRPr="00407C0E">
        <w:rPr>
          <w:rFonts w:cstheme="minorHAnsi"/>
          <w:i/>
          <w:iCs/>
        </w:rPr>
        <w:t>Making good progress?: The future of Assessment for Learning</w:t>
      </w:r>
      <w:r w:rsidRPr="00407C0E">
        <w:rPr>
          <w:rFonts w:cstheme="minorHAnsi"/>
          <w:shd w:val="clear" w:color="auto" w:fill="FFFFFF"/>
        </w:rPr>
        <w:t>. OUP Oxford.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pacing w:val="2"/>
          <w:sz w:val="22"/>
          <w:szCs w:val="22"/>
        </w:rPr>
      </w:pPr>
      <w:r w:rsidRPr="00407C0E">
        <w:rPr>
          <w:rFonts w:asciiTheme="minorHAnsi" w:hAnsiTheme="minorHAnsi" w:cstheme="minorHAnsi"/>
          <w:spacing w:val="2"/>
          <w:sz w:val="22"/>
          <w:szCs w:val="22"/>
        </w:rPr>
        <w:t>CIDREE (2005). Cross-curricular Themes in Secondary Education: Report of a CIDREE collaborative project. Sint-</w:t>
      </w:r>
      <w:proofErr w:type="spellStart"/>
      <w:r w:rsidRPr="00407C0E">
        <w:rPr>
          <w:rFonts w:asciiTheme="minorHAnsi" w:hAnsiTheme="minorHAnsi" w:cstheme="minorHAnsi"/>
          <w:spacing w:val="2"/>
          <w:sz w:val="22"/>
          <w:szCs w:val="22"/>
        </w:rPr>
        <w:t>Katelijne</w:t>
      </w:r>
      <w:proofErr w:type="spellEnd"/>
      <w:r w:rsidRPr="00407C0E">
        <w:rPr>
          <w:rFonts w:asciiTheme="minorHAnsi" w:hAnsiTheme="minorHAnsi" w:cstheme="minorHAnsi"/>
          <w:spacing w:val="2"/>
          <w:sz w:val="22"/>
          <w:szCs w:val="22"/>
        </w:rPr>
        <w:t xml:space="preserve">-Waver (Belgium), CIDREE. Also available from www.cidree.be/uploads/documentenbank/4854365076a88c8ba93cbebe04fd9196.pdf [last accessed 20/7/09].  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Collins, A., Brown, J.S., Newman, S.E. and Resnick, L.B., 1989. Knowing, learning, and instruction: Essays in </w:t>
      </w:r>
      <w:proofErr w:type="spellStart"/>
      <w:r w:rsidRPr="00407C0E">
        <w:rPr>
          <w:rFonts w:cstheme="minorHAnsi"/>
          <w:shd w:val="clear" w:color="auto" w:fill="FFFFFF"/>
        </w:rPr>
        <w:t>honor</w:t>
      </w:r>
      <w:proofErr w:type="spellEnd"/>
      <w:r w:rsidRPr="00407C0E">
        <w:rPr>
          <w:rFonts w:cstheme="minorHAnsi"/>
          <w:shd w:val="clear" w:color="auto" w:fill="FFFFFF"/>
        </w:rPr>
        <w:t xml:space="preserve"> of Robert Glaser. </w:t>
      </w:r>
      <w:r w:rsidRPr="00407C0E">
        <w:rPr>
          <w:rFonts w:cstheme="minorHAnsi"/>
          <w:i/>
          <w:iCs/>
        </w:rPr>
        <w:t>Cognitive apprenticeship: Teaching the craft of reading, writing, and mathematics</w:t>
      </w:r>
      <w:r w:rsidRPr="00407C0E">
        <w:rPr>
          <w:rFonts w:cstheme="minorHAnsi"/>
          <w:shd w:val="clear" w:color="auto" w:fill="FFFFFF"/>
        </w:rPr>
        <w:t>, pp.453-494.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Cope, A. and Whittaker, A., 2012. </w:t>
      </w:r>
      <w:r w:rsidRPr="00407C0E">
        <w:rPr>
          <w:rFonts w:cstheme="minorHAnsi"/>
          <w:i/>
          <w:iCs/>
        </w:rPr>
        <w:t>The Art of Being Brilliant: Transform Your Life by Doing what Works for You</w:t>
      </w:r>
      <w:r w:rsidRPr="00407C0E">
        <w:rPr>
          <w:rFonts w:cstheme="minorHAnsi"/>
          <w:shd w:val="clear" w:color="auto" w:fill="FFFFFF"/>
        </w:rPr>
        <w:t>. John Wiley &amp; Sons.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Csikszentmihalyi, M., 1997. </w:t>
      </w:r>
      <w:r w:rsidRPr="00407C0E">
        <w:rPr>
          <w:rFonts w:cstheme="minorHAnsi"/>
          <w:i/>
          <w:iCs/>
        </w:rPr>
        <w:t>Finding flow: The psychology of engagement with everyday life</w:t>
      </w:r>
      <w:r w:rsidRPr="00407C0E">
        <w:rPr>
          <w:rFonts w:cstheme="minorHAnsi"/>
          <w:shd w:val="clear" w:color="auto" w:fill="FFFFFF"/>
        </w:rPr>
        <w:t>. Basic Books.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Davis, W.E., Kelley, N.J., Kim, J., Tang, D. and Hicks, J.A., 2016. Motivating the academic mind: High-level construal of academic goals enhances goal meaningfulness, motivation, and self-concordance. </w:t>
      </w:r>
      <w:r w:rsidRPr="00407C0E">
        <w:rPr>
          <w:rFonts w:cstheme="minorHAnsi"/>
          <w:i/>
          <w:iCs/>
        </w:rPr>
        <w:t>Motivation and Emotion</w:t>
      </w:r>
      <w:r w:rsidRPr="00407C0E">
        <w:rPr>
          <w:rFonts w:cstheme="minorHAnsi"/>
          <w:shd w:val="clear" w:color="auto" w:fill="FFFFFF"/>
        </w:rPr>
        <w:t xml:space="preserve">, </w:t>
      </w:r>
      <w:r w:rsidRPr="00407C0E">
        <w:rPr>
          <w:rFonts w:cstheme="minorHAnsi"/>
          <w:i/>
          <w:iCs/>
        </w:rPr>
        <w:t>40</w:t>
      </w:r>
      <w:r w:rsidRPr="00407C0E">
        <w:rPr>
          <w:rFonts w:cstheme="minorHAnsi"/>
          <w:shd w:val="clear" w:color="auto" w:fill="FFFFFF"/>
        </w:rPr>
        <w:t>(2), pp.193-202.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</w:rPr>
      </w:pPr>
      <w:r w:rsidRPr="00407C0E">
        <w:rPr>
          <w:rFonts w:cstheme="minorHAnsi"/>
        </w:rPr>
        <w:t xml:space="preserve">DCFS 2005, ‘Harnessing technology’ </w:t>
      </w:r>
      <w:hyperlink r:id="rId4" w:history="1">
        <w:r w:rsidRPr="00407C0E">
          <w:rPr>
            <w:rStyle w:val="Hyperlink"/>
            <w:rFonts w:cstheme="minorHAnsi"/>
            <w:color w:val="auto"/>
            <w:u w:val="none"/>
          </w:rPr>
          <w:t>http://www.dcsf.gov.uk/publications/e-strategy/</w:t>
        </w:r>
      </w:hyperlink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proofErr w:type="spellStart"/>
      <w:r w:rsidRPr="00407C0E">
        <w:rPr>
          <w:rFonts w:cstheme="minorHAnsi"/>
          <w:shd w:val="clear" w:color="auto" w:fill="FFFFFF"/>
        </w:rPr>
        <w:t>DfEE</w:t>
      </w:r>
      <w:proofErr w:type="spellEnd"/>
      <w:r w:rsidRPr="00407C0E">
        <w:rPr>
          <w:rFonts w:cstheme="minorHAnsi"/>
          <w:shd w:val="clear" w:color="auto" w:fill="FFFFFF"/>
        </w:rPr>
        <w:t>, Q.C.A., 1999. Design and Technology: The National Curriculum for England.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proofErr w:type="spellStart"/>
      <w:r w:rsidRPr="00407C0E">
        <w:rPr>
          <w:rFonts w:cstheme="minorHAnsi"/>
          <w:shd w:val="clear" w:color="auto" w:fill="FFFFFF"/>
        </w:rPr>
        <w:t>Didau</w:t>
      </w:r>
      <w:proofErr w:type="spellEnd"/>
      <w:r w:rsidRPr="00407C0E">
        <w:rPr>
          <w:rFonts w:cstheme="minorHAnsi"/>
          <w:shd w:val="clear" w:color="auto" w:fill="FFFFFF"/>
        </w:rPr>
        <w:t xml:space="preserve">, D. and Rose, N., 2016. </w:t>
      </w:r>
      <w:r w:rsidRPr="00407C0E">
        <w:rPr>
          <w:rFonts w:cstheme="minorHAnsi"/>
          <w:i/>
          <w:iCs/>
        </w:rPr>
        <w:t>What Every Teacher Needs to Know about... Psychology</w:t>
      </w:r>
      <w:r w:rsidRPr="00407C0E">
        <w:rPr>
          <w:rFonts w:cstheme="minorHAnsi"/>
          <w:shd w:val="clear" w:color="auto" w:fill="FFFFFF"/>
        </w:rPr>
        <w:t>. John Catt Educational Limited.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lastRenderedPageBreak/>
        <w:t>Dweck, C.S., 2014. Mindsets and math/science achievement.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Entwistle, N., 2000, June. Promoting deep learning through teaching and assessment. In </w:t>
      </w:r>
      <w:r w:rsidRPr="00407C0E">
        <w:rPr>
          <w:rFonts w:cstheme="minorHAnsi"/>
          <w:i/>
          <w:iCs/>
        </w:rPr>
        <w:t>Assessment to Promote Deep Learning: Insights from AAHF’s 2000 and 1999 Assessment Conferences</w:t>
      </w:r>
      <w:r w:rsidRPr="00407C0E">
        <w:rPr>
          <w:rFonts w:cstheme="minorHAnsi"/>
          <w:shd w:val="clear" w:color="auto" w:fill="FFFFFF"/>
        </w:rPr>
        <w:t xml:space="preserve"> (pp. 9-20).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color w:val="232323"/>
          <w:spacing w:val="2"/>
          <w:sz w:val="22"/>
          <w:szCs w:val="22"/>
        </w:rPr>
      </w:pPr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Estyn (2016). </w:t>
      </w:r>
      <w:r w:rsidRPr="00407C0E">
        <w:rPr>
          <w:rFonts w:asciiTheme="minorHAnsi" w:hAnsiTheme="minorHAnsi" w:cstheme="minorHAnsi"/>
          <w:i/>
          <w:iCs/>
          <w:color w:val="000000"/>
          <w:sz w:val="22"/>
          <w:szCs w:val="22"/>
        </w:rPr>
        <w:t>Cross-curricular themes that develop pupils’ key skills</w:t>
      </w:r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. Cardiff: Estyn.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Fisher, A., 2008. Teaching comprehension and critical literacy: Investigating guided reading in three primary classrooms. </w:t>
      </w:r>
      <w:r w:rsidRPr="00407C0E">
        <w:rPr>
          <w:rFonts w:cstheme="minorHAnsi"/>
          <w:i/>
          <w:iCs/>
        </w:rPr>
        <w:t>Literacy</w:t>
      </w:r>
      <w:r w:rsidRPr="00407C0E">
        <w:rPr>
          <w:rFonts w:cstheme="minorHAnsi"/>
          <w:shd w:val="clear" w:color="auto" w:fill="FFFFFF"/>
        </w:rPr>
        <w:t xml:space="preserve">, </w:t>
      </w:r>
      <w:r w:rsidRPr="00407C0E">
        <w:rPr>
          <w:rFonts w:cstheme="minorHAnsi"/>
          <w:i/>
          <w:iCs/>
        </w:rPr>
        <w:t>42</w:t>
      </w:r>
      <w:r w:rsidRPr="00407C0E">
        <w:rPr>
          <w:rFonts w:cstheme="minorHAnsi"/>
          <w:shd w:val="clear" w:color="auto" w:fill="FFFFFF"/>
        </w:rPr>
        <w:t>(1), pp.19-28.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Florian, L., 2008. Inclusion: special or inclusive education: future trends. </w:t>
      </w:r>
      <w:r w:rsidRPr="00407C0E">
        <w:rPr>
          <w:rFonts w:cstheme="minorHAnsi"/>
          <w:i/>
          <w:iCs/>
        </w:rPr>
        <w:t>British Journal of Special Education</w:t>
      </w:r>
      <w:r w:rsidRPr="00407C0E">
        <w:rPr>
          <w:rFonts w:cstheme="minorHAnsi"/>
          <w:shd w:val="clear" w:color="auto" w:fill="FFFFFF"/>
        </w:rPr>
        <w:t xml:space="preserve">, </w:t>
      </w:r>
      <w:r w:rsidRPr="00407C0E">
        <w:rPr>
          <w:rFonts w:cstheme="minorHAnsi"/>
          <w:i/>
          <w:iCs/>
        </w:rPr>
        <w:t>35</w:t>
      </w:r>
      <w:r w:rsidRPr="00407C0E">
        <w:rPr>
          <w:rFonts w:cstheme="minorHAnsi"/>
          <w:shd w:val="clear" w:color="auto" w:fill="FFFFFF"/>
        </w:rPr>
        <w:t>(4), pp.202-208.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Fredrickson, B., 2009. </w:t>
      </w:r>
      <w:r w:rsidRPr="00407C0E">
        <w:rPr>
          <w:rFonts w:cstheme="minorHAnsi"/>
          <w:i/>
          <w:iCs/>
        </w:rPr>
        <w:t>Positivity</w:t>
      </w:r>
      <w:r w:rsidRPr="00407C0E">
        <w:rPr>
          <w:rFonts w:cstheme="minorHAnsi"/>
          <w:shd w:val="clear" w:color="auto" w:fill="FFFFFF"/>
        </w:rPr>
        <w:t>. Harmony.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</w:rPr>
      </w:pPr>
      <w:r w:rsidRPr="00407C0E">
        <w:rPr>
          <w:rFonts w:cstheme="minorHAnsi"/>
        </w:rPr>
        <w:t xml:space="preserve">Gardner, H. (1983) Frames of Mind. New York: Basic Books. 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</w:rPr>
      </w:pPr>
      <w:r w:rsidRPr="00407C0E">
        <w:rPr>
          <w:rFonts w:cstheme="minorHAnsi"/>
        </w:rPr>
        <w:t xml:space="preserve">Gardner, H. (1999) Intelligence Reframed. New York: Basic Books, p.p. 33-44, 55-56, 59-73. 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Gardner, H.E., 2000. </w:t>
      </w:r>
      <w:r w:rsidRPr="00407C0E">
        <w:rPr>
          <w:rFonts w:asciiTheme="minorHAnsi" w:hAnsiTheme="minorHAnsi" w:cstheme="minorHAnsi"/>
          <w:i/>
          <w:iCs/>
          <w:sz w:val="22"/>
          <w:szCs w:val="22"/>
        </w:rPr>
        <w:t>Intelligence reframed: Multiple intelligences for the 21st century</w:t>
      </w: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>. Hachette UK.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Goodman, A. and Gregg, P. eds., 2010. </w:t>
      </w:r>
      <w:r w:rsidRPr="00407C0E">
        <w:rPr>
          <w:rFonts w:cstheme="minorHAnsi"/>
          <w:i/>
          <w:iCs/>
        </w:rPr>
        <w:t>Poorer children's educational attainment: How important are attitudes and behaviour?</w:t>
      </w:r>
      <w:r w:rsidRPr="00407C0E">
        <w:rPr>
          <w:rFonts w:cstheme="minorHAnsi"/>
          <w:shd w:val="clear" w:color="auto" w:fill="FFFFFF"/>
        </w:rPr>
        <w:t xml:space="preserve"> (p. 6). York: Joseph Rowntree Foundation.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Hirsch Jr, E.D., </w:t>
      </w:r>
      <w:proofErr w:type="spellStart"/>
      <w:r w:rsidRPr="00407C0E">
        <w:rPr>
          <w:rFonts w:cstheme="minorHAnsi"/>
          <w:shd w:val="clear" w:color="auto" w:fill="FFFFFF"/>
        </w:rPr>
        <w:t>Kett</w:t>
      </w:r>
      <w:proofErr w:type="spellEnd"/>
      <w:r w:rsidRPr="00407C0E">
        <w:rPr>
          <w:rFonts w:cstheme="minorHAnsi"/>
          <w:shd w:val="clear" w:color="auto" w:fill="FFFFFF"/>
        </w:rPr>
        <w:t xml:space="preserve">, J.F. and </w:t>
      </w:r>
      <w:proofErr w:type="spellStart"/>
      <w:r w:rsidRPr="00407C0E">
        <w:rPr>
          <w:rFonts w:cstheme="minorHAnsi"/>
          <w:shd w:val="clear" w:color="auto" w:fill="FFFFFF"/>
        </w:rPr>
        <w:t>Trefil</w:t>
      </w:r>
      <w:proofErr w:type="spellEnd"/>
      <w:r w:rsidRPr="00407C0E">
        <w:rPr>
          <w:rFonts w:cstheme="minorHAnsi"/>
          <w:shd w:val="clear" w:color="auto" w:fill="FFFFFF"/>
        </w:rPr>
        <w:t xml:space="preserve">, J.S., 1988. </w:t>
      </w:r>
      <w:r w:rsidRPr="00407C0E">
        <w:rPr>
          <w:rFonts w:cstheme="minorHAnsi"/>
          <w:i/>
          <w:iCs/>
        </w:rPr>
        <w:t>Cultural literacy: What every American needs to know</w:t>
      </w:r>
      <w:r w:rsidRPr="00407C0E">
        <w:rPr>
          <w:rFonts w:cstheme="minorHAnsi"/>
          <w:shd w:val="clear" w:color="auto" w:fill="FFFFFF"/>
        </w:rPr>
        <w:t>. Vintage.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proofErr w:type="spellStart"/>
      <w:r w:rsidRPr="00407C0E">
        <w:rPr>
          <w:rFonts w:cstheme="minorHAnsi"/>
          <w:shd w:val="clear" w:color="auto" w:fill="FFFFFF"/>
        </w:rPr>
        <w:t>Immordino</w:t>
      </w:r>
      <w:proofErr w:type="spellEnd"/>
      <w:r w:rsidRPr="00407C0E">
        <w:rPr>
          <w:rFonts w:cstheme="minorHAnsi"/>
          <w:shd w:val="clear" w:color="auto" w:fill="FFFFFF"/>
        </w:rPr>
        <w:t xml:space="preserve">‐Yang, M.H. and Damasio, A., 2007. We feel, therefore we learn: The relevance of affective and social neuroscience to education. </w:t>
      </w:r>
      <w:r w:rsidRPr="00407C0E">
        <w:rPr>
          <w:rFonts w:cstheme="minorHAnsi"/>
          <w:i/>
          <w:iCs/>
        </w:rPr>
        <w:t>Mind, brain, and education</w:t>
      </w:r>
      <w:r w:rsidRPr="00407C0E">
        <w:rPr>
          <w:rFonts w:cstheme="minorHAnsi"/>
          <w:shd w:val="clear" w:color="auto" w:fill="FFFFFF"/>
        </w:rPr>
        <w:t xml:space="preserve">, </w:t>
      </w:r>
      <w:r w:rsidRPr="00407C0E">
        <w:rPr>
          <w:rFonts w:cstheme="minorHAnsi"/>
          <w:i/>
          <w:iCs/>
        </w:rPr>
        <w:t>1</w:t>
      </w:r>
      <w:r w:rsidRPr="00407C0E">
        <w:rPr>
          <w:rFonts w:cstheme="minorHAnsi"/>
          <w:shd w:val="clear" w:color="auto" w:fill="FFFFFF"/>
        </w:rPr>
        <w:t>(1), pp.3-10.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proofErr w:type="spellStart"/>
      <w:r w:rsidRPr="00407C0E">
        <w:rPr>
          <w:rFonts w:cstheme="minorHAnsi"/>
          <w:shd w:val="clear" w:color="auto" w:fill="FFFFFF"/>
        </w:rPr>
        <w:lastRenderedPageBreak/>
        <w:t>Immordino</w:t>
      </w:r>
      <w:proofErr w:type="spellEnd"/>
      <w:r w:rsidRPr="00407C0E">
        <w:rPr>
          <w:rFonts w:cstheme="minorHAnsi"/>
          <w:shd w:val="clear" w:color="auto" w:fill="FFFFFF"/>
        </w:rPr>
        <w:t xml:space="preserve">-Yang, M.H. and </w:t>
      </w:r>
      <w:proofErr w:type="spellStart"/>
      <w:r w:rsidRPr="00407C0E">
        <w:rPr>
          <w:rFonts w:cstheme="minorHAnsi"/>
          <w:shd w:val="clear" w:color="auto" w:fill="FFFFFF"/>
        </w:rPr>
        <w:t>Faeth</w:t>
      </w:r>
      <w:proofErr w:type="spellEnd"/>
      <w:r w:rsidRPr="00407C0E">
        <w:rPr>
          <w:rFonts w:cstheme="minorHAnsi"/>
          <w:shd w:val="clear" w:color="auto" w:fill="FFFFFF"/>
        </w:rPr>
        <w:t xml:space="preserve">, M., 2010. The role of emotion and skilled intuition in learning. </w:t>
      </w:r>
      <w:r w:rsidRPr="00407C0E">
        <w:rPr>
          <w:rFonts w:cstheme="minorHAnsi"/>
          <w:i/>
          <w:iCs/>
        </w:rPr>
        <w:t>Mind, brain, and education: Neuroscience implications for the classroom</w:t>
      </w:r>
      <w:r w:rsidRPr="00407C0E">
        <w:rPr>
          <w:rFonts w:cstheme="minorHAnsi"/>
          <w:shd w:val="clear" w:color="auto" w:fill="FFFFFF"/>
        </w:rPr>
        <w:t xml:space="preserve">, </w:t>
      </w:r>
      <w:r w:rsidRPr="00407C0E">
        <w:rPr>
          <w:rFonts w:cstheme="minorHAnsi"/>
          <w:i/>
          <w:iCs/>
        </w:rPr>
        <w:t>69</w:t>
      </w:r>
      <w:r w:rsidRPr="00407C0E">
        <w:rPr>
          <w:rFonts w:cstheme="minorHAnsi"/>
          <w:shd w:val="clear" w:color="auto" w:fill="FFFFFF"/>
        </w:rPr>
        <w:t>, p.83.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Kingsnorth, S. (2019). Forget Finland. Could Estonia help to reverse our dire results?. [Blog] </w:t>
      </w:r>
      <w:r w:rsidRPr="00407C0E">
        <w:rPr>
          <w:rFonts w:cstheme="minorHAnsi"/>
          <w:i/>
          <w:iCs/>
        </w:rPr>
        <w:t>Solomon Kingsnorth</w:t>
      </w:r>
      <w:r w:rsidRPr="00407C0E">
        <w:rPr>
          <w:rFonts w:cstheme="minorHAnsi"/>
          <w:shd w:val="clear" w:color="auto" w:fill="FFFFFF"/>
        </w:rPr>
        <w:t>. Available at: https://medium.com/solomonkingsnorth/forget-finland-could-estonia-help-to-reverse-our-dire-sats-and-gcse-results-b56cd746850a [Accessed 2 Dec. 2019].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proofErr w:type="spellStart"/>
      <w:r w:rsidRPr="00407C0E">
        <w:rPr>
          <w:rFonts w:cstheme="minorHAnsi"/>
          <w:shd w:val="clear" w:color="auto" w:fill="FFFFFF"/>
        </w:rPr>
        <w:t>Laevers</w:t>
      </w:r>
      <w:proofErr w:type="spellEnd"/>
      <w:r w:rsidRPr="00407C0E">
        <w:rPr>
          <w:rFonts w:cstheme="minorHAnsi"/>
          <w:shd w:val="clear" w:color="auto" w:fill="FFFFFF"/>
        </w:rPr>
        <w:t xml:space="preserve">, F., 1994. The Leuven involvement scale for young children. </w:t>
      </w:r>
      <w:r w:rsidRPr="00407C0E">
        <w:rPr>
          <w:rFonts w:cstheme="minorHAnsi"/>
          <w:i/>
          <w:iCs/>
        </w:rPr>
        <w:t>Manual and video</w:t>
      </w:r>
      <w:r w:rsidRPr="00407C0E">
        <w:rPr>
          <w:rFonts w:cstheme="minorHAnsi"/>
          <w:shd w:val="clear" w:color="auto" w:fill="FFFFFF"/>
        </w:rPr>
        <w:t xml:space="preserve">, </w:t>
      </w:r>
      <w:r w:rsidRPr="00407C0E">
        <w:rPr>
          <w:rFonts w:cstheme="minorHAnsi"/>
          <w:i/>
          <w:iCs/>
        </w:rPr>
        <w:t>44</w:t>
      </w:r>
      <w:r w:rsidRPr="00407C0E">
        <w:rPr>
          <w:rFonts w:cstheme="minorHAnsi"/>
          <w:shd w:val="clear" w:color="auto" w:fill="FFFFFF"/>
        </w:rPr>
        <w:t>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>Lave, Jean and Etienne Wenger.  1991.  Situated Learning: Legitimate peripheral participation.  New York: Cambridge University Press.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Lindsay, G., 2007. Educational psychology and the effectiveness of inclusive education/mainstreaming. </w:t>
      </w:r>
      <w:r w:rsidRPr="00407C0E">
        <w:rPr>
          <w:rFonts w:cstheme="minorHAnsi"/>
          <w:i/>
          <w:iCs/>
        </w:rPr>
        <w:t>British journal of educational psychology</w:t>
      </w:r>
      <w:r w:rsidRPr="00407C0E">
        <w:rPr>
          <w:rFonts w:cstheme="minorHAnsi"/>
          <w:shd w:val="clear" w:color="auto" w:fill="FFFFFF"/>
        </w:rPr>
        <w:t xml:space="preserve">, </w:t>
      </w:r>
      <w:r w:rsidRPr="00407C0E">
        <w:rPr>
          <w:rFonts w:cstheme="minorHAnsi"/>
          <w:i/>
          <w:iCs/>
        </w:rPr>
        <w:t>77</w:t>
      </w:r>
      <w:r w:rsidRPr="00407C0E">
        <w:rPr>
          <w:rFonts w:cstheme="minorHAnsi"/>
          <w:shd w:val="clear" w:color="auto" w:fill="FFFFFF"/>
        </w:rPr>
        <w:t>(1), pp.1-24.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pacing w:val="2"/>
          <w:sz w:val="22"/>
          <w:szCs w:val="22"/>
        </w:rPr>
      </w:pP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Marcus, G., 2016. Closing the attainment gap: What can schools do. </w:t>
      </w:r>
      <w:proofErr w:type="spellStart"/>
      <w:r w:rsidRPr="00407C0E">
        <w:rPr>
          <w:rFonts w:asciiTheme="minorHAnsi" w:hAnsiTheme="minorHAnsi" w:cstheme="minorHAnsi"/>
          <w:i/>
          <w:iCs/>
          <w:sz w:val="22"/>
          <w:szCs w:val="22"/>
        </w:rPr>
        <w:t>SPICe</w:t>
      </w:r>
      <w:proofErr w:type="spellEnd"/>
      <w:r w:rsidRPr="00407C0E">
        <w:rPr>
          <w:rFonts w:asciiTheme="minorHAnsi" w:hAnsiTheme="minorHAnsi" w:cstheme="minorHAnsi"/>
          <w:i/>
          <w:iCs/>
          <w:sz w:val="22"/>
          <w:szCs w:val="22"/>
        </w:rPr>
        <w:t xml:space="preserve"> Briefing</w:t>
      </w: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>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color w:val="232323"/>
          <w:spacing w:val="2"/>
          <w:sz w:val="22"/>
          <w:szCs w:val="22"/>
        </w:rPr>
      </w:pPr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Mongo </w:t>
      </w:r>
      <w:proofErr w:type="spellStart"/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Gushi</w:t>
      </w:r>
      <w:proofErr w:type="spellEnd"/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 (2019). </w:t>
      </w:r>
      <w:r w:rsidRPr="00407C0E">
        <w:rPr>
          <w:rFonts w:asciiTheme="minorHAnsi" w:hAnsiTheme="minorHAnsi" w:cstheme="minorHAnsi"/>
          <w:i/>
          <w:iCs/>
          <w:color w:val="000000"/>
          <w:sz w:val="22"/>
          <w:szCs w:val="22"/>
        </w:rPr>
        <w:t>Aberavon Beach</w:t>
      </w:r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. [image] Available at: https://www.instagram.com/p/B2AKhtIgZpH/?igshid=1o7fej3doz5bg [Accessed 10 Dec. 2019].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407C0E">
        <w:rPr>
          <w:rStyle w:val="hlfld-contribauthor"/>
          <w:rFonts w:asciiTheme="minorHAnsi" w:hAnsiTheme="minorHAnsi" w:cstheme="minorHAnsi"/>
          <w:sz w:val="22"/>
          <w:szCs w:val="22"/>
        </w:rPr>
        <w:t>NACCCE</w:t>
      </w: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Pr="00407C0E">
        <w:rPr>
          <w:rStyle w:val="nlmyear"/>
          <w:rFonts w:asciiTheme="minorHAnsi" w:hAnsiTheme="minorHAnsi" w:cstheme="minorHAnsi"/>
          <w:sz w:val="22"/>
          <w:szCs w:val="22"/>
        </w:rPr>
        <w:t>1999</w:t>
      </w: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Pr="00407C0E">
        <w:rPr>
          <w:rFonts w:asciiTheme="minorHAnsi" w:hAnsiTheme="minorHAnsi" w:cstheme="minorHAnsi"/>
          <w:i/>
          <w:iCs/>
          <w:sz w:val="22"/>
          <w:szCs w:val="22"/>
        </w:rPr>
        <w:t>All our futures: creativity, culture and education</w:t>
      </w: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(London, </w:t>
      </w:r>
      <w:proofErr w:type="spellStart"/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>DfEE</w:t>
      </w:r>
      <w:proofErr w:type="spellEnd"/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>)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pacing w:val="2"/>
          <w:sz w:val="22"/>
          <w:szCs w:val="22"/>
        </w:rPr>
      </w:pPr>
      <w:r w:rsidRPr="00407C0E">
        <w:rPr>
          <w:rFonts w:asciiTheme="minorHAnsi" w:hAnsiTheme="minorHAnsi" w:cstheme="minorHAnsi"/>
          <w:spacing w:val="2"/>
          <w:sz w:val="22"/>
          <w:szCs w:val="22"/>
        </w:rPr>
        <w:t xml:space="preserve">NSWDET. (2003). </w:t>
      </w:r>
      <w:r w:rsidRPr="00407C0E">
        <w:rPr>
          <w:rStyle w:val="Emphasis"/>
          <w:rFonts w:asciiTheme="minorHAnsi" w:hAnsiTheme="minorHAnsi" w:cstheme="minorHAnsi"/>
          <w:spacing w:val="2"/>
          <w:sz w:val="22"/>
          <w:szCs w:val="22"/>
        </w:rPr>
        <w:t>Quality Teaching in NSW Public Schools: Discussion Paper.</w:t>
      </w:r>
      <w:r w:rsidRPr="00407C0E">
        <w:rPr>
          <w:rFonts w:asciiTheme="minorHAnsi" w:hAnsiTheme="minorHAnsi" w:cstheme="minorHAnsi"/>
          <w:spacing w:val="2"/>
          <w:sz w:val="22"/>
          <w:szCs w:val="22"/>
        </w:rPr>
        <w:t xml:space="preserve"> Ryde: Department of Education and Training Professional Support and Curriculum Directorate.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</w:rPr>
      </w:pPr>
      <w:r w:rsidRPr="00407C0E">
        <w:rPr>
          <w:rFonts w:cstheme="minorHAnsi"/>
        </w:rPr>
        <w:t xml:space="preserve">Ofsted (2010a) Learning: Creative Approaches that Raise Standards. London: Ofsted.  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color w:val="232323"/>
          <w:spacing w:val="2"/>
          <w:sz w:val="22"/>
          <w:szCs w:val="22"/>
        </w:rPr>
      </w:pPr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lastRenderedPageBreak/>
        <w:t xml:space="preserve">Oli Cav (2019). </w:t>
      </w:r>
      <w:r w:rsidRPr="00407C0E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Dylan </w:t>
      </w:r>
      <w:proofErr w:type="spellStart"/>
      <w:r w:rsidRPr="00407C0E">
        <w:rPr>
          <w:rFonts w:asciiTheme="minorHAnsi" w:hAnsiTheme="minorHAnsi" w:cstheme="minorHAnsi"/>
          <w:i/>
          <w:iCs/>
          <w:color w:val="000000"/>
          <w:sz w:val="22"/>
          <w:szCs w:val="22"/>
        </w:rPr>
        <w:t>Wiliam</w:t>
      </w:r>
      <w:proofErr w:type="spellEnd"/>
      <w:r w:rsidRPr="00407C0E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 Portrait</w:t>
      </w:r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. [image] Available at: https://static1.squarespace.com/static/58e151c946c3c418501c2f88/t/5bd0beee53450a4b295706eb/1540407023592/Dylan+Wiliam+circle.pdf [Accessed 10 Dec. 2019].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color w:val="232323"/>
          <w:spacing w:val="2"/>
          <w:sz w:val="22"/>
          <w:szCs w:val="22"/>
        </w:rPr>
      </w:pPr>
      <w:proofErr w:type="spellStart"/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osiriseducational</w:t>
      </w:r>
      <w:proofErr w:type="spellEnd"/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 (2019). </w:t>
      </w:r>
      <w:r w:rsidRPr="00407C0E">
        <w:rPr>
          <w:rFonts w:asciiTheme="minorHAnsi" w:hAnsiTheme="minorHAnsi" w:cstheme="minorHAnsi"/>
          <w:i/>
          <w:iCs/>
          <w:color w:val="000000"/>
          <w:sz w:val="22"/>
          <w:szCs w:val="22"/>
        </w:rPr>
        <w:t>Hierarchical Cross Curricular approach</w:t>
      </w:r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. [image] Available at: https://osiriseducational.co.uk/staffroom/wp-content/uploads/sites/8/2014/12/DJBGraph4.png [Accessed 10 Dec. 2019].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color w:val="232323"/>
          <w:spacing w:val="2"/>
          <w:sz w:val="22"/>
          <w:szCs w:val="22"/>
        </w:rPr>
      </w:pPr>
      <w:proofErr w:type="spellStart"/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osiriseducational</w:t>
      </w:r>
      <w:proofErr w:type="spellEnd"/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 (2019). </w:t>
      </w:r>
      <w:r w:rsidRPr="00407C0E">
        <w:rPr>
          <w:rFonts w:asciiTheme="minorHAnsi" w:hAnsiTheme="minorHAnsi" w:cstheme="minorHAnsi"/>
          <w:i/>
          <w:iCs/>
          <w:color w:val="000000"/>
          <w:sz w:val="22"/>
          <w:szCs w:val="22"/>
        </w:rPr>
        <w:t>Opportunistic Cross curricular approach</w:t>
      </w:r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. [image] Available at: https://osiriseducational.co.uk/staffroom/wp-content/uploads/sites/8/2014/12/DJBGraph7.png [Accessed 10 Dec. 2019].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Perkins, D.N. and Perkins, D.N., 2009. </w:t>
      </w:r>
      <w:r w:rsidRPr="00407C0E">
        <w:rPr>
          <w:rFonts w:cstheme="minorHAnsi"/>
          <w:i/>
          <w:iCs/>
        </w:rPr>
        <w:t>The mind's best work</w:t>
      </w:r>
      <w:r w:rsidRPr="00407C0E">
        <w:rPr>
          <w:rFonts w:cstheme="minorHAnsi"/>
          <w:shd w:val="clear" w:color="auto" w:fill="FFFFFF"/>
        </w:rPr>
        <w:t>. Harvard University Press.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QCA (2008) A Big Picture of the Curriculum. Available online at http://curriculum.qca.org.uk/uploads/Big%20 picture%20of%20the%20curriculum%20%20Feb%2008%20working%20draft_tcm812685. </w:t>
      </w:r>
      <w:proofErr w:type="spellStart"/>
      <w:r w:rsidRPr="00407C0E">
        <w:rPr>
          <w:rFonts w:cstheme="minorHAnsi"/>
          <w:shd w:val="clear" w:color="auto" w:fill="FFFFFF"/>
        </w:rPr>
        <w:t>pdf?return</w:t>
      </w:r>
      <w:proofErr w:type="spellEnd"/>
      <w:r w:rsidRPr="00407C0E">
        <w:rPr>
          <w:rFonts w:cstheme="minorHAnsi"/>
          <w:shd w:val="clear" w:color="auto" w:fill="FFFFFF"/>
        </w:rPr>
        <w:t xml:space="preserve">=/key-stages-3-and-4/organising-your-cu </w:t>
      </w:r>
      <w:proofErr w:type="spellStart"/>
      <w:r w:rsidRPr="00407C0E">
        <w:rPr>
          <w:rFonts w:cstheme="minorHAnsi"/>
          <w:shd w:val="clear" w:color="auto" w:fill="FFFFFF"/>
        </w:rPr>
        <w:t>rhculum</w:t>
      </w:r>
      <w:proofErr w:type="spellEnd"/>
      <w:r w:rsidRPr="00407C0E">
        <w:rPr>
          <w:rFonts w:cstheme="minorHAnsi"/>
          <w:shd w:val="clear" w:color="auto" w:fill="FFFFFF"/>
        </w:rPr>
        <w:t>/</w:t>
      </w:r>
      <w:proofErr w:type="spellStart"/>
      <w:r w:rsidRPr="00407C0E">
        <w:rPr>
          <w:rFonts w:cstheme="minorHAnsi"/>
          <w:shd w:val="clear" w:color="auto" w:fill="FFFFFF"/>
        </w:rPr>
        <w:t>principles_of_curhculum_design</w:t>
      </w:r>
      <w:proofErr w:type="spellEnd"/>
      <w:r w:rsidRPr="00407C0E">
        <w:rPr>
          <w:rFonts w:cstheme="minorHAnsi"/>
          <w:shd w:val="clear" w:color="auto" w:fill="FFFFFF"/>
        </w:rPr>
        <w:t>/index.aspx%3Fr eturn%3D/key-stages-3-and-4/organising-</w:t>
      </w:r>
      <w:proofErr w:type="spellStart"/>
      <w:r w:rsidRPr="00407C0E">
        <w:rPr>
          <w:rFonts w:cstheme="minorHAnsi"/>
          <w:shd w:val="clear" w:color="auto" w:fill="FFFFFF"/>
        </w:rPr>
        <w:t>yourcurhculum</w:t>
      </w:r>
      <w:proofErr w:type="spellEnd"/>
      <w:r w:rsidRPr="00407C0E">
        <w:rPr>
          <w:rFonts w:cstheme="minorHAnsi"/>
          <w:shd w:val="clear" w:color="auto" w:fill="FFFFFF"/>
        </w:rPr>
        <w:t xml:space="preserve">/index.aspx 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Rowley, C. and Cooper, H. eds., 2009. </w:t>
      </w:r>
      <w:r w:rsidRPr="00407C0E">
        <w:rPr>
          <w:rFonts w:cstheme="minorHAnsi"/>
          <w:i/>
          <w:iCs/>
        </w:rPr>
        <w:t>Cross-curricular approaches to teaching and learning</w:t>
      </w:r>
      <w:r w:rsidRPr="00407C0E">
        <w:rPr>
          <w:rFonts w:cstheme="minorHAnsi"/>
          <w:shd w:val="clear" w:color="auto" w:fill="FFFFFF"/>
        </w:rPr>
        <w:t>. Sage.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pacing w:val="2"/>
          <w:sz w:val="22"/>
          <w:szCs w:val="22"/>
        </w:rPr>
      </w:pPr>
      <w:r w:rsidRPr="00407C0E">
        <w:rPr>
          <w:rFonts w:asciiTheme="minorHAnsi" w:hAnsiTheme="minorHAnsi" w:cstheme="minorHAnsi"/>
          <w:spacing w:val="2"/>
          <w:sz w:val="22"/>
          <w:szCs w:val="22"/>
        </w:rPr>
        <w:t>Roy, D., Baker, B., &amp; Hamilton, A. (2015).</w:t>
      </w:r>
      <w:r w:rsidRPr="00407C0E">
        <w:rPr>
          <w:rStyle w:val="Emphasis"/>
          <w:rFonts w:asciiTheme="minorHAnsi" w:hAnsiTheme="minorHAnsi" w:cstheme="minorHAnsi"/>
          <w:spacing w:val="2"/>
          <w:sz w:val="22"/>
          <w:szCs w:val="22"/>
        </w:rPr>
        <w:t xml:space="preserve"> Teaching the Arts Early Childhood and Primary Education</w:t>
      </w:r>
      <w:r w:rsidRPr="00407C0E">
        <w:rPr>
          <w:rFonts w:asciiTheme="minorHAnsi" w:hAnsiTheme="minorHAnsi" w:cstheme="minorHAnsi"/>
          <w:spacing w:val="2"/>
          <w:sz w:val="22"/>
          <w:szCs w:val="22"/>
        </w:rPr>
        <w:t xml:space="preserve"> (2nd ed.). Melbourne: Cambridge University Press.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color w:val="232323"/>
          <w:spacing w:val="2"/>
          <w:sz w:val="22"/>
          <w:szCs w:val="22"/>
        </w:rPr>
      </w:pPr>
      <w:proofErr w:type="spellStart"/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lastRenderedPageBreak/>
        <w:t>rubicon</w:t>
      </w:r>
      <w:proofErr w:type="spellEnd"/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 (2019). </w:t>
      </w:r>
      <w:r w:rsidRPr="00407C0E">
        <w:rPr>
          <w:rFonts w:asciiTheme="minorHAnsi" w:hAnsiTheme="minorHAnsi" w:cstheme="minorHAnsi"/>
          <w:i/>
          <w:iCs/>
          <w:color w:val="000000"/>
          <w:sz w:val="22"/>
          <w:szCs w:val="22"/>
        </w:rPr>
        <w:t>Social and emotional learning</w:t>
      </w:r>
      <w:r w:rsidRPr="00407C0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. [image] Available at: https://www.rubicon.com/wp-content/uploads/2018/01/social-emotional-learning.png [Accessed 10 Dec. 2019].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>Rutter, M. (1987). Psychosocial resilience and protective mechanisms. American Journal of Orthopsychiatry, 57, 316–331.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Siraj-Blatchford, I., 1999. Early childhood pedagogy: Practice, principles and research. </w:t>
      </w:r>
      <w:r w:rsidRPr="00407C0E">
        <w:rPr>
          <w:rFonts w:cstheme="minorHAnsi"/>
          <w:i/>
          <w:iCs/>
        </w:rPr>
        <w:t>Understanding pedagogy and its impact on learning</w:t>
      </w:r>
      <w:r w:rsidRPr="00407C0E">
        <w:rPr>
          <w:rFonts w:cstheme="minorHAnsi"/>
          <w:shd w:val="clear" w:color="auto" w:fill="FFFFFF"/>
        </w:rPr>
        <w:t>, pp.20-45.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Skinner, B.F., 2014. </w:t>
      </w:r>
      <w:r w:rsidRPr="00407C0E">
        <w:rPr>
          <w:rFonts w:cstheme="minorHAnsi"/>
          <w:i/>
          <w:iCs/>
        </w:rPr>
        <w:t>Contingencies of reinforcement: A theoretical analysis</w:t>
      </w:r>
      <w:r w:rsidRPr="00407C0E">
        <w:rPr>
          <w:rFonts w:cstheme="minorHAnsi"/>
          <w:shd w:val="clear" w:color="auto" w:fill="FFFFFF"/>
        </w:rPr>
        <w:t xml:space="preserve"> (Vol. 3). BF Skinner Foundation.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Steiner, M. ed., 1996. </w:t>
      </w:r>
      <w:r w:rsidRPr="00407C0E">
        <w:rPr>
          <w:rFonts w:cstheme="minorHAnsi"/>
          <w:i/>
          <w:iCs/>
        </w:rPr>
        <w:t>Developing the Global Teacher: theory and practice in initial teacher education</w:t>
      </w:r>
      <w:r w:rsidRPr="00407C0E">
        <w:rPr>
          <w:rFonts w:cstheme="minorHAnsi"/>
          <w:shd w:val="clear" w:color="auto" w:fill="FFFFFF"/>
        </w:rPr>
        <w:t>. Trentham books.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Sternberg, R.J., 1997. Intelligence and lifelong learning: What's new and how can we use it?. </w:t>
      </w:r>
      <w:r w:rsidRPr="00407C0E">
        <w:rPr>
          <w:rFonts w:cstheme="minorHAnsi"/>
          <w:i/>
          <w:iCs/>
        </w:rPr>
        <w:t>American Psychologist</w:t>
      </w:r>
      <w:r w:rsidRPr="00407C0E">
        <w:rPr>
          <w:rFonts w:cstheme="minorHAnsi"/>
          <w:shd w:val="clear" w:color="auto" w:fill="FFFFFF"/>
        </w:rPr>
        <w:t xml:space="preserve">, </w:t>
      </w:r>
      <w:r w:rsidRPr="00407C0E">
        <w:rPr>
          <w:rFonts w:cstheme="minorHAnsi"/>
          <w:i/>
          <w:iCs/>
        </w:rPr>
        <w:t>52</w:t>
      </w:r>
      <w:r w:rsidRPr="00407C0E">
        <w:rPr>
          <w:rFonts w:cstheme="minorHAnsi"/>
          <w:shd w:val="clear" w:color="auto" w:fill="FFFFFF"/>
        </w:rPr>
        <w:t>(10), p.1134.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Sternberg, R.J., 2003. </w:t>
      </w:r>
      <w:r w:rsidRPr="00407C0E">
        <w:rPr>
          <w:rFonts w:cstheme="minorHAnsi"/>
          <w:i/>
          <w:iCs/>
        </w:rPr>
        <w:t>Wisdom, intelligence, and creativity synthesized</w:t>
      </w:r>
      <w:r w:rsidRPr="00407C0E">
        <w:rPr>
          <w:rFonts w:cstheme="minorHAnsi"/>
          <w:shd w:val="clear" w:color="auto" w:fill="FFFFFF"/>
        </w:rPr>
        <w:t>. Cambridge University Press.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</w:rPr>
      </w:pPr>
      <w:proofErr w:type="spellStart"/>
      <w:r w:rsidRPr="00407C0E">
        <w:rPr>
          <w:rFonts w:cstheme="minorHAnsi"/>
          <w:shd w:val="clear" w:color="auto" w:fill="FFFFFF"/>
        </w:rPr>
        <w:t>Voogt</w:t>
      </w:r>
      <w:proofErr w:type="spellEnd"/>
      <w:r w:rsidRPr="00407C0E">
        <w:rPr>
          <w:rFonts w:cstheme="minorHAnsi"/>
          <w:shd w:val="clear" w:color="auto" w:fill="FFFFFF"/>
        </w:rPr>
        <w:t xml:space="preserve">, J. and Roblin, N.P., 2010. 21st century skills discussion paper. </w:t>
      </w:r>
      <w:r w:rsidRPr="00407C0E">
        <w:rPr>
          <w:rFonts w:cstheme="minorHAnsi"/>
          <w:i/>
          <w:iCs/>
        </w:rPr>
        <w:t>University of Twente</w:t>
      </w:r>
      <w:r w:rsidRPr="00407C0E">
        <w:rPr>
          <w:rFonts w:cstheme="minorHAnsi"/>
          <w:shd w:val="clear" w:color="auto" w:fill="FFFFFF"/>
        </w:rPr>
        <w:t>.</w:t>
      </w:r>
      <w:r w:rsidRPr="00407C0E">
        <w:rPr>
          <w:rFonts w:cstheme="minorHAnsi"/>
        </w:rPr>
        <w:t xml:space="preserve"> 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Watson, J.B., 2017. </w:t>
      </w:r>
      <w:proofErr w:type="spellStart"/>
      <w:r w:rsidRPr="00407C0E">
        <w:rPr>
          <w:rFonts w:cstheme="minorHAnsi"/>
          <w:i/>
          <w:iCs/>
        </w:rPr>
        <w:t>Behaviorism</w:t>
      </w:r>
      <w:proofErr w:type="spellEnd"/>
      <w:r w:rsidRPr="00407C0E">
        <w:rPr>
          <w:rFonts w:cstheme="minorHAnsi"/>
          <w:shd w:val="clear" w:color="auto" w:fill="FFFFFF"/>
        </w:rPr>
        <w:t>. Routledge.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color w:val="000000"/>
          <w:shd w:val="clear" w:color="auto" w:fill="FFFFFF"/>
        </w:rPr>
      </w:pPr>
      <w:r w:rsidRPr="00407C0E">
        <w:rPr>
          <w:rFonts w:cstheme="minorHAnsi"/>
          <w:color w:val="000000"/>
          <w:shd w:val="clear" w:color="auto" w:fill="FFFFFF"/>
        </w:rPr>
        <w:t xml:space="preserve">Welsh Assembly </w:t>
      </w:r>
      <w:proofErr w:type="spellStart"/>
      <w:r w:rsidRPr="00407C0E">
        <w:rPr>
          <w:rFonts w:cstheme="minorHAnsi"/>
          <w:color w:val="000000"/>
          <w:shd w:val="clear" w:color="auto" w:fill="FFFFFF"/>
        </w:rPr>
        <w:t>Governement</w:t>
      </w:r>
      <w:proofErr w:type="spellEnd"/>
      <w:r w:rsidRPr="00407C0E">
        <w:rPr>
          <w:rFonts w:cstheme="minorHAnsi"/>
          <w:color w:val="000000"/>
          <w:shd w:val="clear" w:color="auto" w:fill="FFFFFF"/>
        </w:rPr>
        <w:t xml:space="preserve"> (2008). </w:t>
      </w:r>
      <w:r w:rsidRPr="00407C0E">
        <w:rPr>
          <w:rFonts w:cstheme="minorHAnsi"/>
          <w:i/>
          <w:iCs/>
          <w:color w:val="000000"/>
        </w:rPr>
        <w:t>History in the National Curriculum for Wale</w:t>
      </w:r>
      <w:r w:rsidRPr="00407C0E">
        <w:rPr>
          <w:rFonts w:cstheme="minorHAnsi"/>
          <w:color w:val="000000"/>
          <w:shd w:val="clear" w:color="auto" w:fill="FFFFFF"/>
        </w:rPr>
        <w:t>. Cardiff: Welsh Assembly Government.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color w:val="000000"/>
          <w:shd w:val="clear" w:color="auto" w:fill="FFFFFF"/>
        </w:rPr>
      </w:pPr>
      <w:r w:rsidRPr="00407C0E">
        <w:rPr>
          <w:rFonts w:cstheme="minorHAnsi"/>
          <w:color w:val="000000"/>
          <w:shd w:val="clear" w:color="auto" w:fill="FFFFFF"/>
        </w:rPr>
        <w:t xml:space="preserve">Welsh Assembly Government (2008). </w:t>
      </w:r>
      <w:r w:rsidRPr="00407C0E">
        <w:rPr>
          <w:rFonts w:cstheme="minorHAnsi"/>
          <w:i/>
          <w:iCs/>
          <w:color w:val="000000"/>
        </w:rPr>
        <w:t>Art and design in the National Curriculum for Wales</w:t>
      </w:r>
      <w:r w:rsidRPr="00407C0E">
        <w:rPr>
          <w:rFonts w:cstheme="minorHAnsi"/>
          <w:color w:val="000000"/>
          <w:shd w:val="clear" w:color="auto" w:fill="FFFFFF"/>
        </w:rPr>
        <w:t>. Cardiff: Welsh Assembly Government.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color w:val="000000"/>
          <w:shd w:val="clear" w:color="auto" w:fill="FFFFFF"/>
        </w:rPr>
      </w:pPr>
      <w:r w:rsidRPr="00407C0E">
        <w:rPr>
          <w:rFonts w:cstheme="minorHAnsi"/>
          <w:color w:val="000000"/>
          <w:shd w:val="clear" w:color="auto" w:fill="FFFFFF"/>
        </w:rPr>
        <w:lastRenderedPageBreak/>
        <w:t xml:space="preserve">Welsh Assembly Government (2008). </w:t>
      </w:r>
      <w:r w:rsidRPr="00407C0E">
        <w:rPr>
          <w:rFonts w:cstheme="minorHAnsi"/>
          <w:i/>
          <w:iCs/>
          <w:color w:val="000000"/>
        </w:rPr>
        <w:t>National Literacy and Numeracy Framework</w:t>
      </w:r>
      <w:r w:rsidRPr="00407C0E">
        <w:rPr>
          <w:rFonts w:cstheme="minorHAnsi"/>
          <w:color w:val="000000"/>
          <w:shd w:val="clear" w:color="auto" w:fill="FFFFFF"/>
        </w:rPr>
        <w:t>. Cardiff: Welsh Assembly Government.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color w:val="000000"/>
          <w:shd w:val="clear" w:color="auto" w:fill="FFFFFF"/>
        </w:rPr>
      </w:pPr>
      <w:r w:rsidRPr="00407C0E">
        <w:rPr>
          <w:rFonts w:cstheme="minorHAnsi"/>
          <w:color w:val="000000"/>
          <w:shd w:val="clear" w:color="auto" w:fill="FFFFFF"/>
        </w:rPr>
        <w:t xml:space="preserve">Welsh Assembly Government (2008). </w:t>
      </w:r>
      <w:r w:rsidRPr="00407C0E">
        <w:rPr>
          <w:rFonts w:cstheme="minorHAnsi"/>
          <w:i/>
          <w:iCs/>
          <w:color w:val="000000"/>
        </w:rPr>
        <w:t>Programme of Study for English Key Stages 2–4</w:t>
      </w:r>
      <w:r w:rsidRPr="00407C0E">
        <w:rPr>
          <w:rFonts w:cstheme="minorHAnsi"/>
          <w:color w:val="000000"/>
          <w:shd w:val="clear" w:color="auto" w:fill="FFFFFF"/>
        </w:rPr>
        <w:t>. Cardiff: Welsh Assembly Government.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color w:val="000000"/>
          <w:shd w:val="clear" w:color="auto" w:fill="FFFFFF"/>
        </w:rPr>
      </w:pPr>
      <w:r w:rsidRPr="00407C0E">
        <w:rPr>
          <w:rFonts w:cstheme="minorHAnsi"/>
          <w:color w:val="000000"/>
          <w:shd w:val="clear" w:color="auto" w:fill="FFFFFF"/>
        </w:rPr>
        <w:t xml:space="preserve">Welsh Assembly Government (2008). </w:t>
      </w:r>
      <w:r w:rsidRPr="00407C0E">
        <w:rPr>
          <w:rFonts w:cstheme="minorHAnsi"/>
          <w:i/>
          <w:iCs/>
          <w:color w:val="000000"/>
        </w:rPr>
        <w:t>Programme of Study for Mathematics Key Stages 2–4</w:t>
      </w:r>
      <w:r w:rsidRPr="00407C0E">
        <w:rPr>
          <w:rFonts w:cstheme="minorHAnsi"/>
          <w:color w:val="000000"/>
          <w:shd w:val="clear" w:color="auto" w:fill="FFFFFF"/>
        </w:rPr>
        <w:t>. Cardiff: Welsh Assembly Government.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Wenger, E., 1998. Communities of practice: Learning as a social system. </w:t>
      </w:r>
      <w:r w:rsidRPr="00407C0E">
        <w:rPr>
          <w:rFonts w:asciiTheme="minorHAnsi" w:hAnsiTheme="minorHAnsi" w:cstheme="minorHAnsi"/>
          <w:i/>
          <w:iCs/>
          <w:sz w:val="22"/>
          <w:szCs w:val="22"/>
        </w:rPr>
        <w:t>Systems thinker</w:t>
      </w: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, </w:t>
      </w:r>
      <w:r w:rsidRPr="00407C0E">
        <w:rPr>
          <w:rFonts w:asciiTheme="minorHAnsi" w:hAnsiTheme="minorHAnsi" w:cstheme="minorHAnsi"/>
          <w:i/>
          <w:iCs/>
          <w:sz w:val="22"/>
          <w:szCs w:val="22"/>
        </w:rPr>
        <w:t>9</w:t>
      </w: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>(5), pp.2-3.</w:t>
      </w:r>
    </w:p>
    <w:p w:rsidR="00150A39" w:rsidRPr="00407C0E" w:rsidRDefault="00150A39" w:rsidP="00150A39">
      <w:pPr>
        <w:pStyle w:val="NormalWeb"/>
        <w:spacing w:before="240" w:beforeAutospacing="0" w:after="240" w:afterAutospacing="0" w:line="480" w:lineRule="auto"/>
        <w:ind w:left="360" w:right="150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Woods, P. and Jeffrey, B., 1996. </w:t>
      </w:r>
      <w:r w:rsidRPr="00407C0E">
        <w:rPr>
          <w:rFonts w:asciiTheme="minorHAnsi" w:hAnsiTheme="minorHAnsi" w:cstheme="minorHAnsi"/>
          <w:i/>
          <w:iCs/>
          <w:sz w:val="22"/>
          <w:szCs w:val="22"/>
        </w:rPr>
        <w:t>Teachable moments: The art of creative teaching in primary schools</w:t>
      </w:r>
      <w:r w:rsidRPr="00407C0E">
        <w:rPr>
          <w:rFonts w:asciiTheme="minorHAnsi" w:hAnsiTheme="minorHAnsi" w:cstheme="minorHAnsi"/>
          <w:sz w:val="22"/>
          <w:szCs w:val="22"/>
          <w:shd w:val="clear" w:color="auto" w:fill="FFFFFF"/>
        </w:rPr>
        <w:t>. Open University Press.</w:t>
      </w:r>
    </w:p>
    <w:p w:rsidR="00150A39" w:rsidRPr="00407C0E" w:rsidRDefault="00150A39" w:rsidP="00150A39">
      <w:pPr>
        <w:spacing w:line="480" w:lineRule="auto"/>
        <w:ind w:left="360"/>
        <w:rPr>
          <w:rFonts w:cstheme="minorHAnsi"/>
          <w:shd w:val="clear" w:color="auto" w:fill="FFFFFF"/>
        </w:rPr>
      </w:pPr>
      <w:r w:rsidRPr="00407C0E">
        <w:rPr>
          <w:rFonts w:cstheme="minorHAnsi"/>
          <w:shd w:val="clear" w:color="auto" w:fill="FFFFFF"/>
        </w:rPr>
        <w:t xml:space="preserve">Yelland, N., 2006. </w:t>
      </w:r>
      <w:r w:rsidRPr="00407C0E">
        <w:rPr>
          <w:rFonts w:cstheme="minorHAnsi"/>
          <w:i/>
          <w:iCs/>
        </w:rPr>
        <w:t>Shift to the future: Rethinking learning with new technologies in education</w:t>
      </w:r>
      <w:r w:rsidRPr="00407C0E">
        <w:rPr>
          <w:rFonts w:cstheme="minorHAnsi"/>
          <w:shd w:val="clear" w:color="auto" w:fill="FFFFFF"/>
        </w:rPr>
        <w:t>. Routledge.</w:t>
      </w:r>
    </w:p>
    <w:p w:rsidR="00150A39" w:rsidRDefault="00150A39"/>
    <w:sectPr w:rsidR="00150A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A39"/>
    <w:rsid w:val="00150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64F3A"/>
  <w15:chartTrackingRefBased/>
  <w15:docId w15:val="{5025E405-9F2F-44D0-9319-CD7EFD2B46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0A3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50A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150A39"/>
    <w:rPr>
      <w:i/>
      <w:iCs/>
    </w:rPr>
  </w:style>
  <w:style w:type="character" w:customStyle="1" w:styleId="hlfld-contribauthor">
    <w:name w:val="hlfld-contribauthor"/>
    <w:basedOn w:val="DefaultParagraphFont"/>
    <w:rsid w:val="00150A39"/>
  </w:style>
  <w:style w:type="character" w:customStyle="1" w:styleId="nlmyear">
    <w:name w:val="nlm_year"/>
    <w:basedOn w:val="DefaultParagraphFont"/>
    <w:rsid w:val="00150A39"/>
  </w:style>
  <w:style w:type="character" w:styleId="Hyperlink">
    <w:name w:val="Hyperlink"/>
    <w:basedOn w:val="DefaultParagraphFont"/>
    <w:uiPriority w:val="99"/>
    <w:unhideWhenUsed/>
    <w:rsid w:val="00150A3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dcsf.gov.uk/publications/e-strateg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1309</Words>
  <Characters>7464</Characters>
  <Application>Microsoft Office Word</Application>
  <DocSecurity>0</DocSecurity>
  <Lines>62</Lines>
  <Paragraphs>17</Paragraphs>
  <ScaleCrop>false</ScaleCrop>
  <Company/>
  <LinksUpToDate>false</LinksUpToDate>
  <CharactersWithSpaces>8756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Corish (1701741)</dc:creator>
  <cp:keywords/>
  <dc:description/>
  <cp:lastModifiedBy>Harry Corish (1701741)</cp:lastModifiedBy>
  <cp:revision>1</cp:revision>
  <dcterms:created xsi:type="dcterms:W3CDTF">2019-12-19T22:06:00Z</dcterms:created>
  <dcterms:modified xsi:type="dcterms:W3CDTF">2019-12-19T22:07:00Z</dcterms:modified>
</cp:coreProperties>
</file>