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0D7649" w14:textId="044DD532" w:rsidR="008375B5" w:rsidRDefault="009334D8" w:rsidP="008375B5">
      <w:pPr>
        <w:spacing w:line="360" w:lineRule="auto"/>
      </w:pPr>
      <w:r>
        <w:rPr>
          <w:noProof/>
        </w:rPr>
        <w:drawing>
          <wp:inline distT="0" distB="0" distL="0" distR="0" wp14:anchorId="12AD7B40" wp14:editId="06ABB510">
            <wp:extent cx="3343275" cy="1343025"/>
            <wp:effectExtent l="0" t="0" r="0" b="0"/>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3343275" cy="1343025"/>
                    </a:xfrm>
                    <a:prstGeom prst="rect">
                      <a:avLst/>
                    </a:prstGeom>
                    <a:noFill/>
                    <a:ln>
                      <a:noFill/>
                    </a:ln>
                  </pic:spPr>
                </pic:pic>
              </a:graphicData>
            </a:graphic>
          </wp:inline>
        </w:drawing>
      </w:r>
    </w:p>
    <w:p w14:paraId="3E7F8631" w14:textId="77777777" w:rsidR="008375B5" w:rsidRDefault="008375B5" w:rsidP="008375B5">
      <w:pPr>
        <w:spacing w:line="360" w:lineRule="auto"/>
        <w:rPr>
          <w:rStyle w:val="Strong"/>
          <w:rFonts w:ascii="Segoe UI" w:hAnsi="Segoe UI" w:cs="Segoe UI"/>
          <w:color w:val="1D2125"/>
        </w:rPr>
      </w:pPr>
    </w:p>
    <w:p w14:paraId="3D4BDE11" w14:textId="77777777" w:rsidR="008375B5" w:rsidRDefault="008375B5" w:rsidP="008375B5">
      <w:pPr>
        <w:spacing w:line="360" w:lineRule="auto"/>
        <w:rPr>
          <w:rStyle w:val="Strong"/>
          <w:rFonts w:ascii="Arial" w:hAnsi="Arial" w:cs="Arial"/>
          <w:color w:val="1D2125"/>
          <w:sz w:val="36"/>
          <w:szCs w:val="36"/>
        </w:rPr>
      </w:pPr>
    </w:p>
    <w:p w14:paraId="22930AF8" w14:textId="77777777" w:rsidR="008375B5" w:rsidRDefault="008375B5" w:rsidP="008375B5">
      <w:pPr>
        <w:spacing w:line="360" w:lineRule="auto"/>
        <w:jc w:val="center"/>
        <w:rPr>
          <w:rStyle w:val="Strong"/>
          <w:rFonts w:ascii="Arial" w:hAnsi="Arial" w:cs="Arial"/>
          <w:color w:val="1D2125"/>
          <w:sz w:val="36"/>
          <w:szCs w:val="36"/>
        </w:rPr>
      </w:pPr>
    </w:p>
    <w:p w14:paraId="7E1888EF" w14:textId="77777777" w:rsidR="008375B5" w:rsidRDefault="008375B5" w:rsidP="008375B5">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Digital Transformation in the Health and Care Professions (BMHP6026</w:t>
      </w:r>
      <w:r>
        <w:rPr>
          <w:rStyle w:val="Strong"/>
          <w:rFonts w:ascii="Arial" w:hAnsi="Arial" w:cs="Arial"/>
          <w:color w:val="1D2125"/>
          <w:sz w:val="36"/>
          <w:szCs w:val="36"/>
        </w:rPr>
        <w:t>)</w:t>
      </w:r>
    </w:p>
    <w:p w14:paraId="0E4A258C" w14:textId="77777777" w:rsidR="008375B5" w:rsidRDefault="008375B5" w:rsidP="008375B5">
      <w:pPr>
        <w:spacing w:line="360" w:lineRule="auto"/>
        <w:jc w:val="center"/>
        <w:rPr>
          <w:rStyle w:val="Strong"/>
          <w:rFonts w:ascii="Arial" w:hAnsi="Arial" w:cs="Arial"/>
          <w:color w:val="1D2125"/>
          <w:sz w:val="36"/>
          <w:szCs w:val="36"/>
        </w:rPr>
      </w:pPr>
    </w:p>
    <w:p w14:paraId="4D8F34EA" w14:textId="77777777" w:rsidR="008375B5" w:rsidRDefault="008375B5" w:rsidP="008375B5">
      <w:pPr>
        <w:spacing w:line="360" w:lineRule="auto"/>
        <w:jc w:val="center"/>
        <w:rPr>
          <w:rStyle w:val="Strong"/>
          <w:rFonts w:ascii="Arial" w:hAnsi="Arial" w:cs="Arial"/>
          <w:color w:val="1D2125"/>
          <w:sz w:val="36"/>
          <w:szCs w:val="36"/>
        </w:rPr>
      </w:pPr>
    </w:p>
    <w:p w14:paraId="09EDD2AC" w14:textId="77777777" w:rsidR="008375B5" w:rsidRDefault="008375B5" w:rsidP="008375B5">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 Written Report</w:t>
      </w:r>
    </w:p>
    <w:p w14:paraId="03B7C5EA" w14:textId="77777777" w:rsidR="008375B5" w:rsidRDefault="008375B5" w:rsidP="008375B5">
      <w:pPr>
        <w:spacing w:line="360" w:lineRule="auto"/>
        <w:rPr>
          <w:rStyle w:val="Strong"/>
          <w:rFonts w:ascii="Arial" w:hAnsi="Arial" w:cs="Arial"/>
          <w:color w:val="1D2125"/>
          <w:sz w:val="32"/>
          <w:szCs w:val="32"/>
        </w:rPr>
      </w:pPr>
    </w:p>
    <w:p w14:paraId="185DB98F" w14:textId="77777777" w:rsidR="00D7608C" w:rsidRDefault="00D7608C" w:rsidP="008375B5">
      <w:pPr>
        <w:spacing w:line="360" w:lineRule="auto"/>
        <w:rPr>
          <w:rFonts w:ascii="Arial" w:hAnsi="Arial" w:cs="Arial"/>
          <w:b/>
          <w:bCs/>
          <w:color w:val="1D2125"/>
          <w:sz w:val="32"/>
          <w:szCs w:val="32"/>
        </w:rPr>
      </w:pPr>
      <w:r w:rsidRPr="00D7608C">
        <w:rPr>
          <w:rFonts w:ascii="Arial" w:hAnsi="Arial" w:cs="Arial"/>
          <w:b/>
          <w:bCs/>
          <w:color w:val="1D2125"/>
          <w:sz w:val="32"/>
          <w:szCs w:val="32"/>
        </w:rPr>
        <w:t xml:space="preserve">Student name: Sylvie Djeuga </w:t>
      </w:r>
      <w:proofErr w:type="spellStart"/>
      <w:r w:rsidRPr="00D7608C">
        <w:rPr>
          <w:rFonts w:ascii="Arial" w:hAnsi="Arial" w:cs="Arial"/>
          <w:b/>
          <w:bCs/>
          <w:color w:val="1D2125"/>
          <w:sz w:val="32"/>
          <w:szCs w:val="32"/>
        </w:rPr>
        <w:t>Djeuga</w:t>
      </w:r>
      <w:proofErr w:type="spellEnd"/>
      <w:r w:rsidRPr="00D7608C">
        <w:rPr>
          <w:rFonts w:ascii="Arial" w:hAnsi="Arial" w:cs="Arial"/>
          <w:b/>
          <w:bCs/>
          <w:color w:val="1D2125"/>
          <w:sz w:val="32"/>
          <w:szCs w:val="32"/>
        </w:rPr>
        <w:t xml:space="preserve"> </w:t>
      </w:r>
      <w:r w:rsidRPr="00D7608C">
        <w:rPr>
          <w:rFonts w:ascii="Arial" w:hAnsi="Arial" w:cs="Arial"/>
          <w:b/>
          <w:bCs/>
          <w:color w:val="1D2125"/>
          <w:sz w:val="32"/>
          <w:szCs w:val="32"/>
        </w:rPr>
        <w:br/>
      </w:r>
      <w:r w:rsidRPr="00D7608C">
        <w:rPr>
          <w:rFonts w:ascii="Arial" w:hAnsi="Arial" w:cs="Arial"/>
          <w:b/>
          <w:bCs/>
          <w:color w:val="1D2125"/>
          <w:sz w:val="32"/>
          <w:szCs w:val="32"/>
        </w:rPr>
        <w:br/>
        <w:t>Student number: 2335842</w:t>
      </w:r>
    </w:p>
    <w:p w14:paraId="5B5E64AD" w14:textId="6ADF6CCC"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D7608C">
        <w:rPr>
          <w:rStyle w:val="Strong"/>
          <w:rFonts w:ascii="Arial" w:hAnsi="Arial" w:cs="Arial"/>
          <w:color w:val="1D2125"/>
          <w:sz w:val="32"/>
          <w:szCs w:val="32"/>
        </w:rPr>
        <w:t xml:space="preserve"> </w:t>
      </w:r>
      <w:r w:rsidR="00D7608C" w:rsidRPr="00D7608C">
        <w:rPr>
          <w:b/>
          <w:bCs/>
          <w:sz w:val="36"/>
          <w:szCs w:val="36"/>
        </w:rPr>
        <w:t>Dr Ping Wu</w:t>
      </w:r>
    </w:p>
    <w:p w14:paraId="4F492421" w14:textId="77777777" w:rsidR="008375B5" w:rsidRDefault="008375B5" w:rsidP="008375B5">
      <w:pPr>
        <w:spacing w:line="360" w:lineRule="auto"/>
        <w:rPr>
          <w:sz w:val="36"/>
          <w:szCs w:val="36"/>
        </w:rPr>
      </w:pPr>
    </w:p>
    <w:p w14:paraId="43FBD350" w14:textId="77777777" w:rsidR="008375B5" w:rsidRDefault="008375B5" w:rsidP="008375B5">
      <w:pPr>
        <w:spacing w:line="360" w:lineRule="auto"/>
        <w:rPr>
          <w:rFonts w:ascii="Arial" w:hAnsi="Arial" w:cs="Arial"/>
          <w:sz w:val="36"/>
          <w:szCs w:val="36"/>
        </w:rPr>
      </w:pPr>
    </w:p>
    <w:p w14:paraId="2EE68F49" w14:textId="77777777" w:rsidR="008375B5" w:rsidRDefault="008375B5" w:rsidP="008375B5">
      <w:pPr>
        <w:spacing w:line="360" w:lineRule="auto"/>
        <w:rPr>
          <w:rFonts w:ascii="Arial" w:hAnsi="Arial" w:cs="Arial"/>
          <w:sz w:val="36"/>
          <w:szCs w:val="36"/>
        </w:rPr>
      </w:pPr>
    </w:p>
    <w:p w14:paraId="2F97C8DA" w14:textId="77777777" w:rsidR="008375B5" w:rsidRDefault="008375B5" w:rsidP="008375B5">
      <w:pPr>
        <w:pStyle w:val="NormalWeb"/>
        <w:spacing w:line="360" w:lineRule="auto"/>
        <w:rPr>
          <w:rFonts w:ascii="Arial" w:hAnsi="Arial" w:cs="Arial"/>
          <w:b/>
          <w:bCs/>
          <w:color w:val="000000"/>
        </w:rPr>
      </w:pPr>
    </w:p>
    <w:p w14:paraId="6D010FBC" w14:textId="057B6C29" w:rsidR="00A9474F" w:rsidRPr="00901AAC" w:rsidRDefault="00A9474F" w:rsidP="00901AAC">
      <w:pPr>
        <w:spacing w:line="360" w:lineRule="auto"/>
        <w:jc w:val="both"/>
        <w:rPr>
          <w:rFonts w:ascii="Arial" w:hAnsi="Arial" w:cs="Arial"/>
          <w:b/>
          <w:bCs/>
          <w:sz w:val="22"/>
          <w:szCs w:val="22"/>
        </w:rPr>
      </w:pPr>
      <w:r w:rsidRPr="00901AAC">
        <w:rPr>
          <w:rFonts w:ascii="Arial" w:hAnsi="Arial" w:cs="Arial"/>
          <w:b/>
          <w:bCs/>
          <w:sz w:val="22"/>
          <w:szCs w:val="22"/>
        </w:rPr>
        <w:t>Introduction </w:t>
      </w:r>
    </w:p>
    <w:p w14:paraId="57265C6D" w14:textId="624E43AB" w:rsidR="00D67277" w:rsidRPr="00D67277" w:rsidRDefault="00D67277" w:rsidP="00901AAC">
      <w:pPr>
        <w:spacing w:after="0" w:line="360" w:lineRule="auto"/>
        <w:jc w:val="both"/>
        <w:rPr>
          <w:rFonts w:ascii="Arial" w:eastAsia="Times New Roman" w:hAnsi="Arial" w:cs="Arial"/>
          <w:kern w:val="0"/>
          <w:sz w:val="22"/>
          <w:szCs w:val="22"/>
          <w:lang w:eastAsia="en-GB"/>
        </w:rPr>
      </w:pPr>
      <w:r w:rsidRPr="00901AAC">
        <w:rPr>
          <w:rFonts w:ascii="Arial" w:eastAsia="Times New Roman" w:hAnsi="Arial" w:cs="Arial"/>
          <w:kern w:val="0"/>
          <w:sz w:val="22"/>
          <w:szCs w:val="22"/>
          <w:lang w:eastAsia="en-GB"/>
        </w:rPr>
        <w:br/>
      </w:r>
      <w:r w:rsidRPr="00901AAC">
        <w:rPr>
          <w:rFonts w:ascii="Arial" w:eastAsia="Times New Roman" w:hAnsi="Arial" w:cs="Arial"/>
          <w:kern w:val="0"/>
          <w:sz w:val="22"/>
          <w:szCs w:val="22"/>
          <w:lang w:eastAsia="en-GB"/>
        </w:rPr>
        <w:br/>
        <w:t>Digital transformation is becoming crucial in contemporary healthcare systems globally. Telehealth (telemedicine) is a significant advancement that will revolutionise the future of healthcare and social service environments. Telehealth refers to the provision of healthcare services at a distance using internet communication channels. Telehealth encompasses applications such as video consultations, remote monitoring, and mobile health applications. Over the past decade, the utilisation of telehealth services has risen in the United Kingdom. This has been propelled by technological advances, government initiatives, and, particularly, the COVID-19 pandemic, which hastened the adoption of telehealth in conventional healthcare (NHS England, 2019).</w:t>
      </w:r>
      <w:r w:rsidRPr="00901AAC">
        <w:rPr>
          <w:rFonts w:ascii="Arial" w:eastAsia="Times New Roman" w:hAnsi="Arial" w:cs="Arial"/>
          <w:kern w:val="0"/>
          <w:sz w:val="22"/>
          <w:szCs w:val="22"/>
          <w:lang w:eastAsia="en-GB"/>
        </w:rPr>
        <w:br/>
      </w:r>
      <w:r w:rsidRPr="00901AAC">
        <w:rPr>
          <w:rFonts w:ascii="Arial" w:eastAsia="Times New Roman" w:hAnsi="Arial" w:cs="Arial"/>
          <w:kern w:val="0"/>
          <w:sz w:val="22"/>
          <w:szCs w:val="22"/>
          <w:lang w:eastAsia="en-GB"/>
        </w:rPr>
        <w:br/>
        <w:t>This research provides a comprehensive analysis of the deployment and impact of telehealth in the United Kingdom, focusing particularly on the last decade. It analyses the impact of this digital advancement on the evolution of the workforce within the healthcare sector, altered methods of service provision, affected patient perceptions and experiences, and reshaped the dynamics of community health. It examines the advantages of mHealth, such as enhanced accessibility, increased efficiency, and patient empowerment, alongside the obstacles, including the digital divide, apprehensions about data security, and constraints in clinical evaluations.</w:t>
      </w:r>
      <w:r w:rsidRPr="00901AAC">
        <w:rPr>
          <w:rFonts w:ascii="Arial" w:eastAsia="Times New Roman" w:hAnsi="Arial" w:cs="Arial"/>
          <w:kern w:val="0"/>
          <w:sz w:val="22"/>
          <w:szCs w:val="22"/>
          <w:lang w:eastAsia="en-GB"/>
        </w:rPr>
        <w:br/>
      </w:r>
      <w:r w:rsidRPr="00901AAC">
        <w:rPr>
          <w:rFonts w:ascii="Arial" w:eastAsia="Times New Roman" w:hAnsi="Arial" w:cs="Arial"/>
          <w:kern w:val="0"/>
          <w:sz w:val="22"/>
          <w:szCs w:val="22"/>
          <w:lang w:eastAsia="en-GB"/>
        </w:rPr>
        <w:br/>
        <w:t>This research aims to deliver an extensive analysis of the function of telehealth in contemporary health and social care within the United Kingdom, utilising scholarly articles, governmental publications, and case studies. It will also provide perspectives on sectors that require future growth and those that are now thriving.</w:t>
      </w:r>
    </w:p>
    <w:p w14:paraId="232BD2C5" w14:textId="77777777" w:rsidR="00C80D0F" w:rsidRPr="00901AAC" w:rsidRDefault="00C80D0F" w:rsidP="00901AAC">
      <w:pPr>
        <w:spacing w:line="360" w:lineRule="auto"/>
        <w:jc w:val="both"/>
        <w:rPr>
          <w:rFonts w:ascii="Arial" w:hAnsi="Arial" w:cs="Arial"/>
          <w:i/>
          <w:iCs/>
          <w:sz w:val="22"/>
          <w:szCs w:val="22"/>
        </w:rPr>
      </w:pPr>
    </w:p>
    <w:p w14:paraId="3857AC4C" w14:textId="15BC748B" w:rsidR="00C01EFB" w:rsidRPr="00901AAC" w:rsidRDefault="00C80D0F" w:rsidP="00901AAC">
      <w:pPr>
        <w:spacing w:line="360" w:lineRule="auto"/>
        <w:jc w:val="both"/>
        <w:rPr>
          <w:rFonts w:ascii="Arial" w:hAnsi="Arial" w:cs="Arial"/>
          <w:b/>
          <w:bCs/>
          <w:sz w:val="22"/>
          <w:szCs w:val="22"/>
        </w:rPr>
      </w:pPr>
      <w:r w:rsidRPr="00901AAC">
        <w:rPr>
          <w:rFonts w:ascii="Arial" w:hAnsi="Arial" w:cs="Arial"/>
          <w:b/>
          <w:bCs/>
          <w:sz w:val="22"/>
          <w:szCs w:val="22"/>
        </w:rPr>
        <w:t xml:space="preserve">Impact on </w:t>
      </w:r>
      <w:r w:rsidR="00D67277" w:rsidRPr="00901AAC">
        <w:rPr>
          <w:rFonts w:ascii="Arial" w:hAnsi="Arial" w:cs="Arial"/>
          <w:b/>
          <w:bCs/>
          <w:sz w:val="22"/>
          <w:szCs w:val="22"/>
        </w:rPr>
        <w:t>workforce</w:t>
      </w:r>
    </w:p>
    <w:p w14:paraId="550D619D" w14:textId="1679B195" w:rsidR="00C01EFB" w:rsidRPr="00901AAC" w:rsidRDefault="00C01EFB" w:rsidP="00901AAC">
      <w:pPr>
        <w:spacing w:line="360" w:lineRule="auto"/>
        <w:jc w:val="both"/>
        <w:rPr>
          <w:rFonts w:ascii="Arial" w:hAnsi="Arial" w:cs="Arial"/>
          <w:b/>
          <w:bCs/>
          <w:sz w:val="22"/>
          <w:szCs w:val="22"/>
        </w:rPr>
      </w:pPr>
      <w:r w:rsidRPr="00901AAC">
        <w:rPr>
          <w:rFonts w:ascii="Arial" w:hAnsi="Arial" w:cs="Arial"/>
          <w:b/>
          <w:bCs/>
          <w:sz w:val="22"/>
          <w:szCs w:val="22"/>
        </w:rPr>
        <w:t>Changes in Job Roles and Competency Development</w:t>
      </w:r>
    </w:p>
    <w:p w14:paraId="65EB7EB9" w14:textId="2855D176" w:rsidR="00C01EFB" w:rsidRPr="00901AAC" w:rsidRDefault="00C01EFB" w:rsidP="00901AAC">
      <w:pPr>
        <w:spacing w:line="360" w:lineRule="auto"/>
        <w:jc w:val="both"/>
        <w:rPr>
          <w:rFonts w:ascii="Arial" w:hAnsi="Arial" w:cs="Arial"/>
          <w:sz w:val="22"/>
          <w:szCs w:val="22"/>
        </w:rPr>
      </w:pPr>
      <w:r w:rsidRPr="00901AAC">
        <w:rPr>
          <w:rFonts w:ascii="Arial" w:hAnsi="Arial" w:cs="Arial"/>
          <w:sz w:val="22"/>
          <w:szCs w:val="22"/>
        </w:rPr>
        <w:t xml:space="preserve">The introduction of telehealth has resulted in substantial changes to the duties and responsibilities that are held by professionals working in the healthcare industry. The personnel in health and social care traditionally depended significantly on face-to-face </w:t>
      </w:r>
      <w:r w:rsidRPr="00901AAC">
        <w:rPr>
          <w:rFonts w:ascii="Arial" w:hAnsi="Arial" w:cs="Arial"/>
          <w:sz w:val="22"/>
          <w:szCs w:val="22"/>
        </w:rPr>
        <w:t>contact</w:t>
      </w:r>
      <w:r w:rsidRPr="00901AAC">
        <w:rPr>
          <w:rFonts w:ascii="Arial" w:hAnsi="Arial" w:cs="Arial"/>
          <w:sz w:val="22"/>
          <w:szCs w:val="22"/>
        </w:rPr>
        <w:t xml:space="preserve">; </w:t>
      </w:r>
      <w:r w:rsidRPr="00901AAC">
        <w:rPr>
          <w:rFonts w:ascii="Arial" w:hAnsi="Arial" w:cs="Arial"/>
          <w:sz w:val="22"/>
          <w:szCs w:val="22"/>
        </w:rPr>
        <w:lastRenderedPageBreak/>
        <w:t>however, the change towards digital requires new skills in the management of virtual consultations, the interpretation of data from remote monitoring, and the maintenance of patient engagement while working remotely (Greenhalgh et al., 2019).</w:t>
      </w:r>
    </w:p>
    <w:p w14:paraId="67DC75BB" w14:textId="7F516B4A" w:rsidR="00C01EFB" w:rsidRPr="00901AAC" w:rsidRDefault="00C01EFB" w:rsidP="00901AAC">
      <w:pPr>
        <w:spacing w:line="360" w:lineRule="auto"/>
        <w:jc w:val="both"/>
        <w:rPr>
          <w:rFonts w:ascii="Arial" w:hAnsi="Arial" w:cs="Arial"/>
          <w:sz w:val="22"/>
          <w:szCs w:val="22"/>
        </w:rPr>
      </w:pPr>
      <w:r w:rsidRPr="00901AAC">
        <w:rPr>
          <w:rFonts w:ascii="Arial" w:hAnsi="Arial" w:cs="Arial"/>
          <w:sz w:val="22"/>
          <w:szCs w:val="22"/>
        </w:rPr>
        <w:t>As an illustration, nurses have broadened their scope of practice to encompass remote triage, virtual patient education, and digital health monitoring (Greenhalgh et al., 2019). As a result of these developments, nurses are required to increase their digital literacy, which includes being proficient with telehealth platforms, comprehending cybersecurity standards, and adjusting their communication styles to accommodate virtual interactions (Royal College of Nursing, 2020).</w:t>
      </w:r>
    </w:p>
    <w:p w14:paraId="0F9D6379" w14:textId="77777777" w:rsidR="00C01EFB" w:rsidRPr="00901AAC" w:rsidRDefault="00C01EFB" w:rsidP="00901AAC">
      <w:pPr>
        <w:spacing w:line="360" w:lineRule="auto"/>
        <w:jc w:val="both"/>
        <w:rPr>
          <w:rFonts w:ascii="Arial" w:hAnsi="Arial" w:cs="Arial"/>
          <w:sz w:val="22"/>
          <w:szCs w:val="22"/>
        </w:rPr>
      </w:pPr>
      <w:r w:rsidRPr="00901AAC">
        <w:rPr>
          <w:rFonts w:ascii="Arial" w:hAnsi="Arial" w:cs="Arial"/>
          <w:sz w:val="22"/>
          <w:szCs w:val="22"/>
        </w:rPr>
        <w:t>In a similar vein, general practitioners have moved a sizeable percentage of their consultations to the digital realm. It was claimed by the Royal College of General Practitioners (RCGP, 2020) that during the COVID-19 pandemic, more than seventy percent of primary care visits were carried out remotely. This represents a significant rise from the levels that existed before to the pandemic. As a result of this transformation, general practitioners have been challenged to improve diagnostic procedures, understand digital health data, and cultivate rapport through conversations that take place on screens.</w:t>
      </w:r>
    </w:p>
    <w:p w14:paraId="5C789A66" w14:textId="77777777" w:rsidR="00C01EFB" w:rsidRPr="00901AAC" w:rsidRDefault="00C01EFB" w:rsidP="00901AAC">
      <w:pPr>
        <w:spacing w:line="360" w:lineRule="auto"/>
        <w:jc w:val="both"/>
        <w:rPr>
          <w:rFonts w:ascii="Arial" w:hAnsi="Arial" w:cs="Arial"/>
          <w:sz w:val="22"/>
          <w:szCs w:val="22"/>
        </w:rPr>
      </w:pPr>
    </w:p>
    <w:p w14:paraId="2C1E43A2" w14:textId="718DE466" w:rsidR="00C01EFB" w:rsidRPr="00901AAC" w:rsidRDefault="00C01EFB" w:rsidP="00901AAC">
      <w:pPr>
        <w:spacing w:line="360" w:lineRule="auto"/>
        <w:jc w:val="both"/>
        <w:rPr>
          <w:rFonts w:ascii="Arial" w:hAnsi="Arial" w:cs="Arial"/>
          <w:sz w:val="22"/>
          <w:szCs w:val="22"/>
        </w:rPr>
      </w:pPr>
      <w:r w:rsidRPr="00901AAC">
        <w:rPr>
          <w:rFonts w:ascii="Arial" w:hAnsi="Arial" w:cs="Arial"/>
          <w:b/>
          <w:bCs/>
          <w:sz w:val="22"/>
          <w:szCs w:val="22"/>
        </w:rPr>
        <w:t>Training and Professional Development</w:t>
      </w:r>
    </w:p>
    <w:p w14:paraId="6E9B6124" w14:textId="698C8547" w:rsidR="00C01EFB" w:rsidRPr="00901AAC" w:rsidRDefault="00C01EFB" w:rsidP="00901AAC">
      <w:pPr>
        <w:spacing w:line="360" w:lineRule="auto"/>
        <w:jc w:val="both"/>
        <w:rPr>
          <w:rFonts w:ascii="Arial" w:hAnsi="Arial" w:cs="Arial"/>
          <w:sz w:val="22"/>
          <w:szCs w:val="22"/>
        </w:rPr>
      </w:pPr>
      <w:r w:rsidRPr="00901AAC">
        <w:rPr>
          <w:rFonts w:ascii="Arial" w:hAnsi="Arial" w:cs="Arial"/>
          <w:sz w:val="22"/>
          <w:szCs w:val="22"/>
        </w:rPr>
        <w:t xml:space="preserve">This fast spread of telehealth has resulted in an increase in the number of training programs that are designed to provide professionals working in health and social care with the skills they need to do their jobs effectively. A complete set of training courses centred on digital literacy, data security, and remote clinical evaluation </w:t>
      </w:r>
      <w:r w:rsidRPr="00901AAC">
        <w:rPr>
          <w:rFonts w:ascii="Arial" w:hAnsi="Arial" w:cs="Arial"/>
          <w:sz w:val="22"/>
          <w:szCs w:val="22"/>
        </w:rPr>
        <w:t>was</w:t>
      </w:r>
      <w:r w:rsidRPr="00901AAC">
        <w:rPr>
          <w:rFonts w:ascii="Arial" w:hAnsi="Arial" w:cs="Arial"/>
          <w:sz w:val="22"/>
          <w:szCs w:val="22"/>
        </w:rPr>
        <w:t xml:space="preserve"> introduced by the National Health Service Digital Agency in the year 2021. These programmes have the objective of ensuring that the quality of care is consistent across a variety of venues.</w:t>
      </w:r>
    </w:p>
    <w:p w14:paraId="59EA88E1" w14:textId="77777777" w:rsidR="00C01EFB" w:rsidRPr="00901AAC" w:rsidRDefault="00C01EFB" w:rsidP="00901AAC">
      <w:pPr>
        <w:spacing w:line="360" w:lineRule="auto"/>
        <w:jc w:val="both"/>
        <w:rPr>
          <w:rFonts w:ascii="Arial" w:hAnsi="Arial" w:cs="Arial"/>
          <w:sz w:val="22"/>
          <w:szCs w:val="22"/>
        </w:rPr>
      </w:pPr>
      <w:r w:rsidRPr="00901AAC">
        <w:rPr>
          <w:rFonts w:ascii="Arial" w:hAnsi="Arial" w:cs="Arial"/>
          <w:sz w:val="22"/>
          <w:szCs w:val="22"/>
        </w:rPr>
        <w:t>Despite this, there are still significant gaps in the digital abilities of the workers. According to Greenhalgh et al.'s research from 2020, older practitioners or those working in rural areas frequently experience obstacles when it comes to embracing new technology, which can lead to the creation of a digital gap within the workforce. It is necessary to provide focused training programs and continuing assistance in order to address these inequities. This will guarantee that the workforce is prepared and confident in their ability to provide distant care.</w:t>
      </w:r>
    </w:p>
    <w:p w14:paraId="1D56E679" w14:textId="77777777" w:rsidR="00C01EFB" w:rsidRPr="00901AAC" w:rsidRDefault="00C01EFB" w:rsidP="00901AAC">
      <w:pPr>
        <w:spacing w:line="360" w:lineRule="auto"/>
        <w:jc w:val="both"/>
        <w:rPr>
          <w:rFonts w:ascii="Arial" w:hAnsi="Arial" w:cs="Arial"/>
          <w:sz w:val="22"/>
          <w:szCs w:val="22"/>
        </w:rPr>
      </w:pPr>
    </w:p>
    <w:p w14:paraId="32411BE2" w14:textId="77777777" w:rsidR="00901AAC" w:rsidRDefault="00901AAC" w:rsidP="00901AAC">
      <w:pPr>
        <w:spacing w:line="360" w:lineRule="auto"/>
        <w:jc w:val="both"/>
        <w:rPr>
          <w:rFonts w:ascii="Arial" w:hAnsi="Arial" w:cs="Arial"/>
          <w:b/>
          <w:bCs/>
          <w:sz w:val="22"/>
          <w:szCs w:val="22"/>
        </w:rPr>
      </w:pPr>
    </w:p>
    <w:p w14:paraId="15B1199B" w14:textId="77777777" w:rsidR="00901AAC" w:rsidRDefault="00901AAC" w:rsidP="00901AAC">
      <w:pPr>
        <w:spacing w:line="360" w:lineRule="auto"/>
        <w:jc w:val="both"/>
        <w:rPr>
          <w:rFonts w:ascii="Arial" w:hAnsi="Arial" w:cs="Arial"/>
          <w:b/>
          <w:bCs/>
          <w:sz w:val="22"/>
          <w:szCs w:val="22"/>
        </w:rPr>
      </w:pPr>
    </w:p>
    <w:p w14:paraId="56309163" w14:textId="06D7890B" w:rsidR="00C01EFB" w:rsidRPr="00901AAC" w:rsidRDefault="00C01EFB" w:rsidP="00901AAC">
      <w:pPr>
        <w:spacing w:line="360" w:lineRule="auto"/>
        <w:jc w:val="both"/>
        <w:rPr>
          <w:rFonts w:ascii="Arial" w:hAnsi="Arial" w:cs="Arial"/>
          <w:b/>
          <w:bCs/>
          <w:sz w:val="22"/>
          <w:szCs w:val="22"/>
        </w:rPr>
      </w:pPr>
      <w:r w:rsidRPr="00901AAC">
        <w:rPr>
          <w:rFonts w:ascii="Arial" w:hAnsi="Arial" w:cs="Arial"/>
          <w:b/>
          <w:bCs/>
          <w:sz w:val="22"/>
          <w:szCs w:val="22"/>
        </w:rPr>
        <w:t>Impact on Social Care Professionals</w:t>
      </w:r>
    </w:p>
    <w:p w14:paraId="20467861" w14:textId="77777777" w:rsidR="00C01EFB" w:rsidRPr="00901AAC" w:rsidRDefault="00C01EFB" w:rsidP="00901AAC">
      <w:pPr>
        <w:spacing w:line="360" w:lineRule="auto"/>
        <w:jc w:val="both"/>
        <w:rPr>
          <w:rFonts w:ascii="Arial" w:hAnsi="Arial" w:cs="Arial"/>
          <w:sz w:val="22"/>
          <w:szCs w:val="22"/>
        </w:rPr>
      </w:pPr>
      <w:r w:rsidRPr="00901AAC">
        <w:rPr>
          <w:rFonts w:ascii="Arial" w:hAnsi="Arial" w:cs="Arial"/>
          <w:sz w:val="22"/>
          <w:szCs w:val="22"/>
        </w:rPr>
        <w:t>Telehealth has been adopted by social workers and community care providers in order to allow remote assessments, case management, and support planning (Department for Digital, Culture, Media &amp; Sport, 2021). This has had a significant impact on our social care professionals. Through this integration, responsiveness is improved, and travel constraints are reduced, particularly in communities that are located in remote areas. Nevertheless, professionals working in social care frequently lack specialist training in digital technologies, which can impede the successful implementation of telehealth and have an influence on the quality of services provided.</w:t>
      </w:r>
    </w:p>
    <w:p w14:paraId="4A84ECEA" w14:textId="77777777" w:rsidR="00C01EFB" w:rsidRPr="00901AAC" w:rsidRDefault="00C01EFB" w:rsidP="00901AAC">
      <w:pPr>
        <w:spacing w:line="360" w:lineRule="auto"/>
        <w:jc w:val="both"/>
        <w:rPr>
          <w:rFonts w:ascii="Arial" w:hAnsi="Arial" w:cs="Arial"/>
          <w:sz w:val="22"/>
          <w:szCs w:val="22"/>
        </w:rPr>
      </w:pPr>
    </w:p>
    <w:p w14:paraId="4335D7F8" w14:textId="62904CB5" w:rsidR="00C01EFB" w:rsidRPr="00901AAC" w:rsidRDefault="00C01EFB" w:rsidP="00901AAC">
      <w:pPr>
        <w:spacing w:line="360" w:lineRule="auto"/>
        <w:jc w:val="both"/>
        <w:rPr>
          <w:rFonts w:ascii="Arial" w:hAnsi="Arial" w:cs="Arial"/>
          <w:b/>
          <w:bCs/>
          <w:sz w:val="22"/>
          <w:szCs w:val="22"/>
        </w:rPr>
      </w:pPr>
      <w:r w:rsidRPr="00901AAC">
        <w:rPr>
          <w:rFonts w:ascii="Arial" w:hAnsi="Arial" w:cs="Arial"/>
          <w:b/>
          <w:bCs/>
          <w:sz w:val="22"/>
          <w:szCs w:val="22"/>
        </w:rPr>
        <w:t>Challenges and Negative Outcomes</w:t>
      </w:r>
    </w:p>
    <w:p w14:paraId="16C98ABC" w14:textId="158D24F8" w:rsidR="00C01EFB" w:rsidRPr="00901AAC" w:rsidRDefault="00C01EFB" w:rsidP="00901AAC">
      <w:pPr>
        <w:spacing w:line="360" w:lineRule="auto"/>
        <w:jc w:val="both"/>
        <w:rPr>
          <w:rFonts w:ascii="Arial" w:hAnsi="Arial" w:cs="Arial"/>
          <w:sz w:val="22"/>
          <w:szCs w:val="22"/>
        </w:rPr>
      </w:pPr>
      <w:r w:rsidRPr="00901AAC">
        <w:rPr>
          <w:rFonts w:ascii="Arial" w:hAnsi="Arial" w:cs="Arial"/>
          <w:sz w:val="22"/>
          <w:szCs w:val="22"/>
        </w:rPr>
        <w:t xml:space="preserve">Despite the fact that telehealth has expanded the capabilities of the workforce, it also presents </w:t>
      </w:r>
      <w:r w:rsidRPr="00901AAC">
        <w:rPr>
          <w:rFonts w:ascii="Arial" w:hAnsi="Arial" w:cs="Arial"/>
          <w:sz w:val="22"/>
          <w:szCs w:val="22"/>
        </w:rPr>
        <w:t>several</w:t>
      </w:r>
      <w:r w:rsidRPr="00901AAC">
        <w:rPr>
          <w:rFonts w:ascii="Arial" w:hAnsi="Arial" w:cs="Arial"/>
          <w:sz w:val="22"/>
          <w:szCs w:val="22"/>
        </w:rPr>
        <w:t xml:space="preserve"> obstacles, including role ambiguity, greater effort, and technological weariness. According to Greenhalgh et al.'s research from 2020, there are several experts </w:t>
      </w:r>
      <w:r w:rsidRPr="00901AAC">
        <w:rPr>
          <w:rFonts w:ascii="Arial" w:hAnsi="Arial" w:cs="Arial"/>
          <w:sz w:val="22"/>
          <w:szCs w:val="22"/>
        </w:rPr>
        <w:t>who</w:t>
      </w:r>
      <w:r w:rsidRPr="00901AAC">
        <w:rPr>
          <w:rFonts w:ascii="Arial" w:hAnsi="Arial" w:cs="Arial"/>
          <w:sz w:val="22"/>
          <w:szCs w:val="22"/>
        </w:rPr>
        <w:t xml:space="preserve"> express worries over the depersonalisation of treatment, which has the potential to damage therapeutic connections and diminish patient trust. In addition, the strain that is placed on personnel to quickly adapt to digital platforms can result in stress and burnout (NHS Providers, 2021).</w:t>
      </w:r>
    </w:p>
    <w:p w14:paraId="62CFF0E5" w14:textId="77777777" w:rsidR="00C01EFB" w:rsidRPr="00901AAC" w:rsidRDefault="00C01EFB" w:rsidP="00901AAC">
      <w:pPr>
        <w:spacing w:line="360" w:lineRule="auto"/>
        <w:jc w:val="both"/>
        <w:rPr>
          <w:rFonts w:ascii="Arial" w:hAnsi="Arial" w:cs="Arial"/>
          <w:b/>
          <w:bCs/>
          <w:sz w:val="22"/>
          <w:szCs w:val="22"/>
        </w:rPr>
      </w:pPr>
    </w:p>
    <w:p w14:paraId="61241919" w14:textId="77777777" w:rsidR="00C80D0F" w:rsidRPr="00901AAC" w:rsidRDefault="00C80D0F" w:rsidP="00901AAC">
      <w:pPr>
        <w:spacing w:line="360" w:lineRule="auto"/>
        <w:jc w:val="both"/>
        <w:rPr>
          <w:rFonts w:ascii="Arial" w:hAnsi="Arial" w:cs="Arial"/>
          <w:b/>
          <w:bCs/>
          <w:sz w:val="22"/>
          <w:szCs w:val="22"/>
        </w:rPr>
      </w:pPr>
      <w:r w:rsidRPr="00901AAC">
        <w:rPr>
          <w:rFonts w:ascii="Arial" w:hAnsi="Arial" w:cs="Arial"/>
          <w:b/>
          <w:bCs/>
          <w:sz w:val="22"/>
          <w:szCs w:val="22"/>
        </w:rPr>
        <w:t xml:space="preserve">Impact on service delivery </w:t>
      </w:r>
    </w:p>
    <w:p w14:paraId="40E2A7C5" w14:textId="3DB67B18" w:rsidR="00C01EFB" w:rsidRPr="00901AAC" w:rsidRDefault="00C01EFB" w:rsidP="00901AAC">
      <w:pPr>
        <w:spacing w:line="360" w:lineRule="auto"/>
        <w:jc w:val="both"/>
        <w:rPr>
          <w:rFonts w:ascii="Arial" w:hAnsi="Arial" w:cs="Arial"/>
          <w:b/>
          <w:bCs/>
          <w:i/>
          <w:iCs/>
          <w:sz w:val="22"/>
          <w:szCs w:val="22"/>
        </w:rPr>
      </w:pPr>
      <w:r w:rsidRPr="00901AAC">
        <w:rPr>
          <w:rFonts w:ascii="Arial" w:hAnsi="Arial" w:cs="Arial"/>
          <w:b/>
          <w:bCs/>
          <w:i/>
          <w:iCs/>
          <w:sz w:val="22"/>
          <w:szCs w:val="22"/>
        </w:rPr>
        <w:t>Transformation of Daily Healthcare Practices</w:t>
      </w:r>
    </w:p>
    <w:p w14:paraId="219383B5" w14:textId="1C9D0CCE" w:rsidR="00C01EFB" w:rsidRPr="00901AAC" w:rsidRDefault="00C01EFB" w:rsidP="00901AAC">
      <w:pPr>
        <w:spacing w:line="360" w:lineRule="auto"/>
        <w:jc w:val="both"/>
        <w:rPr>
          <w:rFonts w:ascii="Arial" w:hAnsi="Arial" w:cs="Arial"/>
          <w:i/>
          <w:iCs/>
          <w:sz w:val="22"/>
          <w:szCs w:val="22"/>
        </w:rPr>
      </w:pPr>
      <w:r w:rsidRPr="00901AAC">
        <w:rPr>
          <w:rFonts w:ascii="Arial" w:hAnsi="Arial" w:cs="Arial"/>
          <w:i/>
          <w:iCs/>
          <w:sz w:val="22"/>
          <w:szCs w:val="22"/>
        </w:rPr>
        <w:t>Telehealth has transformed standard service provision, facilitating a transition from conventional face-to-face consultations to online sessions. This modification has enhanced adaptability, diminished wait durations, and broadened accessibility, especially in remote regions (NHS England, 2020). The NHS's "Digital First" strategy emphasises virtual consultations as a fundamental aspect of primary care, with more than 70% of GP visits taking place remotely during the pandemic (NHS England, 2020).</w:t>
      </w:r>
    </w:p>
    <w:p w14:paraId="333088BA" w14:textId="77777777" w:rsidR="00C01EFB" w:rsidRPr="00901AAC" w:rsidRDefault="00C01EFB" w:rsidP="00901AAC">
      <w:pPr>
        <w:spacing w:line="360" w:lineRule="auto"/>
        <w:jc w:val="both"/>
        <w:rPr>
          <w:rFonts w:ascii="Arial" w:hAnsi="Arial" w:cs="Arial"/>
          <w:i/>
          <w:iCs/>
          <w:sz w:val="22"/>
          <w:szCs w:val="22"/>
        </w:rPr>
      </w:pPr>
      <w:r w:rsidRPr="00901AAC">
        <w:rPr>
          <w:rFonts w:ascii="Arial" w:hAnsi="Arial" w:cs="Arial"/>
          <w:i/>
          <w:iCs/>
          <w:sz w:val="22"/>
          <w:szCs w:val="22"/>
        </w:rPr>
        <w:t xml:space="preserve">Remote monitoring apparatus for ailments like hypertension, diabetes, and heart failure have improved illness oversight, enabling healthcare professionals to act </w:t>
      </w:r>
      <w:proofErr w:type="spellStart"/>
      <w:r w:rsidRPr="00901AAC">
        <w:rPr>
          <w:rFonts w:ascii="Arial" w:hAnsi="Arial" w:cs="Arial"/>
          <w:i/>
          <w:iCs/>
          <w:sz w:val="22"/>
          <w:szCs w:val="22"/>
        </w:rPr>
        <w:t>preemptively</w:t>
      </w:r>
      <w:proofErr w:type="spellEnd"/>
      <w:r w:rsidRPr="00901AAC">
        <w:rPr>
          <w:rFonts w:ascii="Arial" w:hAnsi="Arial" w:cs="Arial"/>
          <w:i/>
          <w:iCs/>
          <w:sz w:val="22"/>
          <w:szCs w:val="22"/>
        </w:rPr>
        <w:t xml:space="preserve"> and diminish hospitalisations (</w:t>
      </w:r>
      <w:proofErr w:type="spellStart"/>
      <w:r w:rsidRPr="00901AAC">
        <w:rPr>
          <w:rFonts w:ascii="Arial" w:hAnsi="Arial" w:cs="Arial"/>
          <w:i/>
          <w:iCs/>
          <w:sz w:val="22"/>
          <w:szCs w:val="22"/>
        </w:rPr>
        <w:t>Kitsiou</w:t>
      </w:r>
      <w:proofErr w:type="spellEnd"/>
      <w:r w:rsidRPr="00901AAC">
        <w:rPr>
          <w:rFonts w:ascii="Arial" w:hAnsi="Arial" w:cs="Arial"/>
          <w:i/>
          <w:iCs/>
          <w:sz w:val="22"/>
          <w:szCs w:val="22"/>
        </w:rPr>
        <w:t xml:space="preserve"> et al., 2017).</w:t>
      </w:r>
    </w:p>
    <w:p w14:paraId="67FA1678" w14:textId="77777777" w:rsidR="00C01EFB" w:rsidRPr="00901AAC" w:rsidRDefault="00C01EFB" w:rsidP="00901AAC">
      <w:pPr>
        <w:spacing w:line="360" w:lineRule="auto"/>
        <w:jc w:val="both"/>
        <w:rPr>
          <w:rFonts w:ascii="Arial" w:hAnsi="Arial" w:cs="Arial"/>
          <w:i/>
          <w:iCs/>
          <w:sz w:val="22"/>
          <w:szCs w:val="22"/>
        </w:rPr>
      </w:pPr>
    </w:p>
    <w:p w14:paraId="3ACAEBFC" w14:textId="77777777" w:rsidR="00901AAC" w:rsidRDefault="00901AAC" w:rsidP="00901AAC">
      <w:pPr>
        <w:spacing w:line="360" w:lineRule="auto"/>
        <w:jc w:val="both"/>
        <w:rPr>
          <w:rFonts w:ascii="Arial" w:hAnsi="Arial" w:cs="Arial"/>
          <w:b/>
          <w:bCs/>
          <w:i/>
          <w:iCs/>
          <w:sz w:val="22"/>
          <w:szCs w:val="22"/>
        </w:rPr>
      </w:pPr>
    </w:p>
    <w:p w14:paraId="5C2F2D0C" w14:textId="46300209" w:rsidR="00C01EFB" w:rsidRPr="00901AAC" w:rsidRDefault="00C01EFB" w:rsidP="00901AAC">
      <w:pPr>
        <w:spacing w:line="360" w:lineRule="auto"/>
        <w:jc w:val="both"/>
        <w:rPr>
          <w:rFonts w:ascii="Arial" w:hAnsi="Arial" w:cs="Arial"/>
          <w:b/>
          <w:bCs/>
          <w:i/>
          <w:iCs/>
          <w:sz w:val="22"/>
          <w:szCs w:val="22"/>
        </w:rPr>
      </w:pPr>
      <w:r w:rsidRPr="00901AAC">
        <w:rPr>
          <w:rFonts w:ascii="Arial" w:hAnsi="Arial" w:cs="Arial"/>
          <w:b/>
          <w:bCs/>
          <w:i/>
          <w:iCs/>
          <w:sz w:val="22"/>
          <w:szCs w:val="22"/>
        </w:rPr>
        <w:t>Efficiency and Cost-Effectiveness</w:t>
      </w:r>
    </w:p>
    <w:p w14:paraId="18E00EF0" w14:textId="77777777" w:rsidR="00C01EFB" w:rsidRPr="00901AAC" w:rsidRDefault="00C01EFB" w:rsidP="00901AAC">
      <w:pPr>
        <w:spacing w:line="360" w:lineRule="auto"/>
        <w:jc w:val="both"/>
        <w:rPr>
          <w:rFonts w:ascii="Arial" w:hAnsi="Arial" w:cs="Arial"/>
          <w:i/>
          <w:iCs/>
          <w:sz w:val="22"/>
          <w:szCs w:val="22"/>
        </w:rPr>
      </w:pPr>
      <w:r w:rsidRPr="00901AAC">
        <w:rPr>
          <w:rFonts w:ascii="Arial" w:hAnsi="Arial" w:cs="Arial"/>
          <w:i/>
          <w:iCs/>
          <w:sz w:val="22"/>
          <w:szCs w:val="22"/>
        </w:rPr>
        <w:t>Research indicates that telemedicine enhances operational efficacy and diminishes expenses. The Department of Health and Social Care (2018) indicates that digital consultations have resulted in yearly savings of millions by reducing administrative costs and travel expenditures for patients. Additionally, remote triage systems optimise patient movement, emphasising critical cases and minimising superfluous hospital visits.</w:t>
      </w:r>
    </w:p>
    <w:p w14:paraId="66A9BE0A" w14:textId="77777777" w:rsidR="00C01EFB" w:rsidRPr="00901AAC" w:rsidRDefault="00C01EFB" w:rsidP="00901AAC">
      <w:pPr>
        <w:spacing w:line="360" w:lineRule="auto"/>
        <w:jc w:val="both"/>
        <w:rPr>
          <w:rFonts w:ascii="Arial" w:hAnsi="Arial" w:cs="Arial"/>
          <w:i/>
          <w:iCs/>
          <w:sz w:val="22"/>
          <w:szCs w:val="22"/>
        </w:rPr>
      </w:pPr>
    </w:p>
    <w:p w14:paraId="418FDA2D" w14:textId="517AE570" w:rsidR="00C01EFB" w:rsidRPr="00901AAC" w:rsidRDefault="00C01EFB" w:rsidP="00901AAC">
      <w:pPr>
        <w:spacing w:line="360" w:lineRule="auto"/>
        <w:jc w:val="both"/>
        <w:rPr>
          <w:rFonts w:ascii="Arial" w:hAnsi="Arial" w:cs="Arial"/>
          <w:b/>
          <w:bCs/>
          <w:i/>
          <w:iCs/>
          <w:sz w:val="22"/>
          <w:szCs w:val="22"/>
        </w:rPr>
      </w:pPr>
      <w:r w:rsidRPr="00901AAC">
        <w:rPr>
          <w:rFonts w:ascii="Arial" w:hAnsi="Arial" w:cs="Arial"/>
          <w:b/>
          <w:bCs/>
          <w:i/>
          <w:iCs/>
          <w:sz w:val="22"/>
          <w:szCs w:val="22"/>
        </w:rPr>
        <w:t>Quality and Safety Concerns</w:t>
      </w:r>
    </w:p>
    <w:p w14:paraId="2FB18D93" w14:textId="72C0D339" w:rsidR="00C01EFB" w:rsidRPr="00901AAC" w:rsidRDefault="00C01EFB" w:rsidP="00901AAC">
      <w:pPr>
        <w:spacing w:line="360" w:lineRule="auto"/>
        <w:jc w:val="both"/>
        <w:rPr>
          <w:rFonts w:ascii="Arial" w:hAnsi="Arial" w:cs="Arial"/>
          <w:i/>
          <w:iCs/>
          <w:sz w:val="22"/>
          <w:szCs w:val="22"/>
        </w:rPr>
      </w:pPr>
      <w:r w:rsidRPr="00901AAC">
        <w:rPr>
          <w:rFonts w:ascii="Arial" w:hAnsi="Arial" w:cs="Arial"/>
          <w:i/>
          <w:iCs/>
          <w:sz w:val="22"/>
          <w:szCs w:val="22"/>
        </w:rPr>
        <w:t>Notwithstanding these advantages, apprehensions regarding clinical safety endure. The lack of capability to conduct physical assessments may restrict diagnostic precision, particularly in intricate situations. Dorsey and Topol (2016) warn that the efficacy of telehealth differs depending on the ailment, highlighting the necessity of suitable case selection.</w:t>
      </w:r>
    </w:p>
    <w:p w14:paraId="499104A9" w14:textId="77777777" w:rsidR="00C01EFB" w:rsidRPr="00901AAC" w:rsidRDefault="00C01EFB" w:rsidP="00901AAC">
      <w:pPr>
        <w:spacing w:line="360" w:lineRule="auto"/>
        <w:jc w:val="both"/>
        <w:rPr>
          <w:rFonts w:ascii="Arial" w:hAnsi="Arial" w:cs="Arial"/>
          <w:i/>
          <w:iCs/>
          <w:sz w:val="22"/>
          <w:szCs w:val="22"/>
        </w:rPr>
      </w:pPr>
      <w:r w:rsidRPr="00901AAC">
        <w:rPr>
          <w:rFonts w:ascii="Arial" w:hAnsi="Arial" w:cs="Arial"/>
          <w:i/>
          <w:iCs/>
          <w:sz w:val="22"/>
          <w:szCs w:val="22"/>
        </w:rPr>
        <w:t>Cybersecurity vulnerabilities, technology incompatibilities, and data breaches pose significant hazards to service integrity (NHS Digital, 2021). Prioritising strong security protocols and interoperability benchmarks is essential for the continued provision of digital services.</w:t>
      </w:r>
    </w:p>
    <w:p w14:paraId="5B6CB371" w14:textId="77777777" w:rsidR="00C01EFB" w:rsidRPr="00901AAC" w:rsidRDefault="00C01EFB" w:rsidP="00901AAC">
      <w:pPr>
        <w:spacing w:line="360" w:lineRule="auto"/>
        <w:jc w:val="both"/>
        <w:rPr>
          <w:rFonts w:ascii="Arial" w:hAnsi="Arial" w:cs="Arial"/>
          <w:i/>
          <w:iCs/>
          <w:sz w:val="22"/>
          <w:szCs w:val="22"/>
        </w:rPr>
      </w:pPr>
    </w:p>
    <w:p w14:paraId="75C2F469" w14:textId="6A74343B" w:rsidR="00C01EFB" w:rsidRPr="00901AAC" w:rsidRDefault="00C01EFB" w:rsidP="00901AAC">
      <w:pPr>
        <w:spacing w:line="360" w:lineRule="auto"/>
        <w:jc w:val="both"/>
        <w:rPr>
          <w:rFonts w:ascii="Arial" w:hAnsi="Arial" w:cs="Arial"/>
          <w:b/>
          <w:bCs/>
          <w:i/>
          <w:iCs/>
          <w:sz w:val="22"/>
          <w:szCs w:val="22"/>
        </w:rPr>
      </w:pPr>
      <w:r w:rsidRPr="00901AAC">
        <w:rPr>
          <w:rFonts w:ascii="Arial" w:hAnsi="Arial" w:cs="Arial"/>
          <w:b/>
          <w:bCs/>
          <w:i/>
          <w:iCs/>
          <w:sz w:val="22"/>
          <w:szCs w:val="22"/>
        </w:rPr>
        <w:t>Accessibility and Equity</w:t>
      </w:r>
    </w:p>
    <w:p w14:paraId="7E1D5428" w14:textId="739213EF" w:rsidR="00C80D0F" w:rsidRPr="00901AAC" w:rsidRDefault="00C01EFB" w:rsidP="00901AAC">
      <w:pPr>
        <w:spacing w:line="360" w:lineRule="auto"/>
        <w:jc w:val="both"/>
        <w:rPr>
          <w:rFonts w:ascii="Arial" w:hAnsi="Arial" w:cs="Arial"/>
          <w:b/>
          <w:bCs/>
          <w:sz w:val="22"/>
          <w:szCs w:val="22"/>
        </w:rPr>
      </w:pPr>
      <w:r w:rsidRPr="00901AAC">
        <w:rPr>
          <w:rFonts w:ascii="Arial" w:hAnsi="Arial" w:cs="Arial"/>
          <w:i/>
          <w:iCs/>
          <w:sz w:val="22"/>
          <w:szCs w:val="22"/>
        </w:rPr>
        <w:t xml:space="preserve">Although telehealth improves accessibility for numerous individuals, it intensifies disparities for those lacking digital access. Inadequate broadband access, insufficient digital proficiency, and a scarcity of devices impede engagement among at-risk populations, including the elderly and economically disadvantaged individuals (UK Government, 2021). The Digital Strategy of the UK Government (2021) underscores the necessity of tackling these inequalities to provide fair health </w:t>
      </w:r>
      <w:r w:rsidRPr="00901AAC">
        <w:rPr>
          <w:rFonts w:ascii="Arial" w:hAnsi="Arial" w:cs="Arial"/>
          <w:i/>
          <w:iCs/>
          <w:sz w:val="22"/>
          <w:szCs w:val="22"/>
        </w:rPr>
        <w:t>outcomes</w:t>
      </w:r>
      <w:r w:rsidRPr="00901AAC">
        <w:rPr>
          <w:rFonts w:ascii="Arial" w:hAnsi="Arial" w:cs="Arial"/>
          <w:i/>
          <w:iCs/>
          <w:sz w:val="22"/>
          <w:szCs w:val="22"/>
        </w:rPr>
        <w:t>.</w:t>
      </w:r>
    </w:p>
    <w:p w14:paraId="46327300" w14:textId="77777777" w:rsidR="00C80D0F" w:rsidRPr="00901AAC" w:rsidRDefault="00C80D0F" w:rsidP="00901AAC">
      <w:pPr>
        <w:spacing w:line="360" w:lineRule="auto"/>
        <w:jc w:val="both"/>
        <w:rPr>
          <w:rFonts w:ascii="Arial" w:hAnsi="Arial" w:cs="Arial"/>
          <w:b/>
          <w:bCs/>
          <w:sz w:val="22"/>
          <w:szCs w:val="22"/>
        </w:rPr>
      </w:pPr>
      <w:r w:rsidRPr="00901AAC">
        <w:rPr>
          <w:rFonts w:ascii="Arial" w:hAnsi="Arial" w:cs="Arial"/>
          <w:b/>
          <w:bCs/>
          <w:sz w:val="22"/>
          <w:szCs w:val="22"/>
        </w:rPr>
        <w:t xml:space="preserve">Impact on patients </w:t>
      </w:r>
    </w:p>
    <w:p w14:paraId="3890AA63" w14:textId="1426CD51" w:rsidR="00901AAC" w:rsidRPr="00901AAC" w:rsidRDefault="00901AAC" w:rsidP="00901AAC">
      <w:pPr>
        <w:spacing w:before="100" w:beforeAutospacing="1" w:after="100" w:afterAutospacing="1" w:line="360" w:lineRule="auto"/>
        <w:jc w:val="both"/>
        <w:rPr>
          <w:rFonts w:ascii="Arial" w:eastAsia="Times New Roman" w:hAnsi="Arial" w:cs="Arial"/>
          <w:b/>
          <w:bCs/>
          <w:kern w:val="0"/>
          <w:sz w:val="22"/>
          <w:szCs w:val="22"/>
          <w:lang w:eastAsia="en-GB"/>
        </w:rPr>
      </w:pPr>
      <w:r w:rsidRPr="00901AAC">
        <w:rPr>
          <w:rFonts w:ascii="Arial" w:eastAsia="Times New Roman" w:hAnsi="Arial" w:cs="Arial"/>
          <w:b/>
          <w:bCs/>
          <w:kern w:val="0"/>
          <w:sz w:val="22"/>
          <w:szCs w:val="22"/>
          <w:lang w:eastAsia="en-GB"/>
        </w:rPr>
        <w:t>Perceptions and Experiences</w:t>
      </w:r>
    </w:p>
    <w:p w14:paraId="20E57A93" w14:textId="77777777" w:rsidR="00901AAC" w:rsidRPr="00901AAC" w:rsidRDefault="00901AAC" w:rsidP="00901AAC">
      <w:pPr>
        <w:spacing w:before="100" w:beforeAutospacing="1" w:after="100" w:afterAutospacing="1" w:line="360" w:lineRule="auto"/>
        <w:jc w:val="both"/>
        <w:rPr>
          <w:rFonts w:ascii="Arial" w:eastAsia="Times New Roman" w:hAnsi="Arial" w:cs="Arial"/>
          <w:kern w:val="0"/>
          <w:sz w:val="22"/>
          <w:szCs w:val="22"/>
          <w:lang w:eastAsia="en-GB"/>
        </w:rPr>
      </w:pPr>
      <w:r w:rsidRPr="00901AAC">
        <w:rPr>
          <w:rFonts w:ascii="Arial" w:eastAsia="Times New Roman" w:hAnsi="Arial" w:cs="Arial"/>
          <w:kern w:val="0"/>
          <w:sz w:val="22"/>
          <w:szCs w:val="22"/>
          <w:lang w:eastAsia="en-GB"/>
        </w:rPr>
        <w:t>Patients generally perceive telehealth positively, citing convenience, reduced travel, and shorter waiting times (Care Quality Commission, 2020). A survey found that 78% of UK patients appreciated the ease of virtual appointments, with many feeling more involved in their care (NHS Digital, 2022).</w:t>
      </w:r>
    </w:p>
    <w:p w14:paraId="1E9C0E61" w14:textId="616CACC3" w:rsidR="00901AAC" w:rsidRPr="00901AAC" w:rsidRDefault="00901AAC" w:rsidP="00901AAC">
      <w:pPr>
        <w:spacing w:before="100" w:beforeAutospacing="1" w:after="100" w:afterAutospacing="1" w:line="360" w:lineRule="auto"/>
        <w:jc w:val="both"/>
        <w:rPr>
          <w:rFonts w:ascii="Arial" w:eastAsia="Times New Roman" w:hAnsi="Arial" w:cs="Arial"/>
          <w:b/>
          <w:bCs/>
          <w:kern w:val="0"/>
          <w:sz w:val="22"/>
          <w:szCs w:val="22"/>
          <w:lang w:eastAsia="en-GB"/>
        </w:rPr>
      </w:pPr>
      <w:r w:rsidRPr="00901AAC">
        <w:rPr>
          <w:rFonts w:ascii="Arial" w:eastAsia="Times New Roman" w:hAnsi="Arial" w:cs="Arial"/>
          <w:b/>
          <w:bCs/>
          <w:kern w:val="0"/>
          <w:sz w:val="22"/>
          <w:szCs w:val="22"/>
          <w:lang w:eastAsia="en-GB"/>
        </w:rPr>
        <w:lastRenderedPageBreak/>
        <w:t>Engagement and Autonomy</w:t>
      </w:r>
    </w:p>
    <w:p w14:paraId="63E062D2" w14:textId="77777777" w:rsidR="00901AAC" w:rsidRPr="00901AAC" w:rsidRDefault="00901AAC" w:rsidP="00901AAC">
      <w:pPr>
        <w:spacing w:before="100" w:beforeAutospacing="1" w:after="100" w:afterAutospacing="1" w:line="360" w:lineRule="auto"/>
        <w:jc w:val="both"/>
        <w:rPr>
          <w:rFonts w:ascii="Arial" w:eastAsia="Times New Roman" w:hAnsi="Arial" w:cs="Arial"/>
          <w:kern w:val="0"/>
          <w:sz w:val="22"/>
          <w:szCs w:val="22"/>
          <w:lang w:eastAsia="en-GB"/>
        </w:rPr>
      </w:pPr>
      <w:r w:rsidRPr="00901AAC">
        <w:rPr>
          <w:rFonts w:ascii="Arial" w:eastAsia="Times New Roman" w:hAnsi="Arial" w:cs="Arial"/>
          <w:kern w:val="0"/>
          <w:sz w:val="22"/>
          <w:szCs w:val="22"/>
          <w:lang w:eastAsia="en-GB"/>
        </w:rPr>
        <w:t>Digital tools foster increased patient engagement by enabling self-monitoring and asynchronous communication with clinicians. The NHS’s Digital Inclusion Strategy (2021) underscores that empowered patients often have better adherence and health outcomes.</w:t>
      </w:r>
    </w:p>
    <w:p w14:paraId="323C0C59" w14:textId="7BE596F7" w:rsidR="00901AAC" w:rsidRPr="00901AAC" w:rsidRDefault="00901AAC" w:rsidP="00901AAC">
      <w:pPr>
        <w:spacing w:before="100" w:beforeAutospacing="1" w:after="100" w:afterAutospacing="1" w:line="360" w:lineRule="auto"/>
        <w:jc w:val="both"/>
        <w:rPr>
          <w:rFonts w:ascii="Arial" w:eastAsia="Times New Roman" w:hAnsi="Arial" w:cs="Arial"/>
          <w:b/>
          <w:bCs/>
          <w:kern w:val="0"/>
          <w:sz w:val="22"/>
          <w:szCs w:val="22"/>
          <w:lang w:eastAsia="en-GB"/>
        </w:rPr>
      </w:pPr>
      <w:r w:rsidRPr="00901AAC">
        <w:rPr>
          <w:rFonts w:ascii="Arial" w:eastAsia="Times New Roman" w:hAnsi="Arial" w:cs="Arial"/>
          <w:b/>
          <w:bCs/>
          <w:kern w:val="0"/>
          <w:sz w:val="22"/>
          <w:szCs w:val="22"/>
          <w:lang w:eastAsia="en-GB"/>
        </w:rPr>
        <w:t>Challenges and Limitations</w:t>
      </w:r>
    </w:p>
    <w:p w14:paraId="44B2880D" w14:textId="77777777" w:rsidR="00901AAC" w:rsidRPr="00901AAC" w:rsidRDefault="00901AAC" w:rsidP="00901AAC">
      <w:pPr>
        <w:spacing w:before="100" w:beforeAutospacing="1" w:after="100" w:afterAutospacing="1" w:line="360" w:lineRule="auto"/>
        <w:jc w:val="both"/>
        <w:rPr>
          <w:rFonts w:ascii="Arial" w:eastAsia="Times New Roman" w:hAnsi="Arial" w:cs="Arial"/>
          <w:kern w:val="0"/>
          <w:sz w:val="22"/>
          <w:szCs w:val="22"/>
          <w:lang w:eastAsia="en-GB"/>
        </w:rPr>
      </w:pPr>
      <w:r w:rsidRPr="00901AAC">
        <w:rPr>
          <w:rFonts w:ascii="Arial" w:eastAsia="Times New Roman" w:hAnsi="Arial" w:cs="Arial"/>
          <w:kern w:val="0"/>
          <w:sz w:val="22"/>
          <w:szCs w:val="22"/>
          <w:lang w:eastAsia="en-GB"/>
        </w:rPr>
        <w:t>Despite these benefits, some patients report dissatisfaction due to technological difficulties, privacy concerns, and the lack of physical assessments. Older adults and those with cognitive impairments may find digital platforms challenging, leading to frustration and reduced satisfaction (Greenhalgh et al., 2020).</w:t>
      </w:r>
    </w:p>
    <w:p w14:paraId="101A2CC6" w14:textId="77777777" w:rsidR="00901AAC" w:rsidRPr="00901AAC" w:rsidRDefault="00901AAC" w:rsidP="00901AAC">
      <w:pPr>
        <w:spacing w:before="100" w:beforeAutospacing="1" w:after="100" w:afterAutospacing="1" w:line="360" w:lineRule="auto"/>
        <w:jc w:val="both"/>
        <w:rPr>
          <w:rFonts w:ascii="Arial" w:eastAsia="Times New Roman" w:hAnsi="Arial" w:cs="Arial"/>
          <w:kern w:val="0"/>
          <w:sz w:val="22"/>
          <w:szCs w:val="22"/>
          <w:lang w:eastAsia="en-GB"/>
        </w:rPr>
      </w:pPr>
      <w:r w:rsidRPr="00901AAC">
        <w:rPr>
          <w:rFonts w:ascii="Arial" w:eastAsia="Times New Roman" w:hAnsi="Arial" w:cs="Arial"/>
          <w:kern w:val="0"/>
          <w:sz w:val="22"/>
          <w:szCs w:val="22"/>
          <w:lang w:eastAsia="en-GB"/>
        </w:rPr>
        <w:t>Furthermore, the depersonalisation of care can diminish therapeutic rapport, potentially impacting trust and patient satisfaction. Balancing virtual and in-person services remains critical for holistic care (King’s Fund, 2021).</w:t>
      </w:r>
    </w:p>
    <w:p w14:paraId="5734576F" w14:textId="71F54F5E" w:rsidR="00901AAC" w:rsidRPr="00901AAC" w:rsidRDefault="00901AAC" w:rsidP="00901AAC">
      <w:pPr>
        <w:spacing w:before="100" w:beforeAutospacing="1" w:after="100" w:afterAutospacing="1" w:line="360" w:lineRule="auto"/>
        <w:jc w:val="both"/>
        <w:rPr>
          <w:rFonts w:ascii="Arial" w:eastAsia="Times New Roman" w:hAnsi="Arial" w:cs="Arial"/>
          <w:b/>
          <w:bCs/>
          <w:kern w:val="0"/>
          <w:sz w:val="22"/>
          <w:szCs w:val="22"/>
          <w:lang w:eastAsia="en-GB"/>
        </w:rPr>
      </w:pPr>
      <w:r w:rsidRPr="00901AAC">
        <w:rPr>
          <w:rFonts w:ascii="Arial" w:eastAsia="Times New Roman" w:hAnsi="Arial" w:cs="Arial"/>
          <w:b/>
          <w:bCs/>
          <w:kern w:val="0"/>
          <w:sz w:val="22"/>
          <w:szCs w:val="22"/>
          <w:lang w:eastAsia="en-GB"/>
        </w:rPr>
        <w:t>Impact During the Pandemic</w:t>
      </w:r>
    </w:p>
    <w:p w14:paraId="0E0B1D50" w14:textId="77777777" w:rsidR="00901AAC" w:rsidRPr="00901AAC" w:rsidRDefault="00901AAC" w:rsidP="00901AAC">
      <w:pPr>
        <w:spacing w:before="100" w:beforeAutospacing="1" w:after="100" w:afterAutospacing="1" w:line="360" w:lineRule="auto"/>
        <w:jc w:val="both"/>
        <w:rPr>
          <w:rFonts w:ascii="Arial" w:eastAsia="Times New Roman" w:hAnsi="Arial" w:cs="Arial"/>
          <w:kern w:val="0"/>
          <w:sz w:val="22"/>
          <w:szCs w:val="22"/>
          <w:lang w:eastAsia="en-GB"/>
        </w:rPr>
      </w:pPr>
      <w:r w:rsidRPr="00901AAC">
        <w:rPr>
          <w:rFonts w:ascii="Arial" w:eastAsia="Times New Roman" w:hAnsi="Arial" w:cs="Arial"/>
          <w:kern w:val="0"/>
          <w:sz w:val="22"/>
          <w:szCs w:val="22"/>
          <w:lang w:eastAsia="en-GB"/>
        </w:rPr>
        <w:t>During COVID-19, telehealth became a necessity, enabling continued access to care while minimising infection risk. Patients appreciated safety and convenience but voiced concerns about the limitations of remote consultations (NHS England, 2020).</w:t>
      </w:r>
    </w:p>
    <w:p w14:paraId="5B702D53" w14:textId="1CCB9853" w:rsidR="00901AAC" w:rsidRPr="00901AAC" w:rsidRDefault="00901AAC" w:rsidP="00901AAC">
      <w:pPr>
        <w:spacing w:before="100" w:beforeAutospacing="1" w:after="100" w:afterAutospacing="1" w:line="360" w:lineRule="auto"/>
        <w:jc w:val="both"/>
        <w:rPr>
          <w:rFonts w:ascii="Arial" w:eastAsia="Times New Roman" w:hAnsi="Arial" w:cs="Arial"/>
          <w:b/>
          <w:bCs/>
          <w:kern w:val="0"/>
          <w:sz w:val="22"/>
          <w:szCs w:val="22"/>
          <w:lang w:eastAsia="en-GB"/>
        </w:rPr>
      </w:pPr>
      <w:r w:rsidRPr="00901AAC">
        <w:rPr>
          <w:rFonts w:ascii="Arial" w:eastAsia="Times New Roman" w:hAnsi="Arial" w:cs="Arial"/>
          <w:b/>
          <w:bCs/>
          <w:kern w:val="0"/>
          <w:sz w:val="22"/>
          <w:szCs w:val="22"/>
          <w:lang w:eastAsia="en-GB"/>
        </w:rPr>
        <w:t>Negative Outcomes</w:t>
      </w:r>
    </w:p>
    <w:p w14:paraId="7987A9E2" w14:textId="77777777" w:rsidR="00901AAC" w:rsidRPr="00901AAC" w:rsidRDefault="00901AAC" w:rsidP="00901AAC">
      <w:pPr>
        <w:spacing w:before="100" w:beforeAutospacing="1" w:after="100" w:afterAutospacing="1" w:line="360" w:lineRule="auto"/>
        <w:jc w:val="both"/>
        <w:rPr>
          <w:rFonts w:ascii="Arial" w:eastAsia="Times New Roman" w:hAnsi="Arial" w:cs="Arial"/>
          <w:kern w:val="0"/>
          <w:sz w:val="22"/>
          <w:szCs w:val="22"/>
          <w:lang w:eastAsia="en-GB"/>
        </w:rPr>
      </w:pPr>
      <w:r w:rsidRPr="00901AAC">
        <w:rPr>
          <w:rFonts w:ascii="Arial" w:eastAsia="Times New Roman" w:hAnsi="Arial" w:cs="Arial"/>
          <w:kern w:val="0"/>
          <w:sz w:val="22"/>
          <w:szCs w:val="22"/>
          <w:lang w:eastAsia="en-GB"/>
        </w:rPr>
        <w:t>Risks include misdiagnoses, delayed treatments, and increased anxiety among patients experiencing technical failures or data breaches. Ensuring digital literacy and safeguarding privacy are vital to mitigate these risks.</w:t>
      </w:r>
    </w:p>
    <w:p w14:paraId="7E860150" w14:textId="77777777" w:rsidR="00C80D0F" w:rsidRPr="00901AAC" w:rsidRDefault="00C80D0F" w:rsidP="00901AAC">
      <w:pPr>
        <w:spacing w:line="360" w:lineRule="auto"/>
        <w:jc w:val="both"/>
        <w:rPr>
          <w:rFonts w:ascii="Arial" w:hAnsi="Arial" w:cs="Arial"/>
          <w:b/>
          <w:bCs/>
          <w:i/>
          <w:iCs/>
          <w:sz w:val="22"/>
          <w:szCs w:val="22"/>
        </w:rPr>
      </w:pPr>
    </w:p>
    <w:p w14:paraId="75ED4894" w14:textId="77777777" w:rsidR="00C80D0F" w:rsidRPr="00901AAC" w:rsidRDefault="00C80D0F" w:rsidP="00901AAC">
      <w:pPr>
        <w:spacing w:line="360" w:lineRule="auto"/>
        <w:jc w:val="both"/>
        <w:rPr>
          <w:rFonts w:ascii="Arial" w:hAnsi="Arial" w:cs="Arial"/>
          <w:b/>
          <w:bCs/>
          <w:sz w:val="22"/>
          <w:szCs w:val="22"/>
        </w:rPr>
      </w:pPr>
      <w:r w:rsidRPr="00901AAC">
        <w:rPr>
          <w:rFonts w:ascii="Arial" w:hAnsi="Arial" w:cs="Arial"/>
          <w:b/>
          <w:bCs/>
          <w:sz w:val="22"/>
          <w:szCs w:val="22"/>
        </w:rPr>
        <w:t xml:space="preserve">Impact on community </w:t>
      </w:r>
    </w:p>
    <w:p w14:paraId="1D9BA35E" w14:textId="77777777" w:rsidR="00901AAC" w:rsidRPr="00901AAC" w:rsidRDefault="00901AAC" w:rsidP="00901AAC">
      <w:pPr>
        <w:spacing w:before="100" w:beforeAutospacing="1" w:after="100" w:afterAutospacing="1" w:line="360" w:lineRule="auto"/>
        <w:jc w:val="both"/>
        <w:rPr>
          <w:rFonts w:ascii="Arial" w:eastAsia="Times New Roman" w:hAnsi="Arial" w:cs="Arial"/>
          <w:b/>
          <w:bCs/>
          <w:kern w:val="0"/>
          <w:sz w:val="22"/>
          <w:szCs w:val="22"/>
          <w:lang w:eastAsia="en-GB"/>
        </w:rPr>
      </w:pPr>
      <w:r w:rsidRPr="00901AAC">
        <w:rPr>
          <w:rFonts w:ascii="Arial" w:eastAsia="Times New Roman" w:hAnsi="Arial" w:cs="Arial"/>
          <w:b/>
          <w:bCs/>
          <w:kern w:val="0"/>
          <w:sz w:val="22"/>
          <w:szCs w:val="22"/>
          <w:lang w:eastAsia="en-GB"/>
        </w:rPr>
        <w:t>Service and Patient Location</w:t>
      </w:r>
    </w:p>
    <w:p w14:paraId="76D705F1" w14:textId="77777777" w:rsidR="00901AAC" w:rsidRPr="00901AAC" w:rsidRDefault="00901AAC" w:rsidP="00901AAC">
      <w:pPr>
        <w:spacing w:before="100" w:beforeAutospacing="1" w:after="100" w:afterAutospacing="1" w:line="360" w:lineRule="auto"/>
        <w:jc w:val="both"/>
        <w:rPr>
          <w:rFonts w:ascii="Arial" w:eastAsia="Times New Roman" w:hAnsi="Arial" w:cs="Arial"/>
          <w:kern w:val="0"/>
          <w:sz w:val="22"/>
          <w:szCs w:val="22"/>
          <w:lang w:eastAsia="en-GB"/>
        </w:rPr>
      </w:pPr>
      <w:r w:rsidRPr="00901AAC">
        <w:rPr>
          <w:rFonts w:ascii="Arial" w:eastAsia="Times New Roman" w:hAnsi="Arial" w:cs="Arial"/>
          <w:kern w:val="0"/>
          <w:sz w:val="22"/>
          <w:szCs w:val="22"/>
          <w:lang w:eastAsia="en-GB"/>
        </w:rPr>
        <w:t>Telehealth has shifted healthcare from traditional clinical settings into community and home environments. This decentralisation supports community-based care models, enabling timely intervention and reducing hospital admissions (NHS England, 2019).</w:t>
      </w:r>
    </w:p>
    <w:p w14:paraId="320BEE1E" w14:textId="38BA394A" w:rsidR="00901AAC" w:rsidRPr="00901AAC" w:rsidRDefault="00901AAC" w:rsidP="00901AAC">
      <w:pPr>
        <w:spacing w:before="100" w:beforeAutospacing="1" w:after="100" w:afterAutospacing="1" w:line="360" w:lineRule="auto"/>
        <w:jc w:val="both"/>
        <w:rPr>
          <w:rFonts w:ascii="Arial" w:eastAsia="Times New Roman" w:hAnsi="Arial" w:cs="Arial"/>
          <w:b/>
          <w:bCs/>
          <w:kern w:val="0"/>
          <w:sz w:val="22"/>
          <w:szCs w:val="22"/>
          <w:lang w:eastAsia="en-GB"/>
        </w:rPr>
      </w:pPr>
      <w:r w:rsidRPr="00901AAC">
        <w:rPr>
          <w:rFonts w:ascii="Arial" w:eastAsia="Times New Roman" w:hAnsi="Arial" w:cs="Arial"/>
          <w:b/>
          <w:bCs/>
          <w:kern w:val="0"/>
          <w:sz w:val="22"/>
          <w:szCs w:val="22"/>
          <w:lang w:eastAsia="en-GB"/>
        </w:rPr>
        <w:t>Family and Carer Involvement</w:t>
      </w:r>
    </w:p>
    <w:p w14:paraId="0EBAC500" w14:textId="77777777" w:rsidR="00901AAC" w:rsidRPr="00901AAC" w:rsidRDefault="00901AAC" w:rsidP="00901AAC">
      <w:pPr>
        <w:spacing w:before="100" w:beforeAutospacing="1" w:after="100" w:afterAutospacing="1" w:line="360" w:lineRule="auto"/>
        <w:jc w:val="both"/>
        <w:rPr>
          <w:rFonts w:ascii="Arial" w:eastAsia="Times New Roman" w:hAnsi="Arial" w:cs="Arial"/>
          <w:kern w:val="0"/>
          <w:sz w:val="22"/>
          <w:szCs w:val="22"/>
          <w:lang w:eastAsia="en-GB"/>
        </w:rPr>
      </w:pPr>
      <w:r w:rsidRPr="00901AAC">
        <w:rPr>
          <w:rFonts w:ascii="Arial" w:eastAsia="Times New Roman" w:hAnsi="Arial" w:cs="Arial"/>
          <w:kern w:val="0"/>
          <w:sz w:val="22"/>
          <w:szCs w:val="22"/>
          <w:lang w:eastAsia="en-GB"/>
        </w:rPr>
        <w:lastRenderedPageBreak/>
        <w:t>Remote consultations facilitate active involvement of family members and carers, supporting shared decision-making and better adherence. However, issues of privacy, consent, and data sharing require careful management (Department for Digital, Culture, Media &amp;amp; Sport, 2021).</w:t>
      </w:r>
    </w:p>
    <w:p w14:paraId="2E244B25" w14:textId="1033D56C" w:rsidR="00901AAC" w:rsidRPr="00901AAC" w:rsidRDefault="00901AAC" w:rsidP="00901AAC">
      <w:pPr>
        <w:spacing w:before="100" w:beforeAutospacing="1" w:after="100" w:afterAutospacing="1" w:line="360" w:lineRule="auto"/>
        <w:jc w:val="both"/>
        <w:rPr>
          <w:rFonts w:ascii="Arial" w:eastAsia="Times New Roman" w:hAnsi="Arial" w:cs="Arial"/>
          <w:b/>
          <w:bCs/>
          <w:kern w:val="0"/>
          <w:sz w:val="22"/>
          <w:szCs w:val="22"/>
          <w:lang w:eastAsia="en-GB"/>
        </w:rPr>
      </w:pPr>
      <w:r w:rsidRPr="00901AAC">
        <w:rPr>
          <w:rFonts w:ascii="Arial" w:eastAsia="Times New Roman" w:hAnsi="Arial" w:cs="Arial"/>
          <w:b/>
          <w:bCs/>
          <w:kern w:val="0"/>
          <w:sz w:val="22"/>
          <w:szCs w:val="22"/>
          <w:lang w:eastAsia="en-GB"/>
        </w:rPr>
        <w:t>Co-Production and Public Health</w:t>
      </w:r>
    </w:p>
    <w:p w14:paraId="4163A27B" w14:textId="77777777" w:rsidR="00901AAC" w:rsidRPr="00901AAC" w:rsidRDefault="00901AAC" w:rsidP="00901AAC">
      <w:pPr>
        <w:spacing w:before="100" w:beforeAutospacing="1" w:after="100" w:afterAutospacing="1" w:line="360" w:lineRule="auto"/>
        <w:jc w:val="both"/>
        <w:rPr>
          <w:rFonts w:ascii="Arial" w:eastAsia="Times New Roman" w:hAnsi="Arial" w:cs="Arial"/>
          <w:kern w:val="0"/>
          <w:sz w:val="22"/>
          <w:szCs w:val="22"/>
          <w:lang w:eastAsia="en-GB"/>
        </w:rPr>
      </w:pPr>
      <w:r w:rsidRPr="00901AAC">
        <w:rPr>
          <w:rFonts w:ascii="Arial" w:eastAsia="Times New Roman" w:hAnsi="Arial" w:cs="Arial"/>
          <w:kern w:val="0"/>
          <w:sz w:val="22"/>
          <w:szCs w:val="22"/>
          <w:lang w:eastAsia="en-GB"/>
        </w:rPr>
        <w:t>Digital platforms enable community engagement in health promotion, disease prevention, and health literacy initiatives. The NHS Digital (2022) reports that community-based digital interventions have improved vaccination rates and chronic disease management, especially in underserved populations.</w:t>
      </w:r>
    </w:p>
    <w:p w14:paraId="265D32EF" w14:textId="2C628C40" w:rsidR="00901AAC" w:rsidRPr="00901AAC" w:rsidRDefault="00901AAC" w:rsidP="00901AAC">
      <w:pPr>
        <w:spacing w:before="100" w:beforeAutospacing="1" w:after="100" w:afterAutospacing="1" w:line="360" w:lineRule="auto"/>
        <w:jc w:val="both"/>
        <w:rPr>
          <w:rFonts w:ascii="Arial" w:eastAsia="Times New Roman" w:hAnsi="Arial" w:cs="Arial"/>
          <w:b/>
          <w:bCs/>
          <w:kern w:val="0"/>
          <w:sz w:val="22"/>
          <w:szCs w:val="22"/>
          <w:lang w:eastAsia="en-GB"/>
        </w:rPr>
      </w:pPr>
      <w:r w:rsidRPr="00901AAC">
        <w:rPr>
          <w:rFonts w:ascii="Arial" w:eastAsia="Times New Roman" w:hAnsi="Arial" w:cs="Arial"/>
          <w:b/>
          <w:bCs/>
          <w:kern w:val="0"/>
          <w:sz w:val="22"/>
          <w:szCs w:val="22"/>
          <w:lang w:eastAsia="en-GB"/>
        </w:rPr>
        <w:t>Addressing Digital Inequalities</w:t>
      </w:r>
    </w:p>
    <w:p w14:paraId="6077C407" w14:textId="77777777" w:rsidR="00901AAC" w:rsidRPr="00901AAC" w:rsidRDefault="00901AAC" w:rsidP="00901AAC">
      <w:pPr>
        <w:spacing w:before="100" w:beforeAutospacing="1" w:after="100" w:afterAutospacing="1" w:line="360" w:lineRule="auto"/>
        <w:jc w:val="both"/>
        <w:rPr>
          <w:rFonts w:ascii="Arial" w:eastAsia="Times New Roman" w:hAnsi="Arial" w:cs="Arial"/>
          <w:kern w:val="0"/>
          <w:sz w:val="22"/>
          <w:szCs w:val="22"/>
          <w:lang w:eastAsia="en-GB"/>
        </w:rPr>
      </w:pPr>
      <w:r w:rsidRPr="00901AAC">
        <w:rPr>
          <w:rFonts w:ascii="Arial" w:eastAsia="Times New Roman" w:hAnsi="Arial" w:cs="Arial"/>
          <w:kern w:val="0"/>
          <w:sz w:val="22"/>
          <w:szCs w:val="22"/>
          <w:lang w:eastAsia="en-GB"/>
        </w:rPr>
        <w:t>Despite the benefits, digital exclusion remains a major barrier. Disparities in access to reliable internet, devices, and digital skills disproportionately affect vulnerable communities (UK Government, 2021). Without targeted policies, these gaps risk widening health inequalities.</w:t>
      </w:r>
    </w:p>
    <w:p w14:paraId="6DA82C23" w14:textId="60691516" w:rsidR="00901AAC" w:rsidRPr="00901AAC" w:rsidRDefault="00901AAC" w:rsidP="00901AAC">
      <w:pPr>
        <w:spacing w:before="100" w:beforeAutospacing="1" w:after="100" w:afterAutospacing="1" w:line="360" w:lineRule="auto"/>
        <w:jc w:val="both"/>
        <w:rPr>
          <w:rFonts w:ascii="Arial" w:eastAsia="Times New Roman" w:hAnsi="Arial" w:cs="Arial"/>
          <w:b/>
          <w:bCs/>
          <w:kern w:val="0"/>
          <w:sz w:val="22"/>
          <w:szCs w:val="22"/>
          <w:lang w:eastAsia="en-GB"/>
        </w:rPr>
      </w:pPr>
      <w:r w:rsidRPr="00901AAC">
        <w:rPr>
          <w:rFonts w:ascii="Arial" w:eastAsia="Times New Roman" w:hAnsi="Arial" w:cs="Arial"/>
          <w:b/>
          <w:bCs/>
          <w:kern w:val="0"/>
          <w:sz w:val="22"/>
          <w:szCs w:val="22"/>
          <w:lang w:eastAsia="en-GB"/>
        </w:rPr>
        <w:t>Public Health and Preventive Strategies</w:t>
      </w:r>
    </w:p>
    <w:p w14:paraId="67B2349F" w14:textId="77777777" w:rsidR="00901AAC" w:rsidRPr="00901AAC" w:rsidRDefault="00901AAC" w:rsidP="00901AAC">
      <w:pPr>
        <w:spacing w:before="100" w:beforeAutospacing="1" w:after="100" w:afterAutospacing="1" w:line="360" w:lineRule="auto"/>
        <w:jc w:val="both"/>
        <w:rPr>
          <w:rFonts w:ascii="Arial" w:eastAsia="Times New Roman" w:hAnsi="Arial" w:cs="Arial"/>
          <w:kern w:val="0"/>
          <w:sz w:val="22"/>
          <w:szCs w:val="22"/>
          <w:lang w:eastAsia="en-GB"/>
        </w:rPr>
      </w:pPr>
      <w:r w:rsidRPr="00901AAC">
        <w:rPr>
          <w:rFonts w:ascii="Arial" w:eastAsia="Times New Roman" w:hAnsi="Arial" w:cs="Arial"/>
          <w:kern w:val="0"/>
          <w:sz w:val="22"/>
          <w:szCs w:val="22"/>
          <w:lang w:eastAsia="en-GB"/>
        </w:rPr>
        <w:t>Telehealth supports preventive health efforts by enabling remote screening, health education, and behavioural interventions. These strategies contribute to improved population health outcomes and reduced healthcare costs (NHS Digital, 2022).</w:t>
      </w:r>
    </w:p>
    <w:p w14:paraId="3A99A5FB" w14:textId="05D633DD" w:rsidR="00901AAC" w:rsidRPr="00901AAC" w:rsidRDefault="00901AAC" w:rsidP="00901AAC">
      <w:pPr>
        <w:spacing w:before="100" w:beforeAutospacing="1" w:after="100" w:afterAutospacing="1" w:line="360" w:lineRule="auto"/>
        <w:jc w:val="both"/>
        <w:rPr>
          <w:rFonts w:ascii="Arial" w:eastAsia="Times New Roman" w:hAnsi="Arial" w:cs="Arial"/>
          <w:b/>
          <w:bCs/>
          <w:kern w:val="0"/>
          <w:sz w:val="22"/>
          <w:szCs w:val="22"/>
          <w:lang w:eastAsia="en-GB"/>
        </w:rPr>
      </w:pPr>
      <w:r w:rsidRPr="00901AAC">
        <w:rPr>
          <w:rFonts w:ascii="Arial" w:eastAsia="Times New Roman" w:hAnsi="Arial" w:cs="Arial"/>
          <w:b/>
          <w:bCs/>
          <w:kern w:val="0"/>
          <w:sz w:val="22"/>
          <w:szCs w:val="22"/>
          <w:lang w:eastAsia="en-GB"/>
        </w:rPr>
        <w:t>Environmental Benefits</w:t>
      </w:r>
    </w:p>
    <w:p w14:paraId="11FD0A1C" w14:textId="77777777" w:rsidR="00901AAC" w:rsidRDefault="00901AAC" w:rsidP="00901AAC">
      <w:pPr>
        <w:spacing w:before="100" w:beforeAutospacing="1" w:after="100" w:afterAutospacing="1" w:line="360" w:lineRule="auto"/>
        <w:jc w:val="both"/>
        <w:rPr>
          <w:rFonts w:ascii="Arial" w:eastAsia="Times New Roman" w:hAnsi="Arial" w:cs="Arial"/>
          <w:kern w:val="0"/>
          <w:sz w:val="22"/>
          <w:szCs w:val="22"/>
          <w:lang w:eastAsia="en-GB"/>
        </w:rPr>
      </w:pPr>
      <w:r w:rsidRPr="00901AAC">
        <w:rPr>
          <w:rFonts w:ascii="Arial" w:eastAsia="Times New Roman" w:hAnsi="Arial" w:cs="Arial"/>
          <w:kern w:val="0"/>
          <w:sz w:val="22"/>
          <w:szCs w:val="22"/>
          <w:lang w:eastAsia="en-GB"/>
        </w:rPr>
        <w:t>Reduced travel for appointments and hospital visits contributes to lower carbon emissions, aligning with the UK’s climate commitments (UK Government, 2022).</w:t>
      </w:r>
    </w:p>
    <w:p w14:paraId="0C5078D7" w14:textId="4DFA2F7F" w:rsidR="00C80D0F" w:rsidRPr="00901AAC" w:rsidRDefault="00C80D0F" w:rsidP="00901AAC">
      <w:pPr>
        <w:spacing w:before="100" w:beforeAutospacing="1" w:after="100" w:afterAutospacing="1" w:line="360" w:lineRule="auto"/>
        <w:jc w:val="both"/>
        <w:rPr>
          <w:rFonts w:ascii="Arial" w:eastAsia="Times New Roman" w:hAnsi="Arial" w:cs="Arial"/>
          <w:kern w:val="0"/>
          <w:sz w:val="22"/>
          <w:szCs w:val="22"/>
          <w:lang w:eastAsia="en-GB"/>
        </w:rPr>
      </w:pPr>
      <w:r w:rsidRPr="008375B5">
        <w:rPr>
          <w:rFonts w:ascii="Arial" w:hAnsi="Arial" w:cs="Arial"/>
          <w:b/>
          <w:bCs/>
          <w:sz w:val="28"/>
          <w:szCs w:val="28"/>
        </w:rPr>
        <w:t>Conclusion</w:t>
      </w:r>
    </w:p>
    <w:p w14:paraId="074FC038" w14:textId="2E76C55E" w:rsidR="00901AAC" w:rsidRPr="00901AAC" w:rsidRDefault="00901AAC" w:rsidP="00901AAC">
      <w:pPr>
        <w:spacing w:after="0" w:line="360" w:lineRule="auto"/>
        <w:jc w:val="both"/>
        <w:rPr>
          <w:rFonts w:ascii="Arial" w:eastAsia="Times New Roman" w:hAnsi="Arial" w:cs="Arial"/>
          <w:kern w:val="0"/>
          <w:sz w:val="22"/>
          <w:szCs w:val="22"/>
          <w:lang w:eastAsia="en-GB"/>
        </w:rPr>
      </w:pPr>
      <w:r w:rsidRPr="00901AAC">
        <w:rPr>
          <w:rFonts w:ascii="Arial" w:eastAsia="Times New Roman" w:hAnsi="Arial" w:cs="Arial"/>
          <w:kern w:val="0"/>
          <w:sz w:val="22"/>
          <w:szCs w:val="22"/>
          <w:lang w:eastAsia="en-GB"/>
        </w:rPr>
        <w:t xml:space="preserve">Digital transformation, particularly through telehealth, has become essential in modern healthcare, notably in the UK. Telehealth involves distance healthcare service provision via internet channels, including video consultations and remote monitoring. Adoption has surged, especially during the COVID-19 pandemic, which expedited the shift from traditional practices. The implementation of telehealth has significantly impacted healthcare professionals, altering job roles and necessitating skills in digital consultation and data management. While training programs have increased, disparities in digital literacy persist, particularly among older </w:t>
      </w:r>
      <w:r w:rsidRPr="00901AAC">
        <w:rPr>
          <w:rFonts w:ascii="Arial" w:eastAsia="Times New Roman" w:hAnsi="Arial" w:cs="Arial"/>
          <w:kern w:val="0"/>
          <w:sz w:val="22"/>
          <w:szCs w:val="22"/>
          <w:lang w:eastAsia="en-GB"/>
        </w:rPr>
        <w:lastRenderedPageBreak/>
        <w:t>practitioners and those in rural areas.</w:t>
      </w:r>
      <w:r w:rsidRPr="00901AAC">
        <w:rPr>
          <w:rFonts w:ascii="Arial" w:eastAsia="Times New Roman" w:hAnsi="Arial" w:cs="Arial"/>
          <w:kern w:val="0"/>
          <w:sz w:val="22"/>
          <w:szCs w:val="22"/>
          <w:lang w:eastAsia="en-GB"/>
        </w:rPr>
        <w:br/>
      </w:r>
      <w:r w:rsidRPr="00901AAC">
        <w:rPr>
          <w:rFonts w:ascii="Arial" w:eastAsia="Times New Roman" w:hAnsi="Arial" w:cs="Arial"/>
          <w:kern w:val="0"/>
          <w:sz w:val="22"/>
          <w:szCs w:val="22"/>
          <w:lang w:eastAsia="en-GB"/>
        </w:rPr>
        <w:br/>
        <w:t>Telehealth's integration into social care enables remote assessments and case management, enhancing responsiveness, yet many social care professionals lack adequate training in digital technologies. Challenges include role ambiguity, stress from rapid adaptation, and concerns over treatment depersonalization.</w:t>
      </w:r>
      <w:r w:rsidRPr="00901AAC">
        <w:rPr>
          <w:rFonts w:ascii="Arial" w:eastAsia="Times New Roman" w:hAnsi="Arial" w:cs="Arial"/>
          <w:kern w:val="0"/>
          <w:sz w:val="22"/>
          <w:szCs w:val="22"/>
          <w:lang w:eastAsia="en-GB"/>
        </w:rPr>
        <w:br/>
      </w:r>
      <w:r w:rsidRPr="00901AAC">
        <w:rPr>
          <w:rFonts w:ascii="Arial" w:eastAsia="Times New Roman" w:hAnsi="Arial" w:cs="Arial"/>
          <w:kern w:val="0"/>
          <w:sz w:val="22"/>
          <w:szCs w:val="22"/>
          <w:lang w:eastAsia="en-GB"/>
        </w:rPr>
        <w:br/>
        <w:t>Service delivery has transformed significantly, with improved efficiency, access, and reduced costs. However, concerns exist regarding diagnostic precision, particularly in complex cases, and cybersecurity risks. While telehealth enhances accessibility, it can exacerbate disparities among underserved populations lacking digital access.</w:t>
      </w:r>
      <w:r w:rsidRPr="00901AAC">
        <w:rPr>
          <w:rFonts w:ascii="Arial" w:eastAsia="Times New Roman" w:hAnsi="Arial" w:cs="Arial"/>
          <w:kern w:val="0"/>
          <w:sz w:val="22"/>
          <w:szCs w:val="22"/>
          <w:lang w:eastAsia="en-GB"/>
        </w:rPr>
        <w:br/>
      </w:r>
      <w:r w:rsidRPr="00901AAC">
        <w:rPr>
          <w:rFonts w:ascii="Arial" w:eastAsia="Times New Roman" w:hAnsi="Arial" w:cs="Arial"/>
          <w:kern w:val="0"/>
          <w:sz w:val="22"/>
          <w:szCs w:val="22"/>
          <w:lang w:eastAsia="en-GB"/>
        </w:rPr>
        <w:br/>
        <w:t xml:space="preserve">Patients generally report positive experiences with telehealth due to convenience and engagement opportunities, although technical difficulties and privacy issues pose ongoing challenges. The </w:t>
      </w:r>
      <w:r w:rsidRPr="00901AAC">
        <w:rPr>
          <w:rFonts w:ascii="Arial" w:eastAsia="Times New Roman" w:hAnsi="Arial" w:cs="Arial"/>
          <w:kern w:val="0"/>
          <w:sz w:val="22"/>
          <w:szCs w:val="22"/>
          <w:lang w:eastAsia="en-GB"/>
        </w:rPr>
        <w:t>decentralisation</w:t>
      </w:r>
      <w:r w:rsidRPr="00901AAC">
        <w:rPr>
          <w:rFonts w:ascii="Arial" w:eastAsia="Times New Roman" w:hAnsi="Arial" w:cs="Arial"/>
          <w:kern w:val="0"/>
          <w:sz w:val="22"/>
          <w:szCs w:val="22"/>
          <w:lang w:eastAsia="en-GB"/>
        </w:rPr>
        <w:t xml:space="preserve"> of healthcare into community settings facilitates better involvement of families and supports public health initiatives, but digital inequalities remain a significant barrier, risking wider health disparities. As telehealth evolves, addressing these inequalities is crucial for ensuring equitable healthcare outcomes.</w:t>
      </w:r>
    </w:p>
    <w:p w14:paraId="06388B3A" w14:textId="77777777" w:rsidR="00C80D0F" w:rsidRPr="00901AAC" w:rsidRDefault="008375B5" w:rsidP="00901AAC">
      <w:pPr>
        <w:spacing w:line="360" w:lineRule="auto"/>
        <w:jc w:val="both"/>
        <w:rPr>
          <w:rFonts w:ascii="Arial" w:hAnsi="Arial" w:cs="Arial"/>
          <w:sz w:val="22"/>
          <w:szCs w:val="22"/>
        </w:rPr>
      </w:pPr>
      <w:r w:rsidRPr="00901AAC">
        <w:rPr>
          <w:rFonts w:ascii="Arial" w:hAnsi="Arial" w:cs="Arial"/>
          <w:sz w:val="22"/>
          <w:szCs w:val="22"/>
        </w:rPr>
        <w:t xml:space="preserve"> </w:t>
      </w:r>
    </w:p>
    <w:p w14:paraId="4241EF9C" w14:textId="77777777" w:rsidR="00C80D0F" w:rsidRPr="008375B5" w:rsidRDefault="00C80D0F" w:rsidP="008375B5">
      <w:pPr>
        <w:spacing w:line="360" w:lineRule="auto"/>
        <w:rPr>
          <w:rFonts w:ascii="Arial" w:hAnsi="Arial" w:cs="Arial"/>
          <w:sz w:val="22"/>
          <w:szCs w:val="22"/>
        </w:rPr>
      </w:pPr>
    </w:p>
    <w:p w14:paraId="76920EB5" w14:textId="77777777" w:rsidR="00C80D0F" w:rsidRPr="008375B5" w:rsidRDefault="00C80D0F" w:rsidP="008375B5">
      <w:pPr>
        <w:spacing w:line="360" w:lineRule="auto"/>
        <w:rPr>
          <w:rFonts w:ascii="Arial" w:hAnsi="Arial" w:cs="Arial"/>
          <w:sz w:val="22"/>
          <w:szCs w:val="22"/>
        </w:rPr>
      </w:pPr>
    </w:p>
    <w:p w14:paraId="5C4B2A31" w14:textId="77777777" w:rsidR="00C80D0F" w:rsidRPr="008375B5" w:rsidRDefault="00C80D0F" w:rsidP="008375B5">
      <w:pPr>
        <w:spacing w:line="360" w:lineRule="auto"/>
        <w:rPr>
          <w:rFonts w:ascii="Arial" w:hAnsi="Arial" w:cs="Arial"/>
          <w:sz w:val="22"/>
          <w:szCs w:val="22"/>
        </w:rPr>
      </w:pPr>
    </w:p>
    <w:p w14:paraId="4A9E7E21" w14:textId="77777777" w:rsidR="008375B5" w:rsidRPr="008375B5" w:rsidRDefault="008375B5" w:rsidP="008375B5">
      <w:pPr>
        <w:spacing w:line="360" w:lineRule="auto"/>
        <w:rPr>
          <w:rFonts w:ascii="Arial" w:hAnsi="Arial" w:cs="Arial"/>
          <w:sz w:val="22"/>
          <w:szCs w:val="22"/>
        </w:rPr>
      </w:pPr>
    </w:p>
    <w:p w14:paraId="3D599A25" w14:textId="77777777" w:rsidR="008375B5" w:rsidRPr="008375B5" w:rsidRDefault="008375B5" w:rsidP="008375B5">
      <w:pPr>
        <w:spacing w:line="360" w:lineRule="auto"/>
        <w:rPr>
          <w:rFonts w:ascii="Arial" w:hAnsi="Arial" w:cs="Arial"/>
          <w:sz w:val="22"/>
          <w:szCs w:val="22"/>
        </w:rPr>
      </w:pPr>
    </w:p>
    <w:p w14:paraId="317B5555" w14:textId="77777777" w:rsidR="008375B5" w:rsidRPr="008375B5" w:rsidRDefault="008375B5" w:rsidP="008375B5">
      <w:pPr>
        <w:spacing w:line="360" w:lineRule="auto"/>
        <w:rPr>
          <w:rFonts w:ascii="Arial" w:hAnsi="Arial" w:cs="Arial"/>
          <w:sz w:val="22"/>
          <w:szCs w:val="22"/>
        </w:rPr>
      </w:pPr>
    </w:p>
    <w:p w14:paraId="1F58DB63" w14:textId="77777777" w:rsidR="00901AAC" w:rsidRDefault="00901AAC" w:rsidP="008375B5">
      <w:pPr>
        <w:spacing w:line="360" w:lineRule="auto"/>
        <w:rPr>
          <w:rFonts w:ascii="Arial" w:hAnsi="Arial" w:cs="Arial"/>
          <w:b/>
          <w:bCs/>
          <w:sz w:val="28"/>
          <w:szCs w:val="28"/>
        </w:rPr>
      </w:pPr>
    </w:p>
    <w:p w14:paraId="291AB3DE" w14:textId="77777777" w:rsidR="00901AAC" w:rsidRDefault="00901AAC" w:rsidP="008375B5">
      <w:pPr>
        <w:spacing w:line="360" w:lineRule="auto"/>
        <w:rPr>
          <w:rFonts w:ascii="Arial" w:hAnsi="Arial" w:cs="Arial"/>
          <w:b/>
          <w:bCs/>
          <w:sz w:val="28"/>
          <w:szCs w:val="28"/>
        </w:rPr>
      </w:pPr>
    </w:p>
    <w:p w14:paraId="58D74798" w14:textId="77777777" w:rsidR="00901AAC" w:rsidRDefault="00901AAC" w:rsidP="008375B5">
      <w:pPr>
        <w:spacing w:line="360" w:lineRule="auto"/>
        <w:rPr>
          <w:rFonts w:ascii="Arial" w:hAnsi="Arial" w:cs="Arial"/>
          <w:b/>
          <w:bCs/>
          <w:sz w:val="28"/>
          <w:szCs w:val="28"/>
        </w:rPr>
      </w:pPr>
    </w:p>
    <w:p w14:paraId="6D0D196A" w14:textId="77777777" w:rsidR="00901AAC" w:rsidRDefault="00901AAC" w:rsidP="008375B5">
      <w:pPr>
        <w:spacing w:line="360" w:lineRule="auto"/>
        <w:rPr>
          <w:rFonts w:ascii="Arial" w:hAnsi="Arial" w:cs="Arial"/>
          <w:b/>
          <w:bCs/>
          <w:sz w:val="28"/>
          <w:szCs w:val="28"/>
        </w:rPr>
      </w:pPr>
    </w:p>
    <w:p w14:paraId="2F4EDA1C" w14:textId="77777777" w:rsidR="00901AAC" w:rsidRDefault="00901AAC" w:rsidP="008375B5">
      <w:pPr>
        <w:spacing w:line="360" w:lineRule="auto"/>
        <w:rPr>
          <w:rFonts w:ascii="Arial" w:hAnsi="Arial" w:cs="Arial"/>
          <w:b/>
          <w:bCs/>
          <w:sz w:val="28"/>
          <w:szCs w:val="28"/>
        </w:rPr>
      </w:pPr>
    </w:p>
    <w:p w14:paraId="122E301C" w14:textId="2633EE9D" w:rsidR="00901AAC" w:rsidRPr="00901AAC" w:rsidRDefault="008375B5" w:rsidP="00901AAC">
      <w:pPr>
        <w:spacing w:line="360" w:lineRule="auto"/>
        <w:rPr>
          <w:rFonts w:ascii="Arial" w:hAnsi="Arial" w:cs="Arial"/>
          <w:b/>
          <w:bCs/>
          <w:sz w:val="28"/>
          <w:szCs w:val="28"/>
        </w:rPr>
      </w:pPr>
      <w:r>
        <w:rPr>
          <w:rFonts w:ascii="Arial" w:hAnsi="Arial" w:cs="Arial"/>
          <w:b/>
          <w:bCs/>
          <w:sz w:val="28"/>
          <w:szCs w:val="28"/>
        </w:rPr>
        <w:lastRenderedPageBreak/>
        <w:t>References</w:t>
      </w:r>
    </w:p>
    <w:p w14:paraId="10F84F22" w14:textId="1FABEDF7" w:rsidR="00901AAC" w:rsidRPr="00901AAC" w:rsidRDefault="00901AAC" w:rsidP="00D7608C">
      <w:pPr>
        <w:spacing w:line="360" w:lineRule="auto"/>
        <w:jc w:val="both"/>
        <w:rPr>
          <w:rFonts w:ascii="Arial" w:hAnsi="Arial" w:cs="Arial"/>
          <w:sz w:val="22"/>
          <w:szCs w:val="22"/>
        </w:rPr>
      </w:pPr>
      <w:r w:rsidRPr="00901AAC">
        <w:rPr>
          <w:rFonts w:ascii="Arial" w:hAnsi="Arial" w:cs="Arial"/>
          <w:sz w:val="22"/>
          <w:szCs w:val="22"/>
        </w:rPr>
        <w:t xml:space="preserve">Care Quality Commission (2020). *The State of Health and Social Care in England*. Available at: </w:t>
      </w:r>
      <w:hyperlink r:id="rId9" w:history="1">
        <w:r w:rsidRPr="00834176">
          <w:rPr>
            <w:rStyle w:val="Hyperlink"/>
            <w:rFonts w:ascii="Arial" w:hAnsi="Arial" w:cs="Arial"/>
            <w:sz w:val="22"/>
            <w:szCs w:val="22"/>
          </w:rPr>
          <w:t>https://www.cqc.org.uk</w:t>
        </w:r>
      </w:hyperlink>
      <w:r>
        <w:rPr>
          <w:rFonts w:ascii="Arial" w:hAnsi="Arial" w:cs="Arial"/>
          <w:sz w:val="22"/>
          <w:szCs w:val="22"/>
        </w:rPr>
        <w:t xml:space="preserve"> </w:t>
      </w:r>
      <w:r w:rsidRPr="00901AAC">
        <w:rPr>
          <w:rFonts w:ascii="Arial" w:hAnsi="Arial" w:cs="Arial"/>
          <w:sz w:val="22"/>
          <w:szCs w:val="22"/>
        </w:rPr>
        <w:t xml:space="preserve"> (Accessed: </w:t>
      </w:r>
      <w:r>
        <w:rPr>
          <w:rFonts w:ascii="Arial" w:hAnsi="Arial" w:cs="Arial"/>
          <w:sz w:val="22"/>
          <w:szCs w:val="22"/>
        </w:rPr>
        <w:t>27</w:t>
      </w:r>
      <w:r w:rsidRPr="00901AAC">
        <w:rPr>
          <w:rFonts w:ascii="Arial" w:hAnsi="Arial" w:cs="Arial"/>
          <w:sz w:val="22"/>
          <w:szCs w:val="22"/>
        </w:rPr>
        <w:t xml:space="preserve"> </w:t>
      </w:r>
      <w:r>
        <w:rPr>
          <w:rFonts w:ascii="Arial" w:hAnsi="Arial" w:cs="Arial"/>
          <w:sz w:val="22"/>
          <w:szCs w:val="22"/>
        </w:rPr>
        <w:t>July 2026</w:t>
      </w:r>
      <w:r w:rsidRPr="00901AAC">
        <w:rPr>
          <w:rFonts w:ascii="Arial" w:hAnsi="Arial" w:cs="Arial"/>
          <w:sz w:val="22"/>
          <w:szCs w:val="22"/>
        </w:rPr>
        <w:t>).</w:t>
      </w:r>
    </w:p>
    <w:p w14:paraId="6ED35633" w14:textId="032F0789" w:rsidR="00901AAC" w:rsidRPr="00901AAC" w:rsidRDefault="00901AAC" w:rsidP="00D7608C">
      <w:pPr>
        <w:spacing w:line="360" w:lineRule="auto"/>
        <w:jc w:val="both"/>
        <w:rPr>
          <w:rFonts w:ascii="Arial" w:hAnsi="Arial" w:cs="Arial"/>
          <w:sz w:val="22"/>
          <w:szCs w:val="22"/>
        </w:rPr>
      </w:pPr>
      <w:r w:rsidRPr="00901AAC">
        <w:rPr>
          <w:rFonts w:ascii="Arial" w:hAnsi="Arial" w:cs="Arial"/>
          <w:sz w:val="22"/>
          <w:szCs w:val="22"/>
        </w:rPr>
        <w:t>Department for Digital, Culture, Media &amp; Sport (2021). Digital Strategy for Health and Social Care. UK Government.</w:t>
      </w:r>
    </w:p>
    <w:p w14:paraId="343C6AD3" w14:textId="3E40D2C2" w:rsidR="00901AAC" w:rsidRPr="00901AAC" w:rsidRDefault="00901AAC" w:rsidP="00D7608C">
      <w:pPr>
        <w:spacing w:line="360" w:lineRule="auto"/>
        <w:jc w:val="both"/>
        <w:rPr>
          <w:rFonts w:ascii="Arial" w:hAnsi="Arial" w:cs="Arial"/>
          <w:sz w:val="22"/>
          <w:szCs w:val="22"/>
        </w:rPr>
      </w:pPr>
      <w:r w:rsidRPr="00901AAC">
        <w:rPr>
          <w:rFonts w:ascii="Arial" w:hAnsi="Arial" w:cs="Arial"/>
          <w:sz w:val="22"/>
          <w:szCs w:val="22"/>
        </w:rPr>
        <w:t>Department of Health and Social Care (2018). *NHS Operational Efficiency Review*. UK Government.</w:t>
      </w:r>
    </w:p>
    <w:p w14:paraId="4769A9B7" w14:textId="1CFCE216" w:rsidR="00901AAC" w:rsidRPr="00901AAC" w:rsidRDefault="00901AAC" w:rsidP="00D7608C">
      <w:pPr>
        <w:spacing w:line="360" w:lineRule="auto"/>
        <w:jc w:val="both"/>
        <w:rPr>
          <w:rFonts w:ascii="Arial" w:hAnsi="Arial" w:cs="Arial"/>
          <w:sz w:val="22"/>
          <w:szCs w:val="22"/>
        </w:rPr>
      </w:pPr>
      <w:r w:rsidRPr="00901AAC">
        <w:rPr>
          <w:rFonts w:ascii="Arial" w:hAnsi="Arial" w:cs="Arial"/>
          <w:sz w:val="22"/>
          <w:szCs w:val="22"/>
        </w:rPr>
        <w:t>Greenhalgh, T., et al. (2019). Beyond adoption: a new framework for theorising and evaluating nonadoption, abandonment, scale-up, spread, and sustainability of health and care technologies. Journal of Medical Internet Research*, 21(11), e36757.</w:t>
      </w:r>
    </w:p>
    <w:p w14:paraId="1B2A395F" w14:textId="2C7A1CFE" w:rsidR="00901AAC" w:rsidRPr="00901AAC" w:rsidRDefault="00901AAC" w:rsidP="00D7608C">
      <w:pPr>
        <w:spacing w:line="360" w:lineRule="auto"/>
        <w:jc w:val="both"/>
        <w:rPr>
          <w:rFonts w:ascii="Arial" w:hAnsi="Arial" w:cs="Arial"/>
          <w:sz w:val="22"/>
          <w:szCs w:val="22"/>
        </w:rPr>
      </w:pPr>
      <w:r w:rsidRPr="00901AAC">
        <w:rPr>
          <w:rFonts w:ascii="Arial" w:hAnsi="Arial" w:cs="Arial"/>
          <w:sz w:val="22"/>
          <w:szCs w:val="22"/>
        </w:rPr>
        <w:t>Greenhalgh, T., et al. (2020). Virtual online consultations: advantages and limitations. *BMJ*, 368, m998.</w:t>
      </w:r>
    </w:p>
    <w:p w14:paraId="7E7FC3BD" w14:textId="3947FC6B" w:rsidR="00901AAC" w:rsidRPr="00901AAC" w:rsidRDefault="00901AAC" w:rsidP="00D7608C">
      <w:pPr>
        <w:spacing w:line="360" w:lineRule="auto"/>
        <w:jc w:val="both"/>
        <w:rPr>
          <w:rFonts w:ascii="Arial" w:hAnsi="Arial" w:cs="Arial"/>
          <w:sz w:val="22"/>
          <w:szCs w:val="22"/>
        </w:rPr>
      </w:pPr>
      <w:r w:rsidRPr="00901AAC">
        <w:rPr>
          <w:rFonts w:ascii="Arial" w:hAnsi="Arial" w:cs="Arial"/>
          <w:sz w:val="22"/>
          <w:szCs w:val="22"/>
        </w:rPr>
        <w:t xml:space="preserve">King’s Fund (2021). *The Future of Telehealth in the UK*. Available at: </w:t>
      </w:r>
      <w:hyperlink r:id="rId10" w:history="1">
        <w:r w:rsidRPr="00834176">
          <w:rPr>
            <w:rStyle w:val="Hyperlink"/>
            <w:rFonts w:ascii="Arial" w:hAnsi="Arial" w:cs="Arial"/>
            <w:sz w:val="22"/>
            <w:szCs w:val="22"/>
          </w:rPr>
          <w:t>https://www.kingsfund.org.uk</w:t>
        </w:r>
      </w:hyperlink>
      <w:r>
        <w:rPr>
          <w:rFonts w:ascii="Arial" w:hAnsi="Arial" w:cs="Arial"/>
          <w:sz w:val="22"/>
          <w:szCs w:val="22"/>
        </w:rPr>
        <w:t xml:space="preserve"> </w:t>
      </w:r>
      <w:r w:rsidRPr="00901AAC">
        <w:rPr>
          <w:rFonts w:ascii="Arial" w:hAnsi="Arial" w:cs="Arial"/>
          <w:sz w:val="22"/>
          <w:szCs w:val="22"/>
        </w:rPr>
        <w:t xml:space="preserve"> (Accessed: </w:t>
      </w:r>
      <w:r>
        <w:rPr>
          <w:rFonts w:ascii="Arial" w:hAnsi="Arial" w:cs="Arial"/>
          <w:sz w:val="22"/>
          <w:szCs w:val="22"/>
        </w:rPr>
        <w:t>27</w:t>
      </w:r>
      <w:r w:rsidRPr="00901AAC">
        <w:rPr>
          <w:rFonts w:ascii="Arial" w:hAnsi="Arial" w:cs="Arial"/>
          <w:sz w:val="22"/>
          <w:szCs w:val="22"/>
        </w:rPr>
        <w:t xml:space="preserve"> </w:t>
      </w:r>
      <w:r>
        <w:rPr>
          <w:rFonts w:ascii="Arial" w:hAnsi="Arial" w:cs="Arial"/>
          <w:sz w:val="22"/>
          <w:szCs w:val="22"/>
        </w:rPr>
        <w:t>July 2026</w:t>
      </w:r>
      <w:r w:rsidRPr="00901AAC">
        <w:rPr>
          <w:rFonts w:ascii="Arial" w:hAnsi="Arial" w:cs="Arial"/>
          <w:sz w:val="22"/>
          <w:szCs w:val="22"/>
        </w:rPr>
        <w:t>).</w:t>
      </w:r>
    </w:p>
    <w:p w14:paraId="3B2E5148" w14:textId="19AB63C6" w:rsidR="00901AAC" w:rsidRPr="00901AAC" w:rsidRDefault="00901AAC" w:rsidP="00D7608C">
      <w:pPr>
        <w:spacing w:line="360" w:lineRule="auto"/>
        <w:jc w:val="both"/>
        <w:rPr>
          <w:rFonts w:ascii="Arial" w:hAnsi="Arial" w:cs="Arial"/>
          <w:sz w:val="22"/>
          <w:szCs w:val="22"/>
        </w:rPr>
      </w:pPr>
      <w:r w:rsidRPr="00901AAC">
        <w:rPr>
          <w:rFonts w:ascii="Arial" w:hAnsi="Arial" w:cs="Arial"/>
          <w:sz w:val="22"/>
          <w:szCs w:val="22"/>
        </w:rPr>
        <w:t>NHS Digital (2021). *Digital Health Strategy 2021–2024*. NHS Digital Reports.</w:t>
      </w:r>
    </w:p>
    <w:p w14:paraId="0A5A1884" w14:textId="5F1F60AB" w:rsidR="00901AAC" w:rsidRPr="00901AAC" w:rsidRDefault="00901AAC" w:rsidP="00D7608C">
      <w:pPr>
        <w:spacing w:line="360" w:lineRule="auto"/>
        <w:jc w:val="both"/>
        <w:rPr>
          <w:rFonts w:ascii="Arial" w:hAnsi="Arial" w:cs="Arial"/>
          <w:sz w:val="22"/>
          <w:szCs w:val="22"/>
        </w:rPr>
      </w:pPr>
      <w:r w:rsidRPr="00901AAC">
        <w:rPr>
          <w:rFonts w:ascii="Arial" w:hAnsi="Arial" w:cs="Arial"/>
          <w:sz w:val="22"/>
          <w:szCs w:val="22"/>
        </w:rPr>
        <w:t>NHS England (2019). *The NHS Long-Term Plan*. NHS England Publications.</w:t>
      </w:r>
    </w:p>
    <w:p w14:paraId="531FA5F6" w14:textId="284CD27E" w:rsidR="00901AAC" w:rsidRPr="00901AAC" w:rsidRDefault="00901AAC" w:rsidP="00D7608C">
      <w:pPr>
        <w:spacing w:line="360" w:lineRule="auto"/>
        <w:jc w:val="both"/>
        <w:rPr>
          <w:rFonts w:ascii="Arial" w:hAnsi="Arial" w:cs="Arial"/>
          <w:sz w:val="22"/>
          <w:szCs w:val="22"/>
          <w:lang w:val="de-DE"/>
        </w:rPr>
      </w:pPr>
      <w:r w:rsidRPr="00901AAC">
        <w:rPr>
          <w:rFonts w:ascii="Arial" w:hAnsi="Arial" w:cs="Arial"/>
          <w:sz w:val="22"/>
          <w:szCs w:val="22"/>
        </w:rPr>
        <w:t xml:space="preserve">NHS England (2020). *Digital First Primary Care*. </w:t>
      </w:r>
      <w:r w:rsidRPr="00901AAC">
        <w:rPr>
          <w:rFonts w:ascii="Arial" w:hAnsi="Arial" w:cs="Arial"/>
          <w:sz w:val="22"/>
          <w:szCs w:val="22"/>
          <w:lang w:val="de-DE"/>
        </w:rPr>
        <w:t xml:space="preserve">NHS England </w:t>
      </w:r>
      <w:proofErr w:type="spellStart"/>
      <w:r w:rsidRPr="00901AAC">
        <w:rPr>
          <w:rFonts w:ascii="Arial" w:hAnsi="Arial" w:cs="Arial"/>
          <w:sz w:val="22"/>
          <w:szCs w:val="22"/>
          <w:lang w:val="de-DE"/>
        </w:rPr>
        <w:t>Strategy</w:t>
      </w:r>
      <w:proofErr w:type="spellEnd"/>
      <w:r w:rsidRPr="00901AAC">
        <w:rPr>
          <w:rFonts w:ascii="Arial" w:hAnsi="Arial" w:cs="Arial"/>
          <w:sz w:val="22"/>
          <w:szCs w:val="22"/>
          <w:lang w:val="de-DE"/>
        </w:rPr>
        <w:t xml:space="preserve"> </w:t>
      </w:r>
      <w:proofErr w:type="spellStart"/>
      <w:r w:rsidRPr="00901AAC">
        <w:rPr>
          <w:rFonts w:ascii="Arial" w:hAnsi="Arial" w:cs="Arial"/>
          <w:sz w:val="22"/>
          <w:szCs w:val="22"/>
          <w:lang w:val="de-DE"/>
        </w:rPr>
        <w:t>Document</w:t>
      </w:r>
      <w:proofErr w:type="spellEnd"/>
      <w:r w:rsidRPr="00901AAC">
        <w:rPr>
          <w:rFonts w:ascii="Arial" w:hAnsi="Arial" w:cs="Arial"/>
          <w:sz w:val="22"/>
          <w:szCs w:val="22"/>
          <w:lang w:val="de-DE"/>
        </w:rPr>
        <w:t>.</w:t>
      </w:r>
    </w:p>
    <w:p w14:paraId="1B2B3195" w14:textId="6537C9FD" w:rsidR="00901AAC" w:rsidRPr="00901AAC" w:rsidRDefault="00901AAC" w:rsidP="00D7608C">
      <w:pPr>
        <w:spacing w:line="360" w:lineRule="auto"/>
        <w:jc w:val="both"/>
        <w:rPr>
          <w:rFonts w:ascii="Arial" w:hAnsi="Arial" w:cs="Arial"/>
          <w:sz w:val="22"/>
          <w:szCs w:val="22"/>
        </w:rPr>
      </w:pPr>
      <w:r w:rsidRPr="00901AAC">
        <w:rPr>
          <w:rFonts w:ascii="Arial" w:hAnsi="Arial" w:cs="Arial"/>
          <w:sz w:val="22"/>
          <w:szCs w:val="22"/>
          <w:lang w:val="de-DE"/>
        </w:rPr>
        <w:t xml:space="preserve">NHS Digital (2022). </w:t>
      </w:r>
      <w:r w:rsidRPr="00901AAC">
        <w:rPr>
          <w:rFonts w:ascii="Arial" w:hAnsi="Arial" w:cs="Arial"/>
          <w:sz w:val="22"/>
          <w:szCs w:val="22"/>
        </w:rPr>
        <w:t>*Innovations in Community Digital Health*. NHS Digital Reports.</w:t>
      </w:r>
    </w:p>
    <w:p w14:paraId="709C62C3" w14:textId="43F6917A" w:rsidR="00901AAC" w:rsidRPr="00901AAC" w:rsidRDefault="00901AAC" w:rsidP="00D7608C">
      <w:pPr>
        <w:spacing w:line="360" w:lineRule="auto"/>
        <w:jc w:val="both"/>
        <w:rPr>
          <w:rFonts w:ascii="Arial" w:hAnsi="Arial" w:cs="Arial"/>
          <w:sz w:val="22"/>
          <w:szCs w:val="22"/>
        </w:rPr>
      </w:pPr>
      <w:r w:rsidRPr="00901AAC">
        <w:rPr>
          <w:rFonts w:ascii="Arial" w:hAnsi="Arial" w:cs="Arial"/>
          <w:sz w:val="22"/>
          <w:szCs w:val="22"/>
        </w:rPr>
        <w:t>Royal College of General Practitioners (2020). *Guidelines on Virtual Consultations</w:t>
      </w:r>
    </w:p>
    <w:p w14:paraId="38353ED1" w14:textId="11CD8CA6" w:rsidR="00901AAC" w:rsidRPr="00901AAC" w:rsidRDefault="00901AAC" w:rsidP="00D7608C">
      <w:pPr>
        <w:spacing w:line="360" w:lineRule="auto"/>
        <w:jc w:val="both"/>
        <w:rPr>
          <w:rFonts w:ascii="Arial" w:hAnsi="Arial" w:cs="Arial"/>
          <w:sz w:val="22"/>
          <w:szCs w:val="22"/>
        </w:rPr>
      </w:pPr>
      <w:r w:rsidRPr="00901AAC">
        <w:rPr>
          <w:rFonts w:ascii="Arial" w:hAnsi="Arial" w:cs="Arial"/>
          <w:sz w:val="22"/>
          <w:szCs w:val="22"/>
        </w:rPr>
        <w:t>UK Government (2021). *Health Inequalities and Digital Exclusion*. Department for Digital, Culture, Media &amp; Sport.</w:t>
      </w:r>
    </w:p>
    <w:p w14:paraId="6DB7AA7F" w14:textId="77777777" w:rsidR="00901AAC" w:rsidRPr="00901AAC" w:rsidRDefault="00901AAC" w:rsidP="00D7608C">
      <w:pPr>
        <w:spacing w:line="360" w:lineRule="auto"/>
        <w:jc w:val="both"/>
        <w:rPr>
          <w:rFonts w:ascii="Arial" w:hAnsi="Arial" w:cs="Arial"/>
          <w:sz w:val="22"/>
          <w:szCs w:val="22"/>
        </w:rPr>
      </w:pPr>
      <w:r w:rsidRPr="00901AAC">
        <w:rPr>
          <w:rFonts w:ascii="Arial" w:hAnsi="Arial" w:cs="Arial"/>
          <w:sz w:val="22"/>
          <w:szCs w:val="22"/>
        </w:rPr>
        <w:t>UK Government (2022). *Climate Change Act*. UK Parliament.</w:t>
      </w:r>
    </w:p>
    <w:p w14:paraId="753320B0" w14:textId="02BC6DD1" w:rsidR="00901AAC" w:rsidRPr="008375B5" w:rsidRDefault="00901AAC" w:rsidP="00901AAC">
      <w:pPr>
        <w:spacing w:line="360" w:lineRule="auto"/>
        <w:rPr>
          <w:rFonts w:ascii="Arial" w:hAnsi="Arial" w:cs="Arial"/>
          <w:sz w:val="22"/>
          <w:szCs w:val="22"/>
        </w:rPr>
      </w:pPr>
    </w:p>
    <w:sectPr w:rsidR="00901AAC" w:rsidRPr="008375B5" w:rsidSect="008375B5">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1B7B30" w14:textId="77777777" w:rsidR="004E5A91" w:rsidRDefault="004E5A91" w:rsidP="008375B5">
      <w:pPr>
        <w:spacing w:after="0" w:line="240" w:lineRule="auto"/>
      </w:pPr>
      <w:r>
        <w:separator/>
      </w:r>
    </w:p>
  </w:endnote>
  <w:endnote w:type="continuationSeparator" w:id="0">
    <w:p w14:paraId="3B3C204C" w14:textId="77777777" w:rsidR="004E5A91" w:rsidRDefault="004E5A91"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6D933D" w14:textId="77777777" w:rsidR="008375B5" w:rsidRDefault="008375B5">
    <w:pPr>
      <w:pStyle w:val="Footer"/>
      <w:jc w:val="center"/>
    </w:pPr>
    <w:r>
      <w:fldChar w:fldCharType="begin"/>
    </w:r>
    <w:r>
      <w:instrText xml:space="preserve"> PAGE   \* MERGEFORMAT </w:instrText>
    </w:r>
    <w:r>
      <w:fldChar w:fldCharType="separate"/>
    </w:r>
    <w:r>
      <w:rPr>
        <w:noProof/>
      </w:rPr>
      <w:t>2</w:t>
    </w:r>
    <w:r>
      <w:rPr>
        <w:noProof/>
      </w:rPr>
      <w:fldChar w:fldCharType="end"/>
    </w:r>
  </w:p>
  <w:p w14:paraId="07B6721E" w14:textId="77777777" w:rsidR="008375B5" w:rsidRDefault="00837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268551" w14:textId="77777777" w:rsidR="004E5A91" w:rsidRDefault="004E5A91" w:rsidP="008375B5">
      <w:pPr>
        <w:spacing w:after="0" w:line="240" w:lineRule="auto"/>
      </w:pPr>
      <w:r>
        <w:separator/>
      </w:r>
    </w:p>
  </w:footnote>
  <w:footnote w:type="continuationSeparator" w:id="0">
    <w:p w14:paraId="0AF4F1BA" w14:textId="77777777" w:rsidR="004E5A91" w:rsidRDefault="004E5A91" w:rsidP="008375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00109961">
    <w:abstractNumId w:val="2"/>
  </w:num>
  <w:num w:numId="2" w16cid:durableId="1722706951">
    <w:abstractNumId w:val="3"/>
  </w:num>
  <w:num w:numId="3" w16cid:durableId="335810324">
    <w:abstractNumId w:val="4"/>
  </w:num>
  <w:num w:numId="4" w16cid:durableId="808743765">
    <w:abstractNumId w:val="0"/>
  </w:num>
  <w:num w:numId="5" w16cid:durableId="1356345100">
    <w:abstractNumId w:val="1"/>
  </w:num>
  <w:num w:numId="6" w16cid:durableId="409356113">
    <w:abstractNumId w:val="5"/>
  </w:num>
  <w:num w:numId="7" w16cid:durableId="1013411307">
    <w:abstractNumId w:val="6"/>
  </w:num>
  <w:num w:numId="8" w16cid:durableId="70490913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54B"/>
    <w:rsid w:val="00255D51"/>
    <w:rsid w:val="002E0581"/>
    <w:rsid w:val="004E5A91"/>
    <w:rsid w:val="0058254B"/>
    <w:rsid w:val="008265EC"/>
    <w:rsid w:val="008375B5"/>
    <w:rsid w:val="008E31E6"/>
    <w:rsid w:val="00901AAC"/>
    <w:rsid w:val="009334D8"/>
    <w:rsid w:val="00987802"/>
    <w:rsid w:val="00A875D4"/>
    <w:rsid w:val="00A9474F"/>
    <w:rsid w:val="00AC2DCE"/>
    <w:rsid w:val="00AC3FDE"/>
    <w:rsid w:val="00C01EFB"/>
    <w:rsid w:val="00C80D0F"/>
    <w:rsid w:val="00D40915"/>
    <w:rsid w:val="00D67277"/>
    <w:rsid w:val="00D7608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715D6A"/>
  <w15:chartTrackingRefBased/>
  <w15:docId w15:val="{E8D23B6C-D5FE-4FE0-AE36-4070D50ED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ptos" w:eastAsia="Aptos" w:hAnsi="Aptos"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58254B"/>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semiHidden/>
    <w:unhideWhenUsed/>
    <w:qFormat/>
    <w:rsid w:val="0058254B"/>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8254B"/>
    <w:rPr>
      <w:rFonts w:ascii="Aptos Display" w:eastAsia="Times New Roman" w:hAnsi="Aptos Display" w:cs="Times New Roman"/>
      <w:color w:val="0F4761"/>
      <w:sz w:val="40"/>
      <w:szCs w:val="40"/>
    </w:rPr>
  </w:style>
  <w:style w:type="character" w:customStyle="1" w:styleId="Heading2Char">
    <w:name w:val="Heading 2 Char"/>
    <w:link w:val="Heading2"/>
    <w:uiPriority w:val="9"/>
    <w:semiHidden/>
    <w:rsid w:val="0058254B"/>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58254B"/>
    <w:rPr>
      <w:rFonts w:eastAsia="Times New Roman" w:cs="Times New Roman"/>
      <w:color w:val="0F4761"/>
      <w:sz w:val="28"/>
      <w:szCs w:val="28"/>
    </w:rPr>
  </w:style>
  <w:style w:type="character" w:customStyle="1" w:styleId="Heading4Char">
    <w:name w:val="Heading 4 Char"/>
    <w:link w:val="Heading4"/>
    <w:uiPriority w:val="9"/>
    <w:semiHidden/>
    <w:rsid w:val="0058254B"/>
    <w:rPr>
      <w:rFonts w:eastAsia="Times New Roman" w:cs="Times New Roman"/>
      <w:i/>
      <w:iCs/>
      <w:color w:val="0F4761"/>
    </w:rPr>
  </w:style>
  <w:style w:type="character" w:customStyle="1" w:styleId="Heading5Char">
    <w:name w:val="Heading 5 Char"/>
    <w:link w:val="Heading5"/>
    <w:uiPriority w:val="9"/>
    <w:semiHidden/>
    <w:rsid w:val="0058254B"/>
    <w:rPr>
      <w:rFonts w:eastAsia="Times New Roman" w:cs="Times New Roman"/>
      <w:color w:val="0F4761"/>
    </w:rPr>
  </w:style>
  <w:style w:type="character" w:customStyle="1" w:styleId="Heading6Char">
    <w:name w:val="Heading 6 Char"/>
    <w:link w:val="Heading6"/>
    <w:uiPriority w:val="9"/>
    <w:semiHidden/>
    <w:rsid w:val="0058254B"/>
    <w:rPr>
      <w:rFonts w:eastAsia="Times New Roman" w:cs="Times New Roman"/>
      <w:i/>
      <w:iCs/>
      <w:color w:val="595959"/>
    </w:rPr>
  </w:style>
  <w:style w:type="character" w:customStyle="1" w:styleId="Heading7Char">
    <w:name w:val="Heading 7 Char"/>
    <w:link w:val="Heading7"/>
    <w:uiPriority w:val="9"/>
    <w:semiHidden/>
    <w:rsid w:val="0058254B"/>
    <w:rPr>
      <w:rFonts w:eastAsia="Times New Roman" w:cs="Times New Roman"/>
      <w:color w:val="595959"/>
    </w:rPr>
  </w:style>
  <w:style w:type="character" w:customStyle="1" w:styleId="Heading8Char">
    <w:name w:val="Heading 8 Char"/>
    <w:link w:val="Heading8"/>
    <w:uiPriority w:val="9"/>
    <w:semiHidden/>
    <w:rsid w:val="0058254B"/>
    <w:rPr>
      <w:rFonts w:eastAsia="Times New Roman" w:cs="Times New Roman"/>
      <w:i/>
      <w:iCs/>
      <w:color w:val="272727"/>
    </w:rPr>
  </w:style>
  <w:style w:type="character" w:customStyle="1" w:styleId="Heading9Char">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58254B"/>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customStyle="1" w:styleId="SubtitleChar">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customStyle="1" w:styleId="QuoteChar">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semiHidden/>
    <w:unhideWhenUsed/>
    <w:rsid w:val="008375B5"/>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 w:type="character" w:styleId="Hyperlink">
    <w:name w:val="Hyperlink"/>
    <w:basedOn w:val="DefaultParagraphFont"/>
    <w:uiPriority w:val="99"/>
    <w:unhideWhenUsed/>
    <w:rsid w:val="00901AAC"/>
    <w:rPr>
      <w:color w:val="467886" w:themeColor="hyperlink"/>
      <w:u w:val="single"/>
    </w:rPr>
  </w:style>
  <w:style w:type="character" w:styleId="UnresolvedMention">
    <w:name w:val="Unresolved Mention"/>
    <w:basedOn w:val="DefaultParagraphFont"/>
    <w:uiPriority w:val="99"/>
    <w:semiHidden/>
    <w:unhideWhenUsed/>
    <w:rsid w:val="00901A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104956">
      <w:bodyDiv w:val="1"/>
      <w:marLeft w:val="0"/>
      <w:marRight w:val="0"/>
      <w:marTop w:val="0"/>
      <w:marBottom w:val="0"/>
      <w:divBdr>
        <w:top w:val="none" w:sz="0" w:space="0" w:color="auto"/>
        <w:left w:val="none" w:sz="0" w:space="0" w:color="auto"/>
        <w:bottom w:val="none" w:sz="0" w:space="0" w:color="auto"/>
        <w:right w:val="none" w:sz="0" w:space="0" w:color="auto"/>
      </w:divBdr>
    </w:div>
    <w:div w:id="329215958">
      <w:bodyDiv w:val="1"/>
      <w:marLeft w:val="0"/>
      <w:marRight w:val="0"/>
      <w:marTop w:val="0"/>
      <w:marBottom w:val="0"/>
      <w:divBdr>
        <w:top w:val="none" w:sz="0" w:space="0" w:color="auto"/>
        <w:left w:val="none" w:sz="0" w:space="0" w:color="auto"/>
        <w:bottom w:val="none" w:sz="0" w:space="0" w:color="auto"/>
        <w:right w:val="none" w:sz="0" w:space="0" w:color="auto"/>
      </w:divBdr>
    </w:div>
    <w:div w:id="382104061">
      <w:bodyDiv w:val="1"/>
      <w:marLeft w:val="0"/>
      <w:marRight w:val="0"/>
      <w:marTop w:val="0"/>
      <w:marBottom w:val="0"/>
      <w:divBdr>
        <w:top w:val="none" w:sz="0" w:space="0" w:color="auto"/>
        <w:left w:val="none" w:sz="0" w:space="0" w:color="auto"/>
        <w:bottom w:val="none" w:sz="0" w:space="0" w:color="auto"/>
        <w:right w:val="none" w:sz="0" w:space="0" w:color="auto"/>
      </w:divBdr>
    </w:div>
    <w:div w:id="466750755">
      <w:bodyDiv w:val="1"/>
      <w:marLeft w:val="0"/>
      <w:marRight w:val="0"/>
      <w:marTop w:val="0"/>
      <w:marBottom w:val="0"/>
      <w:divBdr>
        <w:top w:val="none" w:sz="0" w:space="0" w:color="auto"/>
        <w:left w:val="none" w:sz="0" w:space="0" w:color="auto"/>
        <w:bottom w:val="none" w:sz="0" w:space="0" w:color="auto"/>
        <w:right w:val="none" w:sz="0" w:space="0" w:color="auto"/>
      </w:divBdr>
    </w:div>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939407908">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449350155">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 w:id="2125535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file:///C:\Users\biancasanfilippo\Library\Group%20Containers\UBF8T346G9.ms\WebArchiveCopyPasteTempFiles\com.microsoft.Word\UWTSD-Logo.jpg"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kingsfund.org.uk" TargetMode="External"/><Relationship Id="rId4" Type="http://schemas.openxmlformats.org/officeDocument/2006/relationships/webSettings" Target="webSettings.xml"/><Relationship Id="rId9" Type="http://schemas.openxmlformats.org/officeDocument/2006/relationships/hyperlink" Target="https://www.cqc.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2285</Words>
  <Characters>13030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15285</CharactersWithSpaces>
  <SharedDoc>false</SharedDoc>
  <HLinks>
    <vt:vector size="6" baseType="variant">
      <vt:variant>
        <vt:i4>262147</vt:i4>
      </vt:variant>
      <vt:variant>
        <vt:i4>2225</vt:i4>
      </vt:variant>
      <vt:variant>
        <vt:i4>1055</vt:i4>
      </vt:variant>
      <vt:variant>
        <vt:i4>1</vt:i4>
      </vt:variant>
      <vt:variant>
        <vt:lpwstr>C:\Users\biancasanfilippo\Library\Group Containers\UBF8T346G9.ms\WebArchiveCopyPasteTempFiles\com.microsoft.Word\UWTSD-Logo.jpg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Aziza</cp:lastModifiedBy>
  <cp:revision>2</cp:revision>
  <dcterms:created xsi:type="dcterms:W3CDTF">2026-08-03T12:34:00Z</dcterms:created>
  <dcterms:modified xsi:type="dcterms:W3CDTF">2026-08-03T12:34:00Z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999f9340-3788-494b-b500-87a5633998c9</vt:lpwstr>
  </property>
</Properties>
</file>