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27738" w14:textId="77777777" w:rsidR="00C91A0E" w:rsidRDefault="00C91A0E" w:rsidP="00C91A0E">
      <w:pPr>
        <w:ind w:left="2408"/>
        <w:rPr>
          <w:rFonts w:ascii="Times New Roman"/>
          <w:sz w:val="20"/>
        </w:rPr>
      </w:pPr>
      <w:r>
        <w:rPr>
          <w:rFonts w:ascii="Times New Roman"/>
          <w:noProof/>
          <w:sz w:val="20"/>
        </w:rPr>
        <w:drawing>
          <wp:inline distT="0" distB="0" distL="0" distR="0" wp14:anchorId="45D115B1" wp14:editId="013A0471">
            <wp:extent cx="2739980" cy="561975"/>
            <wp:effectExtent l="0" t="0" r="0" b="0"/>
            <wp:docPr id="364465422"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72648219" w14:textId="77777777" w:rsidR="00C91A0E" w:rsidRDefault="00C91A0E" w:rsidP="00C91A0E">
      <w:pPr>
        <w:spacing w:before="284"/>
        <w:ind w:right="2"/>
        <w:jc w:val="center"/>
        <w:rPr>
          <w:sz w:val="38"/>
        </w:rPr>
      </w:pPr>
      <w:r>
        <w:rPr>
          <w:sz w:val="38"/>
        </w:rPr>
        <w:t>Master</w:t>
      </w:r>
      <w:r>
        <w:rPr>
          <w:spacing w:val="-26"/>
          <w:sz w:val="38"/>
        </w:rPr>
        <w:t xml:space="preserve"> </w:t>
      </w:r>
      <w:r>
        <w:rPr>
          <w:sz w:val="38"/>
        </w:rPr>
        <w:t>of</w:t>
      </w:r>
      <w:r>
        <w:rPr>
          <w:spacing w:val="-22"/>
          <w:sz w:val="38"/>
        </w:rPr>
        <w:t xml:space="preserve"> </w:t>
      </w:r>
      <w:r>
        <w:rPr>
          <w:sz w:val="38"/>
        </w:rPr>
        <w:t>Business</w:t>
      </w:r>
      <w:r>
        <w:rPr>
          <w:spacing w:val="-24"/>
          <w:sz w:val="38"/>
        </w:rPr>
        <w:t xml:space="preserve"> </w:t>
      </w:r>
      <w:r>
        <w:rPr>
          <w:spacing w:val="-2"/>
          <w:sz w:val="38"/>
        </w:rPr>
        <w:t>Administration</w:t>
      </w:r>
    </w:p>
    <w:p w14:paraId="14DFE25C" w14:textId="77777777" w:rsidR="00C91A0E" w:rsidRDefault="00C91A0E" w:rsidP="00C91A0E">
      <w:pPr>
        <w:spacing w:before="180"/>
        <w:ind w:left="2" w:right="1"/>
        <w:jc w:val="center"/>
        <w:rPr>
          <w:sz w:val="32"/>
        </w:rPr>
      </w:pPr>
      <w:r>
        <w:rPr>
          <w:spacing w:val="-4"/>
          <w:sz w:val="32"/>
        </w:rPr>
        <w:t>International</w:t>
      </w:r>
      <w:r>
        <w:rPr>
          <w:spacing w:val="-17"/>
          <w:sz w:val="32"/>
        </w:rPr>
        <w:t xml:space="preserve"> </w:t>
      </w:r>
      <w:r>
        <w:rPr>
          <w:spacing w:val="-4"/>
          <w:sz w:val="32"/>
        </w:rPr>
        <w:t>Business</w:t>
      </w:r>
      <w:r>
        <w:rPr>
          <w:spacing w:val="-19"/>
          <w:sz w:val="32"/>
        </w:rPr>
        <w:t xml:space="preserve"> </w:t>
      </w:r>
      <w:r>
        <w:rPr>
          <w:spacing w:val="-4"/>
          <w:sz w:val="32"/>
        </w:rPr>
        <w:t>pathway</w:t>
      </w:r>
    </w:p>
    <w:p w14:paraId="6BFB9ED6" w14:textId="3E209E90" w:rsidR="00C91A0E" w:rsidRDefault="00C91A0E" w:rsidP="00C91A0E">
      <w:pPr>
        <w:pStyle w:val="BodyText"/>
        <w:rPr>
          <w:sz w:val="20"/>
        </w:rPr>
      </w:pPr>
      <w:r>
        <w:rPr>
          <w:noProof/>
          <w:sz w:val="20"/>
        </w:rPr>
        <w:drawing>
          <wp:anchor distT="0" distB="0" distL="0" distR="0" simplePos="0" relativeHeight="251658752" behindDoc="1" locked="0" layoutInCell="1" allowOverlap="1" wp14:anchorId="29C90E10" wp14:editId="5B783A5A">
            <wp:simplePos x="0" y="0"/>
            <wp:positionH relativeFrom="page">
              <wp:posOffset>2646045</wp:posOffset>
            </wp:positionH>
            <wp:positionV relativeFrom="paragraph">
              <wp:posOffset>339725</wp:posOffset>
            </wp:positionV>
            <wp:extent cx="2252345" cy="2252345"/>
            <wp:effectExtent l="0" t="0" r="0" b="0"/>
            <wp:wrapTopAndBottom/>
            <wp:docPr id="2102414001"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2252345" cy="2252345"/>
                    </a:xfrm>
                    <a:prstGeom prst="rect">
                      <a:avLst/>
                    </a:prstGeom>
                  </pic:spPr>
                </pic:pic>
              </a:graphicData>
            </a:graphic>
          </wp:anchor>
        </w:drawing>
      </w:r>
    </w:p>
    <w:p w14:paraId="2F097985" w14:textId="199682B2" w:rsidR="00C91A0E" w:rsidRDefault="00C91A0E" w:rsidP="00C91A0E">
      <w:pPr>
        <w:pStyle w:val="BodyText"/>
        <w:rPr>
          <w:sz w:val="20"/>
        </w:rPr>
      </w:pPr>
    </w:p>
    <w:p w14:paraId="1987ADDF" w14:textId="0B05968C" w:rsidR="00C91A0E" w:rsidRDefault="00C91A0E" w:rsidP="00C91A0E">
      <w:pPr>
        <w:pStyle w:val="BodyText"/>
        <w:spacing w:before="14"/>
        <w:rPr>
          <w:sz w:val="20"/>
        </w:rPr>
      </w:pPr>
    </w:p>
    <w:p w14:paraId="05261397" w14:textId="77777777" w:rsidR="00C91A0E" w:rsidRDefault="00C91A0E" w:rsidP="00C91A0E">
      <w:pPr>
        <w:pStyle w:val="Heading1"/>
        <w:jc w:val="center"/>
      </w:pPr>
      <w:bookmarkStart w:id="0" w:name="_Toc237380056"/>
      <w:r>
        <w:rPr>
          <w:color w:val="ED0000"/>
          <w:spacing w:val="-8"/>
        </w:rPr>
        <w:t>Contemporary</w:t>
      </w:r>
      <w:r>
        <w:rPr>
          <w:color w:val="ED0000"/>
          <w:spacing w:val="-27"/>
        </w:rPr>
        <w:t xml:space="preserve"> </w:t>
      </w:r>
      <w:r>
        <w:rPr>
          <w:color w:val="ED0000"/>
          <w:spacing w:val="-8"/>
        </w:rPr>
        <w:t>employability</w:t>
      </w:r>
      <w:r>
        <w:rPr>
          <w:color w:val="ED0000"/>
          <w:spacing w:val="-25"/>
        </w:rPr>
        <w:t xml:space="preserve"> </w:t>
      </w:r>
      <w:r>
        <w:rPr>
          <w:color w:val="ED0000"/>
          <w:spacing w:val="-8"/>
        </w:rPr>
        <w:t>skills</w:t>
      </w:r>
      <w:bookmarkEnd w:id="0"/>
    </w:p>
    <w:p w14:paraId="35471689" w14:textId="033866A8" w:rsidR="00051FD4" w:rsidRPr="00051FD4" w:rsidRDefault="00C91A0E" w:rsidP="00051FD4">
      <w:pPr>
        <w:spacing w:before="286"/>
        <w:ind w:left="1819"/>
        <w:rPr>
          <w:color w:val="ED0000"/>
          <w:spacing w:val="-6"/>
          <w:sz w:val="28"/>
        </w:rPr>
      </w:pPr>
      <w:r>
        <w:rPr>
          <w:spacing w:val="-6"/>
          <w:sz w:val="28"/>
        </w:rPr>
        <w:t>Assessment</w:t>
      </w:r>
      <w:r>
        <w:rPr>
          <w:spacing w:val="-23"/>
          <w:sz w:val="28"/>
        </w:rPr>
        <w:t xml:space="preserve"> </w:t>
      </w:r>
      <w:r>
        <w:rPr>
          <w:color w:val="ED0000"/>
          <w:spacing w:val="-6"/>
          <w:sz w:val="28"/>
        </w:rPr>
        <w:t>1:</w:t>
      </w:r>
      <w:r>
        <w:rPr>
          <w:color w:val="ED0000"/>
          <w:spacing w:val="-22"/>
          <w:sz w:val="28"/>
        </w:rPr>
        <w:t xml:space="preserve"> </w:t>
      </w:r>
      <w:r>
        <w:rPr>
          <w:color w:val="ED0000"/>
          <w:spacing w:val="-6"/>
          <w:sz w:val="28"/>
        </w:rPr>
        <w:t>Individual</w:t>
      </w:r>
      <w:r>
        <w:rPr>
          <w:color w:val="ED0000"/>
          <w:spacing w:val="-21"/>
          <w:sz w:val="28"/>
        </w:rPr>
        <w:t xml:space="preserve"> </w:t>
      </w:r>
      <w:r>
        <w:rPr>
          <w:color w:val="ED0000"/>
          <w:spacing w:val="-6"/>
          <w:sz w:val="28"/>
        </w:rPr>
        <w:t>report</w:t>
      </w:r>
      <w:r>
        <w:rPr>
          <w:spacing w:val="-6"/>
          <w:sz w:val="28"/>
        </w:rPr>
        <w:t>.</w:t>
      </w:r>
      <w:r>
        <w:rPr>
          <w:spacing w:val="-23"/>
          <w:sz w:val="28"/>
        </w:rPr>
        <w:t xml:space="preserve"> </w:t>
      </w:r>
      <w:r>
        <w:rPr>
          <w:spacing w:val="-6"/>
          <w:sz w:val="28"/>
        </w:rPr>
        <w:t>Weight:</w:t>
      </w:r>
      <w:r>
        <w:rPr>
          <w:spacing w:val="-22"/>
          <w:sz w:val="28"/>
        </w:rPr>
        <w:t xml:space="preserve"> </w:t>
      </w:r>
      <w:r>
        <w:rPr>
          <w:color w:val="ED0000"/>
          <w:spacing w:val="-6"/>
          <w:sz w:val="28"/>
        </w:rPr>
        <w:t>50%</w:t>
      </w:r>
    </w:p>
    <w:p w14:paraId="39F4BBB8" w14:textId="40A91B8F" w:rsidR="00051FD4" w:rsidRDefault="00051FD4" w:rsidP="00051FD4">
      <w:pPr>
        <w:spacing w:before="286"/>
        <w:jc w:val="both"/>
        <w:rPr>
          <w:spacing w:val="-6"/>
          <w:sz w:val="28"/>
        </w:rPr>
      </w:pPr>
      <w:r w:rsidRPr="00051FD4">
        <w:rPr>
          <w:b/>
          <w:bCs/>
          <w:spacing w:val="-6"/>
          <w:sz w:val="28"/>
        </w:rPr>
        <w:t>Module name:</w:t>
      </w:r>
      <w:r>
        <w:rPr>
          <w:spacing w:val="-6"/>
          <w:sz w:val="28"/>
        </w:rPr>
        <w:t xml:space="preserve"> </w:t>
      </w:r>
      <w:proofErr w:type="gramStart"/>
      <w:r>
        <w:rPr>
          <w:spacing w:val="-6"/>
          <w:sz w:val="28"/>
        </w:rPr>
        <w:t>Strateg</w:t>
      </w:r>
      <w:r w:rsidR="008F2CA4">
        <w:rPr>
          <w:spacing w:val="-6"/>
          <w:sz w:val="28"/>
        </w:rPr>
        <w:t xml:space="preserve">ic </w:t>
      </w:r>
      <w:r>
        <w:rPr>
          <w:spacing w:val="-6"/>
          <w:sz w:val="28"/>
        </w:rPr>
        <w:t xml:space="preserve"> Management</w:t>
      </w:r>
      <w:proofErr w:type="gramEnd"/>
    </w:p>
    <w:p w14:paraId="00F43D61" w14:textId="091E15E2" w:rsidR="00C91A0E" w:rsidRDefault="00051FD4" w:rsidP="00051FD4">
      <w:pPr>
        <w:spacing w:before="286"/>
        <w:jc w:val="both"/>
        <w:rPr>
          <w:bCs/>
          <w:spacing w:val="-6"/>
          <w:sz w:val="28"/>
        </w:rPr>
      </w:pPr>
      <w:r w:rsidRPr="00051FD4">
        <w:rPr>
          <w:b/>
          <w:bCs/>
          <w:spacing w:val="-6"/>
          <w:sz w:val="28"/>
        </w:rPr>
        <w:t>Module code:</w:t>
      </w:r>
      <w:r>
        <w:rPr>
          <w:spacing w:val="-6"/>
          <w:sz w:val="28"/>
        </w:rPr>
        <w:t xml:space="preserve"> </w:t>
      </w:r>
      <w:r w:rsidRPr="00051FD4">
        <w:rPr>
          <w:bCs/>
          <w:spacing w:val="-6"/>
          <w:sz w:val="28"/>
        </w:rPr>
        <w:t>LCMB7003</w:t>
      </w:r>
      <w:r w:rsidR="008F2CA4">
        <w:rPr>
          <w:bCs/>
          <w:spacing w:val="-6"/>
          <w:sz w:val="28"/>
        </w:rPr>
        <w:t>_LON</w:t>
      </w:r>
    </w:p>
    <w:p w14:paraId="26BA9FC9" w14:textId="77777777" w:rsidR="00051FD4" w:rsidRPr="00051FD4" w:rsidRDefault="00051FD4" w:rsidP="00051FD4">
      <w:pPr>
        <w:spacing w:before="286"/>
        <w:jc w:val="both"/>
        <w:rPr>
          <w:bCs/>
          <w:sz w:val="28"/>
        </w:rPr>
      </w:pPr>
      <w:r w:rsidRPr="00051FD4">
        <w:rPr>
          <w:b/>
          <w:bCs/>
          <w:sz w:val="28"/>
        </w:rPr>
        <w:t>Lecturer name:</w:t>
      </w:r>
      <w:r>
        <w:rPr>
          <w:sz w:val="28"/>
        </w:rPr>
        <w:t xml:space="preserve"> </w:t>
      </w:r>
      <w:r w:rsidRPr="00051FD4">
        <w:rPr>
          <w:bCs/>
          <w:sz w:val="28"/>
        </w:rPr>
        <w:t xml:space="preserve">Amare Desta </w:t>
      </w:r>
    </w:p>
    <w:p w14:paraId="61DF02B8" w14:textId="336C3B60" w:rsidR="00051FD4" w:rsidRDefault="00051FD4" w:rsidP="00051FD4">
      <w:pPr>
        <w:spacing w:before="286"/>
        <w:ind w:left="1781"/>
        <w:jc w:val="both"/>
        <w:rPr>
          <w:bCs/>
          <w:sz w:val="28"/>
        </w:rPr>
      </w:pPr>
      <w:r w:rsidRPr="00051FD4">
        <w:rPr>
          <w:bCs/>
          <w:sz w:val="28"/>
        </w:rPr>
        <w:t xml:space="preserve"> </w:t>
      </w:r>
    </w:p>
    <w:p w14:paraId="3DD0E9BF" w14:textId="3E8E6CF8" w:rsidR="00051FD4" w:rsidRDefault="00051FD4" w:rsidP="00051FD4">
      <w:pPr>
        <w:spacing w:before="286"/>
        <w:ind w:left="-379"/>
        <w:jc w:val="both"/>
        <w:rPr>
          <w:bCs/>
          <w:sz w:val="28"/>
        </w:rPr>
      </w:pPr>
      <w:r>
        <w:rPr>
          <w:bCs/>
          <w:sz w:val="28"/>
        </w:rPr>
        <w:t xml:space="preserve">     </w:t>
      </w:r>
      <w:r w:rsidRPr="00051FD4">
        <w:rPr>
          <w:b/>
          <w:sz w:val="28"/>
        </w:rPr>
        <w:t>Student name:</w:t>
      </w:r>
      <w:r>
        <w:rPr>
          <w:bCs/>
          <w:sz w:val="28"/>
        </w:rPr>
        <w:t xml:space="preserve"> Sadhana</w:t>
      </w:r>
      <w:r w:rsidR="008F2CA4">
        <w:rPr>
          <w:bCs/>
          <w:sz w:val="28"/>
        </w:rPr>
        <w:t xml:space="preserve"> Kumari</w:t>
      </w:r>
    </w:p>
    <w:p w14:paraId="7B069830" w14:textId="0CBB4BFA" w:rsidR="00051FD4" w:rsidRPr="00051FD4" w:rsidRDefault="00051FD4" w:rsidP="00051FD4">
      <w:pPr>
        <w:spacing w:before="286"/>
        <w:ind w:left="-379"/>
        <w:jc w:val="both"/>
        <w:rPr>
          <w:bCs/>
          <w:sz w:val="28"/>
        </w:rPr>
      </w:pPr>
      <w:r>
        <w:rPr>
          <w:bCs/>
          <w:sz w:val="28"/>
        </w:rPr>
        <w:t xml:space="preserve">     </w:t>
      </w:r>
      <w:r w:rsidRPr="00051FD4">
        <w:rPr>
          <w:b/>
          <w:sz w:val="28"/>
        </w:rPr>
        <w:t xml:space="preserve">Student Id: </w:t>
      </w:r>
      <w:r w:rsidR="008F2CA4">
        <w:rPr>
          <w:b/>
          <w:sz w:val="28"/>
        </w:rPr>
        <w:t>2413773</w:t>
      </w:r>
    </w:p>
    <w:p w14:paraId="469E65B6" w14:textId="2545EDD9" w:rsidR="00051FD4" w:rsidRDefault="00051FD4" w:rsidP="00051FD4">
      <w:pPr>
        <w:spacing w:before="286"/>
        <w:jc w:val="both"/>
        <w:rPr>
          <w:b/>
          <w:sz w:val="28"/>
        </w:rPr>
      </w:pPr>
      <w:r>
        <w:rPr>
          <w:b/>
          <w:sz w:val="28"/>
        </w:rPr>
        <w:t xml:space="preserve">Submission date: </w:t>
      </w:r>
      <w:r w:rsidR="008F2CA4">
        <w:rPr>
          <w:b/>
          <w:sz w:val="28"/>
        </w:rPr>
        <w:t>12/08/2026</w:t>
      </w:r>
    </w:p>
    <w:p w14:paraId="62EB8F26" w14:textId="77777777" w:rsidR="00051FD4" w:rsidRPr="00051FD4" w:rsidRDefault="00051FD4" w:rsidP="00051FD4">
      <w:pPr>
        <w:spacing w:before="286"/>
        <w:jc w:val="both"/>
        <w:rPr>
          <w:b/>
          <w:sz w:val="28"/>
        </w:rPr>
      </w:pPr>
    </w:p>
    <w:p w14:paraId="3E4A118F" w14:textId="77777777" w:rsidR="00C91A0E" w:rsidRDefault="00C91A0E" w:rsidP="00C91A0E">
      <w:pPr>
        <w:spacing w:line="412" w:lineRule="auto"/>
        <w:rPr>
          <w:sz w:val="28"/>
        </w:rPr>
        <w:sectPr w:rsidR="00C91A0E" w:rsidSect="00C91A0E">
          <w:pgSz w:w="11910" w:h="16840"/>
          <w:pgMar w:top="1540" w:right="1417" w:bottom="280" w:left="1417" w:header="720" w:footer="720" w:gutter="0"/>
          <w:cols w:space="720"/>
        </w:sectPr>
      </w:pPr>
    </w:p>
    <w:p w14:paraId="105A80ED" w14:textId="7EF1408A" w:rsidR="00C91A0E" w:rsidRPr="00C91A0E" w:rsidRDefault="00C91A0E" w:rsidP="00C91A0E">
      <w:pPr>
        <w:spacing w:before="80"/>
        <w:ind w:left="23"/>
        <w:rPr>
          <w:sz w:val="40"/>
        </w:rPr>
      </w:pPr>
      <w:bookmarkStart w:id="1" w:name="AI_use_acknowledgement"/>
      <w:bookmarkEnd w:id="1"/>
      <w:r>
        <w:rPr>
          <w:color w:val="0E4660"/>
          <w:spacing w:val="-10"/>
          <w:sz w:val="40"/>
        </w:rPr>
        <w:lastRenderedPageBreak/>
        <w:t>AI</w:t>
      </w:r>
      <w:r>
        <w:rPr>
          <w:color w:val="0E4660"/>
          <w:spacing w:val="-44"/>
          <w:sz w:val="40"/>
        </w:rPr>
        <w:t xml:space="preserve"> </w:t>
      </w:r>
      <w:r>
        <w:rPr>
          <w:color w:val="0E4660"/>
          <w:spacing w:val="-10"/>
          <w:sz w:val="40"/>
        </w:rPr>
        <w:t>use</w:t>
      </w:r>
      <w:r>
        <w:rPr>
          <w:color w:val="0E4660"/>
          <w:spacing w:val="-42"/>
          <w:sz w:val="40"/>
        </w:rPr>
        <w:t xml:space="preserve"> </w:t>
      </w:r>
      <w:r>
        <w:rPr>
          <w:color w:val="0E4660"/>
          <w:spacing w:val="-10"/>
          <w:sz w:val="40"/>
        </w:rPr>
        <w:t>acknowledgement</w:t>
      </w:r>
    </w:p>
    <w:p w14:paraId="7B10CA9A" w14:textId="77777777" w:rsidR="00C91A0E" w:rsidRDefault="00C91A0E" w:rsidP="00C91A0E">
      <w:pPr>
        <w:pStyle w:val="BodyText"/>
        <w:spacing w:before="165"/>
        <w:rPr>
          <w:b/>
        </w:rPr>
      </w:pPr>
    </w:p>
    <w:p w14:paraId="6A4C026F" w14:textId="44F7DCA5" w:rsidR="00C91A0E" w:rsidRDefault="00C91A0E" w:rsidP="00C91A0E">
      <w:pPr>
        <w:pStyle w:val="BodyText"/>
        <w:spacing w:line="292" w:lineRule="auto"/>
        <w:ind w:left="23" w:right="73"/>
      </w:pPr>
      <w:r>
        <w:rPr>
          <w:spacing w:val="-6"/>
        </w:rPr>
        <w:t>I</w:t>
      </w:r>
      <w:r>
        <w:rPr>
          <w:spacing w:val="-25"/>
        </w:rPr>
        <w:t xml:space="preserve"> </w:t>
      </w:r>
      <w:r>
        <w:rPr>
          <w:spacing w:val="-6"/>
        </w:rPr>
        <w:t>acknowledge</w:t>
      </w:r>
      <w:r>
        <w:rPr>
          <w:spacing w:val="-24"/>
        </w:rPr>
        <w:t xml:space="preserve"> </w:t>
      </w:r>
      <w:r>
        <w:rPr>
          <w:spacing w:val="-6"/>
        </w:rPr>
        <w:t>the</w:t>
      </w:r>
      <w:r>
        <w:rPr>
          <w:spacing w:val="-24"/>
        </w:rPr>
        <w:t xml:space="preserve"> </w:t>
      </w:r>
      <w:r>
        <w:rPr>
          <w:spacing w:val="-6"/>
        </w:rPr>
        <w:t>use</w:t>
      </w:r>
      <w:r>
        <w:rPr>
          <w:spacing w:val="-24"/>
        </w:rPr>
        <w:t xml:space="preserve"> </w:t>
      </w:r>
      <w:r>
        <w:rPr>
          <w:spacing w:val="-6"/>
        </w:rPr>
        <w:t>of</w:t>
      </w:r>
      <w:r>
        <w:rPr>
          <w:spacing w:val="-24"/>
        </w:rPr>
        <w:t xml:space="preserve"> </w:t>
      </w:r>
      <w:r>
        <w:rPr>
          <w:spacing w:val="-6"/>
        </w:rPr>
        <w:t>“Quill bot” (</w:t>
      </w:r>
      <w:r w:rsidRPr="00C91A0E">
        <w:rPr>
          <w:spacing w:val="-6"/>
        </w:rPr>
        <w:t>https://quillbot.com/plagiarism-checker</w:t>
      </w:r>
      <w:r>
        <w:rPr>
          <w:spacing w:val="-6"/>
        </w:rPr>
        <w:t>)</w:t>
      </w:r>
      <w:r>
        <w:rPr>
          <w:spacing w:val="-18"/>
        </w:rPr>
        <w:t xml:space="preserve"> </w:t>
      </w:r>
      <w:r>
        <w:rPr>
          <w:spacing w:val="-6"/>
        </w:rPr>
        <w:t>on</w:t>
      </w:r>
      <w:r>
        <w:rPr>
          <w:spacing w:val="-19"/>
        </w:rPr>
        <w:t xml:space="preserve"> </w:t>
      </w:r>
      <w:r>
        <w:rPr>
          <w:spacing w:val="-6"/>
        </w:rPr>
        <w:t>11-08-2026</w:t>
      </w:r>
      <w:r>
        <w:rPr>
          <w:spacing w:val="-23"/>
        </w:rPr>
        <w:t xml:space="preserve"> </w:t>
      </w:r>
      <w:r>
        <w:rPr>
          <w:spacing w:val="-6"/>
        </w:rPr>
        <w:t>to</w:t>
      </w:r>
      <w:r>
        <w:rPr>
          <w:spacing w:val="-24"/>
        </w:rPr>
        <w:t xml:space="preserve"> </w:t>
      </w:r>
      <w:r>
        <w:rPr>
          <w:spacing w:val="-6"/>
        </w:rPr>
        <w:t>check the plagiarism.</w:t>
      </w:r>
      <w:r>
        <w:rPr>
          <w:spacing w:val="-22"/>
        </w:rPr>
        <w:t xml:space="preserve"> </w:t>
      </w:r>
    </w:p>
    <w:p w14:paraId="01063E56" w14:textId="77777777" w:rsidR="00C91A0E" w:rsidRDefault="00C91A0E" w:rsidP="00C91A0E">
      <w:pPr>
        <w:pStyle w:val="BodyText"/>
        <w:spacing w:before="221" w:line="292" w:lineRule="auto"/>
        <w:ind w:left="23" w:right="73"/>
      </w:pPr>
      <w:r>
        <w:rPr>
          <w:spacing w:val="-4"/>
        </w:rPr>
        <w:t>I</w:t>
      </w:r>
      <w:r>
        <w:rPr>
          <w:spacing w:val="-22"/>
        </w:rPr>
        <w:t xml:space="preserve"> </w:t>
      </w:r>
      <w:r>
        <w:rPr>
          <w:spacing w:val="-4"/>
        </w:rPr>
        <w:t>confirm</w:t>
      </w:r>
      <w:r>
        <w:rPr>
          <w:spacing w:val="-18"/>
        </w:rPr>
        <w:t xml:space="preserve"> </w:t>
      </w:r>
      <w:r>
        <w:rPr>
          <w:spacing w:val="-4"/>
        </w:rPr>
        <w:t>that</w:t>
      </w:r>
      <w:r>
        <w:rPr>
          <w:spacing w:val="-17"/>
        </w:rPr>
        <w:t xml:space="preserve"> </w:t>
      </w:r>
      <w:r>
        <w:rPr>
          <w:spacing w:val="-4"/>
        </w:rPr>
        <w:t>I</w:t>
      </w:r>
      <w:r>
        <w:rPr>
          <w:spacing w:val="-22"/>
        </w:rPr>
        <w:t xml:space="preserve"> </w:t>
      </w:r>
      <w:r>
        <w:rPr>
          <w:spacing w:val="-4"/>
        </w:rPr>
        <w:t>have</w:t>
      </w:r>
      <w:r>
        <w:rPr>
          <w:spacing w:val="-21"/>
        </w:rPr>
        <w:t xml:space="preserve"> </w:t>
      </w:r>
      <w:r>
        <w:rPr>
          <w:spacing w:val="-4"/>
        </w:rPr>
        <w:t>not</w:t>
      </w:r>
      <w:r>
        <w:rPr>
          <w:spacing w:val="-17"/>
        </w:rPr>
        <w:t xml:space="preserve"> </w:t>
      </w:r>
      <w:r>
        <w:rPr>
          <w:spacing w:val="-4"/>
        </w:rPr>
        <w:t>presented</w:t>
      </w:r>
      <w:r>
        <w:rPr>
          <w:spacing w:val="-19"/>
        </w:rPr>
        <w:t xml:space="preserve"> </w:t>
      </w:r>
      <w:r>
        <w:rPr>
          <w:spacing w:val="-4"/>
        </w:rPr>
        <w:t>any</w:t>
      </w:r>
      <w:r>
        <w:rPr>
          <w:spacing w:val="-18"/>
        </w:rPr>
        <w:t xml:space="preserve"> </w:t>
      </w:r>
      <w:r>
        <w:rPr>
          <w:spacing w:val="-4"/>
        </w:rPr>
        <w:t>AI</w:t>
      </w:r>
      <w:r>
        <w:rPr>
          <w:spacing w:val="-22"/>
        </w:rPr>
        <w:t xml:space="preserve"> </w:t>
      </w:r>
      <w:r>
        <w:rPr>
          <w:spacing w:val="-4"/>
        </w:rPr>
        <w:t>generated</w:t>
      </w:r>
      <w:r>
        <w:rPr>
          <w:spacing w:val="-19"/>
        </w:rPr>
        <w:t xml:space="preserve"> </w:t>
      </w:r>
      <w:r>
        <w:rPr>
          <w:spacing w:val="-4"/>
        </w:rPr>
        <w:t>text</w:t>
      </w:r>
      <w:r>
        <w:rPr>
          <w:spacing w:val="-17"/>
        </w:rPr>
        <w:t xml:space="preserve"> </w:t>
      </w:r>
      <w:r>
        <w:rPr>
          <w:spacing w:val="-4"/>
        </w:rPr>
        <w:t>as</w:t>
      </w:r>
      <w:r>
        <w:rPr>
          <w:spacing w:val="-21"/>
        </w:rPr>
        <w:t xml:space="preserve"> </w:t>
      </w:r>
      <w:r>
        <w:rPr>
          <w:spacing w:val="-4"/>
        </w:rPr>
        <w:t>my</w:t>
      </w:r>
      <w:r>
        <w:rPr>
          <w:spacing w:val="-18"/>
        </w:rPr>
        <w:t xml:space="preserve"> </w:t>
      </w:r>
      <w:r>
        <w:rPr>
          <w:spacing w:val="-4"/>
        </w:rPr>
        <w:t>own</w:t>
      </w:r>
      <w:r>
        <w:rPr>
          <w:spacing w:val="-21"/>
        </w:rPr>
        <w:t xml:space="preserve"> </w:t>
      </w:r>
      <w:r>
        <w:rPr>
          <w:spacing w:val="-4"/>
        </w:rPr>
        <w:t>work.</w:t>
      </w:r>
      <w:r>
        <w:rPr>
          <w:spacing w:val="-18"/>
        </w:rPr>
        <w:t xml:space="preserve"> </w:t>
      </w:r>
      <w:r>
        <w:rPr>
          <w:spacing w:val="-4"/>
        </w:rPr>
        <w:t>I</w:t>
      </w:r>
      <w:r>
        <w:rPr>
          <w:spacing w:val="-22"/>
        </w:rPr>
        <w:t xml:space="preserve"> </w:t>
      </w:r>
      <w:r>
        <w:rPr>
          <w:spacing w:val="-4"/>
        </w:rPr>
        <w:t>confirm</w:t>
      </w:r>
      <w:r>
        <w:rPr>
          <w:spacing w:val="-18"/>
        </w:rPr>
        <w:t xml:space="preserve"> </w:t>
      </w:r>
      <w:r>
        <w:rPr>
          <w:spacing w:val="-4"/>
        </w:rPr>
        <w:t>I have</w:t>
      </w:r>
      <w:r>
        <w:rPr>
          <w:spacing w:val="-24"/>
        </w:rPr>
        <w:t xml:space="preserve"> </w:t>
      </w:r>
      <w:r>
        <w:rPr>
          <w:spacing w:val="-4"/>
        </w:rPr>
        <w:t>copies</w:t>
      </w:r>
      <w:r>
        <w:rPr>
          <w:spacing w:val="-24"/>
        </w:rPr>
        <w:t xml:space="preserve"> </w:t>
      </w:r>
      <w:r>
        <w:rPr>
          <w:spacing w:val="-4"/>
        </w:rPr>
        <w:t>of</w:t>
      </w:r>
      <w:r>
        <w:rPr>
          <w:spacing w:val="-24"/>
        </w:rPr>
        <w:t xml:space="preserve"> </w:t>
      </w:r>
      <w:r>
        <w:rPr>
          <w:spacing w:val="-4"/>
        </w:rPr>
        <w:t>my</w:t>
      </w:r>
      <w:r>
        <w:rPr>
          <w:spacing w:val="-20"/>
        </w:rPr>
        <w:t xml:space="preserve"> </w:t>
      </w:r>
      <w:r>
        <w:rPr>
          <w:spacing w:val="-4"/>
        </w:rPr>
        <w:t>drafts,</w:t>
      </w:r>
      <w:r>
        <w:rPr>
          <w:spacing w:val="-26"/>
        </w:rPr>
        <w:t xml:space="preserve"> </w:t>
      </w:r>
      <w:r>
        <w:rPr>
          <w:spacing w:val="-4"/>
        </w:rPr>
        <w:t>notes,</w:t>
      </w:r>
      <w:r>
        <w:rPr>
          <w:spacing w:val="-21"/>
        </w:rPr>
        <w:t xml:space="preserve"> </w:t>
      </w:r>
      <w:r>
        <w:rPr>
          <w:spacing w:val="-4"/>
        </w:rPr>
        <w:t>and</w:t>
      </w:r>
      <w:r>
        <w:rPr>
          <w:spacing w:val="-22"/>
        </w:rPr>
        <w:t xml:space="preserve"> </w:t>
      </w:r>
      <w:r>
        <w:rPr>
          <w:spacing w:val="-4"/>
        </w:rPr>
        <w:t>other</w:t>
      </w:r>
      <w:r>
        <w:rPr>
          <w:spacing w:val="-22"/>
        </w:rPr>
        <w:t xml:space="preserve"> </w:t>
      </w:r>
      <w:r>
        <w:rPr>
          <w:spacing w:val="-4"/>
        </w:rPr>
        <w:t>resources</w:t>
      </w:r>
      <w:r>
        <w:rPr>
          <w:spacing w:val="-24"/>
        </w:rPr>
        <w:t xml:space="preserve"> </w:t>
      </w:r>
      <w:r>
        <w:rPr>
          <w:spacing w:val="-4"/>
        </w:rPr>
        <w:t>I</w:t>
      </w:r>
      <w:r>
        <w:rPr>
          <w:spacing w:val="-25"/>
        </w:rPr>
        <w:t xml:space="preserve"> </w:t>
      </w:r>
      <w:r>
        <w:rPr>
          <w:spacing w:val="-4"/>
        </w:rPr>
        <w:t>used</w:t>
      </w:r>
      <w:r>
        <w:rPr>
          <w:spacing w:val="-22"/>
        </w:rPr>
        <w:t xml:space="preserve"> </w:t>
      </w:r>
      <w:r>
        <w:rPr>
          <w:spacing w:val="-4"/>
        </w:rPr>
        <w:t>before,</w:t>
      </w:r>
      <w:r>
        <w:rPr>
          <w:spacing w:val="-21"/>
        </w:rPr>
        <w:t xml:space="preserve"> </w:t>
      </w:r>
      <w:r>
        <w:rPr>
          <w:spacing w:val="-4"/>
        </w:rPr>
        <w:t>and</w:t>
      </w:r>
      <w:r>
        <w:rPr>
          <w:spacing w:val="-22"/>
        </w:rPr>
        <w:t xml:space="preserve"> </w:t>
      </w:r>
      <w:r>
        <w:rPr>
          <w:spacing w:val="-4"/>
        </w:rPr>
        <w:t>after</w:t>
      </w:r>
      <w:r>
        <w:rPr>
          <w:spacing w:val="-22"/>
        </w:rPr>
        <w:t xml:space="preserve"> </w:t>
      </w:r>
      <w:r>
        <w:rPr>
          <w:spacing w:val="-4"/>
        </w:rPr>
        <w:t>the</w:t>
      </w:r>
      <w:r>
        <w:rPr>
          <w:spacing w:val="-24"/>
        </w:rPr>
        <w:t xml:space="preserve"> </w:t>
      </w:r>
      <w:r>
        <w:rPr>
          <w:spacing w:val="-4"/>
        </w:rPr>
        <w:t>use</w:t>
      </w:r>
      <w:r>
        <w:rPr>
          <w:spacing w:val="-24"/>
        </w:rPr>
        <w:t xml:space="preserve"> </w:t>
      </w:r>
      <w:r>
        <w:rPr>
          <w:spacing w:val="-4"/>
        </w:rPr>
        <w:t xml:space="preserve">of </w:t>
      </w:r>
      <w:r>
        <w:t>AI</w:t>
      </w:r>
      <w:r>
        <w:rPr>
          <w:spacing w:val="-25"/>
        </w:rPr>
        <w:t xml:space="preserve"> </w:t>
      </w:r>
      <w:r>
        <w:t>tools</w:t>
      </w:r>
      <w:r>
        <w:rPr>
          <w:spacing w:val="-24"/>
        </w:rPr>
        <w:t xml:space="preserve"> </w:t>
      </w:r>
      <w:r>
        <w:t>which</w:t>
      </w:r>
      <w:r>
        <w:rPr>
          <w:spacing w:val="-24"/>
        </w:rPr>
        <w:t xml:space="preserve"> </w:t>
      </w:r>
      <w:r>
        <w:t>I</w:t>
      </w:r>
      <w:r>
        <w:rPr>
          <w:spacing w:val="-25"/>
        </w:rPr>
        <w:t xml:space="preserve"> </w:t>
      </w:r>
      <w:r>
        <w:t>may</w:t>
      </w:r>
      <w:r>
        <w:rPr>
          <w:spacing w:val="-21"/>
        </w:rPr>
        <w:t xml:space="preserve"> </w:t>
      </w:r>
      <w:r>
        <w:t>be</w:t>
      </w:r>
      <w:r>
        <w:rPr>
          <w:spacing w:val="-23"/>
        </w:rPr>
        <w:t xml:space="preserve"> </w:t>
      </w:r>
      <w:r>
        <w:t>asked</w:t>
      </w:r>
      <w:r>
        <w:rPr>
          <w:spacing w:val="-22"/>
        </w:rPr>
        <w:t xml:space="preserve"> </w:t>
      </w:r>
      <w:r>
        <w:t>to</w:t>
      </w:r>
      <w:r>
        <w:rPr>
          <w:spacing w:val="-24"/>
        </w:rPr>
        <w:t xml:space="preserve"> </w:t>
      </w:r>
      <w:r>
        <w:t>provide</w:t>
      </w:r>
      <w:r>
        <w:rPr>
          <w:spacing w:val="-24"/>
        </w:rPr>
        <w:t xml:space="preserve"> </w:t>
      </w:r>
      <w:r>
        <w:t>in</w:t>
      </w:r>
      <w:r>
        <w:rPr>
          <w:spacing w:val="-24"/>
        </w:rPr>
        <w:t xml:space="preserve"> </w:t>
      </w:r>
      <w:r>
        <w:t>evidence.</w:t>
      </w:r>
    </w:p>
    <w:p w14:paraId="67920CD5" w14:textId="77777777" w:rsidR="00C91A0E" w:rsidRDefault="00C91A0E" w:rsidP="00C91A0E">
      <w:pPr>
        <w:pStyle w:val="BodyText"/>
      </w:pPr>
    </w:p>
    <w:p w14:paraId="69032BEF" w14:textId="77777777" w:rsidR="00C91A0E" w:rsidRDefault="00C91A0E" w:rsidP="00C91A0E">
      <w:pPr>
        <w:pStyle w:val="BodyText"/>
      </w:pPr>
    </w:p>
    <w:p w14:paraId="39B94BFD" w14:textId="77777777" w:rsidR="00C91A0E" w:rsidRDefault="00C91A0E" w:rsidP="00C91A0E">
      <w:pPr>
        <w:pStyle w:val="BodyText"/>
      </w:pPr>
    </w:p>
    <w:p w14:paraId="14A4EC6C" w14:textId="77777777" w:rsidR="00C91A0E" w:rsidRDefault="00C91A0E" w:rsidP="00C91A0E">
      <w:pPr>
        <w:pStyle w:val="BodyText"/>
        <w:spacing w:before="46"/>
      </w:pPr>
    </w:p>
    <w:p w14:paraId="7F9A9EA2" w14:textId="77777777" w:rsidR="00C91A0E" w:rsidRDefault="00C91A0E" w:rsidP="00C91A0E">
      <w:pPr>
        <w:pStyle w:val="BodyText"/>
      </w:pPr>
    </w:p>
    <w:p w14:paraId="69C49EF7" w14:textId="77777777" w:rsidR="00C91A0E" w:rsidRDefault="00C91A0E" w:rsidP="00C91A0E">
      <w:pPr>
        <w:pStyle w:val="BodyText"/>
      </w:pPr>
    </w:p>
    <w:p w14:paraId="37135C26" w14:textId="77777777" w:rsidR="00C91A0E" w:rsidRDefault="00C91A0E" w:rsidP="00C91A0E">
      <w:pPr>
        <w:pStyle w:val="BodyText"/>
      </w:pPr>
    </w:p>
    <w:p w14:paraId="7CC2DF4A" w14:textId="77777777" w:rsidR="00C91A0E" w:rsidRDefault="00C91A0E" w:rsidP="00C91A0E">
      <w:pPr>
        <w:pStyle w:val="BodyText"/>
      </w:pPr>
    </w:p>
    <w:p w14:paraId="5AFD10A5" w14:textId="77777777" w:rsidR="00C91A0E" w:rsidRDefault="00C91A0E" w:rsidP="00C91A0E">
      <w:pPr>
        <w:pStyle w:val="BodyText"/>
      </w:pPr>
    </w:p>
    <w:p w14:paraId="39746009" w14:textId="77777777" w:rsidR="00C91A0E" w:rsidRDefault="00C91A0E" w:rsidP="00C91A0E">
      <w:pPr>
        <w:pStyle w:val="BodyText"/>
      </w:pPr>
    </w:p>
    <w:p w14:paraId="409507CB" w14:textId="77777777" w:rsidR="00C91A0E" w:rsidRDefault="00C91A0E" w:rsidP="00C91A0E">
      <w:pPr>
        <w:pStyle w:val="BodyText"/>
      </w:pPr>
    </w:p>
    <w:p w14:paraId="3058DE60" w14:textId="77777777" w:rsidR="00C91A0E" w:rsidRDefault="00C91A0E" w:rsidP="00C91A0E">
      <w:pPr>
        <w:pStyle w:val="BodyText"/>
      </w:pPr>
    </w:p>
    <w:p w14:paraId="21187FF0" w14:textId="77777777" w:rsidR="00051FD4" w:rsidRDefault="00051FD4">
      <w:pPr>
        <w:rPr>
          <w:rFonts w:eastAsia="Arial"/>
          <w:b/>
          <w:sz w:val="32"/>
        </w:rPr>
      </w:pPr>
      <w:r>
        <w:rPr>
          <w:rFonts w:eastAsia="Arial"/>
          <w:b/>
          <w:sz w:val="32"/>
        </w:rPr>
        <w:br w:type="page"/>
      </w:r>
    </w:p>
    <w:p w14:paraId="55D9E7EB" w14:textId="4B6FF50B" w:rsidR="002B1E5D" w:rsidRDefault="005F384D">
      <w:pPr>
        <w:spacing w:line="360" w:lineRule="auto"/>
      </w:pPr>
      <w:r>
        <w:rPr>
          <w:rFonts w:eastAsia="Arial"/>
          <w:b/>
          <w:sz w:val="32"/>
        </w:rPr>
        <w:lastRenderedPageBreak/>
        <w:t>Table of Contents</w:t>
      </w:r>
    </w:p>
    <w:p w14:paraId="3F38C395" w14:textId="4956E62D" w:rsidR="00051FD4" w:rsidRDefault="005F384D">
      <w:pPr>
        <w:pStyle w:val="TOC1"/>
        <w:tabs>
          <w:tab w:val="right" w:leader="dot" w:pos="9062"/>
        </w:tabs>
        <w:rPr>
          <w:rFonts w:asciiTheme="minorHAnsi" w:hAnsiTheme="minorHAnsi" w:cstheme="minorBidi"/>
          <w:noProof/>
          <w:kern w:val="2"/>
          <w:szCs w:val="30"/>
          <w:lang w:eastAsia="zh-CN" w:bidi="th-TH"/>
          <w14:ligatures w14:val="standardContextual"/>
        </w:rPr>
      </w:pPr>
      <w:r>
        <w:rPr>
          <w:rFonts w:eastAsia="Arial"/>
        </w:rPr>
        <w:fldChar w:fldCharType="begin"/>
      </w:r>
      <w:r>
        <w:rPr>
          <w:rFonts w:eastAsia="Arial"/>
        </w:rPr>
        <w:instrText>TOC \o "1-2" \h \z \u</w:instrText>
      </w:r>
      <w:r>
        <w:rPr>
          <w:rFonts w:eastAsia="Arial"/>
        </w:rPr>
        <w:fldChar w:fldCharType="separate"/>
      </w:r>
      <w:hyperlink w:anchor="_Toc237380056" w:history="1">
        <w:r w:rsidR="00051FD4" w:rsidRPr="006A0C2F">
          <w:rPr>
            <w:rStyle w:val="Hyperlink"/>
            <w:noProof/>
            <w:spacing w:val="-8"/>
          </w:rPr>
          <w:t>Contemporary</w:t>
        </w:r>
        <w:r w:rsidR="00051FD4" w:rsidRPr="006A0C2F">
          <w:rPr>
            <w:rStyle w:val="Hyperlink"/>
            <w:noProof/>
            <w:spacing w:val="-27"/>
          </w:rPr>
          <w:t xml:space="preserve"> </w:t>
        </w:r>
        <w:r w:rsidR="00051FD4" w:rsidRPr="006A0C2F">
          <w:rPr>
            <w:rStyle w:val="Hyperlink"/>
            <w:noProof/>
            <w:spacing w:val="-8"/>
          </w:rPr>
          <w:t>employability</w:t>
        </w:r>
        <w:r w:rsidR="00051FD4" w:rsidRPr="006A0C2F">
          <w:rPr>
            <w:rStyle w:val="Hyperlink"/>
            <w:noProof/>
            <w:spacing w:val="-25"/>
          </w:rPr>
          <w:t xml:space="preserve"> </w:t>
        </w:r>
        <w:r w:rsidR="00051FD4" w:rsidRPr="006A0C2F">
          <w:rPr>
            <w:rStyle w:val="Hyperlink"/>
            <w:noProof/>
            <w:spacing w:val="-8"/>
          </w:rPr>
          <w:t>skills</w:t>
        </w:r>
        <w:r w:rsidR="00051FD4">
          <w:rPr>
            <w:noProof/>
            <w:webHidden/>
          </w:rPr>
          <w:tab/>
        </w:r>
        <w:r w:rsidR="00051FD4">
          <w:rPr>
            <w:noProof/>
            <w:webHidden/>
          </w:rPr>
          <w:fldChar w:fldCharType="begin"/>
        </w:r>
        <w:r w:rsidR="00051FD4">
          <w:rPr>
            <w:noProof/>
            <w:webHidden/>
          </w:rPr>
          <w:instrText xml:space="preserve"> PAGEREF _Toc237380056 \h </w:instrText>
        </w:r>
        <w:r w:rsidR="00051FD4">
          <w:rPr>
            <w:noProof/>
            <w:webHidden/>
          </w:rPr>
        </w:r>
        <w:r w:rsidR="00051FD4">
          <w:rPr>
            <w:noProof/>
            <w:webHidden/>
          </w:rPr>
          <w:fldChar w:fldCharType="separate"/>
        </w:r>
        <w:r w:rsidR="00051FD4">
          <w:rPr>
            <w:noProof/>
            <w:webHidden/>
          </w:rPr>
          <w:t>1</w:t>
        </w:r>
        <w:r w:rsidR="00051FD4">
          <w:rPr>
            <w:noProof/>
            <w:webHidden/>
          </w:rPr>
          <w:fldChar w:fldCharType="end"/>
        </w:r>
      </w:hyperlink>
    </w:p>
    <w:p w14:paraId="7FB40A0F" w14:textId="30E78FD1" w:rsidR="00051FD4" w:rsidRDefault="00051FD4">
      <w:pPr>
        <w:pStyle w:val="TOC1"/>
        <w:tabs>
          <w:tab w:val="right" w:leader="dot" w:pos="9062"/>
        </w:tabs>
        <w:rPr>
          <w:rFonts w:asciiTheme="minorHAnsi" w:hAnsiTheme="minorHAnsi" w:cstheme="minorBidi"/>
          <w:noProof/>
          <w:kern w:val="2"/>
          <w:szCs w:val="30"/>
          <w:lang w:eastAsia="zh-CN" w:bidi="th-TH"/>
          <w14:ligatures w14:val="standardContextual"/>
        </w:rPr>
      </w:pPr>
      <w:hyperlink w:anchor="_Toc237380057" w:history="1">
        <w:r w:rsidRPr="006A0C2F">
          <w:rPr>
            <w:rStyle w:val="Hyperlink"/>
            <w:rFonts w:eastAsia="Arial"/>
            <w:noProof/>
          </w:rPr>
          <w:t>1. Organisational Context and Overview</w:t>
        </w:r>
        <w:r>
          <w:rPr>
            <w:noProof/>
            <w:webHidden/>
          </w:rPr>
          <w:tab/>
        </w:r>
        <w:r>
          <w:rPr>
            <w:noProof/>
            <w:webHidden/>
          </w:rPr>
          <w:fldChar w:fldCharType="begin"/>
        </w:r>
        <w:r>
          <w:rPr>
            <w:noProof/>
            <w:webHidden/>
          </w:rPr>
          <w:instrText xml:space="preserve"> PAGEREF _Toc237380057 \h </w:instrText>
        </w:r>
        <w:r>
          <w:rPr>
            <w:noProof/>
            <w:webHidden/>
          </w:rPr>
        </w:r>
        <w:r>
          <w:rPr>
            <w:noProof/>
            <w:webHidden/>
          </w:rPr>
          <w:fldChar w:fldCharType="separate"/>
        </w:r>
        <w:r>
          <w:rPr>
            <w:noProof/>
            <w:webHidden/>
          </w:rPr>
          <w:t>6</w:t>
        </w:r>
        <w:r>
          <w:rPr>
            <w:noProof/>
            <w:webHidden/>
          </w:rPr>
          <w:fldChar w:fldCharType="end"/>
        </w:r>
      </w:hyperlink>
    </w:p>
    <w:p w14:paraId="38F2E6F9" w14:textId="137B9C91" w:rsidR="00051FD4" w:rsidRDefault="00051FD4">
      <w:pPr>
        <w:pStyle w:val="TOC1"/>
        <w:tabs>
          <w:tab w:val="right" w:leader="dot" w:pos="9062"/>
        </w:tabs>
        <w:rPr>
          <w:rFonts w:asciiTheme="minorHAnsi" w:hAnsiTheme="minorHAnsi" w:cstheme="minorBidi"/>
          <w:noProof/>
          <w:kern w:val="2"/>
          <w:szCs w:val="30"/>
          <w:lang w:eastAsia="zh-CN" w:bidi="th-TH"/>
          <w14:ligatures w14:val="standardContextual"/>
        </w:rPr>
      </w:pPr>
      <w:hyperlink w:anchor="_Toc237380058" w:history="1">
        <w:r w:rsidRPr="006A0C2F">
          <w:rPr>
            <w:rStyle w:val="Hyperlink"/>
            <w:rFonts w:eastAsia="Arial"/>
            <w:noProof/>
          </w:rPr>
          <w:t>2. External and Internal Analysis</w:t>
        </w:r>
        <w:r>
          <w:rPr>
            <w:noProof/>
            <w:webHidden/>
          </w:rPr>
          <w:tab/>
        </w:r>
        <w:r>
          <w:rPr>
            <w:noProof/>
            <w:webHidden/>
          </w:rPr>
          <w:fldChar w:fldCharType="begin"/>
        </w:r>
        <w:r>
          <w:rPr>
            <w:noProof/>
            <w:webHidden/>
          </w:rPr>
          <w:instrText xml:space="preserve"> PAGEREF _Toc237380058 \h </w:instrText>
        </w:r>
        <w:r>
          <w:rPr>
            <w:noProof/>
            <w:webHidden/>
          </w:rPr>
        </w:r>
        <w:r>
          <w:rPr>
            <w:noProof/>
            <w:webHidden/>
          </w:rPr>
          <w:fldChar w:fldCharType="separate"/>
        </w:r>
        <w:r>
          <w:rPr>
            <w:noProof/>
            <w:webHidden/>
          </w:rPr>
          <w:t>7</w:t>
        </w:r>
        <w:r>
          <w:rPr>
            <w:noProof/>
            <w:webHidden/>
          </w:rPr>
          <w:fldChar w:fldCharType="end"/>
        </w:r>
      </w:hyperlink>
    </w:p>
    <w:p w14:paraId="5993AC4E" w14:textId="093E2C83"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59" w:history="1">
        <w:r w:rsidRPr="006A0C2F">
          <w:rPr>
            <w:rStyle w:val="Hyperlink"/>
            <w:rFonts w:eastAsia="Arial"/>
            <w:noProof/>
          </w:rPr>
          <w:t>2.1 PESTEL Analysis</w:t>
        </w:r>
        <w:r>
          <w:rPr>
            <w:noProof/>
            <w:webHidden/>
          </w:rPr>
          <w:tab/>
        </w:r>
        <w:r>
          <w:rPr>
            <w:noProof/>
            <w:webHidden/>
          </w:rPr>
          <w:fldChar w:fldCharType="begin"/>
        </w:r>
        <w:r>
          <w:rPr>
            <w:noProof/>
            <w:webHidden/>
          </w:rPr>
          <w:instrText xml:space="preserve"> PAGEREF _Toc237380059 \h </w:instrText>
        </w:r>
        <w:r>
          <w:rPr>
            <w:noProof/>
            <w:webHidden/>
          </w:rPr>
        </w:r>
        <w:r>
          <w:rPr>
            <w:noProof/>
            <w:webHidden/>
          </w:rPr>
          <w:fldChar w:fldCharType="separate"/>
        </w:r>
        <w:r>
          <w:rPr>
            <w:noProof/>
            <w:webHidden/>
          </w:rPr>
          <w:t>7</w:t>
        </w:r>
        <w:r>
          <w:rPr>
            <w:noProof/>
            <w:webHidden/>
          </w:rPr>
          <w:fldChar w:fldCharType="end"/>
        </w:r>
      </w:hyperlink>
    </w:p>
    <w:p w14:paraId="114621FA" w14:textId="3CD5E093"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60" w:history="1">
        <w:r w:rsidRPr="006A0C2F">
          <w:rPr>
            <w:rStyle w:val="Hyperlink"/>
            <w:rFonts w:eastAsia="Arial"/>
            <w:noProof/>
          </w:rPr>
          <w:t>2.2 VRIO Analysis</w:t>
        </w:r>
        <w:r>
          <w:rPr>
            <w:noProof/>
            <w:webHidden/>
          </w:rPr>
          <w:tab/>
        </w:r>
        <w:r>
          <w:rPr>
            <w:noProof/>
            <w:webHidden/>
          </w:rPr>
          <w:fldChar w:fldCharType="begin"/>
        </w:r>
        <w:r>
          <w:rPr>
            <w:noProof/>
            <w:webHidden/>
          </w:rPr>
          <w:instrText xml:space="preserve"> PAGEREF _Toc237380060 \h </w:instrText>
        </w:r>
        <w:r>
          <w:rPr>
            <w:noProof/>
            <w:webHidden/>
          </w:rPr>
        </w:r>
        <w:r>
          <w:rPr>
            <w:noProof/>
            <w:webHidden/>
          </w:rPr>
          <w:fldChar w:fldCharType="separate"/>
        </w:r>
        <w:r>
          <w:rPr>
            <w:noProof/>
            <w:webHidden/>
          </w:rPr>
          <w:t>9</w:t>
        </w:r>
        <w:r>
          <w:rPr>
            <w:noProof/>
            <w:webHidden/>
          </w:rPr>
          <w:fldChar w:fldCharType="end"/>
        </w:r>
      </w:hyperlink>
    </w:p>
    <w:p w14:paraId="4A922E0A" w14:textId="6EA876DD"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61" w:history="1">
        <w:r w:rsidRPr="006A0C2F">
          <w:rPr>
            <w:rStyle w:val="Hyperlink"/>
            <w:rFonts w:eastAsia="Arial"/>
            <w:noProof/>
          </w:rPr>
          <w:t>2.3 SWOT Analysis</w:t>
        </w:r>
        <w:r>
          <w:rPr>
            <w:noProof/>
            <w:webHidden/>
          </w:rPr>
          <w:tab/>
        </w:r>
        <w:r>
          <w:rPr>
            <w:noProof/>
            <w:webHidden/>
          </w:rPr>
          <w:fldChar w:fldCharType="begin"/>
        </w:r>
        <w:r>
          <w:rPr>
            <w:noProof/>
            <w:webHidden/>
          </w:rPr>
          <w:instrText xml:space="preserve"> PAGEREF _Toc237380061 \h </w:instrText>
        </w:r>
        <w:r>
          <w:rPr>
            <w:noProof/>
            <w:webHidden/>
          </w:rPr>
        </w:r>
        <w:r>
          <w:rPr>
            <w:noProof/>
            <w:webHidden/>
          </w:rPr>
          <w:fldChar w:fldCharType="separate"/>
        </w:r>
        <w:r>
          <w:rPr>
            <w:noProof/>
            <w:webHidden/>
          </w:rPr>
          <w:t>11</w:t>
        </w:r>
        <w:r>
          <w:rPr>
            <w:noProof/>
            <w:webHidden/>
          </w:rPr>
          <w:fldChar w:fldCharType="end"/>
        </w:r>
      </w:hyperlink>
    </w:p>
    <w:p w14:paraId="64FD14A4" w14:textId="1F07958A" w:rsidR="00051FD4" w:rsidRDefault="00051FD4">
      <w:pPr>
        <w:pStyle w:val="TOC1"/>
        <w:tabs>
          <w:tab w:val="right" w:leader="dot" w:pos="9062"/>
        </w:tabs>
        <w:rPr>
          <w:rFonts w:asciiTheme="minorHAnsi" w:hAnsiTheme="minorHAnsi" w:cstheme="minorBidi"/>
          <w:noProof/>
          <w:kern w:val="2"/>
          <w:szCs w:val="30"/>
          <w:lang w:eastAsia="zh-CN" w:bidi="th-TH"/>
          <w14:ligatures w14:val="standardContextual"/>
        </w:rPr>
      </w:pPr>
      <w:hyperlink w:anchor="_Toc237380062" w:history="1">
        <w:r w:rsidRPr="006A0C2F">
          <w:rPr>
            <w:rStyle w:val="Hyperlink"/>
            <w:rFonts w:eastAsia="Arial"/>
            <w:noProof/>
          </w:rPr>
          <w:t>3. Comprehensive and Holistic View of the Organisation</w:t>
        </w:r>
        <w:r>
          <w:rPr>
            <w:noProof/>
            <w:webHidden/>
          </w:rPr>
          <w:tab/>
        </w:r>
        <w:r>
          <w:rPr>
            <w:noProof/>
            <w:webHidden/>
          </w:rPr>
          <w:fldChar w:fldCharType="begin"/>
        </w:r>
        <w:r>
          <w:rPr>
            <w:noProof/>
            <w:webHidden/>
          </w:rPr>
          <w:instrText xml:space="preserve"> PAGEREF _Toc237380062 \h </w:instrText>
        </w:r>
        <w:r>
          <w:rPr>
            <w:noProof/>
            <w:webHidden/>
          </w:rPr>
        </w:r>
        <w:r>
          <w:rPr>
            <w:noProof/>
            <w:webHidden/>
          </w:rPr>
          <w:fldChar w:fldCharType="separate"/>
        </w:r>
        <w:r>
          <w:rPr>
            <w:noProof/>
            <w:webHidden/>
          </w:rPr>
          <w:t>12</w:t>
        </w:r>
        <w:r>
          <w:rPr>
            <w:noProof/>
            <w:webHidden/>
          </w:rPr>
          <w:fldChar w:fldCharType="end"/>
        </w:r>
      </w:hyperlink>
    </w:p>
    <w:p w14:paraId="5C0DBDB4" w14:textId="0C8E019D"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63" w:history="1">
        <w:r w:rsidRPr="006A0C2F">
          <w:rPr>
            <w:rStyle w:val="Hyperlink"/>
            <w:rFonts w:eastAsia="Arial"/>
            <w:noProof/>
          </w:rPr>
          <w:t>3.1 Corporate Social Responsibility and Strategic Alignment</w:t>
        </w:r>
        <w:r>
          <w:rPr>
            <w:noProof/>
            <w:webHidden/>
          </w:rPr>
          <w:tab/>
        </w:r>
        <w:r>
          <w:rPr>
            <w:noProof/>
            <w:webHidden/>
          </w:rPr>
          <w:fldChar w:fldCharType="begin"/>
        </w:r>
        <w:r>
          <w:rPr>
            <w:noProof/>
            <w:webHidden/>
          </w:rPr>
          <w:instrText xml:space="preserve"> PAGEREF _Toc237380063 \h </w:instrText>
        </w:r>
        <w:r>
          <w:rPr>
            <w:noProof/>
            <w:webHidden/>
          </w:rPr>
        </w:r>
        <w:r>
          <w:rPr>
            <w:noProof/>
            <w:webHidden/>
          </w:rPr>
          <w:fldChar w:fldCharType="separate"/>
        </w:r>
        <w:r>
          <w:rPr>
            <w:noProof/>
            <w:webHidden/>
          </w:rPr>
          <w:t>13</w:t>
        </w:r>
        <w:r>
          <w:rPr>
            <w:noProof/>
            <w:webHidden/>
          </w:rPr>
          <w:fldChar w:fldCharType="end"/>
        </w:r>
      </w:hyperlink>
    </w:p>
    <w:p w14:paraId="16339256" w14:textId="498BB4FA"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64" w:history="1">
        <w:r w:rsidRPr="006A0C2F">
          <w:rPr>
            <w:rStyle w:val="Hyperlink"/>
            <w:rFonts w:eastAsia="Arial"/>
            <w:noProof/>
          </w:rPr>
          <w:t>3.2 The Balanced Scorecard</w:t>
        </w:r>
        <w:r>
          <w:rPr>
            <w:noProof/>
            <w:webHidden/>
          </w:rPr>
          <w:tab/>
        </w:r>
        <w:r>
          <w:rPr>
            <w:noProof/>
            <w:webHidden/>
          </w:rPr>
          <w:fldChar w:fldCharType="begin"/>
        </w:r>
        <w:r>
          <w:rPr>
            <w:noProof/>
            <w:webHidden/>
          </w:rPr>
          <w:instrText xml:space="preserve"> PAGEREF _Toc237380064 \h </w:instrText>
        </w:r>
        <w:r>
          <w:rPr>
            <w:noProof/>
            <w:webHidden/>
          </w:rPr>
        </w:r>
        <w:r>
          <w:rPr>
            <w:noProof/>
            <w:webHidden/>
          </w:rPr>
          <w:fldChar w:fldCharType="separate"/>
        </w:r>
        <w:r>
          <w:rPr>
            <w:noProof/>
            <w:webHidden/>
          </w:rPr>
          <w:t>14</w:t>
        </w:r>
        <w:r>
          <w:rPr>
            <w:noProof/>
            <w:webHidden/>
          </w:rPr>
          <w:fldChar w:fldCharType="end"/>
        </w:r>
      </w:hyperlink>
    </w:p>
    <w:p w14:paraId="5381AEF4" w14:textId="25290ED1" w:rsidR="00051FD4" w:rsidRDefault="00051FD4">
      <w:pPr>
        <w:pStyle w:val="TOC1"/>
        <w:tabs>
          <w:tab w:val="right" w:leader="dot" w:pos="9062"/>
        </w:tabs>
        <w:rPr>
          <w:rFonts w:asciiTheme="minorHAnsi" w:hAnsiTheme="minorHAnsi" w:cstheme="minorBidi"/>
          <w:noProof/>
          <w:kern w:val="2"/>
          <w:szCs w:val="30"/>
          <w:lang w:eastAsia="zh-CN" w:bidi="th-TH"/>
          <w14:ligatures w14:val="standardContextual"/>
        </w:rPr>
      </w:pPr>
      <w:hyperlink w:anchor="_Toc237380065" w:history="1">
        <w:r w:rsidRPr="006A0C2F">
          <w:rPr>
            <w:rStyle w:val="Hyperlink"/>
            <w:rFonts w:eastAsia="Arial"/>
            <w:noProof/>
          </w:rPr>
          <w:t>4. Strategic Choices and Implementation</w:t>
        </w:r>
        <w:r>
          <w:rPr>
            <w:noProof/>
            <w:webHidden/>
          </w:rPr>
          <w:tab/>
        </w:r>
        <w:r>
          <w:rPr>
            <w:noProof/>
            <w:webHidden/>
          </w:rPr>
          <w:fldChar w:fldCharType="begin"/>
        </w:r>
        <w:r>
          <w:rPr>
            <w:noProof/>
            <w:webHidden/>
          </w:rPr>
          <w:instrText xml:space="preserve"> PAGEREF _Toc237380065 \h </w:instrText>
        </w:r>
        <w:r>
          <w:rPr>
            <w:noProof/>
            <w:webHidden/>
          </w:rPr>
        </w:r>
        <w:r>
          <w:rPr>
            <w:noProof/>
            <w:webHidden/>
          </w:rPr>
          <w:fldChar w:fldCharType="separate"/>
        </w:r>
        <w:r>
          <w:rPr>
            <w:noProof/>
            <w:webHidden/>
          </w:rPr>
          <w:t>15</w:t>
        </w:r>
        <w:r>
          <w:rPr>
            <w:noProof/>
            <w:webHidden/>
          </w:rPr>
          <w:fldChar w:fldCharType="end"/>
        </w:r>
      </w:hyperlink>
    </w:p>
    <w:p w14:paraId="3121ABF2" w14:textId="7275640F"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66" w:history="1">
        <w:r w:rsidRPr="006A0C2F">
          <w:rPr>
            <w:rStyle w:val="Hyperlink"/>
            <w:rFonts w:eastAsia="Arial"/>
            <w:noProof/>
          </w:rPr>
          <w:t>4.1 Business Level Strategy</w:t>
        </w:r>
        <w:r>
          <w:rPr>
            <w:noProof/>
            <w:webHidden/>
          </w:rPr>
          <w:tab/>
        </w:r>
        <w:r>
          <w:rPr>
            <w:noProof/>
            <w:webHidden/>
          </w:rPr>
          <w:fldChar w:fldCharType="begin"/>
        </w:r>
        <w:r>
          <w:rPr>
            <w:noProof/>
            <w:webHidden/>
          </w:rPr>
          <w:instrText xml:space="preserve"> PAGEREF _Toc237380066 \h </w:instrText>
        </w:r>
        <w:r>
          <w:rPr>
            <w:noProof/>
            <w:webHidden/>
          </w:rPr>
        </w:r>
        <w:r>
          <w:rPr>
            <w:noProof/>
            <w:webHidden/>
          </w:rPr>
          <w:fldChar w:fldCharType="separate"/>
        </w:r>
        <w:r>
          <w:rPr>
            <w:noProof/>
            <w:webHidden/>
          </w:rPr>
          <w:t>16</w:t>
        </w:r>
        <w:r>
          <w:rPr>
            <w:noProof/>
            <w:webHidden/>
          </w:rPr>
          <w:fldChar w:fldCharType="end"/>
        </w:r>
      </w:hyperlink>
    </w:p>
    <w:p w14:paraId="73CE2C91" w14:textId="58065F9E"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67" w:history="1">
        <w:r w:rsidRPr="006A0C2F">
          <w:rPr>
            <w:rStyle w:val="Hyperlink"/>
            <w:rFonts w:eastAsia="Arial"/>
            <w:noProof/>
          </w:rPr>
          <w:t>4.2 Validating the Choice with Porter's Five Forces</w:t>
        </w:r>
        <w:r>
          <w:rPr>
            <w:noProof/>
            <w:webHidden/>
          </w:rPr>
          <w:tab/>
        </w:r>
        <w:r>
          <w:rPr>
            <w:noProof/>
            <w:webHidden/>
          </w:rPr>
          <w:fldChar w:fldCharType="begin"/>
        </w:r>
        <w:r>
          <w:rPr>
            <w:noProof/>
            <w:webHidden/>
          </w:rPr>
          <w:instrText xml:space="preserve"> PAGEREF _Toc237380067 \h </w:instrText>
        </w:r>
        <w:r>
          <w:rPr>
            <w:noProof/>
            <w:webHidden/>
          </w:rPr>
        </w:r>
        <w:r>
          <w:rPr>
            <w:noProof/>
            <w:webHidden/>
          </w:rPr>
          <w:fldChar w:fldCharType="separate"/>
        </w:r>
        <w:r>
          <w:rPr>
            <w:noProof/>
            <w:webHidden/>
          </w:rPr>
          <w:t>16</w:t>
        </w:r>
        <w:r>
          <w:rPr>
            <w:noProof/>
            <w:webHidden/>
          </w:rPr>
          <w:fldChar w:fldCharType="end"/>
        </w:r>
      </w:hyperlink>
    </w:p>
    <w:p w14:paraId="4790A5B8" w14:textId="182C1971"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68" w:history="1">
        <w:r w:rsidRPr="006A0C2F">
          <w:rPr>
            <w:rStyle w:val="Hyperlink"/>
            <w:rFonts w:eastAsia="Arial"/>
            <w:noProof/>
          </w:rPr>
          <w:t>4.3 Growth Strategy through Ansoff's Matrix</w:t>
        </w:r>
        <w:r>
          <w:rPr>
            <w:noProof/>
            <w:webHidden/>
          </w:rPr>
          <w:tab/>
        </w:r>
        <w:r>
          <w:rPr>
            <w:noProof/>
            <w:webHidden/>
          </w:rPr>
          <w:fldChar w:fldCharType="begin"/>
        </w:r>
        <w:r>
          <w:rPr>
            <w:noProof/>
            <w:webHidden/>
          </w:rPr>
          <w:instrText xml:space="preserve"> PAGEREF _Toc237380068 \h </w:instrText>
        </w:r>
        <w:r>
          <w:rPr>
            <w:noProof/>
            <w:webHidden/>
          </w:rPr>
        </w:r>
        <w:r>
          <w:rPr>
            <w:noProof/>
            <w:webHidden/>
          </w:rPr>
          <w:fldChar w:fldCharType="separate"/>
        </w:r>
        <w:r>
          <w:rPr>
            <w:noProof/>
            <w:webHidden/>
          </w:rPr>
          <w:t>17</w:t>
        </w:r>
        <w:r>
          <w:rPr>
            <w:noProof/>
            <w:webHidden/>
          </w:rPr>
          <w:fldChar w:fldCharType="end"/>
        </w:r>
      </w:hyperlink>
    </w:p>
    <w:p w14:paraId="1332652E" w14:textId="0F4CB672"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69" w:history="1">
        <w:r w:rsidRPr="006A0C2F">
          <w:rPr>
            <w:rStyle w:val="Hyperlink"/>
            <w:rFonts w:eastAsia="Arial"/>
            <w:noProof/>
          </w:rPr>
          <w:t>4.4 Corporate Level Considerations</w:t>
        </w:r>
        <w:r>
          <w:rPr>
            <w:noProof/>
            <w:webHidden/>
          </w:rPr>
          <w:tab/>
        </w:r>
        <w:r>
          <w:rPr>
            <w:noProof/>
            <w:webHidden/>
          </w:rPr>
          <w:fldChar w:fldCharType="begin"/>
        </w:r>
        <w:r>
          <w:rPr>
            <w:noProof/>
            <w:webHidden/>
          </w:rPr>
          <w:instrText xml:space="preserve"> PAGEREF _Toc237380069 \h </w:instrText>
        </w:r>
        <w:r>
          <w:rPr>
            <w:noProof/>
            <w:webHidden/>
          </w:rPr>
        </w:r>
        <w:r>
          <w:rPr>
            <w:noProof/>
            <w:webHidden/>
          </w:rPr>
          <w:fldChar w:fldCharType="separate"/>
        </w:r>
        <w:r>
          <w:rPr>
            <w:noProof/>
            <w:webHidden/>
          </w:rPr>
          <w:t>18</w:t>
        </w:r>
        <w:r>
          <w:rPr>
            <w:noProof/>
            <w:webHidden/>
          </w:rPr>
          <w:fldChar w:fldCharType="end"/>
        </w:r>
      </w:hyperlink>
    </w:p>
    <w:p w14:paraId="0F604751" w14:textId="50A5865C"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70" w:history="1">
        <w:r w:rsidRPr="006A0C2F">
          <w:rPr>
            <w:rStyle w:val="Hyperlink"/>
            <w:rFonts w:eastAsia="Arial"/>
            <w:noProof/>
          </w:rPr>
          <w:t>4.5 Implementation Challenges</w:t>
        </w:r>
        <w:r>
          <w:rPr>
            <w:noProof/>
            <w:webHidden/>
          </w:rPr>
          <w:tab/>
        </w:r>
        <w:r>
          <w:rPr>
            <w:noProof/>
            <w:webHidden/>
          </w:rPr>
          <w:fldChar w:fldCharType="begin"/>
        </w:r>
        <w:r>
          <w:rPr>
            <w:noProof/>
            <w:webHidden/>
          </w:rPr>
          <w:instrText xml:space="preserve"> PAGEREF _Toc237380070 \h </w:instrText>
        </w:r>
        <w:r>
          <w:rPr>
            <w:noProof/>
            <w:webHidden/>
          </w:rPr>
        </w:r>
        <w:r>
          <w:rPr>
            <w:noProof/>
            <w:webHidden/>
          </w:rPr>
          <w:fldChar w:fldCharType="separate"/>
        </w:r>
        <w:r>
          <w:rPr>
            <w:noProof/>
            <w:webHidden/>
          </w:rPr>
          <w:t>19</w:t>
        </w:r>
        <w:r>
          <w:rPr>
            <w:noProof/>
            <w:webHidden/>
          </w:rPr>
          <w:fldChar w:fldCharType="end"/>
        </w:r>
      </w:hyperlink>
    </w:p>
    <w:p w14:paraId="7B9CAB57" w14:textId="6B04E48A" w:rsidR="00051FD4" w:rsidRDefault="00051FD4">
      <w:pPr>
        <w:pStyle w:val="TOC1"/>
        <w:tabs>
          <w:tab w:val="right" w:leader="dot" w:pos="9062"/>
        </w:tabs>
        <w:rPr>
          <w:rFonts w:asciiTheme="minorHAnsi" w:hAnsiTheme="minorHAnsi" w:cstheme="minorBidi"/>
          <w:noProof/>
          <w:kern w:val="2"/>
          <w:szCs w:val="30"/>
          <w:lang w:eastAsia="zh-CN" w:bidi="th-TH"/>
          <w14:ligatures w14:val="standardContextual"/>
        </w:rPr>
      </w:pPr>
      <w:hyperlink w:anchor="_Toc237380071" w:history="1">
        <w:r w:rsidRPr="006A0C2F">
          <w:rPr>
            <w:rStyle w:val="Hyperlink"/>
            <w:rFonts w:eastAsia="Arial"/>
            <w:noProof/>
          </w:rPr>
          <w:t>5. Reflective Account</w:t>
        </w:r>
        <w:r>
          <w:rPr>
            <w:noProof/>
            <w:webHidden/>
          </w:rPr>
          <w:tab/>
        </w:r>
        <w:r>
          <w:rPr>
            <w:noProof/>
            <w:webHidden/>
          </w:rPr>
          <w:fldChar w:fldCharType="begin"/>
        </w:r>
        <w:r>
          <w:rPr>
            <w:noProof/>
            <w:webHidden/>
          </w:rPr>
          <w:instrText xml:space="preserve"> PAGEREF _Toc237380071 \h </w:instrText>
        </w:r>
        <w:r>
          <w:rPr>
            <w:noProof/>
            <w:webHidden/>
          </w:rPr>
        </w:r>
        <w:r>
          <w:rPr>
            <w:noProof/>
            <w:webHidden/>
          </w:rPr>
          <w:fldChar w:fldCharType="separate"/>
        </w:r>
        <w:r>
          <w:rPr>
            <w:noProof/>
            <w:webHidden/>
          </w:rPr>
          <w:t>20</w:t>
        </w:r>
        <w:r>
          <w:rPr>
            <w:noProof/>
            <w:webHidden/>
          </w:rPr>
          <w:fldChar w:fldCharType="end"/>
        </w:r>
      </w:hyperlink>
    </w:p>
    <w:p w14:paraId="44661C4B" w14:textId="3394832A"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72" w:history="1">
        <w:r w:rsidRPr="006A0C2F">
          <w:rPr>
            <w:rStyle w:val="Hyperlink"/>
            <w:rFonts w:eastAsia="Arial"/>
            <w:noProof/>
          </w:rPr>
          <w:t>5.1 Description</w:t>
        </w:r>
        <w:r>
          <w:rPr>
            <w:noProof/>
            <w:webHidden/>
          </w:rPr>
          <w:tab/>
        </w:r>
        <w:r>
          <w:rPr>
            <w:noProof/>
            <w:webHidden/>
          </w:rPr>
          <w:fldChar w:fldCharType="begin"/>
        </w:r>
        <w:r>
          <w:rPr>
            <w:noProof/>
            <w:webHidden/>
          </w:rPr>
          <w:instrText xml:space="preserve"> PAGEREF _Toc237380072 \h </w:instrText>
        </w:r>
        <w:r>
          <w:rPr>
            <w:noProof/>
            <w:webHidden/>
          </w:rPr>
        </w:r>
        <w:r>
          <w:rPr>
            <w:noProof/>
            <w:webHidden/>
          </w:rPr>
          <w:fldChar w:fldCharType="separate"/>
        </w:r>
        <w:r>
          <w:rPr>
            <w:noProof/>
            <w:webHidden/>
          </w:rPr>
          <w:t>20</w:t>
        </w:r>
        <w:r>
          <w:rPr>
            <w:noProof/>
            <w:webHidden/>
          </w:rPr>
          <w:fldChar w:fldCharType="end"/>
        </w:r>
      </w:hyperlink>
    </w:p>
    <w:p w14:paraId="1C585479" w14:textId="296A818A"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73" w:history="1">
        <w:r w:rsidRPr="006A0C2F">
          <w:rPr>
            <w:rStyle w:val="Hyperlink"/>
            <w:rFonts w:eastAsia="Arial"/>
            <w:noProof/>
          </w:rPr>
          <w:t>5.2 Feelings</w:t>
        </w:r>
        <w:r>
          <w:rPr>
            <w:noProof/>
            <w:webHidden/>
          </w:rPr>
          <w:tab/>
        </w:r>
        <w:r>
          <w:rPr>
            <w:noProof/>
            <w:webHidden/>
          </w:rPr>
          <w:fldChar w:fldCharType="begin"/>
        </w:r>
        <w:r>
          <w:rPr>
            <w:noProof/>
            <w:webHidden/>
          </w:rPr>
          <w:instrText xml:space="preserve"> PAGEREF _Toc237380073 \h </w:instrText>
        </w:r>
        <w:r>
          <w:rPr>
            <w:noProof/>
            <w:webHidden/>
          </w:rPr>
        </w:r>
        <w:r>
          <w:rPr>
            <w:noProof/>
            <w:webHidden/>
          </w:rPr>
          <w:fldChar w:fldCharType="separate"/>
        </w:r>
        <w:r>
          <w:rPr>
            <w:noProof/>
            <w:webHidden/>
          </w:rPr>
          <w:t>20</w:t>
        </w:r>
        <w:r>
          <w:rPr>
            <w:noProof/>
            <w:webHidden/>
          </w:rPr>
          <w:fldChar w:fldCharType="end"/>
        </w:r>
      </w:hyperlink>
    </w:p>
    <w:p w14:paraId="03AD56AA" w14:textId="550FD896"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74" w:history="1">
        <w:r w:rsidRPr="006A0C2F">
          <w:rPr>
            <w:rStyle w:val="Hyperlink"/>
            <w:rFonts w:eastAsia="Arial"/>
            <w:noProof/>
          </w:rPr>
          <w:t>5.3 Evaluation</w:t>
        </w:r>
        <w:r>
          <w:rPr>
            <w:noProof/>
            <w:webHidden/>
          </w:rPr>
          <w:tab/>
        </w:r>
        <w:r>
          <w:rPr>
            <w:noProof/>
            <w:webHidden/>
          </w:rPr>
          <w:fldChar w:fldCharType="begin"/>
        </w:r>
        <w:r>
          <w:rPr>
            <w:noProof/>
            <w:webHidden/>
          </w:rPr>
          <w:instrText xml:space="preserve"> PAGEREF _Toc237380074 \h </w:instrText>
        </w:r>
        <w:r>
          <w:rPr>
            <w:noProof/>
            <w:webHidden/>
          </w:rPr>
        </w:r>
        <w:r>
          <w:rPr>
            <w:noProof/>
            <w:webHidden/>
          </w:rPr>
          <w:fldChar w:fldCharType="separate"/>
        </w:r>
        <w:r>
          <w:rPr>
            <w:noProof/>
            <w:webHidden/>
          </w:rPr>
          <w:t>20</w:t>
        </w:r>
        <w:r>
          <w:rPr>
            <w:noProof/>
            <w:webHidden/>
          </w:rPr>
          <w:fldChar w:fldCharType="end"/>
        </w:r>
      </w:hyperlink>
    </w:p>
    <w:p w14:paraId="2BE26DC8" w14:textId="597DA87B"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75" w:history="1">
        <w:r w:rsidRPr="006A0C2F">
          <w:rPr>
            <w:rStyle w:val="Hyperlink"/>
            <w:rFonts w:eastAsia="Arial"/>
            <w:noProof/>
          </w:rPr>
          <w:t>5.4 Analysis</w:t>
        </w:r>
        <w:r>
          <w:rPr>
            <w:noProof/>
            <w:webHidden/>
          </w:rPr>
          <w:tab/>
        </w:r>
        <w:r>
          <w:rPr>
            <w:noProof/>
            <w:webHidden/>
          </w:rPr>
          <w:fldChar w:fldCharType="begin"/>
        </w:r>
        <w:r>
          <w:rPr>
            <w:noProof/>
            <w:webHidden/>
          </w:rPr>
          <w:instrText xml:space="preserve"> PAGEREF _Toc237380075 \h </w:instrText>
        </w:r>
        <w:r>
          <w:rPr>
            <w:noProof/>
            <w:webHidden/>
          </w:rPr>
        </w:r>
        <w:r>
          <w:rPr>
            <w:noProof/>
            <w:webHidden/>
          </w:rPr>
          <w:fldChar w:fldCharType="separate"/>
        </w:r>
        <w:r>
          <w:rPr>
            <w:noProof/>
            <w:webHidden/>
          </w:rPr>
          <w:t>21</w:t>
        </w:r>
        <w:r>
          <w:rPr>
            <w:noProof/>
            <w:webHidden/>
          </w:rPr>
          <w:fldChar w:fldCharType="end"/>
        </w:r>
      </w:hyperlink>
    </w:p>
    <w:p w14:paraId="289A6A13" w14:textId="7C6BA480"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76" w:history="1">
        <w:r w:rsidRPr="006A0C2F">
          <w:rPr>
            <w:rStyle w:val="Hyperlink"/>
            <w:rFonts w:eastAsia="Arial"/>
            <w:noProof/>
          </w:rPr>
          <w:t>5.5 Conclusion</w:t>
        </w:r>
        <w:r>
          <w:rPr>
            <w:noProof/>
            <w:webHidden/>
          </w:rPr>
          <w:tab/>
        </w:r>
        <w:r>
          <w:rPr>
            <w:noProof/>
            <w:webHidden/>
          </w:rPr>
          <w:fldChar w:fldCharType="begin"/>
        </w:r>
        <w:r>
          <w:rPr>
            <w:noProof/>
            <w:webHidden/>
          </w:rPr>
          <w:instrText xml:space="preserve"> PAGEREF _Toc237380076 \h </w:instrText>
        </w:r>
        <w:r>
          <w:rPr>
            <w:noProof/>
            <w:webHidden/>
          </w:rPr>
        </w:r>
        <w:r>
          <w:rPr>
            <w:noProof/>
            <w:webHidden/>
          </w:rPr>
          <w:fldChar w:fldCharType="separate"/>
        </w:r>
        <w:r>
          <w:rPr>
            <w:noProof/>
            <w:webHidden/>
          </w:rPr>
          <w:t>21</w:t>
        </w:r>
        <w:r>
          <w:rPr>
            <w:noProof/>
            <w:webHidden/>
          </w:rPr>
          <w:fldChar w:fldCharType="end"/>
        </w:r>
      </w:hyperlink>
    </w:p>
    <w:p w14:paraId="46E41B44" w14:textId="4235BA46" w:rsidR="00051FD4" w:rsidRDefault="00051FD4">
      <w:pPr>
        <w:pStyle w:val="TOC2"/>
        <w:tabs>
          <w:tab w:val="right" w:leader="dot" w:pos="9062"/>
        </w:tabs>
        <w:rPr>
          <w:rFonts w:asciiTheme="minorHAnsi" w:hAnsiTheme="minorHAnsi" w:cstheme="minorBidi"/>
          <w:noProof/>
          <w:kern w:val="2"/>
          <w:szCs w:val="30"/>
          <w:lang w:eastAsia="zh-CN" w:bidi="th-TH"/>
          <w14:ligatures w14:val="standardContextual"/>
        </w:rPr>
      </w:pPr>
      <w:hyperlink w:anchor="_Toc237380077" w:history="1">
        <w:r w:rsidRPr="006A0C2F">
          <w:rPr>
            <w:rStyle w:val="Hyperlink"/>
            <w:rFonts w:eastAsia="Arial"/>
            <w:noProof/>
          </w:rPr>
          <w:t>5.6 Action Plan</w:t>
        </w:r>
        <w:r>
          <w:rPr>
            <w:noProof/>
            <w:webHidden/>
          </w:rPr>
          <w:tab/>
        </w:r>
        <w:r>
          <w:rPr>
            <w:noProof/>
            <w:webHidden/>
          </w:rPr>
          <w:fldChar w:fldCharType="begin"/>
        </w:r>
        <w:r>
          <w:rPr>
            <w:noProof/>
            <w:webHidden/>
          </w:rPr>
          <w:instrText xml:space="preserve"> PAGEREF _Toc237380077 \h </w:instrText>
        </w:r>
        <w:r>
          <w:rPr>
            <w:noProof/>
            <w:webHidden/>
          </w:rPr>
        </w:r>
        <w:r>
          <w:rPr>
            <w:noProof/>
            <w:webHidden/>
          </w:rPr>
          <w:fldChar w:fldCharType="separate"/>
        </w:r>
        <w:r>
          <w:rPr>
            <w:noProof/>
            <w:webHidden/>
          </w:rPr>
          <w:t>21</w:t>
        </w:r>
        <w:r>
          <w:rPr>
            <w:noProof/>
            <w:webHidden/>
          </w:rPr>
          <w:fldChar w:fldCharType="end"/>
        </w:r>
      </w:hyperlink>
    </w:p>
    <w:p w14:paraId="37F6DAAB" w14:textId="56D4640A" w:rsidR="00051FD4" w:rsidRDefault="00051FD4">
      <w:pPr>
        <w:pStyle w:val="TOC1"/>
        <w:tabs>
          <w:tab w:val="right" w:leader="dot" w:pos="9062"/>
        </w:tabs>
        <w:rPr>
          <w:rFonts w:asciiTheme="minorHAnsi" w:hAnsiTheme="minorHAnsi" w:cstheme="minorBidi"/>
          <w:noProof/>
          <w:kern w:val="2"/>
          <w:szCs w:val="30"/>
          <w:lang w:eastAsia="zh-CN" w:bidi="th-TH"/>
          <w14:ligatures w14:val="standardContextual"/>
        </w:rPr>
      </w:pPr>
      <w:hyperlink w:anchor="_Toc237380078" w:history="1">
        <w:r w:rsidRPr="006A0C2F">
          <w:rPr>
            <w:rStyle w:val="Hyperlink"/>
            <w:rFonts w:eastAsia="Arial"/>
            <w:noProof/>
          </w:rPr>
          <w:t>Reference List</w:t>
        </w:r>
        <w:r>
          <w:rPr>
            <w:noProof/>
            <w:webHidden/>
          </w:rPr>
          <w:tab/>
        </w:r>
        <w:r>
          <w:rPr>
            <w:noProof/>
            <w:webHidden/>
          </w:rPr>
          <w:fldChar w:fldCharType="begin"/>
        </w:r>
        <w:r>
          <w:rPr>
            <w:noProof/>
            <w:webHidden/>
          </w:rPr>
          <w:instrText xml:space="preserve"> PAGEREF _Toc237380078 \h </w:instrText>
        </w:r>
        <w:r>
          <w:rPr>
            <w:noProof/>
            <w:webHidden/>
          </w:rPr>
        </w:r>
        <w:r>
          <w:rPr>
            <w:noProof/>
            <w:webHidden/>
          </w:rPr>
          <w:fldChar w:fldCharType="separate"/>
        </w:r>
        <w:r>
          <w:rPr>
            <w:noProof/>
            <w:webHidden/>
          </w:rPr>
          <w:t>23</w:t>
        </w:r>
        <w:r>
          <w:rPr>
            <w:noProof/>
            <w:webHidden/>
          </w:rPr>
          <w:fldChar w:fldCharType="end"/>
        </w:r>
      </w:hyperlink>
    </w:p>
    <w:p w14:paraId="23A2F9F7" w14:textId="142F993B" w:rsidR="002B1E5D" w:rsidRDefault="005F384D">
      <w:pPr>
        <w:spacing w:line="360" w:lineRule="auto"/>
      </w:pPr>
      <w:r>
        <w:rPr>
          <w:rFonts w:eastAsia="Arial"/>
        </w:rPr>
        <w:fldChar w:fldCharType="end"/>
      </w:r>
    </w:p>
    <w:p w14:paraId="3E5C44A2" w14:textId="77777777" w:rsidR="002B1E5D" w:rsidRDefault="005F384D">
      <w:r>
        <w:br w:type="page"/>
      </w:r>
    </w:p>
    <w:p w14:paraId="727FB277" w14:textId="77777777" w:rsidR="00C91A0E" w:rsidRDefault="00C91A0E">
      <w:pPr>
        <w:rPr>
          <w:rFonts w:eastAsia="Arial"/>
          <w:b/>
          <w:bCs/>
          <w:sz w:val="32"/>
          <w:szCs w:val="28"/>
        </w:rPr>
      </w:pPr>
      <w:r w:rsidRPr="00C91A0E">
        <w:rPr>
          <w:rFonts w:eastAsia="Arial"/>
          <w:b/>
          <w:bCs/>
          <w:sz w:val="32"/>
          <w:szCs w:val="28"/>
        </w:rPr>
        <w:lastRenderedPageBreak/>
        <w:t>List of Figures:</w:t>
      </w:r>
    </w:p>
    <w:p w14:paraId="21CCEDDD" w14:textId="26BD3128" w:rsidR="00051FD4" w:rsidRDefault="00C91A0E">
      <w:pPr>
        <w:pStyle w:val="TableofFigures"/>
        <w:tabs>
          <w:tab w:val="right" w:leader="dot" w:pos="9062"/>
        </w:tabs>
        <w:rPr>
          <w:rFonts w:asciiTheme="minorHAnsi" w:hAnsiTheme="minorHAnsi" w:cstheme="minorBidi"/>
          <w:noProof/>
          <w:kern w:val="2"/>
          <w:szCs w:val="30"/>
          <w:lang w:eastAsia="zh-CN" w:bidi="th-TH"/>
          <w14:ligatures w14:val="standardContextual"/>
        </w:rPr>
      </w:pPr>
      <w:r>
        <w:rPr>
          <w:rFonts w:eastAsia="Arial"/>
          <w:b/>
          <w:bCs/>
          <w:sz w:val="32"/>
          <w:szCs w:val="28"/>
        </w:rPr>
        <w:fldChar w:fldCharType="begin"/>
      </w:r>
      <w:r>
        <w:rPr>
          <w:rFonts w:eastAsia="Arial"/>
          <w:b/>
          <w:bCs/>
          <w:sz w:val="32"/>
          <w:szCs w:val="28"/>
        </w:rPr>
        <w:instrText xml:space="preserve"> TOC \h \z \c "Figure" </w:instrText>
      </w:r>
      <w:r>
        <w:rPr>
          <w:rFonts w:eastAsia="Arial"/>
          <w:b/>
          <w:bCs/>
          <w:sz w:val="32"/>
          <w:szCs w:val="28"/>
        </w:rPr>
        <w:fldChar w:fldCharType="separate"/>
      </w:r>
      <w:hyperlink w:anchor="_Toc237380079" w:history="1">
        <w:r w:rsidR="00051FD4" w:rsidRPr="00643122">
          <w:rPr>
            <w:rStyle w:val="Hyperlink"/>
            <w:noProof/>
          </w:rPr>
          <w:t>Figure 1: Porter's five forces applied to Tata Starbucks in the Indian premium coffee segment</w:t>
        </w:r>
        <w:r w:rsidR="00051FD4">
          <w:rPr>
            <w:noProof/>
            <w:webHidden/>
          </w:rPr>
          <w:tab/>
        </w:r>
        <w:r w:rsidR="00051FD4">
          <w:rPr>
            <w:noProof/>
            <w:webHidden/>
          </w:rPr>
          <w:fldChar w:fldCharType="begin"/>
        </w:r>
        <w:r w:rsidR="00051FD4">
          <w:rPr>
            <w:noProof/>
            <w:webHidden/>
          </w:rPr>
          <w:instrText xml:space="preserve"> PAGEREF _Toc237380079 \h </w:instrText>
        </w:r>
        <w:r w:rsidR="00051FD4">
          <w:rPr>
            <w:noProof/>
            <w:webHidden/>
          </w:rPr>
        </w:r>
        <w:r w:rsidR="00051FD4">
          <w:rPr>
            <w:noProof/>
            <w:webHidden/>
          </w:rPr>
          <w:fldChar w:fldCharType="separate"/>
        </w:r>
        <w:r w:rsidR="00051FD4">
          <w:rPr>
            <w:noProof/>
            <w:webHidden/>
          </w:rPr>
          <w:t>16</w:t>
        </w:r>
        <w:r w:rsidR="00051FD4">
          <w:rPr>
            <w:noProof/>
            <w:webHidden/>
          </w:rPr>
          <w:fldChar w:fldCharType="end"/>
        </w:r>
      </w:hyperlink>
    </w:p>
    <w:p w14:paraId="4DCDEFB5" w14:textId="62492FDD" w:rsidR="00051FD4" w:rsidRDefault="00051FD4">
      <w:pPr>
        <w:pStyle w:val="TableofFigures"/>
        <w:tabs>
          <w:tab w:val="right" w:leader="dot" w:pos="9062"/>
        </w:tabs>
        <w:rPr>
          <w:rFonts w:asciiTheme="minorHAnsi" w:hAnsiTheme="minorHAnsi" w:cstheme="minorBidi"/>
          <w:noProof/>
          <w:kern w:val="2"/>
          <w:szCs w:val="30"/>
          <w:lang w:eastAsia="zh-CN" w:bidi="th-TH"/>
          <w14:ligatures w14:val="standardContextual"/>
        </w:rPr>
      </w:pPr>
      <w:hyperlink w:anchor="_Toc237380080" w:history="1">
        <w:r w:rsidRPr="00643122">
          <w:rPr>
            <w:rStyle w:val="Hyperlink"/>
            <w:noProof/>
          </w:rPr>
          <w:t>Figure 2: Ansoff's matrix applied to Tata Starbucks' growth options</w:t>
        </w:r>
        <w:r>
          <w:rPr>
            <w:noProof/>
            <w:webHidden/>
          </w:rPr>
          <w:tab/>
        </w:r>
        <w:r>
          <w:rPr>
            <w:noProof/>
            <w:webHidden/>
          </w:rPr>
          <w:fldChar w:fldCharType="begin"/>
        </w:r>
        <w:r>
          <w:rPr>
            <w:noProof/>
            <w:webHidden/>
          </w:rPr>
          <w:instrText xml:space="preserve"> PAGEREF _Toc237380080 \h </w:instrText>
        </w:r>
        <w:r>
          <w:rPr>
            <w:noProof/>
            <w:webHidden/>
          </w:rPr>
        </w:r>
        <w:r>
          <w:rPr>
            <w:noProof/>
            <w:webHidden/>
          </w:rPr>
          <w:fldChar w:fldCharType="separate"/>
        </w:r>
        <w:r>
          <w:rPr>
            <w:noProof/>
            <w:webHidden/>
          </w:rPr>
          <w:t>18</w:t>
        </w:r>
        <w:r>
          <w:rPr>
            <w:noProof/>
            <w:webHidden/>
          </w:rPr>
          <w:fldChar w:fldCharType="end"/>
        </w:r>
      </w:hyperlink>
    </w:p>
    <w:p w14:paraId="7071C3F9" w14:textId="169A444D" w:rsidR="00051FD4" w:rsidRDefault="00051FD4">
      <w:pPr>
        <w:pStyle w:val="TableofFigures"/>
        <w:tabs>
          <w:tab w:val="right" w:leader="dot" w:pos="9062"/>
        </w:tabs>
        <w:rPr>
          <w:rFonts w:asciiTheme="minorHAnsi" w:hAnsiTheme="minorHAnsi" w:cstheme="minorBidi"/>
          <w:noProof/>
          <w:kern w:val="2"/>
          <w:szCs w:val="30"/>
          <w:lang w:eastAsia="zh-CN" w:bidi="th-TH"/>
          <w14:ligatures w14:val="standardContextual"/>
        </w:rPr>
      </w:pPr>
      <w:hyperlink w:anchor="_Toc237380081" w:history="1">
        <w:r w:rsidRPr="00643122">
          <w:rPr>
            <w:rStyle w:val="Hyperlink"/>
            <w:noProof/>
          </w:rPr>
          <w:t>Figure 3: Recommended phased implementation roadmap for tier two and tier three expansion</w:t>
        </w:r>
        <w:r>
          <w:rPr>
            <w:noProof/>
            <w:webHidden/>
          </w:rPr>
          <w:tab/>
        </w:r>
        <w:r>
          <w:rPr>
            <w:noProof/>
            <w:webHidden/>
          </w:rPr>
          <w:fldChar w:fldCharType="begin"/>
        </w:r>
        <w:r>
          <w:rPr>
            <w:noProof/>
            <w:webHidden/>
          </w:rPr>
          <w:instrText xml:space="preserve"> PAGEREF _Toc237380081 \h </w:instrText>
        </w:r>
        <w:r>
          <w:rPr>
            <w:noProof/>
            <w:webHidden/>
          </w:rPr>
        </w:r>
        <w:r>
          <w:rPr>
            <w:noProof/>
            <w:webHidden/>
          </w:rPr>
          <w:fldChar w:fldCharType="separate"/>
        </w:r>
        <w:r>
          <w:rPr>
            <w:noProof/>
            <w:webHidden/>
          </w:rPr>
          <w:t>19</w:t>
        </w:r>
        <w:r>
          <w:rPr>
            <w:noProof/>
            <w:webHidden/>
          </w:rPr>
          <w:fldChar w:fldCharType="end"/>
        </w:r>
      </w:hyperlink>
    </w:p>
    <w:p w14:paraId="659CE2F8" w14:textId="06C26D7C" w:rsidR="00C91A0E" w:rsidRPr="008F2CA4" w:rsidRDefault="00C91A0E">
      <w:pPr>
        <w:rPr>
          <w:rFonts w:eastAsia="Arial"/>
          <w:b/>
          <w:bCs/>
          <w:color w:val="000000"/>
          <w:sz w:val="36"/>
          <w:szCs w:val="36"/>
        </w:rPr>
      </w:pPr>
      <w:r>
        <w:rPr>
          <w:rFonts w:eastAsia="Arial"/>
          <w:b/>
          <w:bCs/>
          <w:sz w:val="32"/>
          <w:szCs w:val="28"/>
        </w:rPr>
        <w:fldChar w:fldCharType="end"/>
      </w:r>
      <w:r w:rsidRPr="00C91A0E">
        <w:rPr>
          <w:rFonts w:eastAsia="Arial"/>
          <w:b/>
          <w:bCs/>
          <w:sz w:val="32"/>
          <w:szCs w:val="28"/>
        </w:rPr>
        <w:br w:type="page"/>
      </w:r>
      <w:r w:rsidRPr="00C91A0E">
        <w:rPr>
          <w:rFonts w:eastAsia="Arial"/>
          <w:b/>
          <w:bCs/>
          <w:sz w:val="32"/>
          <w:szCs w:val="28"/>
        </w:rPr>
        <w:lastRenderedPageBreak/>
        <w:t xml:space="preserve">List of </w:t>
      </w:r>
      <w:r>
        <w:rPr>
          <w:rFonts w:eastAsia="Arial"/>
          <w:b/>
          <w:bCs/>
          <w:sz w:val="32"/>
          <w:szCs w:val="28"/>
        </w:rPr>
        <w:t>Table</w:t>
      </w:r>
      <w:r w:rsidRPr="00C91A0E">
        <w:rPr>
          <w:rFonts w:eastAsia="Arial"/>
          <w:b/>
          <w:bCs/>
          <w:sz w:val="32"/>
          <w:szCs w:val="28"/>
        </w:rPr>
        <w:t>s:</w:t>
      </w:r>
    </w:p>
    <w:p w14:paraId="052737DC" w14:textId="6E081B05" w:rsidR="00051FD4" w:rsidRDefault="00C91A0E">
      <w:pPr>
        <w:pStyle w:val="TableofFigures"/>
        <w:tabs>
          <w:tab w:val="right" w:leader="dot" w:pos="9062"/>
        </w:tabs>
        <w:rPr>
          <w:rFonts w:asciiTheme="minorHAnsi" w:hAnsiTheme="minorHAnsi" w:cstheme="minorBidi"/>
          <w:noProof/>
          <w:kern w:val="2"/>
          <w:szCs w:val="30"/>
          <w:lang w:eastAsia="zh-CN" w:bidi="th-TH"/>
          <w14:ligatures w14:val="standardContextual"/>
        </w:rPr>
      </w:pPr>
      <w:r>
        <w:rPr>
          <w:rFonts w:eastAsia="Arial"/>
          <w:b/>
          <w:bCs/>
          <w:sz w:val="32"/>
          <w:szCs w:val="28"/>
        </w:rPr>
        <w:fldChar w:fldCharType="begin"/>
      </w:r>
      <w:r>
        <w:rPr>
          <w:rFonts w:eastAsia="Arial"/>
          <w:b/>
          <w:bCs/>
          <w:sz w:val="32"/>
          <w:szCs w:val="28"/>
        </w:rPr>
        <w:instrText xml:space="preserve"> TOC \h \z \c "Table" </w:instrText>
      </w:r>
      <w:r>
        <w:rPr>
          <w:rFonts w:eastAsia="Arial"/>
          <w:b/>
          <w:bCs/>
          <w:sz w:val="32"/>
          <w:szCs w:val="28"/>
        </w:rPr>
        <w:fldChar w:fldCharType="separate"/>
      </w:r>
      <w:hyperlink w:anchor="_Toc237380082" w:history="1">
        <w:r w:rsidR="00051FD4" w:rsidRPr="00457CC7">
          <w:rPr>
            <w:rStyle w:val="Hyperlink"/>
            <w:noProof/>
          </w:rPr>
          <w:t>Table 1: Summary of PESTEL factors affecting Tata Starbucks in India</w:t>
        </w:r>
        <w:r w:rsidR="00051FD4">
          <w:rPr>
            <w:noProof/>
            <w:webHidden/>
          </w:rPr>
          <w:tab/>
        </w:r>
        <w:r w:rsidR="00051FD4">
          <w:rPr>
            <w:noProof/>
            <w:webHidden/>
          </w:rPr>
          <w:fldChar w:fldCharType="begin"/>
        </w:r>
        <w:r w:rsidR="00051FD4">
          <w:rPr>
            <w:noProof/>
            <w:webHidden/>
          </w:rPr>
          <w:instrText xml:space="preserve"> PAGEREF _Toc237380082 \h </w:instrText>
        </w:r>
        <w:r w:rsidR="00051FD4">
          <w:rPr>
            <w:noProof/>
            <w:webHidden/>
          </w:rPr>
        </w:r>
        <w:r w:rsidR="00051FD4">
          <w:rPr>
            <w:noProof/>
            <w:webHidden/>
          </w:rPr>
          <w:fldChar w:fldCharType="separate"/>
        </w:r>
        <w:r w:rsidR="00051FD4">
          <w:rPr>
            <w:noProof/>
            <w:webHidden/>
          </w:rPr>
          <w:t>8</w:t>
        </w:r>
        <w:r w:rsidR="00051FD4">
          <w:rPr>
            <w:noProof/>
            <w:webHidden/>
          </w:rPr>
          <w:fldChar w:fldCharType="end"/>
        </w:r>
      </w:hyperlink>
    </w:p>
    <w:p w14:paraId="4C96B2D6" w14:textId="7E2EEC1D" w:rsidR="00051FD4" w:rsidRDefault="00051FD4">
      <w:pPr>
        <w:pStyle w:val="TableofFigures"/>
        <w:tabs>
          <w:tab w:val="right" w:leader="dot" w:pos="9062"/>
        </w:tabs>
        <w:rPr>
          <w:rFonts w:asciiTheme="minorHAnsi" w:hAnsiTheme="minorHAnsi" w:cstheme="minorBidi"/>
          <w:noProof/>
          <w:kern w:val="2"/>
          <w:szCs w:val="30"/>
          <w:lang w:eastAsia="zh-CN" w:bidi="th-TH"/>
          <w14:ligatures w14:val="standardContextual"/>
        </w:rPr>
      </w:pPr>
      <w:hyperlink w:anchor="_Toc237380083" w:history="1">
        <w:r w:rsidRPr="00457CC7">
          <w:rPr>
            <w:rStyle w:val="Hyperlink"/>
            <w:noProof/>
          </w:rPr>
          <w:t>Table 2: VRIO analysis of Tata Starbucks' key resources and capabilities</w:t>
        </w:r>
        <w:r>
          <w:rPr>
            <w:noProof/>
            <w:webHidden/>
          </w:rPr>
          <w:tab/>
        </w:r>
        <w:r>
          <w:rPr>
            <w:noProof/>
            <w:webHidden/>
          </w:rPr>
          <w:fldChar w:fldCharType="begin"/>
        </w:r>
        <w:r>
          <w:rPr>
            <w:noProof/>
            <w:webHidden/>
          </w:rPr>
          <w:instrText xml:space="preserve"> PAGEREF _Toc237380083 \h </w:instrText>
        </w:r>
        <w:r>
          <w:rPr>
            <w:noProof/>
            <w:webHidden/>
          </w:rPr>
        </w:r>
        <w:r>
          <w:rPr>
            <w:noProof/>
            <w:webHidden/>
          </w:rPr>
          <w:fldChar w:fldCharType="separate"/>
        </w:r>
        <w:r>
          <w:rPr>
            <w:noProof/>
            <w:webHidden/>
          </w:rPr>
          <w:t>10</w:t>
        </w:r>
        <w:r>
          <w:rPr>
            <w:noProof/>
            <w:webHidden/>
          </w:rPr>
          <w:fldChar w:fldCharType="end"/>
        </w:r>
      </w:hyperlink>
    </w:p>
    <w:p w14:paraId="4C57AA40" w14:textId="507972E2" w:rsidR="00051FD4" w:rsidRDefault="00051FD4">
      <w:pPr>
        <w:pStyle w:val="TableofFigures"/>
        <w:tabs>
          <w:tab w:val="right" w:leader="dot" w:pos="9062"/>
        </w:tabs>
        <w:rPr>
          <w:rFonts w:asciiTheme="minorHAnsi" w:hAnsiTheme="minorHAnsi" w:cstheme="minorBidi"/>
          <w:noProof/>
          <w:kern w:val="2"/>
          <w:szCs w:val="30"/>
          <w:lang w:eastAsia="zh-CN" w:bidi="th-TH"/>
          <w14:ligatures w14:val="standardContextual"/>
        </w:rPr>
      </w:pPr>
      <w:hyperlink w:anchor="_Toc237380084" w:history="1">
        <w:r w:rsidRPr="00457CC7">
          <w:rPr>
            <w:rStyle w:val="Hyperlink"/>
            <w:noProof/>
          </w:rPr>
          <w:t>Table 3: SWOT matrix for Tata Starbucks in India</w:t>
        </w:r>
        <w:r>
          <w:rPr>
            <w:noProof/>
            <w:webHidden/>
          </w:rPr>
          <w:tab/>
        </w:r>
        <w:r>
          <w:rPr>
            <w:noProof/>
            <w:webHidden/>
          </w:rPr>
          <w:fldChar w:fldCharType="begin"/>
        </w:r>
        <w:r>
          <w:rPr>
            <w:noProof/>
            <w:webHidden/>
          </w:rPr>
          <w:instrText xml:space="preserve"> PAGEREF _Toc237380084 \h </w:instrText>
        </w:r>
        <w:r>
          <w:rPr>
            <w:noProof/>
            <w:webHidden/>
          </w:rPr>
        </w:r>
        <w:r>
          <w:rPr>
            <w:noProof/>
            <w:webHidden/>
          </w:rPr>
          <w:fldChar w:fldCharType="separate"/>
        </w:r>
        <w:r>
          <w:rPr>
            <w:noProof/>
            <w:webHidden/>
          </w:rPr>
          <w:t>12</w:t>
        </w:r>
        <w:r>
          <w:rPr>
            <w:noProof/>
            <w:webHidden/>
          </w:rPr>
          <w:fldChar w:fldCharType="end"/>
        </w:r>
      </w:hyperlink>
    </w:p>
    <w:p w14:paraId="5A2B4718" w14:textId="533670EF" w:rsidR="00051FD4" w:rsidRDefault="00051FD4">
      <w:pPr>
        <w:pStyle w:val="TableofFigures"/>
        <w:tabs>
          <w:tab w:val="right" w:leader="dot" w:pos="9062"/>
        </w:tabs>
        <w:rPr>
          <w:rFonts w:asciiTheme="minorHAnsi" w:hAnsiTheme="minorHAnsi" w:cstheme="minorBidi"/>
          <w:noProof/>
          <w:kern w:val="2"/>
          <w:szCs w:val="30"/>
          <w:lang w:eastAsia="zh-CN" w:bidi="th-TH"/>
          <w14:ligatures w14:val="standardContextual"/>
        </w:rPr>
      </w:pPr>
      <w:hyperlink w:anchor="_Toc237380085" w:history="1">
        <w:r w:rsidRPr="00457CC7">
          <w:rPr>
            <w:rStyle w:val="Hyperlink"/>
            <w:noProof/>
          </w:rPr>
          <w:t>Table 4: Proposed balanced scorecard for Tata Starbucks in India</w:t>
        </w:r>
        <w:r>
          <w:rPr>
            <w:noProof/>
            <w:webHidden/>
          </w:rPr>
          <w:tab/>
        </w:r>
        <w:r>
          <w:rPr>
            <w:noProof/>
            <w:webHidden/>
          </w:rPr>
          <w:fldChar w:fldCharType="begin"/>
        </w:r>
        <w:r>
          <w:rPr>
            <w:noProof/>
            <w:webHidden/>
          </w:rPr>
          <w:instrText xml:space="preserve"> PAGEREF _Toc237380085 \h </w:instrText>
        </w:r>
        <w:r>
          <w:rPr>
            <w:noProof/>
            <w:webHidden/>
          </w:rPr>
        </w:r>
        <w:r>
          <w:rPr>
            <w:noProof/>
            <w:webHidden/>
          </w:rPr>
          <w:fldChar w:fldCharType="separate"/>
        </w:r>
        <w:r>
          <w:rPr>
            <w:noProof/>
            <w:webHidden/>
          </w:rPr>
          <w:t>14</w:t>
        </w:r>
        <w:r>
          <w:rPr>
            <w:noProof/>
            <w:webHidden/>
          </w:rPr>
          <w:fldChar w:fldCharType="end"/>
        </w:r>
      </w:hyperlink>
    </w:p>
    <w:p w14:paraId="75A9BF24" w14:textId="4953487F" w:rsidR="00C91A0E" w:rsidRPr="00C91A0E" w:rsidRDefault="00C91A0E">
      <w:pPr>
        <w:rPr>
          <w:rFonts w:eastAsia="Arial"/>
          <w:b/>
          <w:bCs/>
          <w:color w:val="000000"/>
          <w:sz w:val="36"/>
          <w:szCs w:val="36"/>
        </w:rPr>
      </w:pPr>
      <w:r>
        <w:rPr>
          <w:rFonts w:eastAsia="Arial"/>
          <w:b/>
          <w:bCs/>
          <w:sz w:val="32"/>
          <w:szCs w:val="28"/>
        </w:rPr>
        <w:fldChar w:fldCharType="end"/>
      </w:r>
      <w:r w:rsidRPr="00C91A0E">
        <w:rPr>
          <w:rFonts w:eastAsia="Arial"/>
          <w:b/>
          <w:bCs/>
          <w:sz w:val="32"/>
          <w:szCs w:val="28"/>
        </w:rPr>
        <w:br w:type="page"/>
      </w:r>
    </w:p>
    <w:p w14:paraId="74C1D4C3" w14:textId="0602E851" w:rsidR="002B1E5D" w:rsidRDefault="005F384D">
      <w:pPr>
        <w:pStyle w:val="Heading1"/>
      </w:pPr>
      <w:bookmarkStart w:id="2" w:name="_Toc237380057"/>
      <w:r>
        <w:rPr>
          <w:rFonts w:ascii="Arial" w:eastAsia="Arial" w:hAnsi="Arial" w:cs="Arial"/>
        </w:rPr>
        <w:lastRenderedPageBreak/>
        <w:t xml:space="preserve">1. </w:t>
      </w:r>
      <w:proofErr w:type="spellStart"/>
      <w:r>
        <w:rPr>
          <w:rFonts w:ascii="Arial" w:eastAsia="Arial" w:hAnsi="Arial" w:cs="Arial"/>
        </w:rPr>
        <w:t>Organisational</w:t>
      </w:r>
      <w:proofErr w:type="spellEnd"/>
      <w:r>
        <w:rPr>
          <w:rFonts w:ascii="Arial" w:eastAsia="Arial" w:hAnsi="Arial" w:cs="Arial"/>
        </w:rPr>
        <w:t xml:space="preserve"> Context and Overview</w:t>
      </w:r>
      <w:bookmarkEnd w:id="2"/>
    </w:p>
    <w:p w14:paraId="4B0C3BD8" w14:textId="77777777" w:rsidR="002B1E5D" w:rsidRDefault="005F384D">
      <w:pPr>
        <w:spacing w:after="160" w:line="360" w:lineRule="auto"/>
        <w:jc w:val="both"/>
      </w:pPr>
      <w:r>
        <w:rPr>
          <w:rFonts w:eastAsia="Arial"/>
        </w:rPr>
        <w:t xml:space="preserve">Tata Starbucks is a fifty-fifty joint venture between Starbucks Corporation and Tata Consumer Products, formed to bring Starbucks' coffeehouse format into the Indian market. The venture opened its first store in Mumbai in October 2012, marking Starbucks' entry into a market long dominated by tea drinking habits and a very different culture of consumption for hot beverages (Bertoldi, Giachino and Marenco, 2012). Rather than building an entirely new brand from nothing, the joint venture structure let Starbucks combine its global operating standards, store design and premium positioning with Tata's existing knowledge of Indian sourcing, property and consumer </w:t>
      </w:r>
      <w:proofErr w:type="spellStart"/>
      <w:r>
        <w:rPr>
          <w:rFonts w:eastAsia="Arial"/>
        </w:rPr>
        <w:t>behaviour</w:t>
      </w:r>
      <w:proofErr w:type="spellEnd"/>
      <w:r>
        <w:rPr>
          <w:rFonts w:eastAsia="Arial"/>
        </w:rPr>
        <w:t>.</w:t>
      </w:r>
    </w:p>
    <w:p w14:paraId="2F60A2D0" w14:textId="77777777" w:rsidR="002B1E5D" w:rsidRDefault="005F384D">
      <w:pPr>
        <w:spacing w:after="160" w:line="360" w:lineRule="auto"/>
        <w:jc w:val="both"/>
      </w:pPr>
      <w:r>
        <w:rPr>
          <w:rFonts w:eastAsia="Arial"/>
        </w:rPr>
        <w:t xml:space="preserve">The mission behind the brand has stayed close to Starbucks' global purpose, to inspire and nurture the human spirit, one person, one cup and one </w:t>
      </w:r>
      <w:proofErr w:type="spellStart"/>
      <w:r>
        <w:rPr>
          <w:rFonts w:eastAsia="Arial"/>
        </w:rPr>
        <w:t>neighbourhood</w:t>
      </w:r>
      <w:proofErr w:type="spellEnd"/>
      <w:r>
        <w:rPr>
          <w:rFonts w:eastAsia="Arial"/>
        </w:rPr>
        <w:t xml:space="preserve"> at a time. In the Indian context, that mission plays out through a network of company owned cafes designed to be a genuine third place between home and work, rather than a quick service outlet built purely around speed and price. The vision, at least as I read it from the way the business has grown, is to become the country's leading premium coffeehouse brand while staying financially disciplined enough that expansion pays for itself store by store, rather than through discounting or rapid, unprofitable rollout. I cannot claim total certainty here, since a joint venture does not publish its internal strategy for public consumption, but this is the reading that fits the pattern of decisions best.</w:t>
      </w:r>
    </w:p>
    <w:p w14:paraId="2952DB22" w14:textId="77777777" w:rsidR="002B1E5D" w:rsidRDefault="005F384D">
      <w:pPr>
        <w:spacing w:after="160" w:line="360" w:lineRule="auto"/>
        <w:jc w:val="both"/>
      </w:pPr>
      <w:r>
        <w:rPr>
          <w:rFonts w:eastAsia="Arial"/>
        </w:rPr>
        <w:t xml:space="preserve">The business model rests on three pillars. Stores are company owned and operated rather than franchised, which keeps quality and service standards consistent across every location. Sourcing blends Starbucks' global coffee standards with ingredients and menu items adapted for Indian tastes, from masala </w:t>
      </w:r>
      <w:proofErr w:type="spellStart"/>
      <w:r>
        <w:rPr>
          <w:rFonts w:eastAsia="Arial"/>
        </w:rPr>
        <w:t>flavoured</w:t>
      </w:r>
      <w:proofErr w:type="spellEnd"/>
      <w:r>
        <w:rPr>
          <w:rFonts w:eastAsia="Arial"/>
        </w:rPr>
        <w:t xml:space="preserve"> drinks to food ranges that reflect regional preferences. Revenue is built around the in-store experience and premium pricing rather than volume discounting, which is a deliberate choice given how price sensitive much of the Indian food and beverage market can be.</w:t>
      </w:r>
    </w:p>
    <w:p w14:paraId="6AAD6B76" w14:textId="77777777" w:rsidR="002B1E5D" w:rsidRDefault="005F384D">
      <w:pPr>
        <w:spacing w:after="160" w:line="360" w:lineRule="auto"/>
        <w:jc w:val="both"/>
      </w:pPr>
      <w:r>
        <w:rPr>
          <w:rFonts w:eastAsia="Arial"/>
        </w:rPr>
        <w:t xml:space="preserve">The industry itself sits within India's broader cafe and </w:t>
      </w:r>
      <w:proofErr w:type="spellStart"/>
      <w:r>
        <w:rPr>
          <w:rFonts w:eastAsia="Arial"/>
        </w:rPr>
        <w:t>organised</w:t>
      </w:r>
      <w:proofErr w:type="spellEnd"/>
      <w:r>
        <w:rPr>
          <w:rFonts w:eastAsia="Arial"/>
        </w:rPr>
        <w:t xml:space="preserve"> coffee retail sector, a market that has grown quickly on the back of </w:t>
      </w:r>
      <w:proofErr w:type="spellStart"/>
      <w:r>
        <w:rPr>
          <w:rFonts w:eastAsia="Arial"/>
        </w:rPr>
        <w:t>urbanisation</w:t>
      </w:r>
      <w:proofErr w:type="spellEnd"/>
      <w:r>
        <w:rPr>
          <w:rFonts w:eastAsia="Arial"/>
        </w:rPr>
        <w:t xml:space="preserve">, a widening middle class and a generational shift towards drinking out (Khan et al., 2025). Tata Starbucks competes directly with Cafe Coffee Day and Costa Coffee, both of which have a </w:t>
      </w:r>
      <w:r>
        <w:rPr>
          <w:rFonts w:eastAsia="Arial"/>
        </w:rPr>
        <w:lastRenderedPageBreak/>
        <w:t xml:space="preserve">longer history in the Indian market, as well as newer, </w:t>
      </w:r>
      <w:proofErr w:type="gramStart"/>
      <w:r>
        <w:rPr>
          <w:rFonts w:eastAsia="Arial"/>
        </w:rPr>
        <w:t>home grown</w:t>
      </w:r>
      <w:proofErr w:type="gramEnd"/>
      <w:r>
        <w:rPr>
          <w:rFonts w:eastAsia="Arial"/>
        </w:rPr>
        <w:t xml:space="preserve"> challengers such as Third Wave Coffee and </w:t>
      </w:r>
      <w:proofErr w:type="spellStart"/>
      <w:r>
        <w:rPr>
          <w:rFonts w:eastAsia="Arial"/>
        </w:rPr>
        <w:t>Chaayos</w:t>
      </w:r>
      <w:proofErr w:type="spellEnd"/>
      <w:r>
        <w:rPr>
          <w:rFonts w:eastAsia="Arial"/>
        </w:rPr>
        <w:t>. Within that competitive set, Tata Starbucks has positioned itself firmly at the premium end, competing on brand experience and consistency rather than on price, which is the market position I use as the starting point for the rest of this analysis.</w:t>
      </w:r>
    </w:p>
    <w:p w14:paraId="1A006BFB" w14:textId="77777777" w:rsidR="002B1E5D" w:rsidRDefault="005F384D">
      <w:pPr>
        <w:pStyle w:val="Heading1"/>
      </w:pPr>
      <w:bookmarkStart w:id="3" w:name="_Toc237380058"/>
      <w:r>
        <w:rPr>
          <w:rFonts w:ascii="Arial" w:eastAsia="Arial" w:hAnsi="Arial" w:cs="Arial"/>
        </w:rPr>
        <w:t>2. External and Internal Analysis</w:t>
      </w:r>
      <w:bookmarkEnd w:id="3"/>
    </w:p>
    <w:p w14:paraId="1D3B350E" w14:textId="77777777" w:rsidR="002B1E5D" w:rsidRDefault="005F384D">
      <w:pPr>
        <w:spacing w:after="160" w:line="360" w:lineRule="auto"/>
        <w:jc w:val="both"/>
      </w:pPr>
      <w:r>
        <w:rPr>
          <w:rFonts w:eastAsia="Arial"/>
        </w:rPr>
        <w:t>One honest limitation before I start: everything below comes from published, publicly available material rather than internal company data, so I have leaned on triangulating several independent sources rather than any single authoritative figure. The conclusions that follow are informed judgement, not verified fact.</w:t>
      </w:r>
    </w:p>
    <w:p w14:paraId="036F2EC2" w14:textId="77777777" w:rsidR="002B1E5D" w:rsidRDefault="005F384D">
      <w:pPr>
        <w:pStyle w:val="Heading2"/>
      </w:pPr>
      <w:bookmarkStart w:id="4" w:name="_Toc237380059"/>
      <w:r>
        <w:rPr>
          <w:rFonts w:ascii="Arial" w:eastAsia="Arial" w:hAnsi="Arial" w:cs="Arial"/>
        </w:rPr>
        <w:t>2.1 PESTEL Analysis</w:t>
      </w:r>
      <w:bookmarkEnd w:id="4"/>
    </w:p>
    <w:p w14:paraId="5B6185B1" w14:textId="77777777" w:rsidR="002B1E5D" w:rsidRDefault="005F384D">
      <w:pPr>
        <w:spacing w:after="160" w:line="360" w:lineRule="auto"/>
        <w:jc w:val="both"/>
      </w:pPr>
      <w:r>
        <w:rPr>
          <w:rFonts w:eastAsia="Arial"/>
          <w:b/>
        </w:rPr>
        <w:t xml:space="preserve">Political factors </w:t>
      </w:r>
      <w:r>
        <w:rPr>
          <w:rFonts w:eastAsia="Arial"/>
        </w:rPr>
        <w:t xml:space="preserve">shape Tata Starbucks' position more than most consumers would assume. India's policy on foreign direct investment in retail has been </w:t>
      </w:r>
      <w:proofErr w:type="spellStart"/>
      <w:r>
        <w:rPr>
          <w:rFonts w:eastAsia="Arial"/>
        </w:rPr>
        <w:t>liberalised</w:t>
      </w:r>
      <w:proofErr w:type="spellEnd"/>
      <w:r>
        <w:rPr>
          <w:rFonts w:eastAsia="Arial"/>
        </w:rPr>
        <w:t xml:space="preserve"> gradually over the past decade, and that </w:t>
      </w:r>
      <w:proofErr w:type="spellStart"/>
      <w:r>
        <w:rPr>
          <w:rFonts w:eastAsia="Arial"/>
        </w:rPr>
        <w:t>liberalisation</w:t>
      </w:r>
      <w:proofErr w:type="spellEnd"/>
      <w:r>
        <w:rPr>
          <w:rFonts w:eastAsia="Arial"/>
        </w:rPr>
        <w:t xml:space="preserve"> is precisely what allowed a joint venture structure like this one to exist in its current form (</w:t>
      </w:r>
      <w:proofErr w:type="spellStart"/>
      <w:r>
        <w:rPr>
          <w:rFonts w:eastAsia="Arial"/>
        </w:rPr>
        <w:t>Masharu</w:t>
      </w:r>
      <w:proofErr w:type="spellEnd"/>
      <w:r>
        <w:rPr>
          <w:rFonts w:eastAsia="Arial"/>
        </w:rPr>
        <w:t xml:space="preserve"> and Nasir, 2018). Import duties on coffee machinery and certain packaging materials still add cost to running premium format stores, and taxes on food and beverage sales vary in how they are applied across states, which complicates pricing consistency. Any future tightening of retail foreign investment rules, whether driven by protectionist pressure on domestic small traders or a change in government priorities, would directly affect how quickly the brand can keep opening new stores.</w:t>
      </w:r>
    </w:p>
    <w:p w14:paraId="4752C080" w14:textId="77777777" w:rsidR="002B1E5D" w:rsidRDefault="005F384D">
      <w:pPr>
        <w:spacing w:after="160" w:line="360" w:lineRule="auto"/>
        <w:jc w:val="both"/>
      </w:pPr>
      <w:r>
        <w:rPr>
          <w:rFonts w:eastAsia="Arial"/>
          <w:b/>
        </w:rPr>
        <w:t xml:space="preserve">Economic conditions </w:t>
      </w:r>
      <w:r>
        <w:rPr>
          <w:rFonts w:eastAsia="Arial"/>
        </w:rPr>
        <w:t xml:space="preserve">have, on balance, worked in the brand's </w:t>
      </w:r>
      <w:proofErr w:type="spellStart"/>
      <w:r>
        <w:rPr>
          <w:rFonts w:eastAsia="Arial"/>
        </w:rPr>
        <w:t>favour</w:t>
      </w:r>
      <w:proofErr w:type="spellEnd"/>
      <w:r>
        <w:rPr>
          <w:rFonts w:eastAsia="Arial"/>
        </w:rPr>
        <w:t xml:space="preserve">. A growing urban middle class with rising disposable income has expanded the pool of consumers who can justify paying a premium for coffee and an experience rather than treating it as a basic commodity (Khan et al., 2025). That said, the same economic growth is uneven across the country, which is why expansion has concentrated in metro and now tier two cities rather than spreading evenly nationwide. Currency fluctuation and inflation in imported inputs, together with rising commercial rents in the city </w:t>
      </w:r>
      <w:proofErr w:type="spellStart"/>
      <w:r>
        <w:rPr>
          <w:rFonts w:eastAsia="Arial"/>
        </w:rPr>
        <w:t>centre</w:t>
      </w:r>
      <w:proofErr w:type="spellEnd"/>
      <w:r>
        <w:rPr>
          <w:rFonts w:eastAsia="Arial"/>
        </w:rPr>
        <w:t xml:space="preserve"> locations the brand </w:t>
      </w:r>
      <w:proofErr w:type="spellStart"/>
      <w:r>
        <w:rPr>
          <w:rFonts w:eastAsia="Arial"/>
        </w:rPr>
        <w:t>favours</w:t>
      </w:r>
      <w:proofErr w:type="spellEnd"/>
      <w:r>
        <w:rPr>
          <w:rFonts w:eastAsia="Arial"/>
        </w:rPr>
        <w:t>, also feed through into cost pressure that the business has to absorb or pass on carefully, given how sensitive Indian consumers still are to price increases.</w:t>
      </w:r>
    </w:p>
    <w:p w14:paraId="4CAFC93D" w14:textId="67809B6C" w:rsidR="002B1E5D" w:rsidRDefault="005F384D">
      <w:pPr>
        <w:spacing w:after="160" w:line="360" w:lineRule="auto"/>
        <w:jc w:val="both"/>
      </w:pPr>
      <w:r>
        <w:rPr>
          <w:rFonts w:eastAsia="Arial"/>
          <w:b/>
        </w:rPr>
        <w:lastRenderedPageBreak/>
        <w:t xml:space="preserve">Socially, </w:t>
      </w:r>
      <w:r>
        <w:rPr>
          <w:rFonts w:eastAsia="Arial"/>
        </w:rPr>
        <w:t xml:space="preserve">the most interesting shift is cultural rather than purely economic. India has a longstanding tea drinking identity, and coffee, particularly filter coffee, has traditionally been a regional rather than national habit. What has changed is the meaning attached to going out for a drink. Younger, urban consumers increasingly use cafes as social and work spaces, not just places to buy a beverage, and that shift in </w:t>
      </w:r>
      <w:proofErr w:type="spellStart"/>
      <w:r>
        <w:rPr>
          <w:rFonts w:eastAsia="Arial"/>
        </w:rPr>
        <w:t>behaviour</w:t>
      </w:r>
      <w:proofErr w:type="spellEnd"/>
      <w:r>
        <w:rPr>
          <w:rFonts w:eastAsia="Arial"/>
        </w:rPr>
        <w:t xml:space="preserve"> is what has made a premium, experience led format like Starbucks viable at scale rather than a niche curiosity (Bertoldi, Giachino and Marenco, 2012).</w:t>
      </w:r>
    </w:p>
    <w:p w14:paraId="0EC801BB" w14:textId="22F55910" w:rsidR="002B1E5D" w:rsidRDefault="005F384D">
      <w:pPr>
        <w:spacing w:after="160" w:line="360" w:lineRule="auto"/>
        <w:jc w:val="both"/>
      </w:pPr>
      <w:r>
        <w:rPr>
          <w:rFonts w:eastAsia="Arial"/>
          <w:b/>
        </w:rPr>
        <w:t xml:space="preserve">Technological change </w:t>
      </w:r>
      <w:r>
        <w:rPr>
          <w:rFonts w:eastAsia="Arial"/>
        </w:rPr>
        <w:t xml:space="preserve">is reshaping how the business reaches its customers day to day. Mobile ordering, loyalty applications and digital payments have become standard expectations rather than added extras, echoing the wider digital transformation seen across retail more generally (Wadud, Liang and Polkinghorne, 2025). For Tata Starbucks this means the loyalty </w:t>
      </w:r>
      <w:proofErr w:type="spellStart"/>
      <w:r>
        <w:rPr>
          <w:rFonts w:eastAsia="Arial"/>
        </w:rPr>
        <w:t>programme</w:t>
      </w:r>
      <w:proofErr w:type="spellEnd"/>
      <w:r>
        <w:rPr>
          <w:rFonts w:eastAsia="Arial"/>
        </w:rPr>
        <w:t xml:space="preserve"> and app</w:t>
      </w:r>
      <w:r w:rsidR="00C91A0E">
        <w:rPr>
          <w:rFonts w:eastAsia="Arial"/>
        </w:rPr>
        <w:t>-</w:t>
      </w:r>
      <w:r>
        <w:rPr>
          <w:rFonts w:eastAsia="Arial"/>
        </w:rPr>
        <w:t xml:space="preserve">based ordering are no longer optional convenience features but a core part of how repeat customers </w:t>
      </w:r>
      <w:proofErr w:type="gramStart"/>
      <w:r>
        <w:rPr>
          <w:rFonts w:eastAsia="Arial"/>
        </w:rPr>
        <w:t>are</w:t>
      </w:r>
      <w:proofErr w:type="gramEnd"/>
      <w:r>
        <w:rPr>
          <w:rFonts w:eastAsia="Arial"/>
        </w:rPr>
        <w:t xml:space="preserve"> retained and how order data feeds back into store level decisions, including which menu items to keep and which locations are ready for expansion.</w:t>
      </w:r>
    </w:p>
    <w:p w14:paraId="29F70ADF" w14:textId="77777777" w:rsidR="002B1E5D" w:rsidRDefault="005F384D">
      <w:pPr>
        <w:spacing w:after="160" w:line="360" w:lineRule="auto"/>
        <w:jc w:val="both"/>
      </w:pPr>
      <w:r>
        <w:rPr>
          <w:rFonts w:eastAsia="Arial"/>
          <w:b/>
        </w:rPr>
        <w:t xml:space="preserve">Environmental pressure </w:t>
      </w:r>
      <w:r>
        <w:rPr>
          <w:rFonts w:eastAsia="Arial"/>
        </w:rPr>
        <w:t>has grown alongside consumer awareness. Ethical sourcing, traceability of coffee back to the farms it comes from, and reduction of single use packaging waste are no longer just reputational nice to haves. Technology is increasingly used to make that traceability verifiable rather than just claimed, for example through mobile applications that track coffee through the supply chain (Petrillo, Rehman and De Felice, 2025). Any business trading on a premium, ethically positioned brand has to keep investing here or risk the positioning looking hollow, particularly as customers become more able to check sourcing claims for themselves.</w:t>
      </w:r>
    </w:p>
    <w:p w14:paraId="235BF728" w14:textId="05791504" w:rsidR="002B1E5D" w:rsidRDefault="005F384D" w:rsidP="00C91A0E">
      <w:pPr>
        <w:spacing w:after="160" w:line="360" w:lineRule="auto"/>
        <w:jc w:val="both"/>
      </w:pPr>
      <w:r>
        <w:rPr>
          <w:rFonts w:eastAsia="Arial"/>
          <w:b/>
        </w:rPr>
        <w:t xml:space="preserve">Legal factors </w:t>
      </w:r>
      <w:r>
        <w:rPr>
          <w:rFonts w:eastAsia="Arial"/>
        </w:rPr>
        <w:t xml:space="preserve">are less dramatic but still material. </w:t>
      </w:r>
      <w:proofErr w:type="spellStart"/>
      <w:r>
        <w:rPr>
          <w:rFonts w:eastAsia="Arial"/>
        </w:rPr>
        <w:t>Labour</w:t>
      </w:r>
      <w:proofErr w:type="spellEnd"/>
      <w:r>
        <w:rPr>
          <w:rFonts w:eastAsia="Arial"/>
        </w:rPr>
        <w:t xml:space="preserve"> law, food safety standards and store licensing requirements vary across Indian states, which adds administrative complexity to a national rollout strategy. None of these factors are unique to Tata Starbucks, but taken together they mean that expansion planning has to be handled market by market rather than treated as a single uniform process across the country.</w:t>
      </w:r>
    </w:p>
    <w:p w14:paraId="0DC769BD" w14:textId="35B785D1" w:rsidR="00C91A0E" w:rsidRDefault="00C91A0E" w:rsidP="00C91A0E">
      <w:pPr>
        <w:pStyle w:val="Caption"/>
        <w:keepNext/>
      </w:pPr>
      <w:bookmarkStart w:id="5" w:name="_Toc237380082"/>
      <w:r>
        <w:t xml:space="preserve">Table </w:t>
      </w:r>
      <w:fldSimple w:instr=" SEQ Table \* ARABIC ">
        <w:r>
          <w:rPr>
            <w:noProof/>
          </w:rPr>
          <w:t>1</w:t>
        </w:r>
      </w:fldSimple>
      <w:r>
        <w:t xml:space="preserve">: </w:t>
      </w:r>
      <w:r w:rsidRPr="009E6420">
        <w:t>Summary of PESTEL factors affecting Tata Starbucks in India</w:t>
      </w:r>
      <w:bookmarkEnd w:id="5"/>
    </w:p>
    <w:tbl>
      <w:tblPr>
        <w:tblStyle w:val="TableGrid"/>
        <w:tblW w:w="0" w:type="auto"/>
        <w:jc w:val="center"/>
        <w:tblLayout w:type="fixed"/>
        <w:tblLook w:val="04A0" w:firstRow="1" w:lastRow="0" w:firstColumn="1" w:lastColumn="0" w:noHBand="0" w:noVBand="1"/>
      </w:tblPr>
      <w:tblGrid>
        <w:gridCol w:w="1928"/>
        <w:gridCol w:w="3969"/>
        <w:gridCol w:w="3175"/>
      </w:tblGrid>
      <w:tr w:rsidR="002B1E5D" w14:paraId="4D3AF0B6" w14:textId="77777777" w:rsidTr="00C91A0E">
        <w:trPr>
          <w:jc w:val="center"/>
        </w:trPr>
        <w:tc>
          <w:tcPr>
            <w:tcW w:w="1928" w:type="dxa"/>
          </w:tcPr>
          <w:p w14:paraId="1A25746D" w14:textId="77777777" w:rsidR="002B1E5D" w:rsidRDefault="005F384D">
            <w:pPr>
              <w:spacing w:after="40" w:line="276" w:lineRule="auto"/>
              <w:jc w:val="center"/>
            </w:pPr>
            <w:r>
              <w:rPr>
                <w:rFonts w:eastAsia="Arial"/>
                <w:b/>
                <w:sz w:val="22"/>
              </w:rPr>
              <w:t>Factor</w:t>
            </w:r>
          </w:p>
        </w:tc>
        <w:tc>
          <w:tcPr>
            <w:tcW w:w="3969" w:type="dxa"/>
          </w:tcPr>
          <w:p w14:paraId="29F04A99" w14:textId="77777777" w:rsidR="002B1E5D" w:rsidRDefault="005F384D">
            <w:pPr>
              <w:spacing w:after="40" w:line="276" w:lineRule="auto"/>
              <w:jc w:val="center"/>
            </w:pPr>
            <w:r>
              <w:rPr>
                <w:rFonts w:eastAsia="Arial"/>
                <w:b/>
                <w:sz w:val="22"/>
              </w:rPr>
              <w:t>Key Issues</w:t>
            </w:r>
          </w:p>
        </w:tc>
        <w:tc>
          <w:tcPr>
            <w:tcW w:w="3175" w:type="dxa"/>
          </w:tcPr>
          <w:p w14:paraId="026A90A0" w14:textId="77777777" w:rsidR="002B1E5D" w:rsidRDefault="005F384D">
            <w:pPr>
              <w:spacing w:after="40" w:line="276" w:lineRule="auto"/>
              <w:jc w:val="center"/>
            </w:pPr>
            <w:r>
              <w:rPr>
                <w:rFonts w:eastAsia="Arial"/>
                <w:b/>
                <w:sz w:val="22"/>
              </w:rPr>
              <w:t>Strategic Implication</w:t>
            </w:r>
          </w:p>
        </w:tc>
      </w:tr>
      <w:tr w:rsidR="002B1E5D" w14:paraId="24269865" w14:textId="77777777" w:rsidTr="00C91A0E">
        <w:trPr>
          <w:jc w:val="center"/>
        </w:trPr>
        <w:tc>
          <w:tcPr>
            <w:tcW w:w="1928" w:type="dxa"/>
          </w:tcPr>
          <w:p w14:paraId="693164DD" w14:textId="77777777" w:rsidR="002B1E5D" w:rsidRDefault="005F384D">
            <w:pPr>
              <w:spacing w:after="40" w:line="276" w:lineRule="auto"/>
            </w:pPr>
            <w:r>
              <w:rPr>
                <w:rFonts w:eastAsia="Arial"/>
                <w:sz w:val="22"/>
              </w:rPr>
              <w:t>Political</w:t>
            </w:r>
          </w:p>
        </w:tc>
        <w:tc>
          <w:tcPr>
            <w:tcW w:w="3969" w:type="dxa"/>
          </w:tcPr>
          <w:p w14:paraId="26F74E99" w14:textId="77777777" w:rsidR="002B1E5D" w:rsidRDefault="005F384D">
            <w:pPr>
              <w:spacing w:after="40" w:line="276" w:lineRule="auto"/>
            </w:pPr>
            <w:r>
              <w:rPr>
                <w:rFonts w:eastAsia="Arial"/>
                <w:sz w:val="22"/>
              </w:rPr>
              <w:t xml:space="preserve">Gradual FDI </w:t>
            </w:r>
            <w:proofErr w:type="spellStart"/>
            <w:r>
              <w:rPr>
                <w:rFonts w:eastAsia="Arial"/>
                <w:sz w:val="22"/>
              </w:rPr>
              <w:t>liberalisation</w:t>
            </w:r>
            <w:proofErr w:type="spellEnd"/>
            <w:r>
              <w:rPr>
                <w:rFonts w:eastAsia="Arial"/>
                <w:sz w:val="22"/>
              </w:rPr>
              <w:t xml:space="preserve"> in retail; import duties; state level tax variation</w:t>
            </w:r>
          </w:p>
        </w:tc>
        <w:tc>
          <w:tcPr>
            <w:tcW w:w="3175" w:type="dxa"/>
          </w:tcPr>
          <w:p w14:paraId="788F1507" w14:textId="77777777" w:rsidR="002B1E5D" w:rsidRDefault="005F384D">
            <w:pPr>
              <w:spacing w:after="40" w:line="276" w:lineRule="auto"/>
            </w:pPr>
            <w:r>
              <w:rPr>
                <w:rFonts w:eastAsia="Arial"/>
                <w:sz w:val="22"/>
              </w:rPr>
              <w:t>Enabled the joint venture; ongoing policy risk to expansion speed</w:t>
            </w:r>
          </w:p>
        </w:tc>
      </w:tr>
      <w:tr w:rsidR="002B1E5D" w14:paraId="58BE9C9D" w14:textId="77777777" w:rsidTr="00C91A0E">
        <w:trPr>
          <w:jc w:val="center"/>
        </w:trPr>
        <w:tc>
          <w:tcPr>
            <w:tcW w:w="1928" w:type="dxa"/>
          </w:tcPr>
          <w:p w14:paraId="77B10F10" w14:textId="77777777" w:rsidR="002B1E5D" w:rsidRDefault="005F384D">
            <w:pPr>
              <w:spacing w:after="40" w:line="276" w:lineRule="auto"/>
            </w:pPr>
            <w:r>
              <w:rPr>
                <w:rFonts w:eastAsia="Arial"/>
                <w:sz w:val="22"/>
              </w:rPr>
              <w:lastRenderedPageBreak/>
              <w:t>Economic</w:t>
            </w:r>
          </w:p>
        </w:tc>
        <w:tc>
          <w:tcPr>
            <w:tcW w:w="3969" w:type="dxa"/>
          </w:tcPr>
          <w:p w14:paraId="5E9BD7BD" w14:textId="77777777" w:rsidR="002B1E5D" w:rsidRDefault="005F384D">
            <w:pPr>
              <w:spacing w:after="40" w:line="276" w:lineRule="auto"/>
            </w:pPr>
            <w:r>
              <w:rPr>
                <w:rFonts w:eastAsia="Arial"/>
                <w:sz w:val="22"/>
              </w:rPr>
              <w:t>Rising urban disposable income; uneven growth; currency and rent inflation</w:t>
            </w:r>
          </w:p>
        </w:tc>
        <w:tc>
          <w:tcPr>
            <w:tcW w:w="3175" w:type="dxa"/>
          </w:tcPr>
          <w:p w14:paraId="1BB0627A" w14:textId="77777777" w:rsidR="002B1E5D" w:rsidRDefault="005F384D">
            <w:pPr>
              <w:spacing w:after="40" w:line="276" w:lineRule="auto"/>
            </w:pPr>
            <w:r>
              <w:rPr>
                <w:rFonts w:eastAsia="Arial"/>
                <w:sz w:val="22"/>
              </w:rPr>
              <w:t>Supports premium pricing in cities; limits reach elsewhere</w:t>
            </w:r>
          </w:p>
        </w:tc>
      </w:tr>
      <w:tr w:rsidR="002B1E5D" w14:paraId="5CDE3CD2" w14:textId="77777777" w:rsidTr="00C91A0E">
        <w:trPr>
          <w:jc w:val="center"/>
        </w:trPr>
        <w:tc>
          <w:tcPr>
            <w:tcW w:w="1928" w:type="dxa"/>
          </w:tcPr>
          <w:p w14:paraId="238B1904" w14:textId="77777777" w:rsidR="002B1E5D" w:rsidRDefault="005F384D">
            <w:pPr>
              <w:spacing w:after="40" w:line="276" w:lineRule="auto"/>
            </w:pPr>
            <w:r>
              <w:rPr>
                <w:rFonts w:eastAsia="Arial"/>
                <w:sz w:val="22"/>
              </w:rPr>
              <w:t>Social</w:t>
            </w:r>
          </w:p>
        </w:tc>
        <w:tc>
          <w:tcPr>
            <w:tcW w:w="3969" w:type="dxa"/>
          </w:tcPr>
          <w:p w14:paraId="2A4B6A19" w14:textId="77777777" w:rsidR="002B1E5D" w:rsidRDefault="005F384D">
            <w:pPr>
              <w:spacing w:after="40" w:line="276" w:lineRule="auto"/>
            </w:pPr>
            <w:r>
              <w:rPr>
                <w:rFonts w:eastAsia="Arial"/>
                <w:sz w:val="22"/>
              </w:rPr>
              <w:t>Shift from tea toward cafe culture among younger, urban consumers</w:t>
            </w:r>
          </w:p>
        </w:tc>
        <w:tc>
          <w:tcPr>
            <w:tcW w:w="3175" w:type="dxa"/>
          </w:tcPr>
          <w:p w14:paraId="2A320B0A" w14:textId="77777777" w:rsidR="002B1E5D" w:rsidRDefault="005F384D">
            <w:pPr>
              <w:spacing w:after="40" w:line="276" w:lineRule="auto"/>
            </w:pPr>
            <w:r>
              <w:rPr>
                <w:rFonts w:eastAsia="Arial"/>
                <w:sz w:val="22"/>
              </w:rPr>
              <w:t>Created the demand base the brand depends on</w:t>
            </w:r>
          </w:p>
        </w:tc>
      </w:tr>
      <w:tr w:rsidR="002B1E5D" w14:paraId="7D3CC952" w14:textId="77777777" w:rsidTr="00C91A0E">
        <w:trPr>
          <w:jc w:val="center"/>
        </w:trPr>
        <w:tc>
          <w:tcPr>
            <w:tcW w:w="1928" w:type="dxa"/>
          </w:tcPr>
          <w:p w14:paraId="54D03B59" w14:textId="77777777" w:rsidR="002B1E5D" w:rsidRDefault="005F384D">
            <w:pPr>
              <w:spacing w:after="40" w:line="276" w:lineRule="auto"/>
            </w:pPr>
            <w:r>
              <w:rPr>
                <w:rFonts w:eastAsia="Arial"/>
                <w:sz w:val="22"/>
              </w:rPr>
              <w:t>Technological</w:t>
            </w:r>
          </w:p>
        </w:tc>
        <w:tc>
          <w:tcPr>
            <w:tcW w:w="3969" w:type="dxa"/>
          </w:tcPr>
          <w:p w14:paraId="5381B739" w14:textId="77777777" w:rsidR="002B1E5D" w:rsidRDefault="005F384D">
            <w:pPr>
              <w:spacing w:after="40" w:line="276" w:lineRule="auto"/>
            </w:pPr>
            <w:r>
              <w:rPr>
                <w:rFonts w:eastAsia="Arial"/>
                <w:sz w:val="22"/>
              </w:rPr>
              <w:t>Mobile ordering, loyalty apps and digital payments becoming standard</w:t>
            </w:r>
          </w:p>
        </w:tc>
        <w:tc>
          <w:tcPr>
            <w:tcW w:w="3175" w:type="dxa"/>
          </w:tcPr>
          <w:p w14:paraId="325EE325" w14:textId="77777777" w:rsidR="002B1E5D" w:rsidRDefault="005F384D">
            <w:pPr>
              <w:spacing w:after="40" w:line="276" w:lineRule="auto"/>
            </w:pPr>
            <w:r>
              <w:rPr>
                <w:rFonts w:eastAsia="Arial"/>
                <w:sz w:val="22"/>
              </w:rPr>
              <w:t>Loyalty app is now core to customer retention, not an add-on</w:t>
            </w:r>
          </w:p>
        </w:tc>
      </w:tr>
      <w:tr w:rsidR="002B1E5D" w14:paraId="29F6AF04" w14:textId="77777777" w:rsidTr="00C91A0E">
        <w:trPr>
          <w:jc w:val="center"/>
        </w:trPr>
        <w:tc>
          <w:tcPr>
            <w:tcW w:w="1928" w:type="dxa"/>
          </w:tcPr>
          <w:p w14:paraId="2004488D" w14:textId="77777777" w:rsidR="002B1E5D" w:rsidRDefault="005F384D">
            <w:pPr>
              <w:spacing w:after="40" w:line="276" w:lineRule="auto"/>
            </w:pPr>
            <w:r>
              <w:rPr>
                <w:rFonts w:eastAsia="Arial"/>
                <w:sz w:val="22"/>
              </w:rPr>
              <w:t>Environmental</w:t>
            </w:r>
          </w:p>
        </w:tc>
        <w:tc>
          <w:tcPr>
            <w:tcW w:w="3969" w:type="dxa"/>
          </w:tcPr>
          <w:p w14:paraId="5F600324" w14:textId="77777777" w:rsidR="002B1E5D" w:rsidRDefault="005F384D">
            <w:pPr>
              <w:spacing w:after="40" w:line="276" w:lineRule="auto"/>
            </w:pPr>
            <w:r>
              <w:rPr>
                <w:rFonts w:eastAsia="Arial"/>
                <w:sz w:val="22"/>
              </w:rPr>
              <w:t>Growing demand for verifiable ethical sourcing and less packaging waste</w:t>
            </w:r>
          </w:p>
        </w:tc>
        <w:tc>
          <w:tcPr>
            <w:tcW w:w="3175" w:type="dxa"/>
          </w:tcPr>
          <w:p w14:paraId="01656595" w14:textId="77777777" w:rsidR="002B1E5D" w:rsidRDefault="005F384D">
            <w:pPr>
              <w:spacing w:after="40" w:line="276" w:lineRule="auto"/>
            </w:pPr>
            <w:r>
              <w:rPr>
                <w:rFonts w:eastAsia="Arial"/>
                <w:sz w:val="22"/>
              </w:rPr>
              <w:t>Reinforces the need for credible, traceable CSR claims</w:t>
            </w:r>
          </w:p>
        </w:tc>
      </w:tr>
      <w:tr w:rsidR="002B1E5D" w14:paraId="5EB88108" w14:textId="77777777" w:rsidTr="00C91A0E">
        <w:trPr>
          <w:jc w:val="center"/>
        </w:trPr>
        <w:tc>
          <w:tcPr>
            <w:tcW w:w="1928" w:type="dxa"/>
          </w:tcPr>
          <w:p w14:paraId="77A4F488" w14:textId="77777777" w:rsidR="002B1E5D" w:rsidRDefault="005F384D">
            <w:pPr>
              <w:spacing w:after="40" w:line="276" w:lineRule="auto"/>
            </w:pPr>
            <w:r>
              <w:rPr>
                <w:rFonts w:eastAsia="Arial"/>
                <w:sz w:val="22"/>
              </w:rPr>
              <w:t>Legal</w:t>
            </w:r>
          </w:p>
        </w:tc>
        <w:tc>
          <w:tcPr>
            <w:tcW w:w="3969" w:type="dxa"/>
          </w:tcPr>
          <w:p w14:paraId="0E460713" w14:textId="77777777" w:rsidR="002B1E5D" w:rsidRDefault="005F384D">
            <w:pPr>
              <w:spacing w:after="40" w:line="276" w:lineRule="auto"/>
            </w:pPr>
            <w:proofErr w:type="spellStart"/>
            <w:r>
              <w:rPr>
                <w:rFonts w:eastAsia="Arial"/>
                <w:sz w:val="22"/>
              </w:rPr>
              <w:t>Labour</w:t>
            </w:r>
            <w:proofErr w:type="spellEnd"/>
            <w:r>
              <w:rPr>
                <w:rFonts w:eastAsia="Arial"/>
                <w:sz w:val="22"/>
              </w:rPr>
              <w:t>, food safety and licensing rules vary by state</w:t>
            </w:r>
          </w:p>
        </w:tc>
        <w:tc>
          <w:tcPr>
            <w:tcW w:w="3175" w:type="dxa"/>
          </w:tcPr>
          <w:p w14:paraId="2F8A10F0" w14:textId="77777777" w:rsidR="002B1E5D" w:rsidRDefault="005F384D">
            <w:pPr>
              <w:spacing w:after="40" w:line="276" w:lineRule="auto"/>
            </w:pPr>
            <w:r>
              <w:rPr>
                <w:rFonts w:eastAsia="Arial"/>
                <w:sz w:val="22"/>
              </w:rPr>
              <w:t>Adds complexity to a national rollout plan</w:t>
            </w:r>
          </w:p>
        </w:tc>
      </w:tr>
    </w:tbl>
    <w:p w14:paraId="673AF26F" w14:textId="77777777" w:rsidR="002B1E5D" w:rsidRDefault="002B1E5D">
      <w:pPr>
        <w:spacing w:after="40"/>
      </w:pPr>
    </w:p>
    <w:p w14:paraId="5B73870E" w14:textId="77777777" w:rsidR="002B1E5D" w:rsidRDefault="005F384D">
      <w:pPr>
        <w:pStyle w:val="Heading2"/>
      </w:pPr>
      <w:bookmarkStart w:id="6" w:name="_Toc237380060"/>
      <w:r>
        <w:rPr>
          <w:rFonts w:ascii="Arial" w:eastAsia="Arial" w:hAnsi="Arial" w:cs="Arial"/>
        </w:rPr>
        <w:t>2.2 VRIO Analysis</w:t>
      </w:r>
      <w:bookmarkEnd w:id="6"/>
    </w:p>
    <w:p w14:paraId="7A111227" w14:textId="77777777" w:rsidR="002B1E5D" w:rsidRDefault="005F384D">
      <w:pPr>
        <w:spacing w:after="160" w:line="360" w:lineRule="auto"/>
        <w:jc w:val="both"/>
      </w:pPr>
      <w:r>
        <w:rPr>
          <w:rFonts w:eastAsia="Arial"/>
        </w:rPr>
        <w:t xml:space="preserve">To understand where Tata Starbucks' competitive advantage actually comes from, rather than assuming brand name alone explains it, I apply the VRIO framework developed by Barney (1991) and more recently revisited for its practical application by Antony and Anuradha (2026). VRIO asks whether a resource or capability is valuable, rare, difficult to imitate and effectively </w:t>
      </w:r>
      <w:proofErr w:type="spellStart"/>
      <w:r>
        <w:rPr>
          <w:rFonts w:eastAsia="Arial"/>
        </w:rPr>
        <w:t>organised</w:t>
      </w:r>
      <w:proofErr w:type="spellEnd"/>
      <w:r>
        <w:rPr>
          <w:rFonts w:eastAsia="Arial"/>
        </w:rPr>
        <w:t xml:space="preserve"> for the business to capture its benefit.</w:t>
      </w:r>
    </w:p>
    <w:p w14:paraId="7BF25BD9" w14:textId="77777777" w:rsidR="002B1E5D" w:rsidRDefault="005F384D">
      <w:pPr>
        <w:spacing w:after="160" w:line="360" w:lineRule="auto"/>
        <w:jc w:val="both"/>
      </w:pPr>
      <w:r>
        <w:rPr>
          <w:rFonts w:eastAsia="Arial"/>
        </w:rPr>
        <w:t xml:space="preserve">The Starbucks brand itself is clearly valuable. It signals consistent quality and a predictable experience to a customer walking into an unfamiliar store, and that trust reduces the perceived risk of trying a premium priced product for the first time. Brand value on its own, however, is not rare in the strict sense, since several international and domestic competitors carry </w:t>
      </w:r>
      <w:proofErr w:type="spellStart"/>
      <w:r>
        <w:rPr>
          <w:rFonts w:eastAsia="Arial"/>
        </w:rPr>
        <w:t>recognisable</w:t>
      </w:r>
      <w:proofErr w:type="spellEnd"/>
      <w:r>
        <w:rPr>
          <w:rFonts w:eastAsia="Arial"/>
        </w:rPr>
        <w:t xml:space="preserve"> names too. What is harder to copy is the combination of global operating standards with locally adapted sourcing and menu development, built up through the joint venture with Tata. That combination is valuable and reasonably rare, since few competitors have access to both an internationally proven service system and a domestic partner with Tata's scale in sourcing, property and consumer insight.</w:t>
      </w:r>
    </w:p>
    <w:p w14:paraId="1BBA9370" w14:textId="77777777" w:rsidR="002B1E5D" w:rsidRDefault="005F384D">
      <w:pPr>
        <w:spacing w:after="160" w:line="360" w:lineRule="auto"/>
        <w:jc w:val="both"/>
      </w:pPr>
      <w:r>
        <w:rPr>
          <w:rFonts w:eastAsia="Arial"/>
        </w:rPr>
        <w:t xml:space="preserve">Store design and the in-store experience are valuable and moderately rare within the Indian market, though they are not impossible to imitate over time. Competitors such as Third Wave Coffee have invested heavily in their own distinctive store formats, which narrows this advantage. Where Tata Starbucks holds a firmer edge is in the consistency of execution across a large, company owned network, since franchised </w:t>
      </w:r>
      <w:r>
        <w:rPr>
          <w:rFonts w:eastAsia="Arial"/>
        </w:rPr>
        <w:lastRenderedPageBreak/>
        <w:t>or loosely controlled competitors often struggle to maintain the same standard store to store.</w:t>
      </w:r>
    </w:p>
    <w:p w14:paraId="5FB6F00D" w14:textId="77777777" w:rsidR="002B1E5D" w:rsidRDefault="005F384D">
      <w:pPr>
        <w:spacing w:after="160" w:line="360" w:lineRule="auto"/>
        <w:jc w:val="both"/>
      </w:pPr>
      <w:r>
        <w:rPr>
          <w:rFonts w:eastAsia="Arial"/>
        </w:rPr>
        <w:t xml:space="preserve">Supply chain and quality control processes, inherited from Starbucks' global standards and adapted through the joint venture, are valuable and genuinely difficult to imitate quickly, since they depend on years of supplier relationships, training systems and quality assurance built up over time (Meilani and </w:t>
      </w:r>
      <w:proofErr w:type="spellStart"/>
      <w:r>
        <w:rPr>
          <w:rFonts w:eastAsia="Arial"/>
        </w:rPr>
        <w:t>Ellitan</w:t>
      </w:r>
      <w:proofErr w:type="spellEnd"/>
      <w:r>
        <w:rPr>
          <w:rFonts w:eastAsia="Arial"/>
        </w:rPr>
        <w:t xml:space="preserve">, 2024). This is the resource I would identify as coming closest to satisfying all four VRIO criteria. It is valuable, reasonably rare in the Indian context, hard for a new entrant to replicate quickly, and it is </w:t>
      </w:r>
      <w:proofErr w:type="spellStart"/>
      <w:r>
        <w:rPr>
          <w:rFonts w:eastAsia="Arial"/>
        </w:rPr>
        <w:t>organised</w:t>
      </w:r>
      <w:proofErr w:type="spellEnd"/>
      <w:r>
        <w:rPr>
          <w:rFonts w:eastAsia="Arial"/>
        </w:rPr>
        <w:t xml:space="preserve"> through dedicated processes that let the business actually capture the benefit rather than letting it go to waste. Someone </w:t>
      </w:r>
      <w:proofErr w:type="spellStart"/>
      <w:r>
        <w:rPr>
          <w:rFonts w:eastAsia="Arial"/>
        </w:rPr>
        <w:t>sceptical</w:t>
      </w:r>
      <w:proofErr w:type="spellEnd"/>
      <w:r>
        <w:rPr>
          <w:rFonts w:eastAsia="Arial"/>
        </w:rPr>
        <w:t xml:space="preserve"> could say any of this is imitable given enough capital, and in a narrow sense that is true. What is harder to buy is the tacit, accumulated learning behind it, which is close to what Barney's (1991) original argument about causal ambiguity was getting at.</w:t>
      </w:r>
    </w:p>
    <w:p w14:paraId="67C8100B" w14:textId="7CF8B95A" w:rsidR="002B1E5D" w:rsidRDefault="005F384D" w:rsidP="00C91A0E">
      <w:pPr>
        <w:spacing w:after="160" w:line="360" w:lineRule="auto"/>
        <w:jc w:val="both"/>
      </w:pPr>
      <w:r>
        <w:rPr>
          <w:rFonts w:eastAsia="Arial"/>
        </w:rPr>
        <w:t xml:space="preserve">Where the analysis is less flattering is around cost structure. The premium positioning that gives Tata Starbucks its advantage in experience and quality also means the business does not compete well on the basis of resource efficiency or </w:t>
      </w:r>
      <w:proofErr w:type="gramStart"/>
      <w:r>
        <w:rPr>
          <w:rFonts w:eastAsia="Arial"/>
        </w:rPr>
        <w:t>low cost</w:t>
      </w:r>
      <w:proofErr w:type="gramEnd"/>
      <w:r>
        <w:rPr>
          <w:rFonts w:eastAsia="Arial"/>
        </w:rPr>
        <w:t xml:space="preserve"> operation, which is a genuine weakness relative to leaner, value focused competitors. In VRIO terms, cost efficiency is not currently a source of competitive advantage for this brand, and I do not think it should try to become one, since chasing cost leadership would undermine the very positioning that makes the rest of the resource base valuable in the first place.</w:t>
      </w:r>
    </w:p>
    <w:p w14:paraId="222840D8" w14:textId="404F716B" w:rsidR="00C91A0E" w:rsidRDefault="00C91A0E" w:rsidP="00C91A0E">
      <w:pPr>
        <w:pStyle w:val="Caption"/>
        <w:keepNext/>
      </w:pPr>
      <w:bookmarkStart w:id="7" w:name="_Toc237380083"/>
      <w:r>
        <w:t xml:space="preserve">Table </w:t>
      </w:r>
      <w:fldSimple w:instr=" SEQ Table \* ARABIC ">
        <w:r>
          <w:rPr>
            <w:noProof/>
          </w:rPr>
          <w:t>2</w:t>
        </w:r>
      </w:fldSimple>
      <w:r w:rsidRPr="00313183">
        <w:t>: VRIO analysis of Tata Starbucks' key resources and capabilities</w:t>
      </w:r>
      <w:bookmarkEnd w:id="7"/>
    </w:p>
    <w:tbl>
      <w:tblPr>
        <w:tblStyle w:val="TableGrid"/>
        <w:tblW w:w="0" w:type="auto"/>
        <w:jc w:val="center"/>
        <w:tblLayout w:type="fixed"/>
        <w:tblLook w:val="04A0" w:firstRow="1" w:lastRow="0" w:firstColumn="1" w:lastColumn="0" w:noHBand="0" w:noVBand="1"/>
      </w:tblPr>
      <w:tblGrid>
        <w:gridCol w:w="2551"/>
        <w:gridCol w:w="964"/>
        <w:gridCol w:w="964"/>
        <w:gridCol w:w="1361"/>
        <w:gridCol w:w="1134"/>
        <w:gridCol w:w="2098"/>
      </w:tblGrid>
      <w:tr w:rsidR="002B1E5D" w14:paraId="6A7054C2" w14:textId="77777777" w:rsidTr="00C91A0E">
        <w:trPr>
          <w:jc w:val="center"/>
        </w:trPr>
        <w:tc>
          <w:tcPr>
            <w:tcW w:w="2551" w:type="dxa"/>
          </w:tcPr>
          <w:p w14:paraId="011C5E4D" w14:textId="77777777" w:rsidR="002B1E5D" w:rsidRDefault="005F384D">
            <w:pPr>
              <w:spacing w:after="40" w:line="276" w:lineRule="auto"/>
              <w:jc w:val="center"/>
            </w:pPr>
            <w:r>
              <w:rPr>
                <w:rFonts w:eastAsia="Arial"/>
                <w:b/>
                <w:sz w:val="22"/>
              </w:rPr>
              <w:t>Resource or Capability</w:t>
            </w:r>
          </w:p>
        </w:tc>
        <w:tc>
          <w:tcPr>
            <w:tcW w:w="964" w:type="dxa"/>
          </w:tcPr>
          <w:p w14:paraId="385A5D74" w14:textId="77777777" w:rsidR="002B1E5D" w:rsidRDefault="005F384D">
            <w:pPr>
              <w:spacing w:after="40" w:line="276" w:lineRule="auto"/>
              <w:jc w:val="center"/>
            </w:pPr>
            <w:r>
              <w:rPr>
                <w:rFonts w:eastAsia="Arial"/>
                <w:b/>
                <w:sz w:val="22"/>
              </w:rPr>
              <w:t>Valuable</w:t>
            </w:r>
          </w:p>
        </w:tc>
        <w:tc>
          <w:tcPr>
            <w:tcW w:w="964" w:type="dxa"/>
          </w:tcPr>
          <w:p w14:paraId="7DC00ECB" w14:textId="77777777" w:rsidR="002B1E5D" w:rsidRDefault="005F384D">
            <w:pPr>
              <w:spacing w:after="40" w:line="276" w:lineRule="auto"/>
              <w:jc w:val="center"/>
            </w:pPr>
            <w:r>
              <w:rPr>
                <w:rFonts w:eastAsia="Arial"/>
                <w:b/>
                <w:sz w:val="22"/>
              </w:rPr>
              <w:t>Rare</w:t>
            </w:r>
          </w:p>
        </w:tc>
        <w:tc>
          <w:tcPr>
            <w:tcW w:w="1361" w:type="dxa"/>
          </w:tcPr>
          <w:p w14:paraId="4C047D61" w14:textId="77777777" w:rsidR="002B1E5D" w:rsidRDefault="005F384D">
            <w:pPr>
              <w:spacing w:after="40" w:line="276" w:lineRule="auto"/>
              <w:jc w:val="center"/>
            </w:pPr>
            <w:r>
              <w:rPr>
                <w:rFonts w:eastAsia="Arial"/>
                <w:b/>
                <w:sz w:val="22"/>
              </w:rPr>
              <w:t>Costly to Imitate</w:t>
            </w:r>
          </w:p>
        </w:tc>
        <w:tc>
          <w:tcPr>
            <w:tcW w:w="1134" w:type="dxa"/>
          </w:tcPr>
          <w:p w14:paraId="634AC0FC" w14:textId="77777777" w:rsidR="002B1E5D" w:rsidRDefault="005F384D">
            <w:pPr>
              <w:spacing w:after="40" w:line="276" w:lineRule="auto"/>
              <w:jc w:val="center"/>
            </w:pPr>
            <w:proofErr w:type="spellStart"/>
            <w:r>
              <w:rPr>
                <w:rFonts w:eastAsia="Arial"/>
                <w:b/>
                <w:sz w:val="22"/>
              </w:rPr>
              <w:t>Organised</w:t>
            </w:r>
            <w:proofErr w:type="spellEnd"/>
          </w:p>
        </w:tc>
        <w:tc>
          <w:tcPr>
            <w:tcW w:w="2098" w:type="dxa"/>
          </w:tcPr>
          <w:p w14:paraId="45DA8014" w14:textId="77777777" w:rsidR="002B1E5D" w:rsidRDefault="005F384D">
            <w:pPr>
              <w:spacing w:after="40" w:line="276" w:lineRule="auto"/>
              <w:jc w:val="center"/>
            </w:pPr>
            <w:r>
              <w:rPr>
                <w:rFonts w:eastAsia="Arial"/>
                <w:b/>
                <w:sz w:val="22"/>
              </w:rPr>
              <w:t>Competitive Implication</w:t>
            </w:r>
          </w:p>
        </w:tc>
      </w:tr>
      <w:tr w:rsidR="002B1E5D" w14:paraId="263D5B52" w14:textId="77777777" w:rsidTr="00C91A0E">
        <w:trPr>
          <w:jc w:val="center"/>
        </w:trPr>
        <w:tc>
          <w:tcPr>
            <w:tcW w:w="2551" w:type="dxa"/>
          </w:tcPr>
          <w:p w14:paraId="727079FB" w14:textId="77777777" w:rsidR="002B1E5D" w:rsidRDefault="005F384D">
            <w:pPr>
              <w:spacing w:after="40" w:line="276" w:lineRule="auto"/>
            </w:pPr>
            <w:r>
              <w:rPr>
                <w:rFonts w:eastAsia="Arial"/>
                <w:sz w:val="22"/>
              </w:rPr>
              <w:t>Global brand combined with local adaptation</w:t>
            </w:r>
          </w:p>
        </w:tc>
        <w:tc>
          <w:tcPr>
            <w:tcW w:w="964" w:type="dxa"/>
          </w:tcPr>
          <w:p w14:paraId="6004746A" w14:textId="77777777" w:rsidR="002B1E5D" w:rsidRDefault="005F384D">
            <w:pPr>
              <w:spacing w:after="40" w:line="276" w:lineRule="auto"/>
            </w:pPr>
            <w:r>
              <w:rPr>
                <w:rFonts w:eastAsia="Arial"/>
                <w:sz w:val="22"/>
              </w:rPr>
              <w:t>Yes</w:t>
            </w:r>
          </w:p>
        </w:tc>
        <w:tc>
          <w:tcPr>
            <w:tcW w:w="964" w:type="dxa"/>
          </w:tcPr>
          <w:p w14:paraId="25F2E572" w14:textId="77777777" w:rsidR="002B1E5D" w:rsidRDefault="005F384D">
            <w:pPr>
              <w:spacing w:after="40" w:line="276" w:lineRule="auto"/>
            </w:pPr>
            <w:r>
              <w:rPr>
                <w:rFonts w:eastAsia="Arial"/>
                <w:sz w:val="22"/>
              </w:rPr>
              <w:t>Yes</w:t>
            </w:r>
          </w:p>
        </w:tc>
        <w:tc>
          <w:tcPr>
            <w:tcW w:w="1361" w:type="dxa"/>
          </w:tcPr>
          <w:p w14:paraId="7258FF35" w14:textId="77777777" w:rsidR="002B1E5D" w:rsidRDefault="005F384D">
            <w:pPr>
              <w:spacing w:after="40" w:line="276" w:lineRule="auto"/>
            </w:pPr>
            <w:r>
              <w:rPr>
                <w:rFonts w:eastAsia="Arial"/>
                <w:sz w:val="22"/>
              </w:rPr>
              <w:t>Yes</w:t>
            </w:r>
          </w:p>
        </w:tc>
        <w:tc>
          <w:tcPr>
            <w:tcW w:w="1134" w:type="dxa"/>
          </w:tcPr>
          <w:p w14:paraId="5B438851" w14:textId="77777777" w:rsidR="002B1E5D" w:rsidRDefault="005F384D">
            <w:pPr>
              <w:spacing w:after="40" w:line="276" w:lineRule="auto"/>
            </w:pPr>
            <w:r>
              <w:rPr>
                <w:rFonts w:eastAsia="Arial"/>
                <w:sz w:val="22"/>
              </w:rPr>
              <w:t>Yes</w:t>
            </w:r>
          </w:p>
        </w:tc>
        <w:tc>
          <w:tcPr>
            <w:tcW w:w="2098" w:type="dxa"/>
          </w:tcPr>
          <w:p w14:paraId="48D17334" w14:textId="77777777" w:rsidR="002B1E5D" w:rsidRDefault="005F384D">
            <w:pPr>
              <w:spacing w:after="40" w:line="276" w:lineRule="auto"/>
            </w:pPr>
            <w:r>
              <w:rPr>
                <w:rFonts w:eastAsia="Arial"/>
                <w:sz w:val="22"/>
              </w:rPr>
              <w:t>Sustained advantage</w:t>
            </w:r>
          </w:p>
        </w:tc>
      </w:tr>
      <w:tr w:rsidR="002B1E5D" w14:paraId="0B4FCA97" w14:textId="77777777" w:rsidTr="00C91A0E">
        <w:trPr>
          <w:jc w:val="center"/>
        </w:trPr>
        <w:tc>
          <w:tcPr>
            <w:tcW w:w="2551" w:type="dxa"/>
          </w:tcPr>
          <w:p w14:paraId="1AE532EE" w14:textId="77777777" w:rsidR="002B1E5D" w:rsidRDefault="005F384D">
            <w:pPr>
              <w:spacing w:after="40" w:line="276" w:lineRule="auto"/>
            </w:pPr>
            <w:r>
              <w:rPr>
                <w:rFonts w:eastAsia="Arial"/>
                <w:sz w:val="22"/>
              </w:rPr>
              <w:t>Store design and in-store experience</w:t>
            </w:r>
          </w:p>
        </w:tc>
        <w:tc>
          <w:tcPr>
            <w:tcW w:w="964" w:type="dxa"/>
          </w:tcPr>
          <w:p w14:paraId="65DF9BA4" w14:textId="77777777" w:rsidR="002B1E5D" w:rsidRDefault="005F384D">
            <w:pPr>
              <w:spacing w:after="40" w:line="276" w:lineRule="auto"/>
            </w:pPr>
            <w:r>
              <w:rPr>
                <w:rFonts w:eastAsia="Arial"/>
                <w:sz w:val="22"/>
              </w:rPr>
              <w:t>Yes</w:t>
            </w:r>
          </w:p>
        </w:tc>
        <w:tc>
          <w:tcPr>
            <w:tcW w:w="964" w:type="dxa"/>
          </w:tcPr>
          <w:p w14:paraId="4E62D1D9" w14:textId="77777777" w:rsidR="002B1E5D" w:rsidRDefault="005F384D">
            <w:pPr>
              <w:spacing w:after="40" w:line="276" w:lineRule="auto"/>
            </w:pPr>
            <w:r>
              <w:rPr>
                <w:rFonts w:eastAsia="Arial"/>
                <w:sz w:val="22"/>
              </w:rPr>
              <w:t>Moderate</w:t>
            </w:r>
          </w:p>
        </w:tc>
        <w:tc>
          <w:tcPr>
            <w:tcW w:w="1361" w:type="dxa"/>
          </w:tcPr>
          <w:p w14:paraId="4019418E" w14:textId="77777777" w:rsidR="002B1E5D" w:rsidRDefault="005F384D">
            <w:pPr>
              <w:spacing w:after="40" w:line="276" w:lineRule="auto"/>
            </w:pPr>
            <w:r>
              <w:rPr>
                <w:rFonts w:eastAsia="Arial"/>
                <w:sz w:val="22"/>
              </w:rPr>
              <w:t>Moderate</w:t>
            </w:r>
          </w:p>
        </w:tc>
        <w:tc>
          <w:tcPr>
            <w:tcW w:w="1134" w:type="dxa"/>
          </w:tcPr>
          <w:p w14:paraId="23F4C89E" w14:textId="77777777" w:rsidR="002B1E5D" w:rsidRDefault="005F384D">
            <w:pPr>
              <w:spacing w:after="40" w:line="276" w:lineRule="auto"/>
            </w:pPr>
            <w:r>
              <w:rPr>
                <w:rFonts w:eastAsia="Arial"/>
                <w:sz w:val="22"/>
              </w:rPr>
              <w:t>Yes</w:t>
            </w:r>
          </w:p>
        </w:tc>
        <w:tc>
          <w:tcPr>
            <w:tcW w:w="2098" w:type="dxa"/>
          </w:tcPr>
          <w:p w14:paraId="00C11BAF" w14:textId="77777777" w:rsidR="002B1E5D" w:rsidRDefault="005F384D">
            <w:pPr>
              <w:spacing w:after="40" w:line="276" w:lineRule="auto"/>
            </w:pPr>
            <w:r>
              <w:rPr>
                <w:rFonts w:eastAsia="Arial"/>
                <w:sz w:val="22"/>
              </w:rPr>
              <w:t>Temporary advantage</w:t>
            </w:r>
          </w:p>
        </w:tc>
      </w:tr>
      <w:tr w:rsidR="002B1E5D" w14:paraId="6E9E6587" w14:textId="77777777" w:rsidTr="00C91A0E">
        <w:trPr>
          <w:jc w:val="center"/>
        </w:trPr>
        <w:tc>
          <w:tcPr>
            <w:tcW w:w="2551" w:type="dxa"/>
          </w:tcPr>
          <w:p w14:paraId="0F1BB74F" w14:textId="77777777" w:rsidR="002B1E5D" w:rsidRDefault="005F384D">
            <w:pPr>
              <w:spacing w:after="40" w:line="276" w:lineRule="auto"/>
            </w:pPr>
            <w:r>
              <w:rPr>
                <w:rFonts w:eastAsia="Arial"/>
                <w:sz w:val="22"/>
              </w:rPr>
              <w:t>Supply chain and quality control systems</w:t>
            </w:r>
          </w:p>
        </w:tc>
        <w:tc>
          <w:tcPr>
            <w:tcW w:w="964" w:type="dxa"/>
          </w:tcPr>
          <w:p w14:paraId="3554165F" w14:textId="77777777" w:rsidR="002B1E5D" w:rsidRDefault="005F384D">
            <w:pPr>
              <w:spacing w:after="40" w:line="276" w:lineRule="auto"/>
            </w:pPr>
            <w:r>
              <w:rPr>
                <w:rFonts w:eastAsia="Arial"/>
                <w:sz w:val="22"/>
              </w:rPr>
              <w:t>Yes</w:t>
            </w:r>
          </w:p>
        </w:tc>
        <w:tc>
          <w:tcPr>
            <w:tcW w:w="964" w:type="dxa"/>
          </w:tcPr>
          <w:p w14:paraId="75EB1356" w14:textId="77777777" w:rsidR="002B1E5D" w:rsidRDefault="005F384D">
            <w:pPr>
              <w:spacing w:after="40" w:line="276" w:lineRule="auto"/>
            </w:pPr>
            <w:r>
              <w:rPr>
                <w:rFonts w:eastAsia="Arial"/>
                <w:sz w:val="22"/>
              </w:rPr>
              <w:t>Yes</w:t>
            </w:r>
          </w:p>
        </w:tc>
        <w:tc>
          <w:tcPr>
            <w:tcW w:w="1361" w:type="dxa"/>
          </w:tcPr>
          <w:p w14:paraId="5651C41D" w14:textId="77777777" w:rsidR="002B1E5D" w:rsidRDefault="005F384D">
            <w:pPr>
              <w:spacing w:after="40" w:line="276" w:lineRule="auto"/>
            </w:pPr>
            <w:r>
              <w:rPr>
                <w:rFonts w:eastAsia="Arial"/>
                <w:sz w:val="22"/>
              </w:rPr>
              <w:t>Yes</w:t>
            </w:r>
          </w:p>
        </w:tc>
        <w:tc>
          <w:tcPr>
            <w:tcW w:w="1134" w:type="dxa"/>
          </w:tcPr>
          <w:p w14:paraId="19DD6421" w14:textId="77777777" w:rsidR="002B1E5D" w:rsidRDefault="005F384D">
            <w:pPr>
              <w:spacing w:after="40" w:line="276" w:lineRule="auto"/>
            </w:pPr>
            <w:r>
              <w:rPr>
                <w:rFonts w:eastAsia="Arial"/>
                <w:sz w:val="22"/>
              </w:rPr>
              <w:t>Yes</w:t>
            </w:r>
          </w:p>
        </w:tc>
        <w:tc>
          <w:tcPr>
            <w:tcW w:w="2098" w:type="dxa"/>
          </w:tcPr>
          <w:p w14:paraId="5D57066D" w14:textId="77777777" w:rsidR="002B1E5D" w:rsidRDefault="005F384D">
            <w:pPr>
              <w:spacing w:after="40" w:line="276" w:lineRule="auto"/>
            </w:pPr>
            <w:r>
              <w:rPr>
                <w:rFonts w:eastAsia="Arial"/>
                <w:sz w:val="22"/>
              </w:rPr>
              <w:t>Sustained advantage</w:t>
            </w:r>
          </w:p>
        </w:tc>
      </w:tr>
      <w:tr w:rsidR="002B1E5D" w14:paraId="2F2CE11A" w14:textId="77777777" w:rsidTr="00C91A0E">
        <w:trPr>
          <w:jc w:val="center"/>
        </w:trPr>
        <w:tc>
          <w:tcPr>
            <w:tcW w:w="2551" w:type="dxa"/>
          </w:tcPr>
          <w:p w14:paraId="4DA9D564" w14:textId="77777777" w:rsidR="002B1E5D" w:rsidRDefault="005F384D">
            <w:pPr>
              <w:spacing w:after="40" w:line="276" w:lineRule="auto"/>
            </w:pPr>
            <w:r>
              <w:rPr>
                <w:rFonts w:eastAsia="Arial"/>
                <w:sz w:val="22"/>
              </w:rPr>
              <w:t>Low cost, high efficiency operations</w:t>
            </w:r>
          </w:p>
        </w:tc>
        <w:tc>
          <w:tcPr>
            <w:tcW w:w="964" w:type="dxa"/>
          </w:tcPr>
          <w:p w14:paraId="076C4628" w14:textId="77777777" w:rsidR="002B1E5D" w:rsidRDefault="005F384D">
            <w:pPr>
              <w:spacing w:after="40" w:line="276" w:lineRule="auto"/>
            </w:pPr>
            <w:r>
              <w:rPr>
                <w:rFonts w:eastAsia="Arial"/>
                <w:sz w:val="22"/>
              </w:rPr>
              <w:t>No</w:t>
            </w:r>
          </w:p>
        </w:tc>
        <w:tc>
          <w:tcPr>
            <w:tcW w:w="964" w:type="dxa"/>
          </w:tcPr>
          <w:p w14:paraId="5FCC246D" w14:textId="77777777" w:rsidR="002B1E5D" w:rsidRDefault="005F384D">
            <w:pPr>
              <w:spacing w:after="40" w:line="276" w:lineRule="auto"/>
            </w:pPr>
            <w:r>
              <w:rPr>
                <w:rFonts w:eastAsia="Arial"/>
                <w:sz w:val="22"/>
              </w:rPr>
              <w:t>No</w:t>
            </w:r>
          </w:p>
        </w:tc>
        <w:tc>
          <w:tcPr>
            <w:tcW w:w="1361" w:type="dxa"/>
          </w:tcPr>
          <w:p w14:paraId="359E56C5" w14:textId="77777777" w:rsidR="002B1E5D" w:rsidRDefault="005F384D">
            <w:pPr>
              <w:spacing w:after="40" w:line="276" w:lineRule="auto"/>
            </w:pPr>
            <w:r>
              <w:rPr>
                <w:rFonts w:eastAsia="Arial"/>
                <w:sz w:val="22"/>
              </w:rPr>
              <w:t>No</w:t>
            </w:r>
          </w:p>
        </w:tc>
        <w:tc>
          <w:tcPr>
            <w:tcW w:w="1134" w:type="dxa"/>
          </w:tcPr>
          <w:p w14:paraId="16738FFF" w14:textId="77777777" w:rsidR="002B1E5D" w:rsidRDefault="005F384D">
            <w:pPr>
              <w:spacing w:after="40" w:line="276" w:lineRule="auto"/>
            </w:pPr>
            <w:r>
              <w:rPr>
                <w:rFonts w:eastAsia="Arial"/>
                <w:sz w:val="22"/>
              </w:rPr>
              <w:t>No</w:t>
            </w:r>
          </w:p>
        </w:tc>
        <w:tc>
          <w:tcPr>
            <w:tcW w:w="2098" w:type="dxa"/>
          </w:tcPr>
          <w:p w14:paraId="6A67E79A" w14:textId="77777777" w:rsidR="002B1E5D" w:rsidRDefault="005F384D">
            <w:pPr>
              <w:spacing w:after="40" w:line="276" w:lineRule="auto"/>
            </w:pPr>
            <w:r>
              <w:rPr>
                <w:rFonts w:eastAsia="Arial"/>
                <w:sz w:val="22"/>
              </w:rPr>
              <w:t>Competitive disadvantage; not worth pursuing</w:t>
            </w:r>
          </w:p>
        </w:tc>
      </w:tr>
    </w:tbl>
    <w:p w14:paraId="67C47A56" w14:textId="77777777" w:rsidR="002B1E5D" w:rsidRDefault="002B1E5D">
      <w:pPr>
        <w:spacing w:after="40"/>
      </w:pPr>
    </w:p>
    <w:p w14:paraId="7796118D" w14:textId="77777777" w:rsidR="002B1E5D" w:rsidRDefault="005F384D">
      <w:pPr>
        <w:pStyle w:val="Heading2"/>
      </w:pPr>
      <w:bookmarkStart w:id="8" w:name="_Toc237380061"/>
      <w:r>
        <w:rPr>
          <w:rFonts w:ascii="Arial" w:eastAsia="Arial" w:hAnsi="Arial" w:cs="Arial"/>
        </w:rPr>
        <w:lastRenderedPageBreak/>
        <w:t>2.3 SWOT Analysis</w:t>
      </w:r>
      <w:bookmarkEnd w:id="8"/>
    </w:p>
    <w:p w14:paraId="532C4608" w14:textId="77777777" w:rsidR="002B1E5D" w:rsidRDefault="005F384D">
      <w:pPr>
        <w:spacing w:after="160" w:line="360" w:lineRule="auto"/>
        <w:jc w:val="both"/>
      </w:pPr>
      <w:r>
        <w:rPr>
          <w:rFonts w:eastAsia="Arial"/>
        </w:rPr>
        <w:t xml:space="preserve">Bringing the external and internal analysis together through a SWOT framework, following the structured approach set out by Helms and Nixon (2010) and more recently reviewed by </w:t>
      </w:r>
      <w:proofErr w:type="spellStart"/>
      <w:r>
        <w:rPr>
          <w:rFonts w:eastAsia="Arial"/>
        </w:rPr>
        <w:t>Benzaghta</w:t>
      </w:r>
      <w:proofErr w:type="spellEnd"/>
      <w:r>
        <w:rPr>
          <w:rFonts w:eastAsia="Arial"/>
        </w:rPr>
        <w:t xml:space="preserve"> et al. (2021), helps translate the detail above into a picture that is easier to act on. </w:t>
      </w:r>
      <w:proofErr w:type="spellStart"/>
      <w:r>
        <w:rPr>
          <w:rFonts w:eastAsia="Arial"/>
        </w:rPr>
        <w:t>Benzaghta</w:t>
      </w:r>
      <w:proofErr w:type="spellEnd"/>
      <w:r>
        <w:rPr>
          <w:rFonts w:eastAsia="Arial"/>
        </w:rPr>
        <w:t xml:space="preserve"> et al. (2021) also make the point that SWOT is often applied too descriptively, as a list rather than an argument, so I have tried to use it here to connect back explicitly to the PESTEL and VRIO findings rather than restate them from scratch.</w:t>
      </w:r>
    </w:p>
    <w:p w14:paraId="64878BD4" w14:textId="77777777" w:rsidR="002B1E5D" w:rsidRDefault="005F384D">
      <w:pPr>
        <w:spacing w:after="160" w:line="360" w:lineRule="auto"/>
        <w:jc w:val="both"/>
      </w:pPr>
      <w:r>
        <w:rPr>
          <w:rFonts w:eastAsia="Arial"/>
        </w:rPr>
        <w:t>The clearest strength is brand equity combined with operational consistency. Customers know broadly what they are getting, in terms of quality and service, wherever they walk into a store, and that consistency is difficult for smaller or newer competitors to match at scale. A second strength is the quality of the supply chain and sourcing relationships built through the joint venture, which supports both product quality and, increasingly, the credibility of the brand's ethical sourcing claims.</w:t>
      </w:r>
    </w:p>
    <w:p w14:paraId="3F0C2593" w14:textId="77777777" w:rsidR="002B1E5D" w:rsidRDefault="005F384D">
      <w:pPr>
        <w:spacing w:after="160" w:line="360" w:lineRule="auto"/>
        <w:jc w:val="both"/>
      </w:pPr>
      <w:r>
        <w:rPr>
          <w:rFonts w:eastAsia="Arial"/>
        </w:rPr>
        <w:t>The most significant weakness is price. Premium positioning limits the addressable market to consumers who can and will pay more than they would at a local cafe or a cup of tea, which by definition excludes a large share of the Indian population, particularly outside major cities. A second weakness is dependence on some imported equipment and inputs, which exposes the business to currency and import policy risk that domestic competitors do not face in the same way.</w:t>
      </w:r>
    </w:p>
    <w:p w14:paraId="500A3EE9" w14:textId="77777777" w:rsidR="002B1E5D" w:rsidRDefault="005F384D">
      <w:pPr>
        <w:spacing w:after="160" w:line="360" w:lineRule="auto"/>
        <w:jc w:val="both"/>
      </w:pPr>
      <w:r>
        <w:rPr>
          <w:rFonts w:eastAsia="Arial"/>
        </w:rPr>
        <w:t>On the opportunity side, expansion into tier two and tier three Indian cities stands out as the most concrete growth avenue, as rising incomes bring more consumers within reach of premium pricing in places the brand has not yet fully penetrated. Growing demand for delivery and mobile ordering is a second opportunity, since it lets the business capture occasions that would otherwise be lost to convenience focused competitors, without requiring a new store footprint.</w:t>
      </w:r>
    </w:p>
    <w:p w14:paraId="3BF22DC3" w14:textId="32E6216A" w:rsidR="002B1E5D" w:rsidRDefault="005F384D" w:rsidP="00C91A0E">
      <w:pPr>
        <w:spacing w:after="160" w:line="360" w:lineRule="auto"/>
        <w:jc w:val="both"/>
      </w:pPr>
      <w:r>
        <w:rPr>
          <w:rFonts w:eastAsia="Arial"/>
        </w:rPr>
        <w:t xml:space="preserve">The threats are equally clear. Local, lower cost competitors are expanding quickly and, in some cases, offering a comparable in-store experience at a lower price point, which puts direct pressure on the differentiation Tata Starbucks relies on. Changing consumer tastes, whether that means a swing back toward traditional beverages or simply fatigue with a format that has now been present in India for over a decade, represent a </w:t>
      </w:r>
      <w:proofErr w:type="gramStart"/>
      <w:r>
        <w:rPr>
          <w:rFonts w:eastAsia="Arial"/>
        </w:rPr>
        <w:t>longer term</w:t>
      </w:r>
      <w:proofErr w:type="gramEnd"/>
      <w:r>
        <w:rPr>
          <w:rFonts w:eastAsia="Arial"/>
        </w:rPr>
        <w:t xml:space="preserve"> risk that cannot be ignored just because current growth looks healthy.</w:t>
      </w:r>
    </w:p>
    <w:p w14:paraId="5ACDCE5C" w14:textId="545A588D" w:rsidR="00C91A0E" w:rsidRDefault="00C91A0E" w:rsidP="00C91A0E">
      <w:pPr>
        <w:pStyle w:val="Caption"/>
        <w:keepNext/>
      </w:pPr>
      <w:bookmarkStart w:id="9" w:name="_Toc237380084"/>
      <w:r>
        <w:lastRenderedPageBreak/>
        <w:t xml:space="preserve">Table </w:t>
      </w:r>
      <w:fldSimple w:instr=" SEQ Table \* ARABIC ">
        <w:r>
          <w:rPr>
            <w:noProof/>
          </w:rPr>
          <w:t>3</w:t>
        </w:r>
      </w:fldSimple>
      <w:r w:rsidRPr="00014237">
        <w:t>: SWOT matrix for Tata Starbucks in India</w:t>
      </w:r>
      <w:bookmarkEnd w:id="9"/>
    </w:p>
    <w:tbl>
      <w:tblPr>
        <w:tblStyle w:val="TableGrid"/>
        <w:tblW w:w="0" w:type="auto"/>
        <w:jc w:val="center"/>
        <w:tblLayout w:type="fixed"/>
        <w:tblLook w:val="04A0" w:firstRow="1" w:lastRow="0" w:firstColumn="1" w:lastColumn="0" w:noHBand="0" w:noVBand="1"/>
      </w:tblPr>
      <w:tblGrid>
        <w:gridCol w:w="4535"/>
        <w:gridCol w:w="4535"/>
      </w:tblGrid>
      <w:tr w:rsidR="002B1E5D" w14:paraId="3864328B" w14:textId="77777777">
        <w:trPr>
          <w:jc w:val="center"/>
        </w:trPr>
        <w:tc>
          <w:tcPr>
            <w:tcW w:w="4535" w:type="dxa"/>
            <w:shd w:val="clear" w:color="auto" w:fill="D9D9D9"/>
          </w:tcPr>
          <w:p w14:paraId="54D2727F" w14:textId="77777777" w:rsidR="002B1E5D" w:rsidRDefault="005F384D">
            <w:pPr>
              <w:spacing w:after="40" w:line="276" w:lineRule="auto"/>
              <w:jc w:val="center"/>
            </w:pPr>
            <w:r>
              <w:rPr>
                <w:rFonts w:eastAsia="Arial"/>
                <w:b/>
                <w:sz w:val="22"/>
              </w:rPr>
              <w:t>Strengths</w:t>
            </w:r>
          </w:p>
        </w:tc>
        <w:tc>
          <w:tcPr>
            <w:tcW w:w="4535" w:type="dxa"/>
            <w:shd w:val="clear" w:color="auto" w:fill="D9D9D9"/>
          </w:tcPr>
          <w:p w14:paraId="287F581E" w14:textId="77777777" w:rsidR="002B1E5D" w:rsidRDefault="005F384D">
            <w:pPr>
              <w:spacing w:after="40" w:line="276" w:lineRule="auto"/>
              <w:jc w:val="center"/>
            </w:pPr>
            <w:r>
              <w:rPr>
                <w:rFonts w:eastAsia="Arial"/>
                <w:b/>
                <w:sz w:val="22"/>
              </w:rPr>
              <w:t>Weaknesses</w:t>
            </w:r>
          </w:p>
        </w:tc>
      </w:tr>
      <w:tr w:rsidR="002B1E5D" w14:paraId="7E8D0BF5" w14:textId="77777777">
        <w:trPr>
          <w:jc w:val="center"/>
        </w:trPr>
        <w:tc>
          <w:tcPr>
            <w:tcW w:w="4535" w:type="dxa"/>
          </w:tcPr>
          <w:p w14:paraId="76F3C873" w14:textId="77777777" w:rsidR="002B1E5D" w:rsidRDefault="005F384D">
            <w:pPr>
              <w:spacing w:after="40" w:line="276" w:lineRule="auto"/>
            </w:pPr>
            <w:r>
              <w:rPr>
                <w:rFonts w:eastAsia="Arial"/>
                <w:sz w:val="22"/>
              </w:rPr>
              <w:t>Brand equity and consistent execution across a company owned network</w:t>
            </w:r>
          </w:p>
          <w:p w14:paraId="015DC856" w14:textId="77777777" w:rsidR="002B1E5D" w:rsidRDefault="005F384D">
            <w:pPr>
              <w:spacing w:after="40" w:line="276" w:lineRule="auto"/>
            </w:pPr>
            <w:r>
              <w:rPr>
                <w:rFonts w:eastAsia="Arial"/>
                <w:sz w:val="22"/>
              </w:rPr>
              <w:t>Quality supply chain and sourcing relationships built through the joint venture</w:t>
            </w:r>
          </w:p>
        </w:tc>
        <w:tc>
          <w:tcPr>
            <w:tcW w:w="4535" w:type="dxa"/>
          </w:tcPr>
          <w:p w14:paraId="05DB35BB" w14:textId="77777777" w:rsidR="002B1E5D" w:rsidRDefault="005F384D">
            <w:pPr>
              <w:spacing w:after="40" w:line="276" w:lineRule="auto"/>
            </w:pPr>
            <w:r>
              <w:rPr>
                <w:rFonts w:eastAsia="Arial"/>
                <w:sz w:val="22"/>
              </w:rPr>
              <w:t>Premium pricing excludes a large share of price sensitive consumers</w:t>
            </w:r>
          </w:p>
          <w:p w14:paraId="45A8FA09" w14:textId="77777777" w:rsidR="002B1E5D" w:rsidRDefault="005F384D">
            <w:pPr>
              <w:spacing w:after="40" w:line="276" w:lineRule="auto"/>
            </w:pPr>
            <w:r>
              <w:rPr>
                <w:rFonts w:eastAsia="Arial"/>
                <w:sz w:val="22"/>
              </w:rPr>
              <w:t>Dependence on some imported equipment and inputs</w:t>
            </w:r>
          </w:p>
        </w:tc>
      </w:tr>
    </w:tbl>
    <w:p w14:paraId="0410AB0C" w14:textId="77777777" w:rsidR="002B1E5D" w:rsidRDefault="002B1E5D">
      <w:pPr>
        <w:spacing w:after="40"/>
      </w:pPr>
    </w:p>
    <w:tbl>
      <w:tblPr>
        <w:tblStyle w:val="TableGrid"/>
        <w:tblW w:w="0" w:type="auto"/>
        <w:jc w:val="center"/>
        <w:tblLayout w:type="fixed"/>
        <w:tblLook w:val="04A0" w:firstRow="1" w:lastRow="0" w:firstColumn="1" w:lastColumn="0" w:noHBand="0" w:noVBand="1"/>
      </w:tblPr>
      <w:tblGrid>
        <w:gridCol w:w="4535"/>
        <w:gridCol w:w="4535"/>
      </w:tblGrid>
      <w:tr w:rsidR="002B1E5D" w14:paraId="13AB5835" w14:textId="77777777">
        <w:trPr>
          <w:jc w:val="center"/>
        </w:trPr>
        <w:tc>
          <w:tcPr>
            <w:tcW w:w="4535" w:type="dxa"/>
            <w:shd w:val="clear" w:color="auto" w:fill="D9D9D9"/>
          </w:tcPr>
          <w:p w14:paraId="0E7E9459" w14:textId="77777777" w:rsidR="002B1E5D" w:rsidRDefault="005F384D">
            <w:pPr>
              <w:spacing w:after="40" w:line="276" w:lineRule="auto"/>
              <w:jc w:val="center"/>
            </w:pPr>
            <w:r>
              <w:rPr>
                <w:rFonts w:eastAsia="Arial"/>
                <w:b/>
                <w:sz w:val="22"/>
              </w:rPr>
              <w:t>Opportunities</w:t>
            </w:r>
          </w:p>
        </w:tc>
        <w:tc>
          <w:tcPr>
            <w:tcW w:w="4535" w:type="dxa"/>
            <w:shd w:val="clear" w:color="auto" w:fill="D9D9D9"/>
          </w:tcPr>
          <w:p w14:paraId="290DDB85" w14:textId="77777777" w:rsidR="002B1E5D" w:rsidRDefault="005F384D">
            <w:pPr>
              <w:spacing w:after="40" w:line="276" w:lineRule="auto"/>
              <w:jc w:val="center"/>
            </w:pPr>
            <w:r>
              <w:rPr>
                <w:rFonts w:eastAsia="Arial"/>
                <w:b/>
                <w:sz w:val="22"/>
              </w:rPr>
              <w:t>Threats</w:t>
            </w:r>
          </w:p>
        </w:tc>
      </w:tr>
      <w:tr w:rsidR="002B1E5D" w14:paraId="41C4ADCD" w14:textId="77777777">
        <w:trPr>
          <w:jc w:val="center"/>
        </w:trPr>
        <w:tc>
          <w:tcPr>
            <w:tcW w:w="4535" w:type="dxa"/>
          </w:tcPr>
          <w:p w14:paraId="2F63A965" w14:textId="77777777" w:rsidR="002B1E5D" w:rsidRDefault="005F384D">
            <w:pPr>
              <w:spacing w:after="40" w:line="276" w:lineRule="auto"/>
            </w:pPr>
            <w:r>
              <w:rPr>
                <w:rFonts w:eastAsia="Arial"/>
                <w:sz w:val="22"/>
              </w:rPr>
              <w:t>Expansion into tier two and tier three Indian cities</w:t>
            </w:r>
          </w:p>
          <w:p w14:paraId="1D664DC0" w14:textId="77777777" w:rsidR="002B1E5D" w:rsidRDefault="005F384D">
            <w:pPr>
              <w:spacing w:after="40" w:line="276" w:lineRule="auto"/>
            </w:pPr>
            <w:r>
              <w:rPr>
                <w:rFonts w:eastAsia="Arial"/>
                <w:sz w:val="22"/>
              </w:rPr>
              <w:t>Growing demand for delivery and mobile ordering</w:t>
            </w:r>
          </w:p>
        </w:tc>
        <w:tc>
          <w:tcPr>
            <w:tcW w:w="4535" w:type="dxa"/>
          </w:tcPr>
          <w:p w14:paraId="78C19238" w14:textId="77777777" w:rsidR="002B1E5D" w:rsidRDefault="005F384D">
            <w:pPr>
              <w:spacing w:after="40" w:line="276" w:lineRule="auto"/>
            </w:pPr>
            <w:r>
              <w:rPr>
                <w:rFonts w:eastAsia="Arial"/>
                <w:sz w:val="22"/>
              </w:rPr>
              <w:t>Local, lower cost competitors closing the experience gap</w:t>
            </w:r>
          </w:p>
          <w:p w14:paraId="35135585" w14:textId="77777777" w:rsidR="002B1E5D" w:rsidRDefault="005F384D">
            <w:pPr>
              <w:spacing w:after="40" w:line="276" w:lineRule="auto"/>
            </w:pPr>
            <w:r>
              <w:rPr>
                <w:rFonts w:eastAsia="Arial"/>
                <w:sz w:val="22"/>
              </w:rPr>
              <w:t>Changing consumer tastes and format fatigue over time</w:t>
            </w:r>
          </w:p>
        </w:tc>
      </w:tr>
    </w:tbl>
    <w:p w14:paraId="314C6D30" w14:textId="77777777" w:rsidR="002B1E5D" w:rsidRDefault="002B1E5D">
      <w:pPr>
        <w:spacing w:after="40"/>
      </w:pPr>
    </w:p>
    <w:p w14:paraId="5C058A80" w14:textId="77777777" w:rsidR="002B1E5D" w:rsidRDefault="005F384D">
      <w:pPr>
        <w:spacing w:after="160" w:line="360" w:lineRule="auto"/>
        <w:jc w:val="both"/>
      </w:pPr>
      <w:r>
        <w:rPr>
          <w:rFonts w:eastAsia="Arial"/>
        </w:rPr>
        <w:t>Taken together, the SWOT points toward a business whose main vulnerability is the very thing that makes it distinctive: a premium position that depends on consumers continuing to value experience and consistency enough to pay for it, in a market where cheaper alternatives are becoming more sophisticated rather than staying basic.</w:t>
      </w:r>
    </w:p>
    <w:p w14:paraId="5B9F35F4" w14:textId="77777777" w:rsidR="002B1E5D" w:rsidRDefault="005F384D">
      <w:pPr>
        <w:spacing w:after="160" w:line="360" w:lineRule="auto"/>
        <w:jc w:val="both"/>
      </w:pPr>
      <w:r>
        <w:rPr>
          <w:rFonts w:eastAsia="Arial"/>
        </w:rPr>
        <w:t xml:space="preserve">Reading the three frameworks together rather than as separate exercises, a fairly consistent picture emerges, </w:t>
      </w:r>
      <w:proofErr w:type="spellStart"/>
      <w:r>
        <w:rPr>
          <w:rFonts w:eastAsia="Arial"/>
        </w:rPr>
        <w:t>summarised</w:t>
      </w:r>
      <w:proofErr w:type="spellEnd"/>
      <w:r>
        <w:rPr>
          <w:rFonts w:eastAsia="Arial"/>
        </w:rPr>
        <w:t xml:space="preserve"> in Table 1 to Table 3 above. The external environment is broadly supportive, with rising incomes, a cultural shift toward cafe going, and a </w:t>
      </w:r>
      <w:proofErr w:type="spellStart"/>
      <w:r>
        <w:rPr>
          <w:rFonts w:eastAsia="Arial"/>
        </w:rPr>
        <w:t>favourable</w:t>
      </w:r>
      <w:proofErr w:type="spellEnd"/>
      <w:r>
        <w:rPr>
          <w:rFonts w:eastAsia="Arial"/>
        </w:rPr>
        <w:t xml:space="preserve"> if uneven policy backdrop, but none of these tailwinds are unique to Tata Starbucks, since every competitor in the segment benefits from them too. What actually separates this business from its rivals sits on the internal side, in the VRIO resources built through the joint venture structure itself, particularly the sourcing and quality control systems that are genuinely hard to copy quickly. The strategic implication is that external conditions explain why the market is attractive, while internal resources explain why Tata Starbucks specifically is well placed to keep winning within it, and any recommendation has to build on that internal strength rather than assume </w:t>
      </w:r>
      <w:proofErr w:type="spellStart"/>
      <w:r>
        <w:rPr>
          <w:rFonts w:eastAsia="Arial"/>
        </w:rPr>
        <w:t>favourable</w:t>
      </w:r>
      <w:proofErr w:type="spellEnd"/>
      <w:r>
        <w:rPr>
          <w:rFonts w:eastAsia="Arial"/>
        </w:rPr>
        <w:t xml:space="preserve"> market conditions alone will be enough.</w:t>
      </w:r>
    </w:p>
    <w:p w14:paraId="05E5A93C" w14:textId="77777777" w:rsidR="002B1E5D" w:rsidRDefault="005F384D">
      <w:pPr>
        <w:pStyle w:val="Heading1"/>
      </w:pPr>
      <w:bookmarkStart w:id="10" w:name="_Toc237380062"/>
      <w:r>
        <w:rPr>
          <w:rFonts w:ascii="Arial" w:eastAsia="Arial" w:hAnsi="Arial" w:cs="Arial"/>
        </w:rPr>
        <w:t xml:space="preserve">3. Comprehensive and Holistic View of the </w:t>
      </w:r>
      <w:proofErr w:type="spellStart"/>
      <w:r>
        <w:rPr>
          <w:rFonts w:ascii="Arial" w:eastAsia="Arial" w:hAnsi="Arial" w:cs="Arial"/>
        </w:rPr>
        <w:t>Organisation</w:t>
      </w:r>
      <w:bookmarkEnd w:id="10"/>
      <w:proofErr w:type="spellEnd"/>
    </w:p>
    <w:p w14:paraId="569A233C" w14:textId="77777777" w:rsidR="002B1E5D" w:rsidRDefault="005F384D">
      <w:pPr>
        <w:spacing w:after="160" w:line="360" w:lineRule="auto"/>
        <w:jc w:val="both"/>
      </w:pPr>
      <w:r>
        <w:rPr>
          <w:rFonts w:eastAsia="Arial"/>
        </w:rPr>
        <w:t xml:space="preserve">Having established where the business stands externally and internally, this section steps back to ask a broader question: does Tata Starbucks manage itself in a way that is genuinely joined up, where social responsibility and performance </w:t>
      </w:r>
      <w:r>
        <w:rPr>
          <w:rFonts w:eastAsia="Arial"/>
        </w:rPr>
        <w:lastRenderedPageBreak/>
        <w:t>measurement pull in the same direction as the strategy identified above, or are they run as separate activities that happen to sit under the same brand.</w:t>
      </w:r>
    </w:p>
    <w:p w14:paraId="724696BA" w14:textId="77777777" w:rsidR="002B1E5D" w:rsidRDefault="005F384D">
      <w:pPr>
        <w:pStyle w:val="Heading2"/>
      </w:pPr>
      <w:bookmarkStart w:id="11" w:name="_Toc237380063"/>
      <w:r>
        <w:rPr>
          <w:rFonts w:ascii="Arial" w:eastAsia="Arial" w:hAnsi="Arial" w:cs="Arial"/>
        </w:rPr>
        <w:t>3.1 Corporate Social Responsibility and Strategic Alignment</w:t>
      </w:r>
      <w:bookmarkEnd w:id="11"/>
    </w:p>
    <w:p w14:paraId="191146EC" w14:textId="77777777" w:rsidR="002B1E5D" w:rsidRDefault="005F384D">
      <w:pPr>
        <w:spacing w:after="160" w:line="360" w:lineRule="auto"/>
        <w:jc w:val="both"/>
      </w:pPr>
      <w:r>
        <w:rPr>
          <w:rFonts w:eastAsia="Arial"/>
        </w:rPr>
        <w:t>Corporate social responsibility is not a side project for Tata Starbucks, and treating it as one would actually work against the wider business strategy rather than sit neatly beside it. The literature on CSR strategy makes a similar point more generally: a tension only really appears when responsibility initiatives are managed as separate from commercial decisions, whereas businesses that integrate the two tend to see fewer conflicts between what looks good and what makes money (</w:t>
      </w:r>
      <w:proofErr w:type="spellStart"/>
      <w:r>
        <w:rPr>
          <w:rFonts w:eastAsia="Arial"/>
        </w:rPr>
        <w:t>Siltaloppi</w:t>
      </w:r>
      <w:proofErr w:type="spellEnd"/>
      <w:r>
        <w:rPr>
          <w:rFonts w:eastAsia="Arial"/>
        </w:rPr>
        <w:t>, Rajala and Hietala, 2021).</w:t>
      </w:r>
    </w:p>
    <w:p w14:paraId="46DA8E32" w14:textId="77777777" w:rsidR="002B1E5D" w:rsidRDefault="005F384D">
      <w:pPr>
        <w:spacing w:after="160" w:line="360" w:lineRule="auto"/>
        <w:jc w:val="both"/>
      </w:pPr>
      <w:r>
        <w:rPr>
          <w:rFonts w:eastAsia="Arial"/>
        </w:rPr>
        <w:t xml:space="preserve">The most visible CSR commitment is around ethical coffee sourcing, including support </w:t>
      </w:r>
      <w:proofErr w:type="spellStart"/>
      <w:r>
        <w:rPr>
          <w:rFonts w:eastAsia="Arial"/>
        </w:rPr>
        <w:t>programmes</w:t>
      </w:r>
      <w:proofErr w:type="spellEnd"/>
      <w:r>
        <w:rPr>
          <w:rFonts w:eastAsia="Arial"/>
        </w:rPr>
        <w:t xml:space="preserve"> aimed at the farming communities that supply the beans. This matters strategically for two reasons. Sourcing quality coffee reliably over the long term depends on farmers being able to sustain their livelihoods, so support for growers is really a form of supply chain risk management as much as it is philanthropy. Just as importantly, ethical sourcing is part of what justifies the premium price a customer pays, since the brand's positioning depends on the story behind the product being credible rather than just claimed. Traceability technology, including mobile applications that let sourcing be tracked and verified rather than simply asserted, has become an important part of making that credibility </w:t>
      </w:r>
      <w:proofErr w:type="gramStart"/>
      <w:r>
        <w:rPr>
          <w:rFonts w:eastAsia="Arial"/>
        </w:rPr>
        <w:t>stand</w:t>
      </w:r>
      <w:proofErr w:type="gramEnd"/>
      <w:r>
        <w:rPr>
          <w:rFonts w:eastAsia="Arial"/>
        </w:rPr>
        <w:t xml:space="preserve"> up to scrutiny (Petrillo, Rehman and De Felice, 2025).</w:t>
      </w:r>
    </w:p>
    <w:p w14:paraId="498DF26C" w14:textId="77777777" w:rsidR="002B1E5D" w:rsidRDefault="005F384D">
      <w:pPr>
        <w:spacing w:after="160" w:line="360" w:lineRule="auto"/>
        <w:jc w:val="both"/>
      </w:pPr>
      <w:r>
        <w:rPr>
          <w:rFonts w:eastAsia="Arial"/>
        </w:rPr>
        <w:t>The second major CSR theme is environmental, particularly around cup recycling and reducing single use packaging waste across stores. This is a smaller commitment in scale compared with sourcing, but it speaks directly to the same younger, urban customer base that is driving demand growth in the first place, many of whom expect the brands they pay a premium for to take environmental responsibility seriously rather than treating it as optional.</w:t>
      </w:r>
    </w:p>
    <w:p w14:paraId="659A0667" w14:textId="77777777" w:rsidR="002B1E5D" w:rsidRDefault="005F384D">
      <w:pPr>
        <w:spacing w:after="160" w:line="360" w:lineRule="auto"/>
        <w:jc w:val="both"/>
      </w:pPr>
      <w:r>
        <w:rPr>
          <w:rFonts w:eastAsia="Arial"/>
        </w:rPr>
        <w:t xml:space="preserve">Where I think the alignment between CSR and business strategy is strongest is in how directly these initiatives support brand differentiation. Tata Starbucks is not competing on price, so its CSR story becomes part of what it is actually selling alongside the coffee itself. A cheaper competitor with a weaker ethical sourcing story does not threaten this positioning directly, because the two brands are not really competing for the same reason to purchase. That said, I do not want to overstate the </w:t>
      </w:r>
      <w:r>
        <w:rPr>
          <w:rFonts w:eastAsia="Arial"/>
        </w:rPr>
        <w:lastRenderedPageBreak/>
        <w:t xml:space="preserve">point. Ethical sourcing claims are also becoming table stakes across the premium end of the market rather than a unique differentiator, so the advantage this creates is probably better described as defending the brand's credibility than as a distinct source of competitive edge on its own. Where the alignment could be strengthened further is in communicating these initiatives more visibly in store and through the loyalty </w:t>
      </w:r>
      <w:proofErr w:type="spellStart"/>
      <w:r>
        <w:rPr>
          <w:rFonts w:eastAsia="Arial"/>
        </w:rPr>
        <w:t>programme</w:t>
      </w:r>
      <w:proofErr w:type="spellEnd"/>
      <w:r>
        <w:rPr>
          <w:rFonts w:eastAsia="Arial"/>
        </w:rPr>
        <w:t>, since a strategy that is well executed but poorly communicated captures less commercial value than it should.</w:t>
      </w:r>
    </w:p>
    <w:p w14:paraId="60F49035" w14:textId="77777777" w:rsidR="002B1E5D" w:rsidRDefault="005F384D">
      <w:pPr>
        <w:spacing w:after="160" w:line="360" w:lineRule="auto"/>
        <w:jc w:val="both"/>
      </w:pPr>
      <w:r>
        <w:rPr>
          <w:rFonts w:eastAsia="Arial"/>
        </w:rPr>
        <w:t xml:space="preserve">It is worth pausing on how these two ideas, CSR and performance measurement, actually connect, since treating them as two unrelated subsections would undercut the point of calling this a holistic view in the first place. The clearest link runs through the customer perspective discussed below. Ethical sourcing is not just a cost </w:t>
      </w:r>
      <w:proofErr w:type="spellStart"/>
      <w:r>
        <w:rPr>
          <w:rFonts w:eastAsia="Arial"/>
        </w:rPr>
        <w:t>centre</w:t>
      </w:r>
      <w:proofErr w:type="spellEnd"/>
      <w:r>
        <w:rPr>
          <w:rFonts w:eastAsia="Arial"/>
        </w:rPr>
        <w:t xml:space="preserve"> sitting outside the performance system, it is one of the reasons a loyal, premium paying customer chooses to keep coming back rather than defecting to a cheaper competitor, which means CSR spend should, in principle, show up indirectly in customer retention figures rather than being judged only against its own, separate budget line. Whether Tata Starbucks actually measures that connection internally, I cannot say, since that level of detail sits well beyond what is publicly reported. What I can say is that a scorecard which tracked CSR engagement purely as a compliance cost, rather than linking it to the customer and financial perspectives it plausibly supports, would be missing part of the picture this section is trying to build.</w:t>
      </w:r>
    </w:p>
    <w:p w14:paraId="214D2596" w14:textId="77777777" w:rsidR="002B1E5D" w:rsidRDefault="005F384D">
      <w:pPr>
        <w:pStyle w:val="Heading2"/>
      </w:pPr>
      <w:bookmarkStart w:id="12" w:name="_Toc237380064"/>
      <w:r>
        <w:rPr>
          <w:rFonts w:ascii="Arial" w:eastAsia="Arial" w:hAnsi="Arial" w:cs="Arial"/>
        </w:rPr>
        <w:t>3.2 The Balanced Scorecard</w:t>
      </w:r>
      <w:bookmarkEnd w:id="12"/>
    </w:p>
    <w:p w14:paraId="65C97369" w14:textId="246AD188" w:rsidR="002B1E5D" w:rsidRDefault="005F384D" w:rsidP="00C91A0E">
      <w:pPr>
        <w:spacing w:after="160" w:line="360" w:lineRule="auto"/>
        <w:jc w:val="both"/>
      </w:pPr>
      <w:r>
        <w:rPr>
          <w:rFonts w:eastAsia="Arial"/>
        </w:rPr>
        <w:t>The balanced scorecard developed by Kaplan and Norton (1992), and reviewed after two decades of practical use by Hoque (2014), gives a way of judging performance that does not rely purely on financial results, which matters for a business whose competitive advantage is built on experience and brand rather than price. Table 4 sets out how I would apply the four perspectives to Tata Starbucks specifically.</w:t>
      </w:r>
    </w:p>
    <w:p w14:paraId="69BB7A0A" w14:textId="11EBF6E1" w:rsidR="00C91A0E" w:rsidRDefault="00C91A0E" w:rsidP="00C91A0E">
      <w:pPr>
        <w:pStyle w:val="Caption"/>
        <w:keepNext/>
      </w:pPr>
      <w:bookmarkStart w:id="13" w:name="_Toc237380085"/>
      <w:r>
        <w:t xml:space="preserve">Table </w:t>
      </w:r>
      <w:fldSimple w:instr=" SEQ Table \* ARABIC ">
        <w:r>
          <w:rPr>
            <w:noProof/>
          </w:rPr>
          <w:t>4</w:t>
        </w:r>
      </w:fldSimple>
      <w:r w:rsidRPr="002C27FD">
        <w:t>: Proposed balanced scorecard for Tata Starbucks in India</w:t>
      </w:r>
      <w:bookmarkEnd w:id="13"/>
    </w:p>
    <w:tbl>
      <w:tblPr>
        <w:tblStyle w:val="TableGrid"/>
        <w:tblW w:w="0" w:type="auto"/>
        <w:jc w:val="center"/>
        <w:tblLayout w:type="fixed"/>
        <w:tblLook w:val="04A0" w:firstRow="1" w:lastRow="0" w:firstColumn="1" w:lastColumn="0" w:noHBand="0" w:noVBand="1"/>
      </w:tblPr>
      <w:tblGrid>
        <w:gridCol w:w="1814"/>
        <w:gridCol w:w="1814"/>
        <w:gridCol w:w="1871"/>
        <w:gridCol w:w="1587"/>
        <w:gridCol w:w="1984"/>
      </w:tblGrid>
      <w:tr w:rsidR="002B1E5D" w14:paraId="17DCCA29" w14:textId="77777777">
        <w:trPr>
          <w:jc w:val="center"/>
        </w:trPr>
        <w:tc>
          <w:tcPr>
            <w:tcW w:w="1814" w:type="dxa"/>
            <w:shd w:val="clear" w:color="auto" w:fill="D9D9D9"/>
          </w:tcPr>
          <w:p w14:paraId="7C5D5F74" w14:textId="77777777" w:rsidR="002B1E5D" w:rsidRDefault="005F384D">
            <w:pPr>
              <w:spacing w:after="40" w:line="276" w:lineRule="auto"/>
              <w:jc w:val="center"/>
            </w:pPr>
            <w:r>
              <w:rPr>
                <w:rFonts w:eastAsia="Arial"/>
                <w:b/>
                <w:sz w:val="22"/>
              </w:rPr>
              <w:t>Perspective</w:t>
            </w:r>
          </w:p>
        </w:tc>
        <w:tc>
          <w:tcPr>
            <w:tcW w:w="1814" w:type="dxa"/>
            <w:shd w:val="clear" w:color="auto" w:fill="D9D9D9"/>
          </w:tcPr>
          <w:p w14:paraId="2523DCF4" w14:textId="77777777" w:rsidR="002B1E5D" w:rsidRDefault="005F384D">
            <w:pPr>
              <w:spacing w:after="40" w:line="276" w:lineRule="auto"/>
              <w:jc w:val="center"/>
            </w:pPr>
            <w:r>
              <w:rPr>
                <w:rFonts w:eastAsia="Arial"/>
                <w:b/>
                <w:sz w:val="22"/>
              </w:rPr>
              <w:t>Objectives</w:t>
            </w:r>
          </w:p>
        </w:tc>
        <w:tc>
          <w:tcPr>
            <w:tcW w:w="1871" w:type="dxa"/>
            <w:shd w:val="clear" w:color="auto" w:fill="D9D9D9"/>
          </w:tcPr>
          <w:p w14:paraId="6BE04133" w14:textId="77777777" w:rsidR="002B1E5D" w:rsidRDefault="005F384D">
            <w:pPr>
              <w:spacing w:after="40" w:line="276" w:lineRule="auto"/>
              <w:jc w:val="center"/>
            </w:pPr>
            <w:r>
              <w:rPr>
                <w:rFonts w:eastAsia="Arial"/>
                <w:b/>
                <w:sz w:val="22"/>
              </w:rPr>
              <w:t>Key Performance Indicators</w:t>
            </w:r>
          </w:p>
        </w:tc>
        <w:tc>
          <w:tcPr>
            <w:tcW w:w="1587" w:type="dxa"/>
            <w:shd w:val="clear" w:color="auto" w:fill="D9D9D9"/>
          </w:tcPr>
          <w:p w14:paraId="15322316" w14:textId="77777777" w:rsidR="002B1E5D" w:rsidRDefault="005F384D">
            <w:pPr>
              <w:spacing w:after="40" w:line="276" w:lineRule="auto"/>
              <w:jc w:val="center"/>
            </w:pPr>
            <w:r>
              <w:rPr>
                <w:rFonts w:eastAsia="Arial"/>
                <w:b/>
                <w:sz w:val="22"/>
              </w:rPr>
              <w:t>Targets</w:t>
            </w:r>
          </w:p>
        </w:tc>
        <w:tc>
          <w:tcPr>
            <w:tcW w:w="1984" w:type="dxa"/>
            <w:shd w:val="clear" w:color="auto" w:fill="D9D9D9"/>
          </w:tcPr>
          <w:p w14:paraId="3F78C9A6" w14:textId="77777777" w:rsidR="002B1E5D" w:rsidRDefault="005F384D">
            <w:pPr>
              <w:spacing w:after="40" w:line="276" w:lineRule="auto"/>
              <w:jc w:val="center"/>
            </w:pPr>
            <w:r>
              <w:rPr>
                <w:rFonts w:eastAsia="Arial"/>
                <w:b/>
                <w:sz w:val="22"/>
              </w:rPr>
              <w:t>Initiatives</w:t>
            </w:r>
          </w:p>
        </w:tc>
      </w:tr>
      <w:tr w:rsidR="002B1E5D" w14:paraId="52D8D94E" w14:textId="77777777">
        <w:trPr>
          <w:jc w:val="center"/>
        </w:trPr>
        <w:tc>
          <w:tcPr>
            <w:tcW w:w="1814" w:type="dxa"/>
          </w:tcPr>
          <w:p w14:paraId="0C444D1B" w14:textId="77777777" w:rsidR="002B1E5D" w:rsidRDefault="005F384D">
            <w:pPr>
              <w:spacing w:after="40" w:line="276" w:lineRule="auto"/>
            </w:pPr>
            <w:r>
              <w:rPr>
                <w:rFonts w:eastAsia="Arial"/>
                <w:sz w:val="22"/>
              </w:rPr>
              <w:t>Financial</w:t>
            </w:r>
          </w:p>
        </w:tc>
        <w:tc>
          <w:tcPr>
            <w:tcW w:w="1814" w:type="dxa"/>
          </w:tcPr>
          <w:p w14:paraId="334EBFDA" w14:textId="77777777" w:rsidR="002B1E5D" w:rsidRDefault="005F384D">
            <w:pPr>
              <w:spacing w:after="40" w:line="276" w:lineRule="auto"/>
            </w:pPr>
            <w:r>
              <w:rPr>
                <w:rFonts w:eastAsia="Arial"/>
                <w:sz w:val="22"/>
              </w:rPr>
              <w:t xml:space="preserve">Steady, profitable growth rather than discount driven </w:t>
            </w:r>
            <w:r>
              <w:rPr>
                <w:rFonts w:eastAsia="Arial"/>
                <w:sz w:val="22"/>
              </w:rPr>
              <w:lastRenderedPageBreak/>
              <w:t>expansion</w:t>
            </w:r>
          </w:p>
        </w:tc>
        <w:tc>
          <w:tcPr>
            <w:tcW w:w="1871" w:type="dxa"/>
          </w:tcPr>
          <w:p w14:paraId="6F22ED20" w14:textId="77777777" w:rsidR="002B1E5D" w:rsidRDefault="005F384D">
            <w:pPr>
              <w:spacing w:after="40" w:line="276" w:lineRule="auto"/>
            </w:pPr>
            <w:r>
              <w:rPr>
                <w:rFonts w:eastAsia="Arial"/>
                <w:sz w:val="22"/>
              </w:rPr>
              <w:lastRenderedPageBreak/>
              <w:t>Revenue per store; like for like sales growth; store level profitability</w:t>
            </w:r>
          </w:p>
        </w:tc>
        <w:tc>
          <w:tcPr>
            <w:tcW w:w="1587" w:type="dxa"/>
          </w:tcPr>
          <w:p w14:paraId="29EFEA26" w14:textId="77777777" w:rsidR="002B1E5D" w:rsidRDefault="005F384D">
            <w:pPr>
              <w:spacing w:after="40" w:line="276" w:lineRule="auto"/>
            </w:pPr>
            <w:r>
              <w:rPr>
                <w:rFonts w:eastAsia="Arial"/>
                <w:sz w:val="22"/>
              </w:rPr>
              <w:t>Positive like for like growth every quarter in mature stores</w:t>
            </w:r>
          </w:p>
        </w:tc>
        <w:tc>
          <w:tcPr>
            <w:tcW w:w="1984" w:type="dxa"/>
          </w:tcPr>
          <w:p w14:paraId="73F681A7" w14:textId="77777777" w:rsidR="002B1E5D" w:rsidRDefault="005F384D">
            <w:pPr>
              <w:spacing w:after="40" w:line="276" w:lineRule="auto"/>
            </w:pPr>
            <w:r>
              <w:rPr>
                <w:rFonts w:eastAsia="Arial"/>
                <w:sz w:val="22"/>
              </w:rPr>
              <w:t>Data led site selection; phased store approval gated on profitability</w:t>
            </w:r>
          </w:p>
        </w:tc>
      </w:tr>
      <w:tr w:rsidR="002B1E5D" w14:paraId="5960290E" w14:textId="77777777">
        <w:trPr>
          <w:jc w:val="center"/>
        </w:trPr>
        <w:tc>
          <w:tcPr>
            <w:tcW w:w="1814" w:type="dxa"/>
          </w:tcPr>
          <w:p w14:paraId="64156611" w14:textId="77777777" w:rsidR="002B1E5D" w:rsidRDefault="005F384D">
            <w:pPr>
              <w:spacing w:after="40" w:line="276" w:lineRule="auto"/>
            </w:pPr>
            <w:r>
              <w:rPr>
                <w:rFonts w:eastAsia="Arial"/>
                <w:sz w:val="22"/>
              </w:rPr>
              <w:t>Customer</w:t>
            </w:r>
          </w:p>
        </w:tc>
        <w:tc>
          <w:tcPr>
            <w:tcW w:w="1814" w:type="dxa"/>
          </w:tcPr>
          <w:p w14:paraId="23F98720" w14:textId="77777777" w:rsidR="002B1E5D" w:rsidRDefault="005F384D">
            <w:pPr>
              <w:spacing w:after="40" w:line="276" w:lineRule="auto"/>
            </w:pPr>
            <w:r>
              <w:rPr>
                <w:rFonts w:eastAsia="Arial"/>
                <w:sz w:val="22"/>
              </w:rPr>
              <w:t>Deepen loyalty among an already engaged customer base</w:t>
            </w:r>
          </w:p>
        </w:tc>
        <w:tc>
          <w:tcPr>
            <w:tcW w:w="1871" w:type="dxa"/>
          </w:tcPr>
          <w:p w14:paraId="36C18E26" w14:textId="77777777" w:rsidR="002B1E5D" w:rsidRDefault="005F384D">
            <w:pPr>
              <w:spacing w:after="40" w:line="276" w:lineRule="auto"/>
            </w:pPr>
            <w:r>
              <w:rPr>
                <w:rFonts w:eastAsia="Arial"/>
                <w:sz w:val="22"/>
              </w:rPr>
              <w:t>Loyalty membership growth; repeat visit frequency; satisfaction scores</w:t>
            </w:r>
          </w:p>
        </w:tc>
        <w:tc>
          <w:tcPr>
            <w:tcW w:w="1587" w:type="dxa"/>
          </w:tcPr>
          <w:p w14:paraId="3A771222" w14:textId="77777777" w:rsidR="002B1E5D" w:rsidRDefault="005F384D">
            <w:pPr>
              <w:spacing w:after="40" w:line="276" w:lineRule="auto"/>
            </w:pPr>
            <w:r>
              <w:rPr>
                <w:rFonts w:eastAsia="Arial"/>
                <w:sz w:val="22"/>
              </w:rPr>
              <w:t>Rising share of transactions from loyalty members year on year</w:t>
            </w:r>
          </w:p>
        </w:tc>
        <w:tc>
          <w:tcPr>
            <w:tcW w:w="1984" w:type="dxa"/>
          </w:tcPr>
          <w:p w14:paraId="04FF8363" w14:textId="77777777" w:rsidR="002B1E5D" w:rsidRDefault="005F384D">
            <w:pPr>
              <w:spacing w:after="40" w:line="276" w:lineRule="auto"/>
            </w:pPr>
            <w:r>
              <w:rPr>
                <w:rFonts w:eastAsia="Arial"/>
                <w:sz w:val="22"/>
              </w:rPr>
              <w:t xml:space="preserve">Loyalty app improvements; </w:t>
            </w:r>
            <w:proofErr w:type="spellStart"/>
            <w:r>
              <w:rPr>
                <w:rFonts w:eastAsia="Arial"/>
                <w:sz w:val="22"/>
              </w:rPr>
              <w:t>personalised</w:t>
            </w:r>
            <w:proofErr w:type="spellEnd"/>
            <w:r>
              <w:rPr>
                <w:rFonts w:eastAsia="Arial"/>
                <w:sz w:val="22"/>
              </w:rPr>
              <w:t xml:space="preserve"> offers</w:t>
            </w:r>
          </w:p>
        </w:tc>
      </w:tr>
      <w:tr w:rsidR="002B1E5D" w14:paraId="1FDFBEF0" w14:textId="77777777">
        <w:trPr>
          <w:jc w:val="center"/>
        </w:trPr>
        <w:tc>
          <w:tcPr>
            <w:tcW w:w="1814" w:type="dxa"/>
          </w:tcPr>
          <w:p w14:paraId="5913F1D9" w14:textId="77777777" w:rsidR="002B1E5D" w:rsidRDefault="005F384D">
            <w:pPr>
              <w:spacing w:after="40" w:line="276" w:lineRule="auto"/>
            </w:pPr>
            <w:r>
              <w:rPr>
                <w:rFonts w:eastAsia="Arial"/>
                <w:sz w:val="22"/>
              </w:rPr>
              <w:t>Internal Process</w:t>
            </w:r>
          </w:p>
        </w:tc>
        <w:tc>
          <w:tcPr>
            <w:tcW w:w="1814" w:type="dxa"/>
          </w:tcPr>
          <w:p w14:paraId="6D320405" w14:textId="77777777" w:rsidR="002B1E5D" w:rsidRDefault="005F384D">
            <w:pPr>
              <w:spacing w:after="40" w:line="276" w:lineRule="auto"/>
            </w:pPr>
            <w:r>
              <w:rPr>
                <w:rFonts w:eastAsia="Arial"/>
                <w:sz w:val="22"/>
              </w:rPr>
              <w:t>Deliver a consistent experience regardless of location</w:t>
            </w:r>
          </w:p>
        </w:tc>
        <w:tc>
          <w:tcPr>
            <w:tcW w:w="1871" w:type="dxa"/>
          </w:tcPr>
          <w:p w14:paraId="32D12D20" w14:textId="77777777" w:rsidR="002B1E5D" w:rsidRDefault="005F384D">
            <w:pPr>
              <w:spacing w:after="40" w:line="276" w:lineRule="auto"/>
            </w:pPr>
            <w:r>
              <w:rPr>
                <w:rFonts w:eastAsia="Arial"/>
                <w:sz w:val="22"/>
              </w:rPr>
              <w:t>Preparation and quality audit scores; on-time supply deliveries; store opening success rate</w:t>
            </w:r>
          </w:p>
        </w:tc>
        <w:tc>
          <w:tcPr>
            <w:tcW w:w="1587" w:type="dxa"/>
          </w:tcPr>
          <w:p w14:paraId="1DBD0177" w14:textId="77777777" w:rsidR="002B1E5D" w:rsidRDefault="005F384D">
            <w:pPr>
              <w:spacing w:after="40" w:line="276" w:lineRule="auto"/>
            </w:pPr>
            <w:r>
              <w:rPr>
                <w:rFonts w:eastAsia="Arial"/>
                <w:sz w:val="22"/>
              </w:rPr>
              <w:t>Consistent audit scores across the network within a narrow range</w:t>
            </w:r>
          </w:p>
        </w:tc>
        <w:tc>
          <w:tcPr>
            <w:tcW w:w="1984" w:type="dxa"/>
          </w:tcPr>
          <w:p w14:paraId="76EDE7BA" w14:textId="77777777" w:rsidR="002B1E5D" w:rsidRDefault="005F384D">
            <w:pPr>
              <w:spacing w:after="40" w:line="276" w:lineRule="auto"/>
            </w:pPr>
            <w:r>
              <w:rPr>
                <w:rFonts w:eastAsia="Arial"/>
                <w:sz w:val="22"/>
              </w:rPr>
              <w:t>Standard operating procedures; ongoing staff training</w:t>
            </w:r>
          </w:p>
        </w:tc>
      </w:tr>
      <w:tr w:rsidR="002B1E5D" w14:paraId="0FE46016" w14:textId="77777777">
        <w:trPr>
          <w:jc w:val="center"/>
        </w:trPr>
        <w:tc>
          <w:tcPr>
            <w:tcW w:w="1814" w:type="dxa"/>
          </w:tcPr>
          <w:p w14:paraId="65ACB41C" w14:textId="77777777" w:rsidR="002B1E5D" w:rsidRDefault="005F384D">
            <w:pPr>
              <w:spacing w:after="40" w:line="276" w:lineRule="auto"/>
            </w:pPr>
            <w:r>
              <w:rPr>
                <w:rFonts w:eastAsia="Arial"/>
                <w:sz w:val="22"/>
              </w:rPr>
              <w:t>Learning and Growth</w:t>
            </w:r>
          </w:p>
        </w:tc>
        <w:tc>
          <w:tcPr>
            <w:tcW w:w="1814" w:type="dxa"/>
          </w:tcPr>
          <w:p w14:paraId="2D86757B" w14:textId="77777777" w:rsidR="002B1E5D" w:rsidRDefault="005F384D">
            <w:pPr>
              <w:spacing w:after="40" w:line="276" w:lineRule="auto"/>
            </w:pPr>
            <w:r>
              <w:rPr>
                <w:rFonts w:eastAsia="Arial"/>
                <w:sz w:val="22"/>
              </w:rPr>
              <w:t>Build the workforce capability the brand depends on</w:t>
            </w:r>
          </w:p>
        </w:tc>
        <w:tc>
          <w:tcPr>
            <w:tcW w:w="1871" w:type="dxa"/>
          </w:tcPr>
          <w:p w14:paraId="1A55CB53" w14:textId="77777777" w:rsidR="002B1E5D" w:rsidRDefault="005F384D">
            <w:pPr>
              <w:spacing w:after="40" w:line="276" w:lineRule="auto"/>
            </w:pPr>
            <w:r>
              <w:rPr>
                <w:rFonts w:eastAsia="Arial"/>
                <w:sz w:val="22"/>
              </w:rPr>
              <w:t>Training completion; staff retention; internal promotion rate</w:t>
            </w:r>
          </w:p>
        </w:tc>
        <w:tc>
          <w:tcPr>
            <w:tcW w:w="1587" w:type="dxa"/>
          </w:tcPr>
          <w:p w14:paraId="6865E83F" w14:textId="77777777" w:rsidR="002B1E5D" w:rsidRDefault="005F384D">
            <w:pPr>
              <w:spacing w:after="40" w:line="276" w:lineRule="auto"/>
            </w:pPr>
            <w:r>
              <w:rPr>
                <w:rFonts w:eastAsia="Arial"/>
                <w:sz w:val="22"/>
              </w:rPr>
              <w:t>Improving retention and promotion rates year on year</w:t>
            </w:r>
          </w:p>
        </w:tc>
        <w:tc>
          <w:tcPr>
            <w:tcW w:w="1984" w:type="dxa"/>
          </w:tcPr>
          <w:p w14:paraId="288BA276" w14:textId="77777777" w:rsidR="002B1E5D" w:rsidRDefault="005F384D">
            <w:pPr>
              <w:spacing w:after="40" w:line="276" w:lineRule="auto"/>
            </w:pPr>
            <w:r>
              <w:rPr>
                <w:rFonts w:eastAsia="Arial"/>
                <w:sz w:val="22"/>
              </w:rPr>
              <w:t>Structured career paths; barista training investment</w:t>
            </w:r>
          </w:p>
        </w:tc>
      </w:tr>
    </w:tbl>
    <w:p w14:paraId="4746EFF4" w14:textId="77777777" w:rsidR="002B1E5D" w:rsidRDefault="002B1E5D">
      <w:pPr>
        <w:spacing w:after="40"/>
      </w:pPr>
    </w:p>
    <w:p w14:paraId="077033D1" w14:textId="77777777" w:rsidR="002B1E5D" w:rsidRDefault="005F384D">
      <w:pPr>
        <w:spacing w:after="160" w:line="360" w:lineRule="auto"/>
        <w:jc w:val="both"/>
      </w:pPr>
      <w:r>
        <w:rPr>
          <w:rFonts w:eastAsia="Arial"/>
        </w:rPr>
        <w:t>Read together, the four perspectives reinforce each other in a fairly direct chain. Well trained, well retained staff support consistent internal processes, consistent processes support customer loyalty, and loyal, high value customers support the sustainable financial performance the business is actually built on. The main risk in using the scorecard well is treating the four perspectives as four separate scorecards rather than one connected system. If the financial perspective is allowed to dominate decision making on its own, for example by pushing store openings faster than the learning and growth perspective can support through trained staff, the whole chain breaks down and the consistency the brand depends on suffers first, well before it shows up in the financial numbers themselves. This is, in my view, the more likely failure mode for a business in growth mode than any single perspective being neglected outright, and it is the reason the implementation section below treats the scorecard as a gate on expansion rather than just a reporting tool.</w:t>
      </w:r>
    </w:p>
    <w:p w14:paraId="76809A09" w14:textId="77777777" w:rsidR="002B1E5D" w:rsidRDefault="005F384D">
      <w:pPr>
        <w:pStyle w:val="Heading1"/>
      </w:pPr>
      <w:bookmarkStart w:id="14" w:name="_Toc237380065"/>
      <w:r>
        <w:rPr>
          <w:rFonts w:ascii="Arial" w:eastAsia="Arial" w:hAnsi="Arial" w:cs="Arial"/>
        </w:rPr>
        <w:t>4. Strategic Choices and Implementation</w:t>
      </w:r>
      <w:bookmarkEnd w:id="14"/>
    </w:p>
    <w:p w14:paraId="3EA2458E" w14:textId="77777777" w:rsidR="002B1E5D" w:rsidRDefault="005F384D">
      <w:pPr>
        <w:spacing w:after="160" w:line="360" w:lineRule="auto"/>
        <w:jc w:val="both"/>
      </w:pPr>
      <w:r>
        <w:rPr>
          <w:rFonts w:eastAsia="Arial"/>
        </w:rPr>
        <w:t>Having assessed where Tata Starbucks currently stands, the next question is what strategic choice actually fits that position best, and how confidently that choice can be implemented in practice.</w:t>
      </w:r>
    </w:p>
    <w:p w14:paraId="72531CD8" w14:textId="77777777" w:rsidR="002B1E5D" w:rsidRDefault="005F384D">
      <w:pPr>
        <w:pStyle w:val="Heading2"/>
      </w:pPr>
      <w:bookmarkStart w:id="15" w:name="_Toc237380066"/>
      <w:r>
        <w:rPr>
          <w:rFonts w:ascii="Arial" w:eastAsia="Arial" w:hAnsi="Arial" w:cs="Arial"/>
        </w:rPr>
        <w:lastRenderedPageBreak/>
        <w:t>4.1 Business Level Strategy</w:t>
      </w:r>
      <w:bookmarkEnd w:id="15"/>
    </w:p>
    <w:p w14:paraId="79867683" w14:textId="77777777" w:rsidR="002B1E5D" w:rsidRDefault="005F384D">
      <w:pPr>
        <w:spacing w:after="160" w:line="360" w:lineRule="auto"/>
        <w:jc w:val="both"/>
      </w:pPr>
      <w:r>
        <w:rPr>
          <w:rFonts w:eastAsia="Arial"/>
        </w:rPr>
        <w:t xml:space="preserve">At the business level, the classic choice is between cost leadership, differentiation and a focus strategy, following the typology examined empirically by Islami, Mustafa and </w:t>
      </w:r>
      <w:proofErr w:type="spellStart"/>
      <w:r>
        <w:rPr>
          <w:rFonts w:eastAsia="Arial"/>
        </w:rPr>
        <w:t>Latkovikj</w:t>
      </w:r>
      <w:proofErr w:type="spellEnd"/>
      <w:r>
        <w:rPr>
          <w:rFonts w:eastAsia="Arial"/>
        </w:rPr>
        <w:t xml:space="preserve"> (2020), whose research suggests that differentiation and cost leadership can each drive strong performance, but rarely both at once within the same business. For Tata Starbucks, differentiation is clearly the right fit, and arguably already the strategy in practice rather than just the theoretically appropriate one. The brand competes on consistency of experience, quality of sourcing and the social value of the space itself, not on being the cheapest cup of coffee available. Attempting to compete on cost would directly undermine the VRIO based advantages identified earlier, particularly the sourcing quality and consistent execution that depend on investment the business would have to cut to compete on price.</w:t>
      </w:r>
    </w:p>
    <w:p w14:paraId="367D7D18" w14:textId="77777777" w:rsidR="002B1E5D" w:rsidRDefault="005F384D">
      <w:pPr>
        <w:pStyle w:val="Heading2"/>
      </w:pPr>
      <w:bookmarkStart w:id="16" w:name="_Toc237380067"/>
      <w:r>
        <w:rPr>
          <w:rFonts w:ascii="Arial" w:eastAsia="Arial" w:hAnsi="Arial" w:cs="Arial"/>
        </w:rPr>
        <w:t>4.2 Validating the Choice with Porter's Five Forces</w:t>
      </w:r>
      <w:bookmarkEnd w:id="16"/>
    </w:p>
    <w:p w14:paraId="1347BE12" w14:textId="04E78798" w:rsidR="002B1E5D" w:rsidRDefault="005F384D" w:rsidP="00C91A0E">
      <w:pPr>
        <w:spacing w:after="160" w:line="360" w:lineRule="auto"/>
        <w:jc w:val="both"/>
      </w:pPr>
      <w:r>
        <w:rPr>
          <w:rFonts w:eastAsia="Arial"/>
        </w:rPr>
        <w:t>Applying Porter's five forces framework (Porter, 1979) helps check whether differentiation genuinely holds up as a defensible strategy rather than just being the strategy the business happens to already be running, and Figure 1 sets out how the five forces currently look for Tata Starbucks.</w:t>
      </w:r>
    </w:p>
    <w:p w14:paraId="54BF94BE" w14:textId="77777777" w:rsidR="00C91A0E" w:rsidRDefault="005F384D" w:rsidP="00C91A0E">
      <w:pPr>
        <w:keepNext/>
        <w:keepLines/>
        <w:jc w:val="center"/>
      </w:pPr>
      <w:r>
        <w:rPr>
          <w:noProof/>
        </w:rPr>
        <w:drawing>
          <wp:inline distT="0" distB="0" distL="0" distR="0" wp14:anchorId="590290D0" wp14:editId="480F82AB">
            <wp:extent cx="5577205" cy="3565892"/>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five_forces.png"/>
                    <pic:cNvPicPr/>
                  </pic:nvPicPr>
                  <pic:blipFill rotWithShape="1">
                    <a:blip r:embed="rId10"/>
                    <a:srcRect t="5987" b="6468"/>
                    <a:stretch>
                      <a:fillRect/>
                    </a:stretch>
                  </pic:blipFill>
                  <pic:spPr bwMode="auto">
                    <a:xfrm>
                      <a:off x="0" y="0"/>
                      <a:ext cx="5577840" cy="3566298"/>
                    </a:xfrm>
                    <a:prstGeom prst="rect">
                      <a:avLst/>
                    </a:prstGeom>
                    <a:ln>
                      <a:noFill/>
                    </a:ln>
                    <a:extLst>
                      <a:ext uri="{53640926-AAD7-44D8-BBD7-CCE9431645EC}">
                        <a14:shadowObscured xmlns:a14="http://schemas.microsoft.com/office/drawing/2010/main"/>
                      </a:ext>
                    </a:extLst>
                  </pic:spPr>
                </pic:pic>
              </a:graphicData>
            </a:graphic>
          </wp:inline>
        </w:drawing>
      </w:r>
    </w:p>
    <w:p w14:paraId="42537528" w14:textId="2496491D" w:rsidR="002B1E5D" w:rsidRDefault="00C91A0E" w:rsidP="00C91A0E">
      <w:pPr>
        <w:pStyle w:val="Caption"/>
        <w:jc w:val="center"/>
      </w:pPr>
      <w:bookmarkStart w:id="17" w:name="_Toc237380079"/>
      <w:r>
        <w:t xml:space="preserve">Figure </w:t>
      </w:r>
      <w:fldSimple w:instr=" SEQ Figure \* ARABIC ">
        <w:r>
          <w:rPr>
            <w:noProof/>
          </w:rPr>
          <w:t>1</w:t>
        </w:r>
      </w:fldSimple>
      <w:r w:rsidRPr="00A25127">
        <w:t>: Porter's five forces applied to Tata Starbucks in the Indian premium coffee segment</w:t>
      </w:r>
      <w:bookmarkEnd w:id="17"/>
    </w:p>
    <w:p w14:paraId="16C2575A" w14:textId="77777777" w:rsidR="002B1E5D" w:rsidRDefault="005F384D">
      <w:pPr>
        <w:spacing w:after="160" w:line="360" w:lineRule="auto"/>
        <w:jc w:val="both"/>
      </w:pPr>
      <w:r>
        <w:rPr>
          <w:rFonts w:eastAsia="Arial"/>
        </w:rPr>
        <w:lastRenderedPageBreak/>
        <w:t xml:space="preserve">Competitive rivalry in the Indian premium coffee segment is intensifying as challengers such as Third Wave Coffee build credible experiences of their own, which raises the pressure on Tata Starbucks to keep innovating rather than resting on brand reputation alone. Supplier power is relatively low given the scale the joint venture can bring to sourcing negotiations, though this could shift if climate related supply pressure on coffee growing regions worsens. Buyer power is moderate to high, since switching costs for the customer are low and nothing stops a regular customer trying a competitor's store next </w:t>
      </w:r>
      <w:proofErr w:type="gramStart"/>
      <w:r>
        <w:rPr>
          <w:rFonts w:eastAsia="Arial"/>
        </w:rPr>
        <w:t>time</w:t>
      </w:r>
      <w:proofErr w:type="gramEnd"/>
      <w:r>
        <w:rPr>
          <w:rFonts w:eastAsia="Arial"/>
        </w:rPr>
        <w:t xml:space="preserve"> they are out. The threat of new entrants is moderate, held back mainly by the cost and time needed to build a comparable supply chain and brand trust rather than by any regulatory barrier. Substitute products, principally home brewed coffee, instant coffee and traditional tea, remain the most persistent competitive pressure of all, since they compete for the same underlying need at a fraction of the price. Overall, the five forces analysis supports differentiation as the sound strategic choice, but it also makes clear that the advantage is not comfortable or permanent, and requires continued investment to defend. The weakest link is buyer power. Low switching costs mean the whole differentiation strategy rests on customers continuing to perceive a real gap in experience, and that is not guaranteed to hold as competitors improve.</w:t>
      </w:r>
    </w:p>
    <w:p w14:paraId="389DC6AD" w14:textId="77777777" w:rsidR="002B1E5D" w:rsidRDefault="005F384D">
      <w:pPr>
        <w:pStyle w:val="Heading2"/>
      </w:pPr>
      <w:bookmarkStart w:id="18" w:name="_Toc237380068"/>
      <w:r>
        <w:rPr>
          <w:rFonts w:ascii="Arial" w:eastAsia="Arial" w:hAnsi="Arial" w:cs="Arial"/>
        </w:rPr>
        <w:t>4.3 Growth Strategy through Ansoff's Matrix</w:t>
      </w:r>
      <w:bookmarkEnd w:id="18"/>
    </w:p>
    <w:p w14:paraId="620BBCFB" w14:textId="0575B946" w:rsidR="002B1E5D" w:rsidRDefault="005F384D" w:rsidP="00C91A0E">
      <w:pPr>
        <w:spacing w:after="160" w:line="360" w:lineRule="auto"/>
        <w:jc w:val="both"/>
      </w:pPr>
      <w:r>
        <w:rPr>
          <w:rFonts w:eastAsia="Arial"/>
        </w:rPr>
        <w:t>For growth direction, Ansoff's matrix (Ansoff, 1957), and its more grounded, practically tested application by Watts, Cope and Hulme (1998), points toward market penetration and market development as the strategies best suited to the current position, rather than diversification, as set out in Figure 2.</w:t>
      </w:r>
    </w:p>
    <w:p w14:paraId="7EEC3E3F" w14:textId="77777777" w:rsidR="00C91A0E" w:rsidRDefault="005F384D" w:rsidP="00C91A0E">
      <w:pPr>
        <w:keepNext/>
        <w:keepLines/>
        <w:jc w:val="center"/>
      </w:pPr>
      <w:r>
        <w:rPr>
          <w:noProof/>
        </w:rPr>
        <w:lastRenderedPageBreak/>
        <w:drawing>
          <wp:inline distT="0" distB="0" distL="0" distR="0" wp14:anchorId="3D69DCB7" wp14:editId="10E7C1EC">
            <wp:extent cx="5120232" cy="3497580"/>
            <wp:effectExtent l="0" t="0" r="444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ansoff_matrix.png"/>
                    <pic:cNvPicPr/>
                  </pic:nvPicPr>
                  <pic:blipFill rotWithShape="1">
                    <a:blip r:embed="rId11"/>
                    <a:srcRect b="9244"/>
                    <a:stretch>
                      <a:fillRect/>
                    </a:stretch>
                  </pic:blipFill>
                  <pic:spPr bwMode="auto">
                    <a:xfrm>
                      <a:off x="0" y="0"/>
                      <a:ext cx="5120640" cy="3497859"/>
                    </a:xfrm>
                    <a:prstGeom prst="rect">
                      <a:avLst/>
                    </a:prstGeom>
                    <a:ln>
                      <a:noFill/>
                    </a:ln>
                    <a:extLst>
                      <a:ext uri="{53640926-AAD7-44D8-BBD7-CCE9431645EC}">
                        <a14:shadowObscured xmlns:a14="http://schemas.microsoft.com/office/drawing/2010/main"/>
                      </a:ext>
                    </a:extLst>
                  </pic:spPr>
                </pic:pic>
              </a:graphicData>
            </a:graphic>
          </wp:inline>
        </w:drawing>
      </w:r>
    </w:p>
    <w:p w14:paraId="775DC74A" w14:textId="0C3C2D96" w:rsidR="002B1E5D" w:rsidRDefault="00C91A0E" w:rsidP="00C91A0E">
      <w:pPr>
        <w:pStyle w:val="Caption"/>
        <w:jc w:val="center"/>
      </w:pPr>
      <w:bookmarkStart w:id="19" w:name="_Toc237380080"/>
      <w:r>
        <w:t xml:space="preserve">Figure </w:t>
      </w:r>
      <w:fldSimple w:instr=" SEQ Figure \* ARABIC ">
        <w:r>
          <w:rPr>
            <w:noProof/>
          </w:rPr>
          <w:t>2</w:t>
        </w:r>
      </w:fldSimple>
      <w:r w:rsidRPr="00C65BE0">
        <w:t>: Ansoff's matrix applied to Tata Starbucks' growth options</w:t>
      </w:r>
      <w:bookmarkEnd w:id="19"/>
    </w:p>
    <w:p w14:paraId="63B3677A" w14:textId="77777777" w:rsidR="002B1E5D" w:rsidRDefault="005F384D">
      <w:pPr>
        <w:spacing w:after="160" w:line="360" w:lineRule="auto"/>
        <w:jc w:val="both"/>
      </w:pPr>
      <w:r>
        <w:rPr>
          <w:rFonts w:eastAsia="Arial"/>
        </w:rPr>
        <w:t xml:space="preserve">Market penetration, deepening loyalty and visit frequency among existing customers in cities where the brand is already established, is the lower risk option and aligns directly with the customer perspective of the balanced scorecard discussed earlier. Market development, expanding into tier two and tier three Indian cities where the brand does not yet have a strong presence but where rising incomes are creating a comparable customer profile, is the higher growth option and the one I would </w:t>
      </w:r>
      <w:proofErr w:type="spellStart"/>
      <w:r>
        <w:rPr>
          <w:rFonts w:eastAsia="Arial"/>
        </w:rPr>
        <w:t>prioritise</w:t>
      </w:r>
      <w:proofErr w:type="spellEnd"/>
      <w:r>
        <w:rPr>
          <w:rFonts w:eastAsia="Arial"/>
        </w:rPr>
        <w:t xml:space="preserve"> as the main strategic thrust over the next several years. Diversification into unrelated product categories would be a mistake at this stage, since it would spread management attention and capital away from the core advantage the business has spent over a decade building, without a clear reason to believe the same advantage would transfer.</w:t>
      </w:r>
    </w:p>
    <w:p w14:paraId="7495AE6D" w14:textId="77777777" w:rsidR="002B1E5D" w:rsidRDefault="005F384D">
      <w:pPr>
        <w:pStyle w:val="Heading2"/>
      </w:pPr>
      <w:bookmarkStart w:id="20" w:name="_Toc237380069"/>
      <w:r>
        <w:rPr>
          <w:rFonts w:ascii="Arial" w:eastAsia="Arial" w:hAnsi="Arial" w:cs="Arial"/>
        </w:rPr>
        <w:t>4.4 Corporate Level Considerations</w:t>
      </w:r>
      <w:bookmarkEnd w:id="20"/>
    </w:p>
    <w:p w14:paraId="2D517626" w14:textId="77777777" w:rsidR="002B1E5D" w:rsidRDefault="005F384D">
      <w:pPr>
        <w:spacing w:after="160" w:line="360" w:lineRule="auto"/>
        <w:jc w:val="both"/>
      </w:pPr>
      <w:r>
        <w:rPr>
          <w:rFonts w:eastAsia="Arial"/>
        </w:rPr>
        <w:t xml:space="preserve">One question worth asking briefly is whether Tata Starbucks should integrate vertically into coffee growing rather than buying from independent farmers through its CSR </w:t>
      </w:r>
      <w:proofErr w:type="spellStart"/>
      <w:r>
        <w:rPr>
          <w:rFonts w:eastAsia="Arial"/>
        </w:rPr>
        <w:t>programmes</w:t>
      </w:r>
      <w:proofErr w:type="spellEnd"/>
      <w:r>
        <w:rPr>
          <w:rFonts w:eastAsia="Arial"/>
        </w:rPr>
        <w:t xml:space="preserve">. My view is no, not at scale. That would tie up capital in agricultural production, an area where the business has no distinctive capability, when the same money could instead fund the store expansion and staff training that more directly drive competitive advantage. Partnership without ownership already delivers most of </w:t>
      </w:r>
      <w:r>
        <w:rPr>
          <w:rFonts w:eastAsia="Arial"/>
        </w:rPr>
        <w:lastRenderedPageBreak/>
        <w:t>the supply chain security benefit, without the added complexity of running a farming business alongside a retail one.</w:t>
      </w:r>
    </w:p>
    <w:p w14:paraId="292E4EAC" w14:textId="77777777" w:rsidR="002B1E5D" w:rsidRDefault="005F384D">
      <w:pPr>
        <w:pStyle w:val="Heading2"/>
      </w:pPr>
      <w:bookmarkStart w:id="21" w:name="_Toc237380070"/>
      <w:r>
        <w:rPr>
          <w:rFonts w:ascii="Arial" w:eastAsia="Arial" w:hAnsi="Arial" w:cs="Arial"/>
        </w:rPr>
        <w:t>4.5 Implementation Challenges</w:t>
      </w:r>
      <w:bookmarkEnd w:id="21"/>
    </w:p>
    <w:p w14:paraId="708CDF2B" w14:textId="77777777" w:rsidR="002B1E5D" w:rsidRDefault="005F384D">
      <w:pPr>
        <w:spacing w:after="160" w:line="360" w:lineRule="auto"/>
        <w:jc w:val="both"/>
      </w:pPr>
      <w:r>
        <w:rPr>
          <w:rFonts w:eastAsia="Arial"/>
        </w:rPr>
        <w:t>None of this is straightforward to execute. Expanding into tier two and tier three cities means adapting a store format and price point calibrated for metro consumers to markets with lower average incomes, without diluting the premium positioning that makes the brand valuable in the first place. The obvious risk is trying to serve both ends at once and ending up with a diluted proposition that satisfies neither. A second challenge is maintaining the consistency identified as a core strength while growing the store network faster, since training, supply chain and quality control systems all have to scale at the same pace as the physical footprint, or the very advantage being pursued erodes as it grows. A third and more subtle challenge is communication. CSR and sourcing credentials only support the strategy if customers actually notice them, so marketing and in-store communication need closer integration with the sourcing and CSR teams than may currently exist. Figure 3 sets out the phased approach I would recommend to manage these risks.</w:t>
      </w:r>
    </w:p>
    <w:p w14:paraId="47AF3C1B" w14:textId="77777777" w:rsidR="00C91A0E" w:rsidRDefault="005F384D" w:rsidP="00C91A0E">
      <w:pPr>
        <w:keepNext/>
        <w:keepLines/>
        <w:jc w:val="center"/>
      </w:pPr>
      <w:r>
        <w:rPr>
          <w:noProof/>
        </w:rPr>
        <w:drawing>
          <wp:inline distT="0" distB="0" distL="0" distR="0" wp14:anchorId="7654E935" wp14:editId="385E340A">
            <wp:extent cx="5760720" cy="17640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roadmap.png"/>
                    <pic:cNvPicPr/>
                  </pic:nvPicPr>
                  <pic:blipFill rotWithShape="1">
                    <a:blip r:embed="rId12"/>
                    <a:srcRect t="18342"/>
                    <a:stretch>
                      <a:fillRect/>
                    </a:stretch>
                  </pic:blipFill>
                  <pic:spPr bwMode="auto">
                    <a:xfrm>
                      <a:off x="0" y="0"/>
                      <a:ext cx="5760720" cy="1764030"/>
                    </a:xfrm>
                    <a:prstGeom prst="rect">
                      <a:avLst/>
                    </a:prstGeom>
                    <a:ln>
                      <a:noFill/>
                    </a:ln>
                    <a:extLst>
                      <a:ext uri="{53640926-AAD7-44D8-BBD7-CCE9431645EC}">
                        <a14:shadowObscured xmlns:a14="http://schemas.microsoft.com/office/drawing/2010/main"/>
                      </a:ext>
                    </a:extLst>
                  </pic:spPr>
                </pic:pic>
              </a:graphicData>
            </a:graphic>
          </wp:inline>
        </w:drawing>
      </w:r>
    </w:p>
    <w:p w14:paraId="124C6AE8" w14:textId="09A52C75" w:rsidR="002B1E5D" w:rsidRDefault="00C91A0E" w:rsidP="00C91A0E">
      <w:pPr>
        <w:pStyle w:val="Caption"/>
        <w:jc w:val="center"/>
      </w:pPr>
      <w:bookmarkStart w:id="22" w:name="_Toc237380081"/>
      <w:r>
        <w:t xml:space="preserve">Figure </w:t>
      </w:r>
      <w:fldSimple w:instr=" SEQ Figure \* ARABIC ">
        <w:r>
          <w:rPr>
            <w:noProof/>
          </w:rPr>
          <w:t>3</w:t>
        </w:r>
      </w:fldSimple>
      <w:r w:rsidRPr="00717572">
        <w:t>: Recommended phased implementation roadmap for tier two and tier three expansion</w:t>
      </w:r>
      <w:bookmarkEnd w:id="22"/>
    </w:p>
    <w:p w14:paraId="18ADF471" w14:textId="77777777" w:rsidR="002B1E5D" w:rsidRDefault="005F384D">
      <w:pPr>
        <w:spacing w:after="160" w:line="360" w:lineRule="auto"/>
        <w:jc w:val="both"/>
      </w:pPr>
      <w:r>
        <w:rPr>
          <w:rFonts w:eastAsia="Arial"/>
        </w:rPr>
        <w:t>Phasing expansion this way treats the scorecard's process and training indicators as a genuine gate on new openings, not just revenue targets. I know a slower rollout is a harder pitch to a Board under pressure to show growth, and I am not pretending otherwise. My argument is simply that growing faster than training and supply chains can support would erode the consistency the premium price depends on, and that would cost more in lost differentiation than a slower rollout costs in delayed revenue.</w:t>
      </w:r>
    </w:p>
    <w:p w14:paraId="64874254" w14:textId="77777777" w:rsidR="002B1E5D" w:rsidRDefault="005F384D">
      <w:pPr>
        <w:pStyle w:val="Heading1"/>
      </w:pPr>
      <w:bookmarkStart w:id="23" w:name="_Toc237380071"/>
      <w:r>
        <w:rPr>
          <w:rFonts w:ascii="Arial" w:eastAsia="Arial" w:hAnsi="Arial" w:cs="Arial"/>
        </w:rPr>
        <w:lastRenderedPageBreak/>
        <w:t>5. Reflective Account</w:t>
      </w:r>
      <w:bookmarkEnd w:id="23"/>
    </w:p>
    <w:p w14:paraId="340881F5" w14:textId="77777777" w:rsidR="002B1E5D" w:rsidRDefault="005F384D">
      <w:pPr>
        <w:spacing w:after="160" w:line="360" w:lineRule="auto"/>
        <w:jc w:val="both"/>
      </w:pPr>
      <w:r>
        <w:rPr>
          <w:rFonts w:eastAsia="Arial"/>
        </w:rPr>
        <w:t xml:space="preserve">This section uses Gibbs' reflective cycle to think through the process I followed in researching, </w:t>
      </w:r>
      <w:proofErr w:type="spellStart"/>
      <w:r>
        <w:rPr>
          <w:rFonts w:eastAsia="Arial"/>
        </w:rPr>
        <w:t>analysing</w:t>
      </w:r>
      <w:proofErr w:type="spellEnd"/>
      <w:r>
        <w:rPr>
          <w:rFonts w:eastAsia="Arial"/>
        </w:rPr>
        <w:t xml:space="preserve"> and preparing the analysis set out above.</w:t>
      </w:r>
    </w:p>
    <w:p w14:paraId="456E6DFE" w14:textId="77777777" w:rsidR="002B1E5D" w:rsidRDefault="005F384D">
      <w:pPr>
        <w:pStyle w:val="Heading2"/>
      </w:pPr>
      <w:bookmarkStart w:id="24" w:name="_Toc237380072"/>
      <w:r>
        <w:rPr>
          <w:rFonts w:ascii="Arial" w:eastAsia="Arial" w:hAnsi="Arial" w:cs="Arial"/>
        </w:rPr>
        <w:t>5.1 Description</w:t>
      </w:r>
      <w:bookmarkEnd w:id="24"/>
    </w:p>
    <w:p w14:paraId="387E88E2" w14:textId="77777777" w:rsidR="002B1E5D" w:rsidRDefault="005F384D">
      <w:pPr>
        <w:spacing w:after="160" w:line="360" w:lineRule="auto"/>
        <w:jc w:val="both"/>
      </w:pPr>
      <w:r>
        <w:rPr>
          <w:rFonts w:eastAsia="Arial"/>
        </w:rPr>
        <w:t xml:space="preserve">Preparing this analysis meant working through several structured frameworks, PESTEL, VRIO, SWOT, the balanced scorecard and Ansoff's matrix, and applying each of them to a real, single market business rather than treating them as abstract theory. I began by reading around Tata Starbucks and the wider Indian coffee retail market before attempting any of the frameworks, since I did not want to force generic textbook content onto an </w:t>
      </w:r>
      <w:proofErr w:type="spellStart"/>
      <w:proofErr w:type="gramStart"/>
      <w:r>
        <w:rPr>
          <w:rFonts w:eastAsia="Arial"/>
        </w:rPr>
        <w:t>organisation</w:t>
      </w:r>
      <w:proofErr w:type="spellEnd"/>
      <w:proofErr w:type="gramEnd"/>
      <w:r>
        <w:rPr>
          <w:rFonts w:eastAsia="Arial"/>
        </w:rPr>
        <w:t xml:space="preserve"> I did not actually understand. From there I worked outward to inward, starting with the external environment before moving to internal resources and finally strategic choice, broadly following the order the brief itself suggested.</w:t>
      </w:r>
    </w:p>
    <w:p w14:paraId="6956173F" w14:textId="77777777" w:rsidR="002B1E5D" w:rsidRDefault="005F384D">
      <w:pPr>
        <w:pStyle w:val="Heading2"/>
      </w:pPr>
      <w:bookmarkStart w:id="25" w:name="_Toc237380073"/>
      <w:r>
        <w:rPr>
          <w:rFonts w:ascii="Arial" w:eastAsia="Arial" w:hAnsi="Arial" w:cs="Arial"/>
        </w:rPr>
        <w:t>5.2 Feelings</w:t>
      </w:r>
      <w:bookmarkEnd w:id="25"/>
    </w:p>
    <w:p w14:paraId="26C6C13A" w14:textId="77777777" w:rsidR="002B1E5D" w:rsidRDefault="005F384D">
      <w:pPr>
        <w:spacing w:after="160" w:line="360" w:lineRule="auto"/>
        <w:jc w:val="both"/>
      </w:pPr>
      <w:r>
        <w:rPr>
          <w:rFonts w:eastAsia="Arial"/>
        </w:rPr>
        <w:t>Early on I felt uncertain about how much depth was realistic to expect from open, publicly available information, given that I do not have access to Tata Starbucks' internal data. That uncertainty pushed me to be more careful than I might otherwise have been about only making claims I could actually support with a credible source, rather than filling gaps with confident sounding guesswork. Once I had gathered a solid base of academic literature and had a clear structure in front of me, that early uncertainty gave way to something closer to genuine interest, particularly once the different frameworks started reinforcing rather than contradicting each other.</w:t>
      </w:r>
    </w:p>
    <w:p w14:paraId="31EF92C8" w14:textId="77777777" w:rsidR="002B1E5D" w:rsidRDefault="005F384D">
      <w:pPr>
        <w:pStyle w:val="Heading2"/>
      </w:pPr>
      <w:bookmarkStart w:id="26" w:name="_Toc237380074"/>
      <w:r>
        <w:rPr>
          <w:rFonts w:ascii="Arial" w:eastAsia="Arial" w:hAnsi="Arial" w:cs="Arial"/>
        </w:rPr>
        <w:t>5.3 Evaluation</w:t>
      </w:r>
      <w:bookmarkEnd w:id="26"/>
    </w:p>
    <w:p w14:paraId="4EDECBC9" w14:textId="77777777" w:rsidR="002B1E5D" w:rsidRDefault="005F384D">
      <w:pPr>
        <w:spacing w:after="160" w:line="360" w:lineRule="auto"/>
        <w:jc w:val="both"/>
      </w:pPr>
      <w:r>
        <w:rPr>
          <w:rFonts w:eastAsia="Arial"/>
        </w:rPr>
        <w:t xml:space="preserve">What worked well was choosing a single, clearly bounded </w:t>
      </w:r>
      <w:proofErr w:type="spellStart"/>
      <w:r>
        <w:rPr>
          <w:rFonts w:eastAsia="Arial"/>
        </w:rPr>
        <w:t>organisation</w:t>
      </w:r>
      <w:proofErr w:type="spellEnd"/>
      <w:r>
        <w:rPr>
          <w:rFonts w:eastAsia="Arial"/>
        </w:rPr>
        <w:t xml:space="preserve"> rather than something broader or more ambiguous. Because Tata Starbucks operates as a distinct joint venture rather than being folded into Starbucks' global reporting, I was able to keep the analysis focused on one market throughout, which made the frameworks easier to apply consistently. What worked less well, at least initially, was my instinct to treat each framework as a separate exercise rather than looking for the connections between them. It was only once I reached the balanced scorecard and strategic choice sections that I noticed how directly the earlier VRIO and SWOT </w:t>
      </w:r>
      <w:r>
        <w:rPr>
          <w:rFonts w:eastAsia="Arial"/>
        </w:rPr>
        <w:lastRenderedPageBreak/>
        <w:t>findings were feeding into later recommendations, and I had to go back and tighten those links rather than leaving them implicit.</w:t>
      </w:r>
    </w:p>
    <w:p w14:paraId="543CC2A6" w14:textId="77777777" w:rsidR="002B1E5D" w:rsidRDefault="005F384D">
      <w:pPr>
        <w:pStyle w:val="Heading2"/>
      </w:pPr>
      <w:bookmarkStart w:id="27" w:name="_Toc237380075"/>
      <w:r>
        <w:rPr>
          <w:rFonts w:ascii="Arial" w:eastAsia="Arial" w:hAnsi="Arial" w:cs="Arial"/>
        </w:rPr>
        <w:t>5.4 Analysis</w:t>
      </w:r>
      <w:bookmarkEnd w:id="27"/>
    </w:p>
    <w:p w14:paraId="3A0431F9" w14:textId="77777777" w:rsidR="002B1E5D" w:rsidRDefault="005F384D">
      <w:pPr>
        <w:spacing w:after="160" w:line="360" w:lineRule="auto"/>
        <w:jc w:val="both"/>
      </w:pPr>
      <w:r>
        <w:rPr>
          <w:rFonts w:eastAsia="Arial"/>
        </w:rPr>
        <w:t xml:space="preserve">Looking at why that connection was not obvious to me at first, I think it comes down to how these frameworks are usually taught and </w:t>
      </w:r>
      <w:proofErr w:type="spellStart"/>
      <w:r>
        <w:rPr>
          <w:rFonts w:eastAsia="Arial"/>
        </w:rPr>
        <w:t>practised</w:t>
      </w:r>
      <w:proofErr w:type="spellEnd"/>
      <w:r>
        <w:rPr>
          <w:rFonts w:eastAsia="Arial"/>
        </w:rPr>
        <w:t xml:space="preserve"> separately, almost as a checklist, rather than as parts of a single argument building toward a recommendation. Barney's (1991) </w:t>
      </w:r>
      <w:proofErr w:type="gramStart"/>
      <w:r>
        <w:rPr>
          <w:rFonts w:eastAsia="Arial"/>
        </w:rPr>
        <w:t>resource based</w:t>
      </w:r>
      <w:proofErr w:type="gramEnd"/>
      <w:r>
        <w:rPr>
          <w:rFonts w:eastAsia="Arial"/>
        </w:rPr>
        <w:t xml:space="preserve"> view and the balanced scorecard, for example, are rarely presented together in introductory material, yet in this analysis the VRIO resources identified directly explain why certain balanced scorecard indicators, particularly around consistency and staff training, matter as much as they do. </w:t>
      </w:r>
      <w:proofErr w:type="spellStart"/>
      <w:r>
        <w:rPr>
          <w:rFonts w:eastAsia="Arial"/>
        </w:rPr>
        <w:t>Recognising</w:t>
      </w:r>
      <w:proofErr w:type="spellEnd"/>
      <w:r>
        <w:rPr>
          <w:rFonts w:eastAsia="Arial"/>
        </w:rPr>
        <w:t xml:space="preserve"> that connection changed how I approached the later sections, since I started actively looking for where one framework's output should become another framework's input, rather than writing each section in isolation. I also noticed that some frameworks, such as PESTEL and the five forces, cover overlapping ground from different angles, and learning to use that overlap to cross check my own conclusions, rather than treating it as repetition, was a genuinely useful discovery.</w:t>
      </w:r>
    </w:p>
    <w:p w14:paraId="4DFDE4DD" w14:textId="77777777" w:rsidR="002B1E5D" w:rsidRDefault="005F384D">
      <w:pPr>
        <w:pStyle w:val="Heading2"/>
      </w:pPr>
      <w:bookmarkStart w:id="28" w:name="_Toc237380076"/>
      <w:r>
        <w:rPr>
          <w:rFonts w:ascii="Arial" w:eastAsia="Arial" w:hAnsi="Arial" w:cs="Arial"/>
        </w:rPr>
        <w:t>5.5 Conclusion</w:t>
      </w:r>
      <w:bookmarkEnd w:id="28"/>
    </w:p>
    <w:p w14:paraId="2041D019" w14:textId="77777777" w:rsidR="002B1E5D" w:rsidRDefault="005F384D">
      <w:pPr>
        <w:spacing w:after="160" w:line="360" w:lineRule="auto"/>
        <w:jc w:val="both"/>
      </w:pPr>
      <w:r>
        <w:rPr>
          <w:rFonts w:eastAsia="Arial"/>
        </w:rPr>
        <w:t>On reflection, I could have saved time by mapping out these connections at the planning stage rather than discovering them partway through writing. I also think I could have been more disciplined earlier about only citing sources I had genuinely read and understood, rather than being tempted to reference something because it seemed broadly relevant to the topic. The process reinforced for me that strategic analysis is less about running through a list of frameworks correctly and more about building a coherent argument that happens to use those frameworks as evidence along the way. It also made me more aware of my own tendency to want to cover every possible angle rather than being selective, which is a natural instinct when writing about a real business but not always the most useful one when a reader, whether that is a lecturer or an actual board of directors, needs a clear recommendation rather than an exhaustive list of considerations.</w:t>
      </w:r>
    </w:p>
    <w:p w14:paraId="17D91272" w14:textId="77777777" w:rsidR="002B1E5D" w:rsidRDefault="005F384D">
      <w:pPr>
        <w:pStyle w:val="Heading2"/>
      </w:pPr>
      <w:bookmarkStart w:id="29" w:name="_Toc237380077"/>
      <w:r>
        <w:rPr>
          <w:rFonts w:ascii="Arial" w:eastAsia="Arial" w:hAnsi="Arial" w:cs="Arial"/>
        </w:rPr>
        <w:t>5.6 Action Plan</w:t>
      </w:r>
      <w:bookmarkEnd w:id="29"/>
    </w:p>
    <w:p w14:paraId="7DA55E33" w14:textId="77777777" w:rsidR="002B1E5D" w:rsidRDefault="005F384D">
      <w:pPr>
        <w:spacing w:after="160" w:line="360" w:lineRule="auto"/>
        <w:jc w:val="both"/>
      </w:pPr>
      <w:r>
        <w:rPr>
          <w:rFonts w:eastAsia="Arial"/>
        </w:rPr>
        <w:t xml:space="preserve">Going forward, I intend to start future analyses by sketching the overall argument and the connections between frameworks before writing any individual section in detail, </w:t>
      </w:r>
      <w:r>
        <w:rPr>
          <w:rFonts w:eastAsia="Arial"/>
        </w:rPr>
        <w:lastRenderedPageBreak/>
        <w:t xml:space="preserve">rather than working through frameworks sequentially and hoping the links emerge naturally. I also plan to keep a running source log as I read, noting exactly what each source supports, so that referencing stays accurate and I am not searching back through material under time pressure later. Finally, I want to get more comfortable making a clear recommendation and defending it, rather than presenting balanced options and leaving the reader to decide, since that confidence is </w:t>
      </w:r>
      <w:proofErr w:type="gramStart"/>
      <w:r>
        <w:rPr>
          <w:rFonts w:eastAsia="Arial"/>
        </w:rPr>
        <w:t>something</w:t>
      </w:r>
      <w:proofErr w:type="gramEnd"/>
      <w:r>
        <w:rPr>
          <w:rFonts w:eastAsia="Arial"/>
        </w:rPr>
        <w:t xml:space="preserve"> a real strategic consultant would be expected to bring.</w:t>
      </w:r>
    </w:p>
    <w:p w14:paraId="4C1BD2F9" w14:textId="77777777" w:rsidR="002B1E5D" w:rsidRDefault="005F384D">
      <w:r>
        <w:br w:type="page"/>
      </w:r>
    </w:p>
    <w:p w14:paraId="38189171" w14:textId="77777777" w:rsidR="002B1E5D" w:rsidRDefault="005F384D">
      <w:pPr>
        <w:pStyle w:val="Heading1"/>
        <w:keepNext w:val="0"/>
        <w:spacing w:before="0" w:after="280"/>
      </w:pPr>
      <w:bookmarkStart w:id="30" w:name="_Toc237380078"/>
      <w:r>
        <w:rPr>
          <w:rFonts w:ascii="Arial" w:eastAsia="Arial" w:hAnsi="Arial" w:cs="Arial"/>
        </w:rPr>
        <w:lastRenderedPageBreak/>
        <w:t>Reference List</w:t>
      </w:r>
      <w:bookmarkEnd w:id="30"/>
    </w:p>
    <w:p w14:paraId="219076B7" w14:textId="77777777" w:rsidR="002B1E5D" w:rsidRDefault="005F384D" w:rsidP="00C91A0E">
      <w:pPr>
        <w:pStyle w:val="ListParagraph"/>
        <w:numPr>
          <w:ilvl w:val="0"/>
          <w:numId w:val="10"/>
        </w:numPr>
        <w:spacing w:line="360" w:lineRule="auto"/>
        <w:jc w:val="both"/>
      </w:pPr>
      <w:r w:rsidRPr="00C91A0E">
        <w:rPr>
          <w:rFonts w:eastAsia="Arial"/>
        </w:rPr>
        <w:t>Alden, D.L., Steenkamp, J-B.E.M. and Batra, R. (1999) 'Brand positioning through advertising in Asia, North America, and Europe: the role of global consumer culture', Journal of Marketing, 63(1), pp. 75 to 87.</w:t>
      </w:r>
    </w:p>
    <w:p w14:paraId="3E271C14" w14:textId="77777777" w:rsidR="002B1E5D" w:rsidRDefault="005F384D" w:rsidP="00C91A0E">
      <w:pPr>
        <w:pStyle w:val="ListParagraph"/>
        <w:numPr>
          <w:ilvl w:val="0"/>
          <w:numId w:val="10"/>
        </w:numPr>
        <w:spacing w:line="360" w:lineRule="auto"/>
        <w:jc w:val="both"/>
      </w:pPr>
      <w:r w:rsidRPr="00C91A0E">
        <w:rPr>
          <w:rFonts w:eastAsia="Arial"/>
        </w:rPr>
        <w:t>Ansoff, H.I. (1957) 'Strategies for diversification', Harvard Business Review, 35(5), pp. 113 to 124.</w:t>
      </w:r>
    </w:p>
    <w:p w14:paraId="7D6CFDAF" w14:textId="77777777" w:rsidR="002B1E5D" w:rsidRDefault="005F384D" w:rsidP="00C91A0E">
      <w:pPr>
        <w:pStyle w:val="ListParagraph"/>
        <w:numPr>
          <w:ilvl w:val="0"/>
          <w:numId w:val="10"/>
        </w:numPr>
        <w:spacing w:line="360" w:lineRule="auto"/>
        <w:jc w:val="both"/>
      </w:pPr>
      <w:r w:rsidRPr="00C91A0E">
        <w:rPr>
          <w:rFonts w:eastAsia="Arial"/>
        </w:rPr>
        <w:t>Antony, A.C. and Anuradha, P.S. (2026) 'Resources to advantage: an integrated conceptual analysis of VRIN and VRIO frameworks in strategic management', International Journal of Accounting and Economics Studies, 13(1), pp. 68 to 72.</w:t>
      </w:r>
    </w:p>
    <w:p w14:paraId="594D1B48" w14:textId="77777777" w:rsidR="002B1E5D" w:rsidRDefault="005F384D" w:rsidP="00C91A0E">
      <w:pPr>
        <w:pStyle w:val="ListParagraph"/>
        <w:numPr>
          <w:ilvl w:val="0"/>
          <w:numId w:val="10"/>
        </w:numPr>
        <w:spacing w:line="360" w:lineRule="auto"/>
        <w:jc w:val="both"/>
      </w:pPr>
      <w:r w:rsidRPr="00C91A0E">
        <w:rPr>
          <w:rFonts w:eastAsia="Arial"/>
        </w:rPr>
        <w:t>Barney, J.B. (1991) 'Firm resources and sustained competitive advantage', Journal of Management, 17(1), pp. 99 to 120.</w:t>
      </w:r>
    </w:p>
    <w:p w14:paraId="7E1C8AF8" w14:textId="77777777" w:rsidR="002B1E5D" w:rsidRDefault="005F384D" w:rsidP="00C91A0E">
      <w:pPr>
        <w:pStyle w:val="ListParagraph"/>
        <w:numPr>
          <w:ilvl w:val="0"/>
          <w:numId w:val="10"/>
        </w:numPr>
        <w:spacing w:line="360" w:lineRule="auto"/>
        <w:jc w:val="both"/>
      </w:pPr>
      <w:proofErr w:type="spellStart"/>
      <w:r w:rsidRPr="00C91A0E">
        <w:rPr>
          <w:rFonts w:eastAsia="Arial"/>
        </w:rPr>
        <w:t>Benzaghta</w:t>
      </w:r>
      <w:proofErr w:type="spellEnd"/>
      <w:r w:rsidRPr="00C91A0E">
        <w:rPr>
          <w:rFonts w:eastAsia="Arial"/>
        </w:rPr>
        <w:t>, M.A., Elwalda, A., Mousa, M.M., Erkan, I. and Rahman, M. (2021) 'SWOT analysis applications: an integrative literature review', Journal of Global Business Insights, 6(1), pp. 55 to 73.</w:t>
      </w:r>
    </w:p>
    <w:p w14:paraId="280C48ED" w14:textId="77777777" w:rsidR="002B1E5D" w:rsidRDefault="005F384D" w:rsidP="00C91A0E">
      <w:pPr>
        <w:pStyle w:val="ListParagraph"/>
        <w:numPr>
          <w:ilvl w:val="0"/>
          <w:numId w:val="10"/>
        </w:numPr>
        <w:spacing w:line="360" w:lineRule="auto"/>
        <w:jc w:val="both"/>
      </w:pPr>
      <w:r w:rsidRPr="00C91A0E">
        <w:rPr>
          <w:rFonts w:eastAsia="Arial"/>
        </w:rPr>
        <w:t>Bertoldi, B., Giachino, C. and Marenco, S. (2012) 'Bringing gourmet coffee to India: lessons of an Italian firm in an emerging market', Journal of Business Strategy, 33(5), pp. 32 to 43.</w:t>
      </w:r>
    </w:p>
    <w:p w14:paraId="7A56773F" w14:textId="77777777" w:rsidR="002B1E5D" w:rsidRDefault="005F384D" w:rsidP="00C91A0E">
      <w:pPr>
        <w:pStyle w:val="ListParagraph"/>
        <w:numPr>
          <w:ilvl w:val="0"/>
          <w:numId w:val="10"/>
        </w:numPr>
        <w:spacing w:line="360" w:lineRule="auto"/>
        <w:jc w:val="both"/>
      </w:pPr>
      <w:r w:rsidRPr="00C91A0E">
        <w:rPr>
          <w:rFonts w:eastAsia="Arial"/>
        </w:rPr>
        <w:t xml:space="preserve">Chhabra, S. (2017) 'An empirical analysis of the effect of a retailer's loyalty </w:t>
      </w:r>
      <w:proofErr w:type="spellStart"/>
      <w:r w:rsidRPr="00C91A0E">
        <w:rPr>
          <w:rFonts w:eastAsia="Arial"/>
        </w:rPr>
        <w:t>programme</w:t>
      </w:r>
      <w:proofErr w:type="spellEnd"/>
      <w:r w:rsidRPr="00C91A0E">
        <w:rPr>
          <w:rFonts w:eastAsia="Arial"/>
        </w:rPr>
        <w:t xml:space="preserve"> on their customers' loyalty', Global Business Review, 18(2), pp. 445 to 464.</w:t>
      </w:r>
    </w:p>
    <w:p w14:paraId="6229B335" w14:textId="77777777" w:rsidR="002B1E5D" w:rsidRDefault="005F384D" w:rsidP="00C91A0E">
      <w:pPr>
        <w:pStyle w:val="ListParagraph"/>
        <w:numPr>
          <w:ilvl w:val="0"/>
          <w:numId w:val="10"/>
        </w:numPr>
        <w:spacing w:line="360" w:lineRule="auto"/>
        <w:jc w:val="both"/>
      </w:pPr>
      <w:r w:rsidRPr="00C91A0E">
        <w:rPr>
          <w:rFonts w:eastAsia="Arial"/>
        </w:rPr>
        <w:t>Helms, M.M. and Nixon, J. (2010) 'Exploring SWOT analysis, where are we now? A review of academic research from the last decade', Journal of Strategy and Management, 3(3), pp. 215 to 251.</w:t>
      </w:r>
    </w:p>
    <w:p w14:paraId="74CCD3E3" w14:textId="77777777" w:rsidR="002B1E5D" w:rsidRDefault="005F384D" w:rsidP="00C91A0E">
      <w:pPr>
        <w:pStyle w:val="ListParagraph"/>
        <w:numPr>
          <w:ilvl w:val="0"/>
          <w:numId w:val="10"/>
        </w:numPr>
        <w:spacing w:line="360" w:lineRule="auto"/>
        <w:jc w:val="both"/>
      </w:pPr>
      <w:r w:rsidRPr="00C91A0E">
        <w:rPr>
          <w:rFonts w:eastAsia="Arial"/>
        </w:rPr>
        <w:t>Hoque, Z. (2014) '20 years of studies on the balanced scorecard: trends, accomplishments, gaps and opportunities for future research', British Accounting Review, 46(1), pp. 33 to 59.</w:t>
      </w:r>
    </w:p>
    <w:p w14:paraId="70E9B149" w14:textId="77777777" w:rsidR="002B1E5D" w:rsidRDefault="005F384D" w:rsidP="00C91A0E">
      <w:pPr>
        <w:pStyle w:val="ListParagraph"/>
        <w:numPr>
          <w:ilvl w:val="0"/>
          <w:numId w:val="10"/>
        </w:numPr>
        <w:spacing w:line="360" w:lineRule="auto"/>
        <w:jc w:val="both"/>
      </w:pPr>
      <w:r w:rsidRPr="00C91A0E">
        <w:rPr>
          <w:rFonts w:eastAsia="Arial"/>
        </w:rPr>
        <w:t xml:space="preserve">Islami, X., Mustafa, N. and </w:t>
      </w:r>
      <w:proofErr w:type="spellStart"/>
      <w:r w:rsidRPr="00C91A0E">
        <w:rPr>
          <w:rFonts w:eastAsia="Arial"/>
        </w:rPr>
        <w:t>Latkovikj</w:t>
      </w:r>
      <w:proofErr w:type="spellEnd"/>
      <w:r w:rsidRPr="00C91A0E">
        <w:rPr>
          <w:rFonts w:eastAsia="Arial"/>
        </w:rPr>
        <w:t>, M.T. (2020) 'Linking Porter's generic strategies to firm performance', Future Business Journal, 6(1), pp. 1 to 15.</w:t>
      </w:r>
    </w:p>
    <w:p w14:paraId="5043273E" w14:textId="77777777" w:rsidR="002B1E5D" w:rsidRDefault="005F384D" w:rsidP="00C91A0E">
      <w:pPr>
        <w:pStyle w:val="ListParagraph"/>
        <w:numPr>
          <w:ilvl w:val="0"/>
          <w:numId w:val="10"/>
        </w:numPr>
        <w:spacing w:line="360" w:lineRule="auto"/>
        <w:jc w:val="both"/>
      </w:pPr>
      <w:r w:rsidRPr="00C91A0E">
        <w:rPr>
          <w:rFonts w:eastAsia="Arial"/>
        </w:rPr>
        <w:t>Kaplan, R.S. and Norton, D.P. (1992) 'The balanced scorecard: measures that drive performance', Harvard Business Review, 70(1), pp. 71 to 79.</w:t>
      </w:r>
    </w:p>
    <w:p w14:paraId="3B455AC1" w14:textId="77777777" w:rsidR="002B1E5D" w:rsidRDefault="005F384D" w:rsidP="00C91A0E">
      <w:pPr>
        <w:pStyle w:val="ListParagraph"/>
        <w:numPr>
          <w:ilvl w:val="0"/>
          <w:numId w:val="10"/>
        </w:numPr>
        <w:spacing w:line="360" w:lineRule="auto"/>
        <w:jc w:val="both"/>
      </w:pPr>
      <w:r w:rsidRPr="00C91A0E">
        <w:rPr>
          <w:rFonts w:eastAsia="Arial"/>
        </w:rPr>
        <w:t xml:space="preserve">Khan, W., </w:t>
      </w:r>
      <w:proofErr w:type="spellStart"/>
      <w:r w:rsidRPr="00C91A0E">
        <w:rPr>
          <w:rFonts w:eastAsia="Arial"/>
        </w:rPr>
        <w:t>Sainger</w:t>
      </w:r>
      <w:proofErr w:type="spellEnd"/>
      <w:r w:rsidRPr="00C91A0E">
        <w:rPr>
          <w:rFonts w:eastAsia="Arial"/>
        </w:rPr>
        <w:t xml:space="preserve">, G., Siddiqui, M.S. and Mateen, B. (2025) 'Percolating insights: a study on coffee purchase </w:t>
      </w:r>
      <w:proofErr w:type="spellStart"/>
      <w:r w:rsidRPr="00C91A0E">
        <w:rPr>
          <w:rFonts w:eastAsia="Arial"/>
        </w:rPr>
        <w:t>behaviour</w:t>
      </w:r>
      <w:proofErr w:type="spellEnd"/>
      <w:r w:rsidRPr="00C91A0E">
        <w:rPr>
          <w:rFonts w:eastAsia="Arial"/>
        </w:rPr>
        <w:t xml:space="preserve"> in an emerging economy', British Food Journal, 127(10), pp. 3895 to 3909.</w:t>
      </w:r>
    </w:p>
    <w:p w14:paraId="6EB760CC" w14:textId="77777777" w:rsidR="002B1E5D" w:rsidRDefault="005F384D" w:rsidP="00C91A0E">
      <w:pPr>
        <w:pStyle w:val="ListParagraph"/>
        <w:numPr>
          <w:ilvl w:val="0"/>
          <w:numId w:val="10"/>
        </w:numPr>
        <w:spacing w:line="360" w:lineRule="auto"/>
        <w:jc w:val="both"/>
      </w:pPr>
      <w:proofErr w:type="spellStart"/>
      <w:r w:rsidRPr="00C91A0E">
        <w:rPr>
          <w:rFonts w:eastAsia="Arial"/>
        </w:rPr>
        <w:lastRenderedPageBreak/>
        <w:t>Masharu</w:t>
      </w:r>
      <w:proofErr w:type="spellEnd"/>
      <w:r w:rsidRPr="00C91A0E">
        <w:rPr>
          <w:rFonts w:eastAsia="Arial"/>
        </w:rPr>
        <w:t xml:space="preserve">, U. and Nasir, M.A. (2018) 'Policy of foreign direct investment </w:t>
      </w:r>
      <w:proofErr w:type="spellStart"/>
      <w:r w:rsidRPr="00C91A0E">
        <w:rPr>
          <w:rFonts w:eastAsia="Arial"/>
        </w:rPr>
        <w:t>liberalisation</w:t>
      </w:r>
      <w:proofErr w:type="spellEnd"/>
      <w:r w:rsidRPr="00C91A0E">
        <w:rPr>
          <w:rFonts w:eastAsia="Arial"/>
        </w:rPr>
        <w:t xml:space="preserve"> in India: implications for retail sector', International Review of Economics, 65(4), pp. 465 to 487.</w:t>
      </w:r>
    </w:p>
    <w:p w14:paraId="0C096547" w14:textId="77777777" w:rsidR="002B1E5D" w:rsidRDefault="005F384D" w:rsidP="00C91A0E">
      <w:pPr>
        <w:pStyle w:val="ListParagraph"/>
        <w:numPr>
          <w:ilvl w:val="0"/>
          <w:numId w:val="10"/>
        </w:numPr>
        <w:spacing w:line="360" w:lineRule="auto"/>
        <w:jc w:val="both"/>
      </w:pPr>
      <w:r w:rsidRPr="00C91A0E">
        <w:rPr>
          <w:rFonts w:eastAsia="Arial"/>
        </w:rPr>
        <w:t xml:space="preserve">Meilani, T. and </w:t>
      </w:r>
      <w:proofErr w:type="spellStart"/>
      <w:r w:rsidRPr="00C91A0E">
        <w:rPr>
          <w:rFonts w:eastAsia="Arial"/>
        </w:rPr>
        <w:t>Ellitan</w:t>
      </w:r>
      <w:proofErr w:type="spellEnd"/>
      <w:r w:rsidRPr="00C91A0E">
        <w:rPr>
          <w:rFonts w:eastAsia="Arial"/>
        </w:rPr>
        <w:t>, L. (2024) 'Supply chain management processes and competitive advantage: the case of Starbucks', International Journal of Multidisciplinary Research and Publications, 6(8), pp. 76 to 88.</w:t>
      </w:r>
    </w:p>
    <w:p w14:paraId="5F7F0F4F" w14:textId="77777777" w:rsidR="002B1E5D" w:rsidRDefault="005F384D" w:rsidP="00C91A0E">
      <w:pPr>
        <w:pStyle w:val="ListParagraph"/>
        <w:numPr>
          <w:ilvl w:val="0"/>
          <w:numId w:val="10"/>
        </w:numPr>
        <w:spacing w:line="360" w:lineRule="auto"/>
        <w:jc w:val="both"/>
      </w:pPr>
      <w:r w:rsidRPr="00C91A0E">
        <w:rPr>
          <w:rFonts w:eastAsia="Arial"/>
        </w:rPr>
        <w:t xml:space="preserve">Osmanoglu, O., </w:t>
      </w:r>
      <w:proofErr w:type="spellStart"/>
      <w:r w:rsidRPr="00C91A0E">
        <w:rPr>
          <w:rFonts w:eastAsia="Arial"/>
        </w:rPr>
        <w:t>Ozsomer</w:t>
      </w:r>
      <w:proofErr w:type="spellEnd"/>
      <w:r w:rsidRPr="00C91A0E">
        <w:rPr>
          <w:rFonts w:eastAsia="Arial"/>
        </w:rPr>
        <w:t xml:space="preserve">, A. and </w:t>
      </w:r>
      <w:proofErr w:type="spellStart"/>
      <w:r w:rsidRPr="00C91A0E">
        <w:rPr>
          <w:rFonts w:eastAsia="Arial"/>
        </w:rPr>
        <w:t>Biliciler</w:t>
      </w:r>
      <w:proofErr w:type="spellEnd"/>
      <w:r w:rsidRPr="00C91A0E">
        <w:rPr>
          <w:rFonts w:eastAsia="Arial"/>
        </w:rPr>
        <w:t>, G. (2024) 'Local to global cobrand positioning and consumer evaluations in emerging markets', Journal of International Marketing, 32(4), pp. 81 to 98.</w:t>
      </w:r>
    </w:p>
    <w:p w14:paraId="287B4495" w14:textId="77777777" w:rsidR="002B1E5D" w:rsidRDefault="005F384D" w:rsidP="00C91A0E">
      <w:pPr>
        <w:pStyle w:val="ListParagraph"/>
        <w:numPr>
          <w:ilvl w:val="0"/>
          <w:numId w:val="10"/>
        </w:numPr>
        <w:spacing w:line="360" w:lineRule="auto"/>
        <w:jc w:val="both"/>
      </w:pPr>
      <w:r w:rsidRPr="00C91A0E">
        <w:rPr>
          <w:rFonts w:eastAsia="Arial"/>
        </w:rPr>
        <w:t>Palmer, M.J. and Owens, M. (2006) 'New directions for international retail joint venture research', International Review of Retail, Distribution and Consumer Research, 16(2), pp. 159 to 179.</w:t>
      </w:r>
    </w:p>
    <w:p w14:paraId="1C02DDC6" w14:textId="77777777" w:rsidR="002B1E5D" w:rsidRDefault="005F384D" w:rsidP="00C91A0E">
      <w:pPr>
        <w:pStyle w:val="ListParagraph"/>
        <w:numPr>
          <w:ilvl w:val="0"/>
          <w:numId w:val="10"/>
        </w:numPr>
        <w:spacing w:line="360" w:lineRule="auto"/>
        <w:jc w:val="both"/>
      </w:pPr>
      <w:r w:rsidRPr="00C91A0E">
        <w:rPr>
          <w:rFonts w:eastAsia="Arial"/>
        </w:rPr>
        <w:t>Petrillo, A., Rehman, M. and De Felice, F. (2025) 'Optimizing coffee supply chain transparency and traceability through mobile application', European Journal of Innovation Management, 28(11), pp. 267 to 300.</w:t>
      </w:r>
    </w:p>
    <w:p w14:paraId="3502C002" w14:textId="77777777" w:rsidR="002B1E5D" w:rsidRDefault="005F384D" w:rsidP="00C91A0E">
      <w:pPr>
        <w:pStyle w:val="ListParagraph"/>
        <w:numPr>
          <w:ilvl w:val="0"/>
          <w:numId w:val="10"/>
        </w:numPr>
        <w:spacing w:line="360" w:lineRule="auto"/>
        <w:jc w:val="both"/>
      </w:pPr>
      <w:r w:rsidRPr="00C91A0E">
        <w:rPr>
          <w:rFonts w:eastAsia="Arial"/>
        </w:rPr>
        <w:t>Porter, M.E. (1979) 'How competitive forces shape strategy', Harvard Business Review, 57(2), pp. 137 to 145.</w:t>
      </w:r>
    </w:p>
    <w:p w14:paraId="458CE6B7" w14:textId="77777777" w:rsidR="002B1E5D" w:rsidRDefault="005F384D" w:rsidP="00C91A0E">
      <w:pPr>
        <w:pStyle w:val="ListParagraph"/>
        <w:numPr>
          <w:ilvl w:val="0"/>
          <w:numId w:val="10"/>
        </w:numPr>
        <w:spacing w:line="360" w:lineRule="auto"/>
        <w:jc w:val="both"/>
      </w:pPr>
      <w:proofErr w:type="spellStart"/>
      <w:r w:rsidRPr="00C91A0E">
        <w:rPr>
          <w:rFonts w:eastAsia="Arial"/>
        </w:rPr>
        <w:t>Siltaloppi</w:t>
      </w:r>
      <w:proofErr w:type="spellEnd"/>
      <w:r w:rsidRPr="00C91A0E">
        <w:rPr>
          <w:rFonts w:eastAsia="Arial"/>
        </w:rPr>
        <w:t>, J., Rajala, R. and Hietala, H. (2021) 'Integrating CSR with business strategy: a tension management perspective', Journal of Business Ethics, 174(3), pp. 507 to 527.</w:t>
      </w:r>
    </w:p>
    <w:p w14:paraId="497BDA17" w14:textId="77777777" w:rsidR="002B1E5D" w:rsidRDefault="005F384D" w:rsidP="00C91A0E">
      <w:pPr>
        <w:pStyle w:val="ListParagraph"/>
        <w:numPr>
          <w:ilvl w:val="0"/>
          <w:numId w:val="10"/>
        </w:numPr>
        <w:spacing w:line="360" w:lineRule="auto"/>
        <w:jc w:val="both"/>
      </w:pPr>
      <w:r w:rsidRPr="00C91A0E">
        <w:rPr>
          <w:rFonts w:eastAsia="Arial"/>
        </w:rPr>
        <w:t xml:space="preserve">Teece, D.J., Pisano, G. and </w:t>
      </w:r>
      <w:proofErr w:type="spellStart"/>
      <w:r w:rsidRPr="00C91A0E">
        <w:rPr>
          <w:rFonts w:eastAsia="Arial"/>
        </w:rPr>
        <w:t>Shuen</w:t>
      </w:r>
      <w:proofErr w:type="spellEnd"/>
      <w:r w:rsidRPr="00C91A0E">
        <w:rPr>
          <w:rFonts w:eastAsia="Arial"/>
        </w:rPr>
        <w:t>, A. (1997) 'Dynamic capabilities and strategic management', Strategic Management Journal, 18(7), pp. 509 to 533.</w:t>
      </w:r>
    </w:p>
    <w:p w14:paraId="2F6A7581" w14:textId="77777777" w:rsidR="002B1E5D" w:rsidRDefault="005F384D" w:rsidP="00C91A0E">
      <w:pPr>
        <w:pStyle w:val="ListParagraph"/>
        <w:numPr>
          <w:ilvl w:val="0"/>
          <w:numId w:val="10"/>
        </w:numPr>
        <w:spacing w:line="360" w:lineRule="auto"/>
        <w:jc w:val="both"/>
      </w:pPr>
      <w:r w:rsidRPr="00C91A0E">
        <w:rPr>
          <w:rFonts w:eastAsia="Arial"/>
        </w:rPr>
        <w:t>Wadud, I., Liang, Y.D. and Polkinghorne, M. (2025) 'Digital transformation in the UK retail sector', Encyclopedia, 5(3), article 142.</w:t>
      </w:r>
    </w:p>
    <w:p w14:paraId="222AA4D7" w14:textId="77777777" w:rsidR="002B1E5D" w:rsidRDefault="005F384D" w:rsidP="00C91A0E">
      <w:pPr>
        <w:pStyle w:val="ListParagraph"/>
        <w:numPr>
          <w:ilvl w:val="0"/>
          <w:numId w:val="10"/>
        </w:numPr>
        <w:spacing w:line="360" w:lineRule="auto"/>
        <w:jc w:val="both"/>
      </w:pPr>
      <w:r w:rsidRPr="00C91A0E">
        <w:rPr>
          <w:rFonts w:eastAsia="Arial"/>
        </w:rPr>
        <w:t xml:space="preserve">Watts, G., Cope, J. and Hulme, M. (1998) 'Ansoff's Matrix, pain and gain: growth strategies and adaptive learning among small food producers', International Journal of Entrepreneurial </w:t>
      </w:r>
      <w:proofErr w:type="spellStart"/>
      <w:r w:rsidRPr="00C91A0E">
        <w:rPr>
          <w:rFonts w:eastAsia="Arial"/>
        </w:rPr>
        <w:t>Behaviour</w:t>
      </w:r>
      <w:proofErr w:type="spellEnd"/>
      <w:r w:rsidRPr="00C91A0E">
        <w:rPr>
          <w:rFonts w:eastAsia="Arial"/>
        </w:rPr>
        <w:t xml:space="preserve"> &amp; Research, 4(2), pp. 101 to 111.</w:t>
      </w:r>
    </w:p>
    <w:sectPr w:rsidR="002B1E5D" w:rsidSect="00C91A0E">
      <w:footerReference w:type="default" r:id="rId13"/>
      <w:pgSz w:w="11906" w:h="16838"/>
      <w:pgMar w:top="1134" w:right="1417" w:bottom="1134" w:left="1417"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65598" w14:textId="77777777" w:rsidR="006459A4" w:rsidRDefault="006459A4">
      <w:pPr>
        <w:spacing w:after="0" w:line="240" w:lineRule="auto"/>
      </w:pPr>
      <w:r>
        <w:separator/>
      </w:r>
    </w:p>
  </w:endnote>
  <w:endnote w:type="continuationSeparator" w:id="0">
    <w:p w14:paraId="316B249E" w14:textId="77777777" w:rsidR="006459A4" w:rsidRDefault="00645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7144867"/>
      <w:docPartObj>
        <w:docPartGallery w:val="Page Numbers (Bottom of Page)"/>
        <w:docPartUnique/>
      </w:docPartObj>
    </w:sdtPr>
    <w:sdtEndPr>
      <w:rPr>
        <w:noProof/>
      </w:rPr>
    </w:sdtEndPr>
    <w:sdtContent>
      <w:p w14:paraId="347DC562" w14:textId="61DCC4E6" w:rsidR="00C91A0E" w:rsidRDefault="00C91A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EC40E4" w14:textId="69B70141" w:rsidR="002B1E5D" w:rsidRDefault="002B1E5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FFDEF" w14:textId="77777777" w:rsidR="006459A4" w:rsidRDefault="006459A4">
      <w:pPr>
        <w:spacing w:after="0" w:line="240" w:lineRule="auto"/>
      </w:pPr>
      <w:r>
        <w:separator/>
      </w:r>
    </w:p>
  </w:footnote>
  <w:footnote w:type="continuationSeparator" w:id="0">
    <w:p w14:paraId="2EFDC1F3" w14:textId="77777777" w:rsidR="006459A4" w:rsidRDefault="006459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2E61D3"/>
    <w:multiLevelType w:val="hybridMultilevel"/>
    <w:tmpl w:val="73F4CCBC"/>
    <w:lvl w:ilvl="0" w:tplc="E9BC6722">
      <w:start w:val="1"/>
      <w:numFmt w:val="decimal"/>
      <w:lvlText w:val="%1."/>
      <w:lvlJc w:val="left"/>
      <w:pPr>
        <w:ind w:left="272" w:hanging="250"/>
        <w:jc w:val="left"/>
      </w:pPr>
      <w:rPr>
        <w:rFonts w:ascii="Trebuchet MS" w:eastAsia="Trebuchet MS" w:hAnsi="Trebuchet MS" w:cs="Trebuchet MS" w:hint="default"/>
        <w:b w:val="0"/>
        <w:bCs w:val="0"/>
        <w:i w:val="0"/>
        <w:iCs w:val="0"/>
        <w:spacing w:val="0"/>
        <w:w w:val="77"/>
        <w:sz w:val="24"/>
        <w:szCs w:val="24"/>
        <w:lang w:val="en-US" w:eastAsia="en-US" w:bidi="ar-SA"/>
      </w:rPr>
    </w:lvl>
    <w:lvl w:ilvl="1" w:tplc="23ACD082">
      <w:numFmt w:val="bullet"/>
      <w:lvlText w:val="•"/>
      <w:lvlJc w:val="left"/>
      <w:pPr>
        <w:ind w:left="1159" w:hanging="250"/>
      </w:pPr>
      <w:rPr>
        <w:rFonts w:hint="default"/>
        <w:lang w:val="en-US" w:eastAsia="en-US" w:bidi="ar-SA"/>
      </w:rPr>
    </w:lvl>
    <w:lvl w:ilvl="2" w:tplc="A758756E">
      <w:numFmt w:val="bullet"/>
      <w:lvlText w:val="•"/>
      <w:lvlJc w:val="left"/>
      <w:pPr>
        <w:ind w:left="2038" w:hanging="250"/>
      </w:pPr>
      <w:rPr>
        <w:rFonts w:hint="default"/>
        <w:lang w:val="en-US" w:eastAsia="en-US" w:bidi="ar-SA"/>
      </w:rPr>
    </w:lvl>
    <w:lvl w:ilvl="3" w:tplc="84401008">
      <w:numFmt w:val="bullet"/>
      <w:lvlText w:val="•"/>
      <w:lvlJc w:val="left"/>
      <w:pPr>
        <w:ind w:left="2917" w:hanging="250"/>
      </w:pPr>
      <w:rPr>
        <w:rFonts w:hint="default"/>
        <w:lang w:val="en-US" w:eastAsia="en-US" w:bidi="ar-SA"/>
      </w:rPr>
    </w:lvl>
    <w:lvl w:ilvl="4" w:tplc="765885FC">
      <w:numFmt w:val="bullet"/>
      <w:lvlText w:val="•"/>
      <w:lvlJc w:val="left"/>
      <w:pPr>
        <w:ind w:left="3796" w:hanging="250"/>
      </w:pPr>
      <w:rPr>
        <w:rFonts w:hint="default"/>
        <w:lang w:val="en-US" w:eastAsia="en-US" w:bidi="ar-SA"/>
      </w:rPr>
    </w:lvl>
    <w:lvl w:ilvl="5" w:tplc="77F8FAC2">
      <w:numFmt w:val="bullet"/>
      <w:lvlText w:val="•"/>
      <w:lvlJc w:val="left"/>
      <w:pPr>
        <w:ind w:left="4675" w:hanging="250"/>
      </w:pPr>
      <w:rPr>
        <w:rFonts w:hint="default"/>
        <w:lang w:val="en-US" w:eastAsia="en-US" w:bidi="ar-SA"/>
      </w:rPr>
    </w:lvl>
    <w:lvl w:ilvl="6" w:tplc="B142D81C">
      <w:numFmt w:val="bullet"/>
      <w:lvlText w:val="•"/>
      <w:lvlJc w:val="left"/>
      <w:pPr>
        <w:ind w:left="5554" w:hanging="250"/>
      </w:pPr>
      <w:rPr>
        <w:rFonts w:hint="default"/>
        <w:lang w:val="en-US" w:eastAsia="en-US" w:bidi="ar-SA"/>
      </w:rPr>
    </w:lvl>
    <w:lvl w:ilvl="7" w:tplc="571642AC">
      <w:numFmt w:val="bullet"/>
      <w:lvlText w:val="•"/>
      <w:lvlJc w:val="left"/>
      <w:pPr>
        <w:ind w:left="6433" w:hanging="250"/>
      </w:pPr>
      <w:rPr>
        <w:rFonts w:hint="default"/>
        <w:lang w:val="en-US" w:eastAsia="en-US" w:bidi="ar-SA"/>
      </w:rPr>
    </w:lvl>
    <w:lvl w:ilvl="8" w:tplc="2CBA2D18">
      <w:numFmt w:val="bullet"/>
      <w:lvlText w:val="•"/>
      <w:lvlJc w:val="left"/>
      <w:pPr>
        <w:ind w:left="7312" w:hanging="250"/>
      </w:pPr>
      <w:rPr>
        <w:rFonts w:hint="default"/>
        <w:lang w:val="en-US" w:eastAsia="en-US" w:bidi="ar-SA"/>
      </w:rPr>
    </w:lvl>
  </w:abstractNum>
  <w:abstractNum w:abstractNumId="10" w15:restartNumberingAfterBreak="0">
    <w:nsid w:val="4A4A4BD2"/>
    <w:multiLevelType w:val="hybridMultilevel"/>
    <w:tmpl w:val="12746B6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583369954">
    <w:abstractNumId w:val="8"/>
  </w:num>
  <w:num w:numId="2" w16cid:durableId="1118455335">
    <w:abstractNumId w:val="6"/>
  </w:num>
  <w:num w:numId="3" w16cid:durableId="1936592826">
    <w:abstractNumId w:val="5"/>
  </w:num>
  <w:num w:numId="4" w16cid:durableId="378357505">
    <w:abstractNumId w:val="4"/>
  </w:num>
  <w:num w:numId="5" w16cid:durableId="746922025">
    <w:abstractNumId w:val="7"/>
  </w:num>
  <w:num w:numId="6" w16cid:durableId="292758156">
    <w:abstractNumId w:val="3"/>
  </w:num>
  <w:num w:numId="7" w16cid:durableId="1111360653">
    <w:abstractNumId w:val="2"/>
  </w:num>
  <w:num w:numId="8" w16cid:durableId="880245232">
    <w:abstractNumId w:val="1"/>
  </w:num>
  <w:num w:numId="9" w16cid:durableId="593630114">
    <w:abstractNumId w:val="0"/>
  </w:num>
  <w:num w:numId="10" w16cid:durableId="2061320584">
    <w:abstractNumId w:val="10"/>
  </w:num>
  <w:num w:numId="11" w16cid:durableId="15631290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1FD4"/>
    <w:rsid w:val="0006063C"/>
    <w:rsid w:val="0015074B"/>
    <w:rsid w:val="0029639D"/>
    <w:rsid w:val="002B1E5D"/>
    <w:rsid w:val="002F6C64"/>
    <w:rsid w:val="00326F90"/>
    <w:rsid w:val="003D1197"/>
    <w:rsid w:val="005F384D"/>
    <w:rsid w:val="006459A4"/>
    <w:rsid w:val="00682682"/>
    <w:rsid w:val="008F2CA4"/>
    <w:rsid w:val="00AA1D8D"/>
    <w:rsid w:val="00B47730"/>
    <w:rsid w:val="00C50AEA"/>
    <w:rsid w:val="00C91A0E"/>
    <w:rsid w:val="00CB0664"/>
    <w:rsid w:val="00CF4F1F"/>
    <w:rsid w:val="00E05B7D"/>
    <w:rsid w:val="00FB764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th-TH"/>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BDDEAFE"/>
  <w14:defaultImageDpi w14:val="300"/>
  <w15:docId w15:val="{45966E1B-B610-46AD-BC5C-1D70D53C9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cs="Arial"/>
      <w:sz w:val="24"/>
    </w:rPr>
  </w:style>
  <w:style w:type="paragraph" w:styleId="Heading1">
    <w:name w:val="heading 1"/>
    <w:basedOn w:val="Normal"/>
    <w:next w:val="Normal"/>
    <w:link w:val="Heading1Char"/>
    <w:uiPriority w:val="9"/>
    <w:qFormat/>
    <w:rsid w:val="00FC693F"/>
    <w:pPr>
      <w:keepNext/>
      <w:keepLines/>
      <w:spacing w:before="360" w:line="360" w:lineRule="auto"/>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40" w:after="120" w:line="360" w:lineRule="auto"/>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1"/>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F6C64"/>
    <w:pPr>
      <w:spacing w:after="100"/>
    </w:pPr>
  </w:style>
  <w:style w:type="paragraph" w:styleId="TOC2">
    <w:name w:val="toc 2"/>
    <w:basedOn w:val="Normal"/>
    <w:next w:val="Normal"/>
    <w:autoRedefine/>
    <w:uiPriority w:val="39"/>
    <w:unhideWhenUsed/>
    <w:rsid w:val="002F6C64"/>
    <w:pPr>
      <w:spacing w:after="100"/>
      <w:ind w:left="240"/>
    </w:pPr>
  </w:style>
  <w:style w:type="character" w:styleId="Hyperlink">
    <w:name w:val="Hyperlink"/>
    <w:basedOn w:val="DefaultParagraphFont"/>
    <w:uiPriority w:val="99"/>
    <w:unhideWhenUsed/>
    <w:rsid w:val="002F6C64"/>
    <w:rPr>
      <w:color w:val="0000FF" w:themeColor="hyperlink"/>
      <w:u w:val="single"/>
    </w:rPr>
  </w:style>
  <w:style w:type="paragraph" w:styleId="TableofFigures">
    <w:name w:val="table of figures"/>
    <w:basedOn w:val="Normal"/>
    <w:next w:val="Normal"/>
    <w:uiPriority w:val="99"/>
    <w:unhideWhenUsed/>
    <w:rsid w:val="00C91A0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6442</Words>
  <Characters>36722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43078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Sadhana Kumari</cp:lastModifiedBy>
  <cp:revision>3</cp:revision>
  <dcterms:created xsi:type="dcterms:W3CDTF">2026-08-11T21:58:00Z</dcterms:created>
  <dcterms:modified xsi:type="dcterms:W3CDTF">2026-08-11T22:00:00Z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7a6a473a-cc19-4c5a-b252-a6aa075e0611</vt:lpwstr>
  </property>
</Properties>
</file>