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9036E8" w14:textId="48B18344" w:rsidR="00AD0272" w:rsidRDefault="00AD0272" w:rsidP="00AD0272">
      <w:pPr>
        <w:spacing w:before="100" w:beforeAutospacing="1" w:after="100" w:afterAutospacing="1" w:line="240" w:lineRule="auto"/>
        <w:jc w:val="center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AD0272">
        <w:rPr>
          <w:rFonts w:ascii="Times New Roman" w:eastAsia="Times New Roman" w:hAnsi="Times New Roman" w:cs="Times New Roman"/>
          <w:b/>
          <w:bCs/>
          <w:noProof/>
          <w:kern w:val="0"/>
          <w:sz w:val="36"/>
          <w:szCs w:val="36"/>
          <w:lang w:eastAsia="en-GB"/>
          <w14:ligatures w14:val="none"/>
        </w:rPr>
        <w:drawing>
          <wp:inline distT="0" distB="0" distL="0" distR="0" wp14:anchorId="5D05AD61" wp14:editId="3DD94EBC">
            <wp:extent cx="3217333" cy="1286933"/>
            <wp:effectExtent l="0" t="0" r="2540" b="8890"/>
            <wp:docPr id="1026" name="Picture 1" descr="Discover University of Wales Trinity Saint David">
              <a:extLst xmlns:a="http://schemas.openxmlformats.org/drawingml/2006/main">
                <a:ext uri="{FF2B5EF4-FFF2-40B4-BE49-F238E27FC236}">
                  <a16:creationId xmlns:a16="http://schemas.microsoft.com/office/drawing/2014/main" id="{92FAD7C8-6626-469E-724C-0E0433CDB1C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1" descr="Discover University of Wales Trinity Saint David">
                      <a:extLst>
                        <a:ext uri="{FF2B5EF4-FFF2-40B4-BE49-F238E27FC236}">
                          <a16:creationId xmlns:a16="http://schemas.microsoft.com/office/drawing/2014/main" id="{92FAD7C8-6626-469E-724C-0E0433CDB1CD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7333" cy="1286933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</w:p>
    <w:p w14:paraId="2FBCB064" w14:textId="77777777" w:rsidR="00AD0272" w:rsidRDefault="00AD0272" w:rsidP="00E941AE">
      <w:pPr>
        <w:spacing w:before="100" w:beforeAutospacing="1" w:after="100" w:afterAutospacing="1" w:line="240" w:lineRule="auto"/>
        <w:jc w:val="both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</w:p>
    <w:p w14:paraId="53F7D6B4" w14:textId="77777777" w:rsidR="00AD0272" w:rsidRDefault="00AD0272" w:rsidP="00E941AE">
      <w:pPr>
        <w:spacing w:before="100" w:beforeAutospacing="1" w:after="100" w:afterAutospacing="1" w:line="240" w:lineRule="auto"/>
        <w:jc w:val="both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</w:p>
    <w:p w14:paraId="3C6F9D64" w14:textId="77777777" w:rsidR="00AD0272" w:rsidRDefault="00AD0272" w:rsidP="00E941AE">
      <w:pPr>
        <w:spacing w:before="100" w:beforeAutospacing="1" w:after="100" w:afterAutospacing="1" w:line="240" w:lineRule="auto"/>
        <w:jc w:val="both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</w:p>
    <w:p w14:paraId="506EF98B" w14:textId="77777777" w:rsidR="00AD0272" w:rsidRDefault="00AD0272" w:rsidP="00AD0272">
      <w:pPr>
        <w:spacing w:before="100" w:beforeAutospacing="1" w:after="100" w:afterAutospacing="1" w:line="240" w:lineRule="auto"/>
        <w:jc w:val="center"/>
        <w:outlineLvl w:val="1"/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val="nl-NL" w:eastAsia="en-GB"/>
          <w14:ligatures w14:val="none"/>
        </w:rPr>
      </w:pPr>
      <w:r w:rsidRPr="00AD0272"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val="nl-NL" w:eastAsia="en-GB"/>
          <w14:ligatures w14:val="none"/>
        </w:rPr>
        <w:t>Student name: Marcia Marques</w:t>
      </w:r>
    </w:p>
    <w:p w14:paraId="75DD7624" w14:textId="0534AA1E" w:rsidR="00AD0272" w:rsidRDefault="00AD0272" w:rsidP="00AD0272">
      <w:pPr>
        <w:spacing w:before="100" w:beforeAutospacing="1" w:after="100" w:afterAutospacing="1" w:line="240" w:lineRule="auto"/>
        <w:jc w:val="center"/>
        <w:outlineLvl w:val="1"/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val="nl-NL" w:eastAsia="en-GB"/>
          <w14:ligatures w14:val="none"/>
        </w:rPr>
      </w:pPr>
      <w:r w:rsidRPr="00AD0272"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val="nl-NL" w:eastAsia="en-GB"/>
          <w14:ligatures w14:val="none"/>
        </w:rPr>
        <w:br/>
        <w:t>Student ID:  2246784</w:t>
      </w:r>
    </w:p>
    <w:p w14:paraId="11A7DB81" w14:textId="77777777" w:rsidR="00AD0272" w:rsidRPr="00AD0272" w:rsidRDefault="00AD0272" w:rsidP="00AD0272">
      <w:pPr>
        <w:spacing w:before="100" w:beforeAutospacing="1" w:after="100" w:afterAutospacing="1" w:line="240" w:lineRule="auto"/>
        <w:jc w:val="center"/>
        <w:outlineLvl w:val="1"/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val="nl-NL" w:eastAsia="en-GB"/>
          <w14:ligatures w14:val="none"/>
        </w:rPr>
      </w:pPr>
    </w:p>
    <w:p w14:paraId="2BD10177" w14:textId="74967D88" w:rsidR="00AD0272" w:rsidRDefault="00AD0272" w:rsidP="00AD0272">
      <w:pPr>
        <w:spacing w:before="100" w:beforeAutospacing="1" w:after="100" w:afterAutospacing="1" w:line="240" w:lineRule="auto"/>
        <w:jc w:val="center"/>
        <w:outlineLvl w:val="1"/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val="nl-NL" w:eastAsia="en-GB"/>
          <w14:ligatures w14:val="none"/>
        </w:rPr>
      </w:pPr>
      <w:r w:rsidRPr="00AD0272"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val="nl-NL" w:eastAsia="en-GB"/>
          <w14:ligatures w14:val="none"/>
        </w:rPr>
        <w:t>Module name: Emp</w:t>
      </w:r>
      <w:r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val="nl-NL" w:eastAsia="en-GB"/>
          <w14:ligatures w14:val="none"/>
        </w:rPr>
        <w:t>o</w:t>
      </w:r>
      <w:r w:rsidRPr="00AD0272"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val="nl-NL" w:eastAsia="en-GB"/>
          <w14:ligatures w14:val="none"/>
        </w:rPr>
        <w:t>wering the Older Person</w:t>
      </w:r>
    </w:p>
    <w:p w14:paraId="68E1CE2F" w14:textId="77777777" w:rsidR="00AD0272" w:rsidRPr="00AD0272" w:rsidRDefault="00AD0272" w:rsidP="00AD0272">
      <w:pPr>
        <w:spacing w:before="100" w:beforeAutospacing="1" w:after="100" w:afterAutospacing="1" w:line="240" w:lineRule="auto"/>
        <w:jc w:val="center"/>
        <w:outlineLvl w:val="1"/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eastAsia="en-GB"/>
          <w14:ligatures w14:val="none"/>
        </w:rPr>
      </w:pPr>
    </w:p>
    <w:p w14:paraId="0C31FE96" w14:textId="77777777" w:rsidR="00AD0272" w:rsidRDefault="00AD0272" w:rsidP="00AD0272">
      <w:pPr>
        <w:spacing w:before="100" w:beforeAutospacing="1" w:after="100" w:afterAutospacing="1" w:line="240" w:lineRule="auto"/>
        <w:jc w:val="center"/>
        <w:outlineLvl w:val="1"/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val="en-US" w:eastAsia="en-GB"/>
          <w14:ligatures w14:val="none"/>
        </w:rPr>
      </w:pPr>
      <w:r w:rsidRPr="00AD0272"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val="en-US" w:eastAsia="en-GB"/>
          <w14:ligatures w14:val="none"/>
        </w:rPr>
        <w:t>Module code: BMHP6027</w:t>
      </w:r>
    </w:p>
    <w:p w14:paraId="29964729" w14:textId="77777777" w:rsidR="00AD0272" w:rsidRPr="00AD0272" w:rsidRDefault="00AD0272" w:rsidP="00AD0272">
      <w:pPr>
        <w:spacing w:before="100" w:beforeAutospacing="1" w:after="100" w:afterAutospacing="1" w:line="240" w:lineRule="auto"/>
        <w:jc w:val="center"/>
        <w:outlineLvl w:val="1"/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eastAsia="en-GB"/>
          <w14:ligatures w14:val="none"/>
        </w:rPr>
      </w:pPr>
    </w:p>
    <w:p w14:paraId="7500777D" w14:textId="4ECFFB7D" w:rsidR="00AD0272" w:rsidRPr="00AD0272" w:rsidRDefault="00AD0272" w:rsidP="00AD0272">
      <w:pPr>
        <w:spacing w:before="100" w:beforeAutospacing="1" w:after="100" w:afterAutospacing="1" w:line="240" w:lineRule="auto"/>
        <w:jc w:val="center"/>
        <w:outlineLvl w:val="1"/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eastAsia="en-GB"/>
          <w14:ligatures w14:val="none"/>
        </w:rPr>
      </w:pPr>
      <w:r w:rsidRPr="00AD0272">
        <w:rPr>
          <w:rFonts w:ascii="Times New Roman" w:eastAsia="Times New Roman" w:hAnsi="Times New Roman" w:cs="Times New Roman"/>
          <w:b/>
          <w:bCs/>
          <w:kern w:val="0"/>
          <w:sz w:val="44"/>
          <w:szCs w:val="44"/>
          <w:lang w:val="en-US" w:eastAsia="en-GB"/>
          <w14:ligatures w14:val="none"/>
        </w:rPr>
        <w:t>Lecturer’s name: Arif Ahmed</w:t>
      </w:r>
    </w:p>
    <w:p w14:paraId="021330D8" w14:textId="77777777" w:rsidR="00AD0272" w:rsidRDefault="00AD0272" w:rsidP="00AD0272">
      <w:pPr>
        <w:spacing w:before="100" w:beforeAutospacing="1" w:after="100" w:afterAutospacing="1" w:line="240" w:lineRule="auto"/>
        <w:jc w:val="center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</w:p>
    <w:p w14:paraId="405F575B" w14:textId="77777777" w:rsidR="00AD0272" w:rsidRDefault="00AD0272" w:rsidP="00E941AE">
      <w:pPr>
        <w:spacing w:before="100" w:beforeAutospacing="1" w:after="100" w:afterAutospacing="1" w:line="240" w:lineRule="auto"/>
        <w:jc w:val="both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</w:p>
    <w:p w14:paraId="37D9D4E9" w14:textId="77777777" w:rsidR="00AD0272" w:rsidRDefault="00AD0272" w:rsidP="00E941AE">
      <w:pPr>
        <w:spacing w:before="100" w:beforeAutospacing="1" w:after="100" w:afterAutospacing="1" w:line="240" w:lineRule="auto"/>
        <w:jc w:val="both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</w:p>
    <w:p w14:paraId="1A60A9EA" w14:textId="77777777" w:rsidR="00AD0272" w:rsidRDefault="00AD0272" w:rsidP="00E941AE">
      <w:pPr>
        <w:spacing w:before="100" w:beforeAutospacing="1" w:after="100" w:afterAutospacing="1" w:line="240" w:lineRule="auto"/>
        <w:jc w:val="both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</w:p>
    <w:p w14:paraId="60F8AB61" w14:textId="6A974B54" w:rsidR="00E941AE" w:rsidRPr="00E941AE" w:rsidRDefault="00E941AE" w:rsidP="00E941AE">
      <w:pPr>
        <w:spacing w:before="100" w:beforeAutospacing="1" w:after="100" w:afterAutospacing="1" w:line="240" w:lineRule="auto"/>
        <w:jc w:val="both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lastRenderedPageBreak/>
        <w:t>Reference List</w:t>
      </w:r>
    </w:p>
    <w:p w14:paraId="3ED38E84" w14:textId="78BD07E2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Antonacci, G., Benevento, E., </w:t>
      </w:r>
      <w:proofErr w:type="spellStart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Bonavitacola</w:t>
      </w:r>
      <w:proofErr w:type="spellEnd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S., </w:t>
      </w:r>
      <w:proofErr w:type="spellStart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Cannavacciuolo</w:t>
      </w:r>
      <w:proofErr w:type="spellEnd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L., Foglia, E., Fusi, G., Garagiola, E., </w:t>
      </w:r>
      <w:proofErr w:type="spellStart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Ponsiglione</w:t>
      </w:r>
      <w:proofErr w:type="spellEnd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C.,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Stefanini, A. (2023). Healthcare professional and manager perceptions on drivers, benefits, and challenges of telemedicine: Results from a cross-sectional survey in the Italian NHS.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BMC Health Services Research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23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(1), 1115.</w:t>
      </w:r>
    </w:p>
    <w:p w14:paraId="550F3578" w14:textId="0272350E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Doraiswamy, S., Jithesh, A., </w:t>
      </w:r>
      <w:proofErr w:type="spellStart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Mamtani</w:t>
      </w:r>
      <w:proofErr w:type="spellEnd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R., Abraham, A.,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Cheema, S. (2021). Telehealth use in geriatrics care during the COVID-19 pandemic—a scoping review and evidence synthesis.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International Journal of Environmental Research and Public Health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18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(4), 1755.</w:t>
      </w:r>
    </w:p>
    <w:p w14:paraId="43831C6D" w14:textId="6846CE1E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Goldberg, E. M., Lin, M. P., Burke, L. G., Jiménez, F. N., Davoodi, N. M.,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Merchant, R. C. (2022). Perspectives on telehealth for older adults during the COVID-19 pandemic using the quadruple aim: Interviews with 48 physicians.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BMC Geriatrics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22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(1), 188.</w:t>
      </w:r>
    </w:p>
    <w:p w14:paraId="17E667A7" w14:textId="5C19CFFC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Hunter, I., Lockhart, C., Rao, V., Tootell, B.,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Wong, S. (2022). Enabling rural telehealth for older adults in underserved rural communities: Focus group study.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JMIR Formative Research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6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(11), e35864.</w:t>
      </w:r>
    </w:p>
    <w:p w14:paraId="7D233447" w14:textId="512D9D41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val="de-DE" w:eastAsia="en-GB"/>
          <w14:ligatures w14:val="none"/>
        </w:rPr>
        <w:t xml:space="preserve">Juie, B. J. A., Kabir, J. U. Z., Ahmed, R. A., </w:t>
      </w:r>
      <w:r>
        <w:rPr>
          <w:rFonts w:ascii="Times New Roman" w:eastAsia="Times New Roman" w:hAnsi="Times New Roman" w:cs="Times New Roman"/>
          <w:kern w:val="0"/>
          <w:lang w:val="de-DE"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val="de-DE" w:eastAsia="en-GB"/>
          <w14:ligatures w14:val="none"/>
        </w:rPr>
        <w:t xml:space="preserve"> Rahman, M. M. (2021). 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Evaluating the impact of telemedicine through analytics: Lessons learned from the COVID-19 era.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Journal of Medical and Health Studies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2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(2), 161–174.</w:t>
      </w:r>
    </w:p>
    <w:p w14:paraId="4A9973FD" w14:textId="59E38EE6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Kalicki, A. V., Moody, K. A., Franzosa, E., </w:t>
      </w:r>
      <w:proofErr w:type="spellStart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Gliatto</w:t>
      </w:r>
      <w:proofErr w:type="spellEnd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P. M.,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Ornstein, K. A. (2021). Barriers to telehealth access among homebound older adults.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Journal of the American Geriatrics Society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69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(9), 2404–2411.</w:t>
      </w:r>
    </w:p>
    <w:p w14:paraId="7C0395D6" w14:textId="0648E593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Kim, Y. K.,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Ang, S. (2023). Older adults with functional limitations and their use of telehealth during COVID-19.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Research on Aging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45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(9-10), 609–619.</w:t>
      </w:r>
    </w:p>
    <w:p w14:paraId="30982648" w14:textId="3A899ED7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Ladin, K., </w:t>
      </w:r>
      <w:proofErr w:type="spellStart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Porteny</w:t>
      </w:r>
      <w:proofErr w:type="spellEnd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T., Perugini, J. M., Gonzales, K. M., </w:t>
      </w:r>
      <w:proofErr w:type="spellStart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Aufort</w:t>
      </w:r>
      <w:proofErr w:type="spellEnd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K. E., Levine, S. K., Wong, J. B., Isakova, T., Rifkin, D., Gordon, E. J.,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Rossi, A. (2021). Perceptions of telehealth vs in-person visits among older adults with advanced kidney disease, care partners, and clinicians.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JAMA Network Open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4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(12), e2137193.</w:t>
      </w:r>
    </w:p>
    <w:p w14:paraId="58017597" w14:textId="1D02CE00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Leff, B., Ritchie, C. S., Rising, K. L., Cannon, K.,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Wardlow, L. (2025). Addressing barriers to equitable telehealth for older adults.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Frontiers in Medicine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12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1483366.</w:t>
      </w:r>
    </w:p>
    <w:p w14:paraId="4B090F1A" w14:textId="616BE761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Lyu, M., Zhao, Q., Yang, Y., Hao, X., Qin, Y.,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Li, K. (2022). Benefits of and barriers to telehealth for the informal caregivers of elderly individuals in rural areas: A scoping review.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Australian Journal of Rural Health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30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(4), 442–457.</w:t>
      </w:r>
    </w:p>
    <w:p w14:paraId="35952BD7" w14:textId="098CF22D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Masterson Creber, R., Dodson, J. A., Bidwell, J., </w:t>
      </w:r>
      <w:proofErr w:type="spellStart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Breathett</w:t>
      </w:r>
      <w:proofErr w:type="spellEnd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K., Lyles, C., Harmon Still, C., Ooi, S. Y., Yancy, C.,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proofErr w:type="spellStart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Kitsiou</w:t>
      </w:r>
      <w:proofErr w:type="spellEnd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S. (2023). Telehealth and health equity in older adults with heart failure: A scientific statement from the American Heart Association.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Circulation: Cardiovascular Quality and Outcomes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16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(11), e000123.</w:t>
      </w:r>
    </w:p>
    <w:p w14:paraId="36BFB750" w14:textId="77777777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Parsons, J. A. (2021). The telemedical imperative.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Bioethics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35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(4), 298–306.</w:t>
      </w:r>
    </w:p>
    <w:p w14:paraId="73E85A97" w14:textId="714234B7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Rush, K. L., Singh, S., Seaton, C. L., Burton, L., Li, E., Jones, C., Davis, J. C., Hasan, K., Kern, B.,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Janke, R. (2022). Telehealth use for enhancing the health of rural older adults: A systematic mixed studies review.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Gerontologist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62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(10), e564–e577.</w:t>
      </w:r>
    </w:p>
    <w:p w14:paraId="33E84D97" w14:textId="13458F6D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Sloan, M., Lever, E., Harwood, R., Gordon, C., Wincup, C., Blane, M., </w:t>
      </w:r>
      <w:proofErr w:type="spellStart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Brimicombe</w:t>
      </w:r>
      <w:proofErr w:type="spellEnd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J., Lanyon, P., Howard, P., Sutton, S.,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D’Cruz, D. (2022). Telemedicine in rheumatology: A mixed methods study exploring acceptability, preferences and experiences among patients and clinicians.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Rheumatology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61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(6), 2262–2274.</w:t>
      </w:r>
    </w:p>
    <w:p w14:paraId="71F561B5" w14:textId="72C8C38F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Springer, S., Lund, T. B., Corr, S. A.,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Sandøe, P. (2024). Seeing the </w:t>
      </w:r>
      <w:proofErr w:type="gramStart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benefits, but</w:t>
      </w:r>
      <w:proofErr w:type="gramEnd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not taking advantage of them: Dog and cat owners’ beliefs about veterinary telemedicine.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Veterinary Record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194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(5), e145.</w:t>
      </w:r>
    </w:p>
    <w:p w14:paraId="6DB2645F" w14:textId="68A5EDB9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val="de-DE" w:eastAsia="en-GB"/>
          <w14:ligatures w14:val="none"/>
        </w:rPr>
        <w:t xml:space="preserve">Steindal, S. A., Nes, A. A. G., Godskesen, T. E., Holmen, H., Winger, A., Österlind, J., Dihle, A., </w:t>
      </w:r>
      <w:r>
        <w:rPr>
          <w:rFonts w:ascii="Times New Roman" w:eastAsia="Times New Roman" w:hAnsi="Times New Roman" w:cs="Times New Roman"/>
          <w:kern w:val="0"/>
          <w:lang w:val="de-DE"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val="de-DE" w:eastAsia="en-GB"/>
          <w14:ligatures w14:val="none"/>
        </w:rPr>
        <w:t xml:space="preserve"> Klarare, A. (2023). 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Advantages and challenges of using telehealth for home-based palliative care: Systematic mixed studies review.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Journal of Medical Internet Research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25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e43684.</w:t>
      </w:r>
    </w:p>
    <w:p w14:paraId="6FC18805" w14:textId="7D176BEE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Turcotte, S., Bouchard, C., Rousseau, J., DeBroux Leduc, R., Bier, N., Kairy, D., Dang-Vu, T. T., </w:t>
      </w:r>
      <w:proofErr w:type="spellStart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Sarimanukoglu</w:t>
      </w:r>
      <w:proofErr w:type="spellEnd"/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K., Dubé, F., Bourgeois Racine, C.,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Rioux, C. (2024). Factors influencing older adults' participation in telehealth interventions for primary prevention and health promotion: A rapid review.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Australasian Journal on Ageing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43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(1), 11–30.</w:t>
      </w:r>
    </w:p>
    <w:p w14:paraId="6E8C1D3A" w14:textId="0D0D1E17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Turner, A., Morris, R., Rakhra, D., Stevenson, F., McDonagh, L., Hamilton, F., Atherton, H., Farr, M., Blake, S., Banks, J.,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Lasseter, G. (2021). Unintended consequences of online consultations: A qualitative study in UK primary care.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British Journal of General Practice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104A2C30" w14:textId="25EC5CB3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Wardlow, L., Leff, B., Biese, K., Roberts, C., Archbald-Pannone, L., Ritchie, C., DeCherrie, L. V., Sikka, N., Gillespie, S. M.,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Collaborative for Telehealth and Aging. (2023). Development of telehealth principles and guidelines for older adults: A modified Delphi approach.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Journal of the American Geriatrics Society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71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(2), 371–382.</w:t>
      </w:r>
    </w:p>
    <w:p w14:paraId="088DF97E" w14:textId="43E54DBF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Wardlow, L., Roberts, C., Archbald-Pannone, L.,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Collaborative for Telehealth and Aging. (2023). Perceptions and uses of telehealth in the care of older adults.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Telemedicine and e-Health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29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(8), 1143–1151.</w:t>
      </w:r>
    </w:p>
    <w:p w14:paraId="49A91843" w14:textId="2D88E689" w:rsidR="00E941AE" w:rsidRPr="00E941AE" w:rsidRDefault="00E941AE" w:rsidP="00E941AE">
      <w:pPr>
        <w:numPr>
          <w:ilvl w:val="0"/>
          <w:numId w:val="2"/>
        </w:num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Yun, J. J., Zhao, X., 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and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Liu, Z. (2024). Regulation architecture of open innovation under digital transformation: Case study on telemedicine and for-profit-hospital.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Journal of Open Innovation: Technology, Market, and Complexity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E941A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10</w:t>
      </w:r>
      <w:r w:rsidRPr="00E941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(1), 100252.</w:t>
      </w:r>
    </w:p>
    <w:p w14:paraId="6F45195E" w14:textId="4FC7EBB9" w:rsidR="00E941AE" w:rsidRDefault="00E941AE" w:rsidP="00E941AE">
      <w:pPr>
        <w:jc w:val="both"/>
      </w:pPr>
    </w:p>
    <w:sectPr w:rsidR="00E941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6610D1"/>
    <w:multiLevelType w:val="multilevel"/>
    <w:tmpl w:val="985A5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307B52"/>
    <w:multiLevelType w:val="hybridMultilevel"/>
    <w:tmpl w:val="9CAAA3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1693597">
    <w:abstractNumId w:val="1"/>
  </w:num>
  <w:num w:numId="2" w16cid:durableId="874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41AE"/>
    <w:rsid w:val="005C59AB"/>
    <w:rsid w:val="009179C3"/>
    <w:rsid w:val="00AD0272"/>
    <w:rsid w:val="00CF3536"/>
    <w:rsid w:val="00E941AE"/>
    <w:rsid w:val="00F85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9BE5E"/>
  <w15:chartTrackingRefBased/>
  <w15:docId w15:val="{2C2429C2-9BA0-4104-80CB-335B02C8F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41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41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41A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41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41A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41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41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41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41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41A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41A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41A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41A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41A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41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41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41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41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41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41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41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41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41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41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41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41A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41A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41A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41AE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818</Words>
  <Characters>4667</Characters>
  <Application>Microsoft Office Word</Application>
  <DocSecurity>0</DocSecurity>
  <Lines>38</Lines>
  <Paragraphs>10</Paragraphs>
  <ScaleCrop>false</ScaleCrop>
  <Company/>
  <LinksUpToDate>false</LinksUpToDate>
  <CharactersWithSpaces>5475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Marcia Marques</cp:lastModifiedBy>
  <cp:revision>4</cp:revision>
  <dcterms:created xsi:type="dcterms:W3CDTF">2026-04-02T15:30:00Z</dcterms:created>
  <dcterms:modified xsi:type="dcterms:W3CDTF">2026-04-07T12:22:00Z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8b62123d-2f7b-470c-b592-1fd87fe15c7d</vt:lpwstr>
  </property>
</Properties>
</file>