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7BB1A" w14:textId="77777777" w:rsidR="00CC4E59" w:rsidRPr="00FF6116" w:rsidRDefault="00CC4E59">
      <w:pPr>
        <w:spacing w:line="360" w:lineRule="auto"/>
        <w:jc w:val="center"/>
        <w:rPr>
          <w:b/>
          <w:bCs/>
          <w:sz w:val="32"/>
          <w:szCs w:val="32"/>
        </w:rPr>
      </w:pPr>
    </w:p>
    <w:p w14:paraId="21519DCD" w14:textId="77777777" w:rsidR="00CC4E59" w:rsidRPr="00FF6116" w:rsidRDefault="00CC4E59">
      <w:pPr>
        <w:spacing w:line="360" w:lineRule="auto"/>
        <w:jc w:val="center"/>
        <w:rPr>
          <w:b/>
          <w:bCs/>
          <w:sz w:val="32"/>
          <w:szCs w:val="32"/>
        </w:rPr>
      </w:pPr>
    </w:p>
    <w:p w14:paraId="531F94A4" w14:textId="77777777" w:rsidR="00CC4E59" w:rsidRPr="00FF6116" w:rsidRDefault="00CC4E59">
      <w:pPr>
        <w:spacing w:line="360" w:lineRule="auto"/>
        <w:jc w:val="center"/>
        <w:rPr>
          <w:b/>
          <w:bCs/>
          <w:sz w:val="32"/>
          <w:szCs w:val="32"/>
        </w:rPr>
      </w:pPr>
    </w:p>
    <w:p w14:paraId="7D96493E" w14:textId="77777777" w:rsidR="00CC4E59" w:rsidRPr="00FF6116" w:rsidRDefault="00CC4E59">
      <w:pPr>
        <w:spacing w:line="360" w:lineRule="auto"/>
        <w:jc w:val="center"/>
        <w:rPr>
          <w:b/>
          <w:bCs/>
          <w:sz w:val="32"/>
          <w:szCs w:val="32"/>
        </w:rPr>
      </w:pPr>
    </w:p>
    <w:p w14:paraId="0984BE6C" w14:textId="77777777" w:rsidR="00CC4E59" w:rsidRPr="00FF6116" w:rsidRDefault="00CC4E59">
      <w:pPr>
        <w:spacing w:line="360" w:lineRule="auto"/>
        <w:jc w:val="center"/>
        <w:rPr>
          <w:b/>
          <w:bCs/>
          <w:sz w:val="32"/>
          <w:szCs w:val="32"/>
        </w:rPr>
      </w:pPr>
    </w:p>
    <w:p w14:paraId="4489E21E" w14:textId="77777777" w:rsidR="00CC4E59" w:rsidRPr="00FF6116" w:rsidRDefault="00CC4E59">
      <w:pPr>
        <w:spacing w:line="360" w:lineRule="auto"/>
        <w:jc w:val="center"/>
        <w:rPr>
          <w:b/>
          <w:bCs/>
          <w:sz w:val="32"/>
          <w:szCs w:val="32"/>
        </w:rPr>
      </w:pPr>
    </w:p>
    <w:p w14:paraId="78B46B2B" w14:textId="77777777" w:rsidR="00CC4E59" w:rsidRPr="00FF6116" w:rsidRDefault="007540F2">
      <w:pPr>
        <w:spacing w:line="360" w:lineRule="auto"/>
        <w:jc w:val="center"/>
        <w:rPr>
          <w:b/>
          <w:bCs/>
          <w:sz w:val="32"/>
          <w:szCs w:val="32"/>
        </w:rPr>
      </w:pPr>
      <w:r w:rsidRPr="00FF6116">
        <w:rPr>
          <w:b/>
          <w:bCs/>
          <w:noProof/>
          <w:sz w:val="32"/>
          <w:szCs w:val="32"/>
          <w:lang w:eastAsia="en-GB"/>
        </w:rPr>
        <w:drawing>
          <wp:inline distT="114300" distB="114300" distL="114300" distR="114300" wp14:anchorId="671E786C" wp14:editId="16FEC75D">
            <wp:extent cx="2071489" cy="93642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71489" cy="936427"/>
                    </a:xfrm>
                    <a:prstGeom prst="rect">
                      <a:avLst/>
                    </a:prstGeom>
                    <a:ln/>
                  </pic:spPr>
                </pic:pic>
              </a:graphicData>
            </a:graphic>
          </wp:inline>
        </w:drawing>
      </w:r>
    </w:p>
    <w:p w14:paraId="3C803B65" w14:textId="77777777" w:rsidR="00CC4E59" w:rsidRPr="00FF6116" w:rsidRDefault="007540F2">
      <w:pPr>
        <w:spacing w:line="360" w:lineRule="auto"/>
        <w:jc w:val="center"/>
        <w:rPr>
          <w:b/>
          <w:bCs/>
          <w:sz w:val="32"/>
          <w:szCs w:val="32"/>
        </w:rPr>
      </w:pPr>
      <w:r w:rsidRPr="00FF6116">
        <w:rPr>
          <w:b/>
          <w:bCs/>
          <w:sz w:val="32"/>
          <w:szCs w:val="32"/>
        </w:rPr>
        <w:t>Programme: Certificate of Higher Education in Health and Social Care</w:t>
      </w:r>
    </w:p>
    <w:p w14:paraId="1E736564" w14:textId="77777777" w:rsidR="00CC4E59" w:rsidRPr="00FF6116" w:rsidRDefault="007540F2">
      <w:pPr>
        <w:spacing w:line="360" w:lineRule="auto"/>
        <w:jc w:val="center"/>
        <w:rPr>
          <w:b/>
          <w:bCs/>
          <w:sz w:val="32"/>
          <w:szCs w:val="32"/>
        </w:rPr>
      </w:pPr>
      <w:r w:rsidRPr="00FF6116">
        <w:rPr>
          <w:b/>
          <w:bCs/>
          <w:sz w:val="32"/>
          <w:szCs w:val="32"/>
        </w:rPr>
        <w:t>Module: Psychology in Health and Social Care</w:t>
      </w:r>
    </w:p>
    <w:p w14:paraId="4C055CAF" w14:textId="77777777" w:rsidR="00CC4E59" w:rsidRDefault="007540F2">
      <w:pPr>
        <w:spacing w:line="360" w:lineRule="auto"/>
        <w:jc w:val="center"/>
        <w:rPr>
          <w:b/>
          <w:bCs/>
          <w:sz w:val="32"/>
          <w:szCs w:val="32"/>
        </w:rPr>
      </w:pPr>
      <w:r w:rsidRPr="00FF6116">
        <w:rPr>
          <w:b/>
          <w:bCs/>
          <w:sz w:val="32"/>
          <w:szCs w:val="32"/>
        </w:rPr>
        <w:t>Module code: LCHS4010</w:t>
      </w:r>
    </w:p>
    <w:p w14:paraId="0CA7148B" w14:textId="546457B3" w:rsidR="00C70BBD" w:rsidRDefault="00C70BBD">
      <w:pPr>
        <w:spacing w:line="360" w:lineRule="auto"/>
        <w:jc w:val="center"/>
        <w:rPr>
          <w:b/>
          <w:bCs/>
          <w:sz w:val="32"/>
          <w:szCs w:val="32"/>
        </w:rPr>
      </w:pPr>
      <w:r>
        <w:rPr>
          <w:b/>
          <w:bCs/>
          <w:sz w:val="32"/>
          <w:szCs w:val="32"/>
        </w:rPr>
        <w:t>Anne Simao – Masuma</w:t>
      </w:r>
    </w:p>
    <w:p w14:paraId="12DEED66" w14:textId="7BA19F8E" w:rsidR="00C70BBD" w:rsidRPr="00FF6116" w:rsidRDefault="00C70BBD">
      <w:pPr>
        <w:spacing w:line="360" w:lineRule="auto"/>
        <w:jc w:val="center"/>
        <w:rPr>
          <w:b/>
          <w:bCs/>
          <w:sz w:val="32"/>
          <w:szCs w:val="32"/>
        </w:rPr>
      </w:pPr>
      <w:r>
        <w:rPr>
          <w:b/>
          <w:bCs/>
          <w:sz w:val="32"/>
          <w:szCs w:val="32"/>
        </w:rPr>
        <w:t>ID:2428694</w:t>
      </w:r>
    </w:p>
    <w:p w14:paraId="04C177A0" w14:textId="163A8030" w:rsidR="00E5321C" w:rsidRDefault="00C70BBD">
      <w:pPr>
        <w:spacing w:line="360" w:lineRule="auto"/>
        <w:jc w:val="center"/>
        <w:rPr>
          <w:b/>
          <w:bCs/>
          <w:sz w:val="32"/>
          <w:szCs w:val="32"/>
        </w:rPr>
      </w:pPr>
      <w:r>
        <w:rPr>
          <w:b/>
          <w:bCs/>
          <w:sz w:val="32"/>
          <w:szCs w:val="32"/>
        </w:rPr>
        <w:t>Lecturer</w:t>
      </w:r>
      <w:r w:rsidR="007540F2" w:rsidRPr="00FF6116">
        <w:rPr>
          <w:b/>
          <w:bCs/>
          <w:sz w:val="32"/>
          <w:szCs w:val="32"/>
        </w:rPr>
        <w:t xml:space="preserve">: </w:t>
      </w:r>
      <w:r>
        <w:rPr>
          <w:b/>
          <w:bCs/>
          <w:sz w:val="32"/>
          <w:szCs w:val="32"/>
        </w:rPr>
        <w:t xml:space="preserve">Pascal </w:t>
      </w:r>
      <w:proofErr w:type="spellStart"/>
      <w:r>
        <w:rPr>
          <w:b/>
          <w:bCs/>
          <w:sz w:val="32"/>
          <w:szCs w:val="32"/>
        </w:rPr>
        <w:t>Navelle</w:t>
      </w:r>
      <w:proofErr w:type="spellEnd"/>
    </w:p>
    <w:p w14:paraId="6A77B7E6" w14:textId="77777777" w:rsidR="00E5321C" w:rsidRDefault="00E5321C">
      <w:pPr>
        <w:rPr>
          <w:b/>
          <w:bCs/>
          <w:sz w:val="32"/>
          <w:szCs w:val="32"/>
        </w:rPr>
      </w:pPr>
      <w:r>
        <w:rPr>
          <w:b/>
          <w:bCs/>
          <w:sz w:val="32"/>
          <w:szCs w:val="32"/>
        </w:rPr>
        <w:br w:type="page"/>
      </w:r>
    </w:p>
    <w:p w14:paraId="1F55C62A" w14:textId="7D10E15E" w:rsidR="00CC4E59" w:rsidRDefault="00E5321C">
      <w:pPr>
        <w:spacing w:line="360" w:lineRule="auto"/>
        <w:jc w:val="center"/>
        <w:rPr>
          <w:b/>
          <w:bCs/>
          <w:sz w:val="24"/>
          <w:szCs w:val="24"/>
        </w:rPr>
      </w:pPr>
      <w:r w:rsidRPr="00E5321C">
        <w:rPr>
          <w:b/>
          <w:bCs/>
          <w:sz w:val="24"/>
          <w:szCs w:val="24"/>
        </w:rPr>
        <w:lastRenderedPageBreak/>
        <w:t xml:space="preserve">Executive Summary </w:t>
      </w:r>
    </w:p>
    <w:p w14:paraId="7EBB8AA6" w14:textId="573CAFBE" w:rsidR="00E5321C" w:rsidRPr="00E5321C" w:rsidRDefault="00E5321C" w:rsidP="00E5321C">
      <w:pPr>
        <w:spacing w:line="360" w:lineRule="auto"/>
        <w:jc w:val="both"/>
        <w:rPr>
          <w:sz w:val="24"/>
          <w:szCs w:val="24"/>
        </w:rPr>
      </w:pPr>
      <w:r>
        <w:rPr>
          <w:sz w:val="24"/>
          <w:szCs w:val="24"/>
        </w:rPr>
        <w:t xml:space="preserve">The current report aimed at </w:t>
      </w:r>
      <w:r w:rsidRPr="00E5321C">
        <w:rPr>
          <w:sz w:val="24"/>
          <w:szCs w:val="24"/>
        </w:rPr>
        <w:t>report aimed at health and social care professionals working in an older adult</w:t>
      </w:r>
      <w:r>
        <w:rPr>
          <w:sz w:val="24"/>
          <w:szCs w:val="24"/>
        </w:rPr>
        <w:t xml:space="preserve"> </w:t>
      </w:r>
      <w:r w:rsidRPr="00E5321C">
        <w:rPr>
          <w:sz w:val="24"/>
          <w:szCs w:val="24"/>
        </w:rPr>
        <w:t>care home</w:t>
      </w:r>
      <w:r>
        <w:rPr>
          <w:sz w:val="24"/>
          <w:szCs w:val="24"/>
        </w:rPr>
        <w:t xml:space="preserve">, providing vivid and critical explanation of theories used in aforementioned bibliography such as </w:t>
      </w:r>
      <w:r w:rsidRPr="00E5321C">
        <w:rPr>
          <w:sz w:val="24"/>
          <w:szCs w:val="24"/>
        </w:rPr>
        <w:t>Erikson’s psychosocial stages</w:t>
      </w:r>
      <w:r>
        <w:rPr>
          <w:sz w:val="24"/>
          <w:szCs w:val="24"/>
        </w:rPr>
        <w:t xml:space="preserve">, </w:t>
      </w:r>
      <w:r w:rsidRPr="00E5321C">
        <w:rPr>
          <w:sz w:val="24"/>
          <w:szCs w:val="24"/>
        </w:rPr>
        <w:t>Havighurst’s Activity Theory</w:t>
      </w:r>
      <w:r>
        <w:rPr>
          <w:sz w:val="24"/>
          <w:szCs w:val="24"/>
        </w:rPr>
        <w:t xml:space="preserve">, </w:t>
      </w:r>
      <w:r w:rsidRPr="00E5321C">
        <w:rPr>
          <w:sz w:val="24"/>
          <w:szCs w:val="24"/>
        </w:rPr>
        <w:t>Bowlby’s attachment theory</w:t>
      </w:r>
      <w:r>
        <w:rPr>
          <w:sz w:val="24"/>
          <w:szCs w:val="24"/>
        </w:rPr>
        <w:t xml:space="preserve"> as well as </w:t>
      </w:r>
      <w:r w:rsidRPr="00E5321C">
        <w:rPr>
          <w:sz w:val="24"/>
          <w:szCs w:val="24"/>
        </w:rPr>
        <w:t>Newman’s theory</w:t>
      </w:r>
      <w:r>
        <w:rPr>
          <w:sz w:val="24"/>
          <w:szCs w:val="24"/>
        </w:rPr>
        <w:t xml:space="preserve">. The ways these theories can improve psychological wellbeing of older adults in the UK, can be known.  Real-world examples have also been cited to add relevance. </w:t>
      </w:r>
    </w:p>
    <w:p w14:paraId="0D16E4A2" w14:textId="77777777" w:rsidR="00CC4E59" w:rsidRPr="00FF6116" w:rsidRDefault="00CC4E59">
      <w:pPr>
        <w:spacing w:line="360" w:lineRule="auto"/>
        <w:jc w:val="center"/>
        <w:rPr>
          <w:b/>
          <w:bCs/>
        </w:rPr>
      </w:pPr>
    </w:p>
    <w:p w14:paraId="424DD479" w14:textId="77777777" w:rsidR="00CC4E59" w:rsidRPr="00FF6116" w:rsidRDefault="00CC4E59">
      <w:pPr>
        <w:spacing w:line="360" w:lineRule="auto"/>
        <w:jc w:val="center"/>
        <w:rPr>
          <w:b/>
          <w:bCs/>
        </w:rPr>
      </w:pPr>
    </w:p>
    <w:p w14:paraId="1519720B" w14:textId="77777777" w:rsidR="007B519F" w:rsidRPr="00FF6116" w:rsidRDefault="007B519F">
      <w:pPr>
        <w:rPr>
          <w:rFonts w:ascii="Times New Roman" w:eastAsia="Times New Roman" w:hAnsi="Times New Roman" w:cs="Times New Roman"/>
          <w:b/>
          <w:bCs/>
          <w:sz w:val="24"/>
          <w:szCs w:val="24"/>
        </w:rPr>
      </w:pPr>
      <w:bookmarkStart w:id="0" w:name="_idia8sltgvbb" w:colFirst="0" w:colLast="0"/>
      <w:bookmarkEnd w:id="0"/>
      <w:r w:rsidRPr="00FF6116">
        <w:br w:type="page"/>
      </w:r>
    </w:p>
    <w:sdt>
      <w:sdtPr>
        <w:rPr>
          <w:rFonts w:ascii="Arial" w:eastAsia="Arial" w:hAnsi="Arial" w:cs="Arial"/>
          <w:color w:val="auto"/>
          <w:sz w:val="22"/>
          <w:szCs w:val="22"/>
          <w:lang w:val="en-GB" w:eastAsia="en-IN"/>
        </w:rPr>
        <w:id w:val="1527600845"/>
        <w:docPartObj>
          <w:docPartGallery w:val="Table of Contents"/>
          <w:docPartUnique/>
        </w:docPartObj>
      </w:sdtPr>
      <w:sdtEndPr>
        <w:rPr>
          <w:b/>
          <w:bCs/>
          <w:noProof/>
        </w:rPr>
      </w:sdtEndPr>
      <w:sdtContent>
        <w:p w14:paraId="3092C280" w14:textId="3AECBE27" w:rsidR="007B519F" w:rsidRPr="00FF6116" w:rsidRDefault="007B519F" w:rsidP="007B519F">
          <w:pPr>
            <w:pStyle w:val="TOCHeading"/>
            <w:spacing w:line="360" w:lineRule="auto"/>
            <w:jc w:val="center"/>
            <w:rPr>
              <w:rFonts w:ascii="Arial" w:hAnsi="Arial" w:cs="Arial"/>
              <w:b/>
              <w:bCs/>
              <w:color w:val="auto"/>
              <w:sz w:val="24"/>
              <w:szCs w:val="24"/>
              <w:lang w:val="en-GB"/>
            </w:rPr>
          </w:pPr>
          <w:r w:rsidRPr="00FF6116">
            <w:rPr>
              <w:rFonts w:ascii="Arial" w:hAnsi="Arial" w:cs="Arial"/>
              <w:b/>
              <w:bCs/>
              <w:color w:val="auto"/>
              <w:sz w:val="24"/>
              <w:szCs w:val="24"/>
              <w:lang w:val="en-GB"/>
            </w:rPr>
            <w:t>Table of Contents</w:t>
          </w:r>
        </w:p>
        <w:p w14:paraId="17946E88" w14:textId="2B5F50A3" w:rsidR="00FF6116" w:rsidRPr="00FF6116" w:rsidRDefault="007B519F" w:rsidP="00FF6116">
          <w:pPr>
            <w:pStyle w:val="TOC1"/>
            <w:tabs>
              <w:tab w:val="right" w:leader="dot" w:pos="9350"/>
            </w:tabs>
            <w:spacing w:after="0" w:line="360" w:lineRule="auto"/>
            <w:jc w:val="both"/>
            <w:rPr>
              <w:rFonts w:asciiTheme="minorHAnsi" w:eastAsiaTheme="minorEastAsia" w:hAnsiTheme="minorHAnsi" w:cstheme="minorBidi"/>
              <w:noProof/>
              <w:color w:val="000000" w:themeColor="text1"/>
              <w:lang w:eastAsia="en-GB"/>
            </w:rPr>
          </w:pPr>
          <w:r w:rsidRPr="00FF6116">
            <w:rPr>
              <w:sz w:val="24"/>
              <w:szCs w:val="24"/>
            </w:rPr>
            <w:fldChar w:fldCharType="begin"/>
          </w:r>
          <w:r w:rsidRPr="00FF6116">
            <w:rPr>
              <w:sz w:val="24"/>
              <w:szCs w:val="24"/>
            </w:rPr>
            <w:instrText xml:space="preserve"> TOC \o "1-3" \h \z \u </w:instrText>
          </w:r>
          <w:r w:rsidRPr="00FF6116">
            <w:rPr>
              <w:sz w:val="24"/>
              <w:szCs w:val="24"/>
            </w:rPr>
            <w:fldChar w:fldCharType="separate"/>
          </w:r>
          <w:hyperlink w:anchor="_Toc222490795" w:history="1">
            <w:r w:rsidR="00FF6116" w:rsidRPr="00FF6116">
              <w:rPr>
                <w:rStyle w:val="Hyperlink"/>
                <w:noProof/>
                <w:color w:val="000000" w:themeColor="text1"/>
              </w:rPr>
              <w:t>Part A: Annotated Bibliography</w:t>
            </w:r>
            <w:r w:rsidR="00FF6116" w:rsidRPr="00FF6116">
              <w:rPr>
                <w:noProof/>
                <w:webHidden/>
                <w:color w:val="000000" w:themeColor="text1"/>
              </w:rPr>
              <w:tab/>
            </w:r>
            <w:r w:rsidR="00FF6116" w:rsidRPr="00FF6116">
              <w:rPr>
                <w:noProof/>
                <w:webHidden/>
                <w:color w:val="000000" w:themeColor="text1"/>
              </w:rPr>
              <w:fldChar w:fldCharType="begin"/>
            </w:r>
            <w:r w:rsidR="00FF6116" w:rsidRPr="00FF6116">
              <w:rPr>
                <w:noProof/>
                <w:webHidden/>
                <w:color w:val="000000" w:themeColor="text1"/>
              </w:rPr>
              <w:instrText xml:space="preserve"> PAGEREF _Toc222490795 \h </w:instrText>
            </w:r>
            <w:r w:rsidR="00FF6116" w:rsidRPr="00FF6116">
              <w:rPr>
                <w:noProof/>
                <w:webHidden/>
                <w:color w:val="000000" w:themeColor="text1"/>
              </w:rPr>
            </w:r>
            <w:r w:rsidR="00FF6116" w:rsidRPr="00FF6116">
              <w:rPr>
                <w:noProof/>
                <w:webHidden/>
                <w:color w:val="000000" w:themeColor="text1"/>
              </w:rPr>
              <w:fldChar w:fldCharType="separate"/>
            </w:r>
            <w:r w:rsidR="00FF6116" w:rsidRPr="00FF6116">
              <w:rPr>
                <w:noProof/>
                <w:webHidden/>
                <w:color w:val="000000" w:themeColor="text1"/>
              </w:rPr>
              <w:t>2</w:t>
            </w:r>
            <w:r w:rsidR="00FF6116" w:rsidRPr="00FF6116">
              <w:rPr>
                <w:noProof/>
                <w:webHidden/>
                <w:color w:val="000000" w:themeColor="text1"/>
              </w:rPr>
              <w:fldChar w:fldCharType="end"/>
            </w:r>
          </w:hyperlink>
        </w:p>
        <w:p w14:paraId="346106E9" w14:textId="70E228ED" w:rsidR="00FF6116" w:rsidRPr="00FF6116" w:rsidRDefault="00FF6116" w:rsidP="00FF6116">
          <w:pPr>
            <w:pStyle w:val="TOC1"/>
            <w:tabs>
              <w:tab w:val="right" w:leader="dot" w:pos="9350"/>
            </w:tabs>
            <w:spacing w:after="0" w:line="360" w:lineRule="auto"/>
            <w:jc w:val="both"/>
            <w:rPr>
              <w:rFonts w:asciiTheme="minorHAnsi" w:eastAsiaTheme="minorEastAsia" w:hAnsiTheme="minorHAnsi" w:cstheme="minorBidi"/>
              <w:noProof/>
              <w:color w:val="000000" w:themeColor="text1"/>
              <w:lang w:eastAsia="en-GB"/>
            </w:rPr>
          </w:pPr>
          <w:hyperlink w:anchor="_Toc222490796" w:history="1">
            <w:r w:rsidRPr="00FF6116">
              <w:rPr>
                <w:rStyle w:val="Hyperlink"/>
                <w:noProof/>
                <w:color w:val="000000" w:themeColor="text1"/>
              </w:rPr>
              <w:t>Part B: Short Report</w:t>
            </w:r>
            <w:r w:rsidRPr="00FF6116">
              <w:rPr>
                <w:noProof/>
                <w:webHidden/>
                <w:color w:val="000000" w:themeColor="text1"/>
              </w:rPr>
              <w:tab/>
            </w:r>
            <w:r w:rsidRPr="00FF6116">
              <w:rPr>
                <w:noProof/>
                <w:webHidden/>
                <w:color w:val="000000" w:themeColor="text1"/>
              </w:rPr>
              <w:fldChar w:fldCharType="begin"/>
            </w:r>
            <w:r w:rsidRPr="00FF6116">
              <w:rPr>
                <w:noProof/>
                <w:webHidden/>
                <w:color w:val="000000" w:themeColor="text1"/>
              </w:rPr>
              <w:instrText xml:space="preserve"> PAGEREF _Toc222490796 \h </w:instrText>
            </w:r>
            <w:r w:rsidRPr="00FF6116">
              <w:rPr>
                <w:noProof/>
                <w:webHidden/>
                <w:color w:val="000000" w:themeColor="text1"/>
              </w:rPr>
            </w:r>
            <w:r w:rsidRPr="00FF6116">
              <w:rPr>
                <w:noProof/>
                <w:webHidden/>
                <w:color w:val="000000" w:themeColor="text1"/>
              </w:rPr>
              <w:fldChar w:fldCharType="separate"/>
            </w:r>
            <w:r w:rsidRPr="00FF6116">
              <w:rPr>
                <w:noProof/>
                <w:webHidden/>
                <w:color w:val="000000" w:themeColor="text1"/>
              </w:rPr>
              <w:t>4</w:t>
            </w:r>
            <w:r w:rsidRPr="00FF6116">
              <w:rPr>
                <w:noProof/>
                <w:webHidden/>
                <w:color w:val="000000" w:themeColor="text1"/>
              </w:rPr>
              <w:fldChar w:fldCharType="end"/>
            </w:r>
          </w:hyperlink>
        </w:p>
        <w:p w14:paraId="0952F8A2" w14:textId="16B6BCC7" w:rsidR="00FF6116" w:rsidRPr="00FF6116" w:rsidRDefault="00FF6116" w:rsidP="00FF6116">
          <w:pPr>
            <w:pStyle w:val="TOC2"/>
            <w:tabs>
              <w:tab w:val="right" w:leader="dot" w:pos="9350"/>
            </w:tabs>
            <w:spacing w:after="0" w:line="360" w:lineRule="auto"/>
            <w:jc w:val="both"/>
            <w:rPr>
              <w:rFonts w:asciiTheme="minorHAnsi" w:eastAsiaTheme="minorEastAsia" w:hAnsiTheme="minorHAnsi" w:cstheme="minorBidi"/>
              <w:noProof/>
              <w:color w:val="000000" w:themeColor="text1"/>
              <w:lang w:eastAsia="en-GB"/>
            </w:rPr>
          </w:pPr>
          <w:hyperlink w:anchor="_Toc222490797" w:history="1">
            <w:r w:rsidRPr="00FF6116">
              <w:rPr>
                <w:rStyle w:val="Hyperlink"/>
                <w:noProof/>
                <w:color w:val="000000" w:themeColor="text1"/>
              </w:rPr>
              <w:t>Introduction</w:t>
            </w:r>
            <w:r w:rsidRPr="00FF6116">
              <w:rPr>
                <w:noProof/>
                <w:webHidden/>
                <w:color w:val="000000" w:themeColor="text1"/>
              </w:rPr>
              <w:tab/>
            </w:r>
            <w:r w:rsidRPr="00FF6116">
              <w:rPr>
                <w:noProof/>
                <w:webHidden/>
                <w:color w:val="000000" w:themeColor="text1"/>
              </w:rPr>
              <w:fldChar w:fldCharType="begin"/>
            </w:r>
            <w:r w:rsidRPr="00FF6116">
              <w:rPr>
                <w:noProof/>
                <w:webHidden/>
                <w:color w:val="000000" w:themeColor="text1"/>
              </w:rPr>
              <w:instrText xml:space="preserve"> PAGEREF _Toc222490797 \h </w:instrText>
            </w:r>
            <w:r w:rsidRPr="00FF6116">
              <w:rPr>
                <w:noProof/>
                <w:webHidden/>
                <w:color w:val="000000" w:themeColor="text1"/>
              </w:rPr>
            </w:r>
            <w:r w:rsidRPr="00FF6116">
              <w:rPr>
                <w:noProof/>
                <w:webHidden/>
                <w:color w:val="000000" w:themeColor="text1"/>
              </w:rPr>
              <w:fldChar w:fldCharType="separate"/>
            </w:r>
            <w:r w:rsidRPr="00FF6116">
              <w:rPr>
                <w:noProof/>
                <w:webHidden/>
                <w:color w:val="000000" w:themeColor="text1"/>
              </w:rPr>
              <w:t>4</w:t>
            </w:r>
            <w:r w:rsidRPr="00FF6116">
              <w:rPr>
                <w:noProof/>
                <w:webHidden/>
                <w:color w:val="000000" w:themeColor="text1"/>
              </w:rPr>
              <w:fldChar w:fldCharType="end"/>
            </w:r>
          </w:hyperlink>
        </w:p>
        <w:p w14:paraId="4F19061D" w14:textId="614E92AB" w:rsidR="00FF6116" w:rsidRPr="00FF6116" w:rsidRDefault="00FF6116" w:rsidP="00FF6116">
          <w:pPr>
            <w:pStyle w:val="TOC2"/>
            <w:tabs>
              <w:tab w:val="right" w:leader="dot" w:pos="9350"/>
            </w:tabs>
            <w:spacing w:after="0" w:line="360" w:lineRule="auto"/>
            <w:jc w:val="both"/>
            <w:rPr>
              <w:rFonts w:asciiTheme="minorHAnsi" w:eastAsiaTheme="minorEastAsia" w:hAnsiTheme="minorHAnsi" w:cstheme="minorBidi"/>
              <w:noProof/>
              <w:color w:val="000000" w:themeColor="text1"/>
              <w:lang w:eastAsia="en-GB"/>
            </w:rPr>
          </w:pPr>
          <w:hyperlink w:anchor="_Toc222490798" w:history="1">
            <w:r w:rsidRPr="00FF6116">
              <w:rPr>
                <w:rStyle w:val="Hyperlink"/>
                <w:noProof/>
                <w:color w:val="000000" w:themeColor="text1"/>
              </w:rPr>
              <w:t>Application of the theory for psychological well-being in older adults living in residential care</w:t>
            </w:r>
            <w:r w:rsidRPr="00FF6116">
              <w:rPr>
                <w:noProof/>
                <w:webHidden/>
                <w:color w:val="000000" w:themeColor="text1"/>
              </w:rPr>
              <w:tab/>
            </w:r>
            <w:r w:rsidRPr="00FF6116">
              <w:rPr>
                <w:noProof/>
                <w:webHidden/>
                <w:color w:val="000000" w:themeColor="text1"/>
              </w:rPr>
              <w:fldChar w:fldCharType="begin"/>
            </w:r>
            <w:r w:rsidRPr="00FF6116">
              <w:rPr>
                <w:noProof/>
                <w:webHidden/>
                <w:color w:val="000000" w:themeColor="text1"/>
              </w:rPr>
              <w:instrText xml:space="preserve"> PAGEREF _Toc222490798 \h </w:instrText>
            </w:r>
            <w:r w:rsidRPr="00FF6116">
              <w:rPr>
                <w:noProof/>
                <w:webHidden/>
                <w:color w:val="000000" w:themeColor="text1"/>
              </w:rPr>
            </w:r>
            <w:r w:rsidRPr="00FF6116">
              <w:rPr>
                <w:noProof/>
                <w:webHidden/>
                <w:color w:val="000000" w:themeColor="text1"/>
              </w:rPr>
              <w:fldChar w:fldCharType="separate"/>
            </w:r>
            <w:r w:rsidRPr="00FF6116">
              <w:rPr>
                <w:noProof/>
                <w:webHidden/>
                <w:color w:val="000000" w:themeColor="text1"/>
              </w:rPr>
              <w:t>4</w:t>
            </w:r>
            <w:r w:rsidRPr="00FF6116">
              <w:rPr>
                <w:noProof/>
                <w:webHidden/>
                <w:color w:val="000000" w:themeColor="text1"/>
              </w:rPr>
              <w:fldChar w:fldCharType="end"/>
            </w:r>
          </w:hyperlink>
        </w:p>
        <w:p w14:paraId="0E0C6745" w14:textId="60F4A0CE" w:rsidR="00FF6116" w:rsidRPr="00FF6116" w:rsidRDefault="00FF6116" w:rsidP="00FF6116">
          <w:pPr>
            <w:pStyle w:val="TOC2"/>
            <w:tabs>
              <w:tab w:val="right" w:leader="dot" w:pos="9350"/>
            </w:tabs>
            <w:spacing w:after="0" w:line="360" w:lineRule="auto"/>
            <w:jc w:val="both"/>
            <w:rPr>
              <w:rFonts w:asciiTheme="minorHAnsi" w:eastAsiaTheme="minorEastAsia" w:hAnsiTheme="minorHAnsi" w:cstheme="minorBidi"/>
              <w:noProof/>
              <w:color w:val="000000" w:themeColor="text1"/>
              <w:lang w:eastAsia="en-GB"/>
            </w:rPr>
          </w:pPr>
          <w:hyperlink w:anchor="_Toc222490799" w:history="1">
            <w:r w:rsidRPr="00FF6116">
              <w:rPr>
                <w:rStyle w:val="Hyperlink"/>
                <w:noProof/>
                <w:color w:val="000000" w:themeColor="text1"/>
              </w:rPr>
              <w:t>Real-world example to illustrate the application</w:t>
            </w:r>
            <w:r w:rsidRPr="00FF6116">
              <w:rPr>
                <w:noProof/>
                <w:webHidden/>
                <w:color w:val="000000" w:themeColor="text1"/>
              </w:rPr>
              <w:tab/>
            </w:r>
            <w:r w:rsidRPr="00FF6116">
              <w:rPr>
                <w:noProof/>
                <w:webHidden/>
                <w:color w:val="000000" w:themeColor="text1"/>
              </w:rPr>
              <w:fldChar w:fldCharType="begin"/>
            </w:r>
            <w:r w:rsidRPr="00FF6116">
              <w:rPr>
                <w:noProof/>
                <w:webHidden/>
                <w:color w:val="000000" w:themeColor="text1"/>
              </w:rPr>
              <w:instrText xml:space="preserve"> PAGEREF _Toc222490799 \h </w:instrText>
            </w:r>
            <w:r w:rsidRPr="00FF6116">
              <w:rPr>
                <w:noProof/>
                <w:webHidden/>
                <w:color w:val="000000" w:themeColor="text1"/>
              </w:rPr>
            </w:r>
            <w:r w:rsidRPr="00FF6116">
              <w:rPr>
                <w:noProof/>
                <w:webHidden/>
                <w:color w:val="000000" w:themeColor="text1"/>
              </w:rPr>
              <w:fldChar w:fldCharType="separate"/>
            </w:r>
            <w:r w:rsidRPr="00FF6116">
              <w:rPr>
                <w:noProof/>
                <w:webHidden/>
                <w:color w:val="000000" w:themeColor="text1"/>
              </w:rPr>
              <w:t>4</w:t>
            </w:r>
            <w:r w:rsidRPr="00FF6116">
              <w:rPr>
                <w:noProof/>
                <w:webHidden/>
                <w:color w:val="000000" w:themeColor="text1"/>
              </w:rPr>
              <w:fldChar w:fldCharType="end"/>
            </w:r>
          </w:hyperlink>
        </w:p>
        <w:p w14:paraId="0CE288A7" w14:textId="7B08399C" w:rsidR="00FF6116" w:rsidRPr="00FF6116" w:rsidRDefault="00FF6116" w:rsidP="00FF6116">
          <w:pPr>
            <w:pStyle w:val="TOC2"/>
            <w:tabs>
              <w:tab w:val="right" w:leader="dot" w:pos="9350"/>
            </w:tabs>
            <w:spacing w:after="0" w:line="360" w:lineRule="auto"/>
            <w:jc w:val="both"/>
            <w:rPr>
              <w:rFonts w:asciiTheme="minorHAnsi" w:eastAsiaTheme="minorEastAsia" w:hAnsiTheme="minorHAnsi" w:cstheme="minorBidi"/>
              <w:noProof/>
              <w:color w:val="000000" w:themeColor="text1"/>
              <w:lang w:eastAsia="en-GB"/>
            </w:rPr>
          </w:pPr>
          <w:hyperlink w:anchor="_Toc222490800" w:history="1">
            <w:r w:rsidRPr="00FF6116">
              <w:rPr>
                <w:rStyle w:val="Hyperlink"/>
                <w:noProof/>
                <w:color w:val="000000" w:themeColor="text1"/>
              </w:rPr>
              <w:t>Challenge professionals may face when applying this theory with an action strategy</w:t>
            </w:r>
            <w:r w:rsidRPr="00FF6116">
              <w:rPr>
                <w:noProof/>
                <w:webHidden/>
                <w:color w:val="000000" w:themeColor="text1"/>
              </w:rPr>
              <w:tab/>
            </w:r>
            <w:r w:rsidRPr="00FF6116">
              <w:rPr>
                <w:noProof/>
                <w:webHidden/>
                <w:color w:val="000000" w:themeColor="text1"/>
              </w:rPr>
              <w:fldChar w:fldCharType="begin"/>
            </w:r>
            <w:r w:rsidRPr="00FF6116">
              <w:rPr>
                <w:noProof/>
                <w:webHidden/>
                <w:color w:val="000000" w:themeColor="text1"/>
              </w:rPr>
              <w:instrText xml:space="preserve"> PAGEREF _Toc222490800 \h </w:instrText>
            </w:r>
            <w:r w:rsidRPr="00FF6116">
              <w:rPr>
                <w:noProof/>
                <w:webHidden/>
                <w:color w:val="000000" w:themeColor="text1"/>
              </w:rPr>
            </w:r>
            <w:r w:rsidRPr="00FF6116">
              <w:rPr>
                <w:noProof/>
                <w:webHidden/>
                <w:color w:val="000000" w:themeColor="text1"/>
              </w:rPr>
              <w:fldChar w:fldCharType="separate"/>
            </w:r>
            <w:r w:rsidRPr="00FF6116">
              <w:rPr>
                <w:noProof/>
                <w:webHidden/>
                <w:color w:val="000000" w:themeColor="text1"/>
              </w:rPr>
              <w:t>5</w:t>
            </w:r>
            <w:r w:rsidRPr="00FF6116">
              <w:rPr>
                <w:noProof/>
                <w:webHidden/>
                <w:color w:val="000000" w:themeColor="text1"/>
              </w:rPr>
              <w:fldChar w:fldCharType="end"/>
            </w:r>
          </w:hyperlink>
        </w:p>
        <w:p w14:paraId="69A12630" w14:textId="09761DC9" w:rsidR="00FF6116" w:rsidRPr="00FF6116" w:rsidRDefault="00FF6116" w:rsidP="00FF6116">
          <w:pPr>
            <w:pStyle w:val="TOC2"/>
            <w:tabs>
              <w:tab w:val="right" w:leader="dot" w:pos="9350"/>
            </w:tabs>
            <w:spacing w:after="0" w:line="360" w:lineRule="auto"/>
            <w:jc w:val="both"/>
            <w:rPr>
              <w:rFonts w:asciiTheme="minorHAnsi" w:eastAsiaTheme="minorEastAsia" w:hAnsiTheme="minorHAnsi" w:cstheme="minorBidi"/>
              <w:noProof/>
              <w:color w:val="000000" w:themeColor="text1"/>
              <w:lang w:eastAsia="en-GB"/>
            </w:rPr>
          </w:pPr>
          <w:hyperlink w:anchor="_Toc222490801" w:history="1">
            <w:r w:rsidRPr="00FF6116">
              <w:rPr>
                <w:rStyle w:val="Hyperlink"/>
                <w:noProof/>
                <w:color w:val="000000" w:themeColor="text1"/>
              </w:rPr>
              <w:t>Conclusion</w:t>
            </w:r>
            <w:r w:rsidRPr="00FF6116">
              <w:rPr>
                <w:noProof/>
                <w:webHidden/>
                <w:color w:val="000000" w:themeColor="text1"/>
              </w:rPr>
              <w:tab/>
            </w:r>
            <w:r w:rsidRPr="00FF6116">
              <w:rPr>
                <w:noProof/>
                <w:webHidden/>
                <w:color w:val="000000" w:themeColor="text1"/>
              </w:rPr>
              <w:fldChar w:fldCharType="begin"/>
            </w:r>
            <w:r w:rsidRPr="00FF6116">
              <w:rPr>
                <w:noProof/>
                <w:webHidden/>
                <w:color w:val="000000" w:themeColor="text1"/>
              </w:rPr>
              <w:instrText xml:space="preserve"> PAGEREF _Toc222490801 \h </w:instrText>
            </w:r>
            <w:r w:rsidRPr="00FF6116">
              <w:rPr>
                <w:noProof/>
                <w:webHidden/>
                <w:color w:val="000000" w:themeColor="text1"/>
              </w:rPr>
            </w:r>
            <w:r w:rsidRPr="00FF6116">
              <w:rPr>
                <w:noProof/>
                <w:webHidden/>
                <w:color w:val="000000" w:themeColor="text1"/>
              </w:rPr>
              <w:fldChar w:fldCharType="separate"/>
            </w:r>
            <w:r w:rsidRPr="00FF6116">
              <w:rPr>
                <w:noProof/>
                <w:webHidden/>
                <w:color w:val="000000" w:themeColor="text1"/>
              </w:rPr>
              <w:t>5</w:t>
            </w:r>
            <w:r w:rsidRPr="00FF6116">
              <w:rPr>
                <w:noProof/>
                <w:webHidden/>
                <w:color w:val="000000" w:themeColor="text1"/>
              </w:rPr>
              <w:fldChar w:fldCharType="end"/>
            </w:r>
          </w:hyperlink>
        </w:p>
        <w:p w14:paraId="6642F021" w14:textId="1F9CC4E3" w:rsidR="00FF6116" w:rsidRDefault="00FF6116" w:rsidP="00FF6116">
          <w:pPr>
            <w:pStyle w:val="TOC1"/>
            <w:tabs>
              <w:tab w:val="right" w:leader="dot" w:pos="9350"/>
            </w:tabs>
            <w:spacing w:after="0" w:line="360" w:lineRule="auto"/>
            <w:jc w:val="both"/>
            <w:rPr>
              <w:rFonts w:asciiTheme="minorHAnsi" w:eastAsiaTheme="minorEastAsia" w:hAnsiTheme="minorHAnsi" w:cstheme="minorBidi"/>
              <w:noProof/>
              <w:lang w:eastAsia="en-GB"/>
            </w:rPr>
          </w:pPr>
          <w:hyperlink w:anchor="_Toc222490802" w:history="1">
            <w:r w:rsidRPr="00FF6116">
              <w:rPr>
                <w:rStyle w:val="Hyperlink"/>
                <w:noProof/>
                <w:color w:val="000000" w:themeColor="text1"/>
              </w:rPr>
              <w:t>References</w:t>
            </w:r>
            <w:r w:rsidRPr="00FF6116">
              <w:rPr>
                <w:noProof/>
                <w:webHidden/>
                <w:color w:val="000000" w:themeColor="text1"/>
              </w:rPr>
              <w:tab/>
            </w:r>
            <w:r w:rsidRPr="00FF6116">
              <w:rPr>
                <w:noProof/>
                <w:webHidden/>
                <w:color w:val="000000" w:themeColor="text1"/>
              </w:rPr>
              <w:fldChar w:fldCharType="begin"/>
            </w:r>
            <w:r w:rsidRPr="00FF6116">
              <w:rPr>
                <w:noProof/>
                <w:webHidden/>
                <w:color w:val="000000" w:themeColor="text1"/>
              </w:rPr>
              <w:instrText xml:space="preserve"> PAGEREF _Toc222490802 \h </w:instrText>
            </w:r>
            <w:r w:rsidRPr="00FF6116">
              <w:rPr>
                <w:noProof/>
                <w:webHidden/>
                <w:color w:val="000000" w:themeColor="text1"/>
              </w:rPr>
            </w:r>
            <w:r w:rsidRPr="00FF6116">
              <w:rPr>
                <w:noProof/>
                <w:webHidden/>
                <w:color w:val="000000" w:themeColor="text1"/>
              </w:rPr>
              <w:fldChar w:fldCharType="separate"/>
            </w:r>
            <w:r w:rsidRPr="00FF6116">
              <w:rPr>
                <w:noProof/>
                <w:webHidden/>
                <w:color w:val="000000" w:themeColor="text1"/>
              </w:rPr>
              <w:t>6</w:t>
            </w:r>
            <w:r w:rsidRPr="00FF6116">
              <w:rPr>
                <w:noProof/>
                <w:webHidden/>
                <w:color w:val="000000" w:themeColor="text1"/>
              </w:rPr>
              <w:fldChar w:fldCharType="end"/>
            </w:r>
          </w:hyperlink>
        </w:p>
        <w:p w14:paraId="093C84AA" w14:textId="28F9F0B7" w:rsidR="007B519F" w:rsidRPr="00FF6116" w:rsidRDefault="007B519F" w:rsidP="007B519F">
          <w:pPr>
            <w:spacing w:line="360" w:lineRule="auto"/>
          </w:pPr>
          <w:r w:rsidRPr="00FF6116">
            <w:rPr>
              <w:b/>
              <w:bCs/>
              <w:noProof/>
              <w:sz w:val="24"/>
              <w:szCs w:val="24"/>
            </w:rPr>
            <w:fldChar w:fldCharType="end"/>
          </w:r>
        </w:p>
      </w:sdtContent>
    </w:sdt>
    <w:p w14:paraId="3EDCF395" w14:textId="4E71A3D5" w:rsidR="00CC4E59" w:rsidRPr="00FF6116" w:rsidRDefault="00CC4E59">
      <w:pPr>
        <w:pStyle w:val="Heading1"/>
        <w:rPr>
          <w:rFonts w:ascii="Arial" w:eastAsia="Arial" w:hAnsi="Arial" w:cs="Arial"/>
          <w:sz w:val="22"/>
          <w:szCs w:val="22"/>
        </w:rPr>
      </w:pPr>
    </w:p>
    <w:p w14:paraId="39717EA7" w14:textId="77777777" w:rsidR="00AE1F31" w:rsidRDefault="00AE1F31">
      <w:pPr>
        <w:rPr>
          <w:b/>
          <w:bCs/>
        </w:rPr>
      </w:pPr>
      <w:bookmarkStart w:id="1" w:name="_i8ea8udrykoq" w:colFirst="0" w:colLast="0"/>
      <w:bookmarkStart w:id="2" w:name="_Toc222490795"/>
      <w:bookmarkEnd w:id="1"/>
      <w:r>
        <w:br w:type="page"/>
      </w:r>
    </w:p>
    <w:p w14:paraId="3D797BDD" w14:textId="78A6FE2A" w:rsidR="00CC4E59" w:rsidRPr="00FF6116" w:rsidRDefault="007540F2">
      <w:pPr>
        <w:pStyle w:val="Heading1"/>
        <w:rPr>
          <w:rFonts w:ascii="Arial" w:eastAsia="Arial" w:hAnsi="Arial" w:cs="Arial"/>
          <w:sz w:val="22"/>
          <w:szCs w:val="22"/>
        </w:rPr>
      </w:pPr>
      <w:r w:rsidRPr="00FF6116">
        <w:rPr>
          <w:rFonts w:ascii="Arial" w:eastAsia="Arial" w:hAnsi="Arial" w:cs="Arial"/>
          <w:sz w:val="22"/>
          <w:szCs w:val="22"/>
        </w:rPr>
        <w:lastRenderedPageBreak/>
        <w:t>Part A: Annotated Bibliography</w:t>
      </w:r>
      <w:bookmarkEnd w:id="2"/>
      <w:r w:rsidRPr="00FF6116">
        <w:rPr>
          <w:rFonts w:ascii="Arial" w:eastAsia="Arial" w:hAnsi="Arial" w:cs="Arial"/>
          <w:sz w:val="22"/>
          <w:szCs w:val="22"/>
        </w:rPr>
        <w:t xml:space="preserve"> </w:t>
      </w:r>
    </w:p>
    <w:p w14:paraId="789193DD" w14:textId="77777777" w:rsidR="00CC4E59" w:rsidRPr="00FF6116" w:rsidRDefault="007540F2">
      <w:pPr>
        <w:numPr>
          <w:ilvl w:val="0"/>
          <w:numId w:val="1"/>
        </w:numPr>
        <w:spacing w:line="360" w:lineRule="auto"/>
        <w:jc w:val="both"/>
        <w:rPr>
          <w:b/>
          <w:bCs/>
        </w:rPr>
      </w:pPr>
      <w:r w:rsidRPr="00FF6116">
        <w:rPr>
          <w:b/>
          <w:bCs/>
        </w:rPr>
        <w:t>Erikson’s psychosocial stages</w:t>
      </w:r>
    </w:p>
    <w:p w14:paraId="03E2898A" w14:textId="77777777" w:rsidR="00CC4E59" w:rsidRPr="00FF6116" w:rsidRDefault="007540F2">
      <w:pPr>
        <w:spacing w:line="360" w:lineRule="auto"/>
        <w:jc w:val="both"/>
      </w:pPr>
      <w:r w:rsidRPr="00FF6116">
        <w:rPr>
          <w:b/>
          <w:bCs/>
        </w:rPr>
        <w:t xml:space="preserve">Source 1: </w:t>
      </w:r>
      <w:r w:rsidRPr="00FF6116">
        <w:t>de Carvalho and Veiga (2022)</w:t>
      </w:r>
    </w:p>
    <w:p w14:paraId="24C3172D" w14:textId="77777777" w:rsidR="00CC4E59" w:rsidRPr="00FF6116" w:rsidRDefault="007540F2">
      <w:pPr>
        <w:spacing w:line="360" w:lineRule="auto"/>
        <w:jc w:val="both"/>
        <w:rPr>
          <w:b/>
          <w:bCs/>
        </w:rPr>
      </w:pPr>
      <w:r w:rsidRPr="00FF6116">
        <w:t xml:space="preserve">The article aims to evaluate the approach of psychological development in adolescence by integrating the concept of Erikson’s eight psychosocial stages. Following the Arksey and O’Malley’s framework, the scoping review has illustrated Erikson’s six significant stages that are based on psychological development among adolescents. The key findings of the article have highlighted that “support for occupational identity” has been the key aspect of Erikson’s stages that positively influences an adolescent's psychological development (de Carvalho and Veiga, 2022, p.14). Apart from this, the article argues that the prominence as well as strength of identity within adolescence, well-being and development are considered to be the most meaningful outcomes that are in line with Erikson’s institution of identity. The significance of identity encompasses adolescent personal well-being, whereas identity promotes adolescent prosocial contribution as well as behaviour. It has been recognised that stagnation causes a feeling of being stuck, unproductive, or self-absorbed, which can contribute to midlife crisis and poorer physical and mental health. The article concludes that anticipation of positive psychology among adolescents is focused on qualities, virtues and strengths. </w:t>
      </w:r>
    </w:p>
    <w:p w14:paraId="6B5CDAFC" w14:textId="77777777" w:rsidR="00CC4E59" w:rsidRPr="00FF6116" w:rsidRDefault="007540F2">
      <w:pPr>
        <w:numPr>
          <w:ilvl w:val="0"/>
          <w:numId w:val="3"/>
        </w:numPr>
        <w:spacing w:line="360" w:lineRule="auto"/>
        <w:jc w:val="both"/>
        <w:rPr>
          <w:b/>
          <w:bCs/>
        </w:rPr>
      </w:pPr>
      <w:r w:rsidRPr="00FF6116">
        <w:rPr>
          <w:b/>
          <w:bCs/>
        </w:rPr>
        <w:t>Havighurst’s Activity Theory</w:t>
      </w:r>
    </w:p>
    <w:p w14:paraId="6449D3E1" w14:textId="77777777" w:rsidR="00CC4E59" w:rsidRPr="00FF6116" w:rsidRDefault="007540F2">
      <w:pPr>
        <w:spacing w:line="360" w:lineRule="auto"/>
        <w:jc w:val="both"/>
      </w:pPr>
      <w:r w:rsidRPr="00FF6116">
        <w:rPr>
          <w:b/>
          <w:bCs/>
        </w:rPr>
        <w:t xml:space="preserve">Source 2: </w:t>
      </w:r>
      <w:r w:rsidRPr="00FF6116">
        <w:t xml:space="preserve">Jankowiak </w:t>
      </w:r>
      <w:r w:rsidRPr="00FF6116">
        <w:rPr>
          <w:i/>
          <w:iCs/>
        </w:rPr>
        <w:t xml:space="preserve">et al. </w:t>
      </w:r>
      <w:r w:rsidRPr="00FF6116">
        <w:t>(2025)</w:t>
      </w:r>
    </w:p>
    <w:p w14:paraId="7F5252F3" w14:textId="77777777" w:rsidR="00CC4E59" w:rsidRPr="00FF6116" w:rsidRDefault="007540F2">
      <w:pPr>
        <w:spacing w:line="360" w:lineRule="auto"/>
        <w:jc w:val="both"/>
      </w:pPr>
      <w:r w:rsidRPr="00FF6116">
        <w:t xml:space="preserve">The article aims to evaluate the developmental tasks of emerging adulthood through situating it within the developmental tasks of adolescence as well as adulthood in Havighurst’s classification. The use of the qualitative method in the article has helped in evaluating the social and cultural context based on Havighurst’s activity theory. The key findings of the article conceptualised Havighurst’s activity theory that states “people go through a series of developmental stages throughout their life cycle” (Jankowiak </w:t>
      </w:r>
      <w:r w:rsidRPr="00FF6116">
        <w:rPr>
          <w:i/>
          <w:iCs/>
        </w:rPr>
        <w:t>et al.</w:t>
      </w:r>
      <w:r w:rsidRPr="00FF6116">
        <w:t xml:space="preserve"> 2025, p.504). Additionally, each stage of the life cycle consists of a set of developmental tasks that lead an individual to success and happiness in later tasks. The article also highlights that Postmodernism has been identified as a potential challenge in Havighurst’s developmental tasks. However, the use of qualitative exploration within this research has hindered the generalisation of the outcome of the population regarding young adults in determining the developmental tasks of emerging adulthood. It has been recognised that the theory of Havighurst’s Activity fails to indicate tasks related to cognitive development, especially among young adolescents. Thus, the article concludes that successful aging and high life satisfaction in adults depend on maintaining social, physical, and productive activities to replace lost roles. </w:t>
      </w:r>
    </w:p>
    <w:p w14:paraId="144529EB" w14:textId="77777777" w:rsidR="00CC4E59" w:rsidRPr="00FF6116" w:rsidRDefault="007540F2">
      <w:pPr>
        <w:numPr>
          <w:ilvl w:val="0"/>
          <w:numId w:val="2"/>
        </w:numPr>
        <w:spacing w:line="360" w:lineRule="auto"/>
        <w:jc w:val="both"/>
        <w:rPr>
          <w:b/>
          <w:bCs/>
        </w:rPr>
      </w:pPr>
      <w:r w:rsidRPr="00FF6116">
        <w:rPr>
          <w:b/>
          <w:bCs/>
        </w:rPr>
        <w:lastRenderedPageBreak/>
        <w:t>Bowlby’s attachment theory</w:t>
      </w:r>
    </w:p>
    <w:p w14:paraId="3C65D6BE" w14:textId="77777777" w:rsidR="00CC4E59" w:rsidRPr="00FF6116" w:rsidRDefault="007540F2">
      <w:pPr>
        <w:spacing w:line="360" w:lineRule="auto"/>
        <w:jc w:val="both"/>
      </w:pPr>
      <w:r w:rsidRPr="00FF6116">
        <w:rPr>
          <w:b/>
          <w:bCs/>
        </w:rPr>
        <w:t xml:space="preserve">Source 3: </w:t>
      </w:r>
      <w:r w:rsidRPr="00FF6116">
        <w:t xml:space="preserve">Behrens </w:t>
      </w:r>
      <w:r w:rsidRPr="00FF6116">
        <w:rPr>
          <w:i/>
          <w:iCs/>
        </w:rPr>
        <w:t xml:space="preserve">et al. </w:t>
      </w:r>
      <w:r w:rsidRPr="00FF6116">
        <w:t>(2025)</w:t>
      </w:r>
    </w:p>
    <w:p w14:paraId="29EBFD9C" w14:textId="24802F84" w:rsidR="00CC4E59" w:rsidRPr="00FF6116" w:rsidRDefault="007540F2">
      <w:pPr>
        <w:spacing w:line="360" w:lineRule="auto"/>
        <w:jc w:val="both"/>
      </w:pPr>
      <w:r w:rsidRPr="00FF6116">
        <w:t xml:space="preserve">The article aims to evaluate new insights into “John Bowlby’s theory” of attachment and separation. The secondary qualitative article has highlighted that Bowlby’s theory is particularly focused on the concept of separation. Bowlby believed infants have an innate need to attach to one primary figure, which is considered to be more important than others. It has been recognised that the crucial bond between infants and caregivers has become a foundational framework within health and social care for understanding adult development, mental health, and emotional well-being. Apart from this, Behrens </w:t>
      </w:r>
      <w:r w:rsidRPr="00FF6116">
        <w:rPr>
          <w:i/>
          <w:iCs/>
        </w:rPr>
        <w:t xml:space="preserve">et al. </w:t>
      </w:r>
      <w:r w:rsidRPr="00FF6116">
        <w:t>(2025, p.660) have stated that “if a community values its children, it must cherish their parents”. The article also conveys that adult attachment is considered to be observed through behaviours such as seeking proximity, separation anxiety, as well as using a partner to reduce fear. Additionally, adults may crave intimacy but fear abandonment, which often leads to high anxiety, jealousy and excessive dependency. Early attachment experiences create a cognitive framework that guides expectations, feelings, and behavi</w:t>
      </w:r>
      <w:r w:rsidR="00FF6116">
        <w:t>ours in later relationships. This</w:t>
      </w:r>
      <w:r w:rsidRPr="00FF6116">
        <w:t xml:space="preserve"> has concluded that adults may prioritise independence over intimacy, suppressing emotions and avoiding emotional closeness that leads to loneliness.</w:t>
      </w:r>
    </w:p>
    <w:p w14:paraId="5D6D0131" w14:textId="77777777" w:rsidR="00CC4E59" w:rsidRPr="00FF6116" w:rsidRDefault="007540F2">
      <w:pPr>
        <w:numPr>
          <w:ilvl w:val="0"/>
          <w:numId w:val="4"/>
        </w:numPr>
        <w:spacing w:line="360" w:lineRule="auto"/>
        <w:jc w:val="both"/>
        <w:rPr>
          <w:b/>
          <w:bCs/>
        </w:rPr>
      </w:pPr>
      <w:r w:rsidRPr="00FF6116">
        <w:rPr>
          <w:b/>
          <w:bCs/>
        </w:rPr>
        <w:t>Newman’s theory</w:t>
      </w:r>
    </w:p>
    <w:p w14:paraId="39D3A57E" w14:textId="77777777" w:rsidR="00CC4E59" w:rsidRPr="00FF6116" w:rsidRDefault="007540F2">
      <w:pPr>
        <w:spacing w:line="360" w:lineRule="auto"/>
        <w:jc w:val="both"/>
        <w:rPr>
          <w:b/>
          <w:bCs/>
        </w:rPr>
      </w:pPr>
      <w:r w:rsidRPr="00FF6116">
        <w:rPr>
          <w:b/>
          <w:bCs/>
        </w:rPr>
        <w:t xml:space="preserve">Source 4: </w:t>
      </w:r>
      <w:r w:rsidRPr="00FF6116">
        <w:t xml:space="preserve">Li </w:t>
      </w:r>
      <w:r w:rsidRPr="00FF6116">
        <w:rPr>
          <w:i/>
          <w:iCs/>
        </w:rPr>
        <w:t xml:space="preserve">et al. </w:t>
      </w:r>
      <w:r w:rsidRPr="00FF6116">
        <w:t>(2024)</w:t>
      </w:r>
      <w:r w:rsidRPr="00FF6116">
        <w:rPr>
          <w:b/>
          <w:bCs/>
        </w:rPr>
        <w:t xml:space="preserve"> </w:t>
      </w:r>
    </w:p>
    <w:p w14:paraId="0780B3CF" w14:textId="77777777" w:rsidR="00CC4E59" w:rsidRPr="00FF6116" w:rsidRDefault="007540F2">
      <w:pPr>
        <w:spacing w:line="360" w:lineRule="auto"/>
        <w:jc w:val="both"/>
      </w:pPr>
      <w:r w:rsidRPr="00FF6116">
        <w:t xml:space="preserve">The article aims to evaluate the concept of Newman’s theory of health in terms of offering a comprehensive understanding of its various components. The article has integrated Rodgers’ evolutionary concept analysis approach for 70 studies in terms of analysing health as expanding consciousness. The article has drawn deeper insight into Newman’s theory by stating that “emphasising disease as a manifestation of the overall pattern of the individual” implicates the pattern of an individual (Li </w:t>
      </w:r>
      <w:r w:rsidRPr="00FF6116">
        <w:rPr>
          <w:i/>
          <w:iCs/>
        </w:rPr>
        <w:t xml:space="preserve">et al. </w:t>
      </w:r>
      <w:r w:rsidRPr="00FF6116">
        <w:t>2024, p.2). It has been recognised that the approaches of Newman’s theory merge psychological growth with environmental influences. This has helped in recognising that an individual cannot understand another’s development without looking at the social and cultural aspects they inhabit. That article has also evaluated that development has been seen as a transaction between an individual’s internal biological or psychological needs as well as the external social or cultural environment.</w:t>
      </w:r>
    </w:p>
    <w:p w14:paraId="6F7EC84A" w14:textId="77777777" w:rsidR="00CC4E59" w:rsidRPr="00FF6116" w:rsidRDefault="00CC4E59">
      <w:pPr>
        <w:spacing w:line="360" w:lineRule="auto"/>
        <w:jc w:val="both"/>
        <w:rPr>
          <w:b/>
          <w:bCs/>
        </w:rPr>
      </w:pPr>
    </w:p>
    <w:p w14:paraId="6DD6B2A5" w14:textId="77777777" w:rsidR="00CC4E59" w:rsidRPr="00FF6116" w:rsidRDefault="00CC4E59">
      <w:pPr>
        <w:spacing w:line="360" w:lineRule="auto"/>
        <w:jc w:val="both"/>
        <w:rPr>
          <w:b/>
          <w:bCs/>
        </w:rPr>
      </w:pPr>
    </w:p>
    <w:p w14:paraId="60905635" w14:textId="77777777" w:rsidR="00CC4E59" w:rsidRPr="00FF6116" w:rsidRDefault="00CC4E59">
      <w:pPr>
        <w:spacing w:line="360" w:lineRule="auto"/>
        <w:jc w:val="both"/>
        <w:rPr>
          <w:b/>
          <w:bCs/>
        </w:rPr>
      </w:pPr>
    </w:p>
    <w:p w14:paraId="1C48093F" w14:textId="77777777" w:rsidR="00CC4E59" w:rsidRPr="00FF6116" w:rsidRDefault="007540F2">
      <w:pPr>
        <w:spacing w:line="360" w:lineRule="auto"/>
        <w:jc w:val="both"/>
        <w:rPr>
          <w:b/>
          <w:bCs/>
        </w:rPr>
      </w:pPr>
      <w:r w:rsidRPr="00FF6116">
        <w:br w:type="page"/>
      </w:r>
    </w:p>
    <w:p w14:paraId="12976F23" w14:textId="77777777" w:rsidR="00CC4E59" w:rsidRPr="00FF6116" w:rsidRDefault="007540F2">
      <w:pPr>
        <w:pStyle w:val="Heading1"/>
        <w:rPr>
          <w:rFonts w:ascii="Arial" w:eastAsia="Arial" w:hAnsi="Arial" w:cs="Arial"/>
          <w:sz w:val="22"/>
          <w:szCs w:val="22"/>
        </w:rPr>
      </w:pPr>
      <w:bookmarkStart w:id="3" w:name="_ozv7bc8yevnp" w:colFirst="0" w:colLast="0"/>
      <w:bookmarkStart w:id="4" w:name="_Toc222490796"/>
      <w:bookmarkEnd w:id="3"/>
      <w:r w:rsidRPr="00FF6116">
        <w:rPr>
          <w:rFonts w:ascii="Arial" w:eastAsia="Arial" w:hAnsi="Arial" w:cs="Arial"/>
          <w:sz w:val="22"/>
          <w:szCs w:val="22"/>
        </w:rPr>
        <w:lastRenderedPageBreak/>
        <w:t>Part B: Short Report</w:t>
      </w:r>
      <w:bookmarkEnd w:id="4"/>
    </w:p>
    <w:p w14:paraId="568F3C7F" w14:textId="77777777" w:rsidR="00CC4E59" w:rsidRPr="00FF6116" w:rsidRDefault="007540F2">
      <w:pPr>
        <w:pStyle w:val="Heading2"/>
      </w:pPr>
      <w:bookmarkStart w:id="5" w:name="_908talkj5g0h" w:colFirst="0" w:colLast="0"/>
      <w:bookmarkStart w:id="6" w:name="_Toc222490797"/>
      <w:bookmarkEnd w:id="5"/>
      <w:r w:rsidRPr="00FF6116">
        <w:t>Introduction</w:t>
      </w:r>
      <w:bookmarkEnd w:id="6"/>
    </w:p>
    <w:p w14:paraId="5010C979" w14:textId="77777777" w:rsidR="00CC4E59" w:rsidRPr="00FF6116" w:rsidRDefault="007540F2">
      <w:pPr>
        <w:spacing w:line="360" w:lineRule="auto"/>
        <w:jc w:val="both"/>
      </w:pPr>
      <w:r w:rsidRPr="00FF6116">
        <w:t>The key aim of developing this report is to evaluate Havighurst’s Activity Theory to improve psychological well-being in older adults living in residential care. This discussion is going to add real-life case scenarios for highlighting the practical theoretical implications and identifying the possible challenges during care delivery.</w:t>
      </w:r>
    </w:p>
    <w:p w14:paraId="2F0E1208" w14:textId="77777777" w:rsidR="00CC4E59" w:rsidRPr="00FF6116" w:rsidRDefault="007540F2">
      <w:pPr>
        <w:pStyle w:val="Heading2"/>
      </w:pPr>
      <w:bookmarkStart w:id="7" w:name="_6qvrsfv4bhpb" w:colFirst="0" w:colLast="0"/>
      <w:bookmarkStart w:id="8" w:name="_Toc222490798"/>
      <w:bookmarkEnd w:id="7"/>
      <w:r w:rsidRPr="00FF6116">
        <w:t>Application of the theory for psychological well-being in older adults living in residential care</w:t>
      </w:r>
      <w:bookmarkEnd w:id="8"/>
    </w:p>
    <w:p w14:paraId="49D68609" w14:textId="597CD260" w:rsidR="00CC4E59" w:rsidRPr="00FF6116" w:rsidRDefault="007540F2">
      <w:pPr>
        <w:spacing w:line="360" w:lineRule="auto"/>
        <w:jc w:val="both"/>
      </w:pPr>
      <w:r w:rsidRPr="00FF6116">
        <w:t xml:space="preserve">It has been recognised that Havighurst’s Activity Theory indicates the positive relationship between continuing social activity and psychological well-being in older age (Jankowiak </w:t>
      </w:r>
      <w:r w:rsidRPr="00FF6116">
        <w:rPr>
          <w:i/>
          <w:iCs/>
        </w:rPr>
        <w:t>et al.</w:t>
      </w:r>
      <w:r w:rsidRPr="00FF6116">
        <w:t xml:space="preserve"> 2025, p.504). The concept regarding “aging is a nature” is not supported by this theoretical aspect. Improving the psychosocial well-being of older individuals, this theory suggests being actively involved in social activities. In the case of improving psychological well-being in the residential care home, the application </w:t>
      </w:r>
      <w:r w:rsidR="00FF6116" w:rsidRPr="00FF6116">
        <w:t>of Havighurst’s</w:t>
      </w:r>
      <w:r w:rsidRPr="00FF6116">
        <w:t xml:space="preserve"> Activity Theory can provide an efficient way of improving self-esteem. Furthermore, involving the older people in small but effective activities, such as homeownership, gardening, as well as active community members. Hossen and Salle (2025, p. 316) have stated that improving the sense of purpose and self-esteem of older people in residential care prompts psychological well-being. The contribution of older people in social activity can work as a mimic of the psychological rewards. </w:t>
      </w:r>
    </w:p>
    <w:p w14:paraId="45E0EBE6" w14:textId="77777777" w:rsidR="00CC4E59" w:rsidRPr="00FF6116" w:rsidRDefault="007540F2">
      <w:pPr>
        <w:spacing w:line="360" w:lineRule="auto"/>
        <w:jc w:val="both"/>
      </w:pPr>
      <w:r w:rsidRPr="00FF6116">
        <w:t xml:space="preserve">The psychological rewards motivate older people to be actively involved in care settings. Porter </w:t>
      </w:r>
      <w:r w:rsidRPr="00FF6116">
        <w:rPr>
          <w:i/>
          <w:iCs/>
        </w:rPr>
        <w:t>et al.</w:t>
      </w:r>
      <w:r w:rsidRPr="00FF6116">
        <w:t xml:space="preserve"> (2024, p. 12) have stated the alignment between the physical and mental health well-being. Furthermore, the application of Havighurst’s Activity Theory can improve physical well-being by improving mental health. On the other hand, the involvement in social activities within the area of residential care settings can create the chance to work in peer activity. The peer integration of older age people in the residential care home can validate their behavioural approaches. In other words, peer activity improves the social well-being of older patients in residential care homes by reducing loneliness, anxiety and social isolation (Hoang, 2022, p.3). The contribution in social activity can promote emotional support, self-esteem, as well as cognitive function of the involved members through shared hobbies, group exercise, along with community volunteering. Thus, influencing the trust-based relationships fosters a sense of belonging that ultimately improves mental health.</w:t>
      </w:r>
    </w:p>
    <w:p w14:paraId="60C6AE38" w14:textId="77777777" w:rsidR="00CC4E59" w:rsidRPr="00FF6116" w:rsidRDefault="007540F2">
      <w:pPr>
        <w:pStyle w:val="Heading2"/>
      </w:pPr>
      <w:bookmarkStart w:id="9" w:name="_r44qc2smuot1" w:colFirst="0" w:colLast="0"/>
      <w:bookmarkStart w:id="10" w:name="_Toc222490799"/>
      <w:bookmarkEnd w:id="9"/>
      <w:r w:rsidRPr="00FF6116">
        <w:t>Real-world example to illustrate the application</w:t>
      </w:r>
      <w:bookmarkEnd w:id="10"/>
    </w:p>
    <w:p w14:paraId="4116881D" w14:textId="77777777" w:rsidR="00CC4E59" w:rsidRPr="00FF6116" w:rsidRDefault="007540F2">
      <w:pPr>
        <w:spacing w:line="360" w:lineRule="auto"/>
        <w:jc w:val="both"/>
      </w:pPr>
      <w:r w:rsidRPr="00FF6116">
        <w:t xml:space="preserve">Mr. Parker, a 75-year-old former architect, moved to a residential care home. The psychological symptoms of this person are depression and anxiety as he no longer has any purpose in life. With </w:t>
      </w:r>
      <w:r w:rsidRPr="00FF6116">
        <w:lastRenderedPageBreak/>
        <w:t xml:space="preserve">the guidance of the authority of the residential care home, medication and therapeutic treatment are provided to Mr. Parker. Improving the mental well-being of this person is the main aim in this case scenario. However, the behavioural approaches, sense of thinking and productivity have promoted the anxiety level within Mr. Parker day-by-day. </w:t>
      </w:r>
    </w:p>
    <w:p w14:paraId="18709E59" w14:textId="77777777" w:rsidR="00CC4E59" w:rsidRPr="00FF6116" w:rsidRDefault="007540F2">
      <w:pPr>
        <w:spacing w:line="360" w:lineRule="auto"/>
        <w:jc w:val="both"/>
      </w:pPr>
      <w:r w:rsidRPr="00FF6116">
        <w:t xml:space="preserve">As per the application of Havighurst’s Activity Theory, the residential care unit has taken the initiative to involve Mr Parker in social activity. The social isolation can be addressed in this case scenario as well as this person can be involved in peer discussions that motivate further. A “Men’s shed workshop” has been developed under the guidance of the residential care home. Mr. Parker has been actively involved in this workshop which has provided the chance to communicate with people with the same background. The sense of purpose and belonging has been promoted that positively influences psychological well-being in an effective manner. </w:t>
      </w:r>
    </w:p>
    <w:p w14:paraId="33777FB2" w14:textId="77777777" w:rsidR="00CC4E59" w:rsidRPr="00FF6116" w:rsidRDefault="007540F2">
      <w:pPr>
        <w:pStyle w:val="Heading2"/>
      </w:pPr>
      <w:bookmarkStart w:id="11" w:name="_fd9lji80xg0h" w:colFirst="0" w:colLast="0"/>
      <w:bookmarkStart w:id="12" w:name="_Toc222490800"/>
      <w:bookmarkEnd w:id="11"/>
      <w:r w:rsidRPr="00FF6116">
        <w:t>Challenge professionals may face when applying this theory with an action strategy</w:t>
      </w:r>
      <w:bookmarkEnd w:id="12"/>
      <w:r w:rsidRPr="00FF6116">
        <w:t xml:space="preserve"> </w:t>
      </w:r>
    </w:p>
    <w:p w14:paraId="0A6A8E75" w14:textId="77777777" w:rsidR="00CC4E59" w:rsidRPr="00FF6116" w:rsidRDefault="007540F2">
      <w:pPr>
        <w:spacing w:line="360" w:lineRule="auto"/>
        <w:jc w:val="both"/>
      </w:pPr>
      <w:r w:rsidRPr="00FF6116">
        <w:t xml:space="preserve">The diverse functional health of the older people in residential care homes hinders the application of Havighurst’s Activity Theory which suggests involvement in social activity. It has been recognised that older people in residential homes mostly suggest different long-term conditions. Involvement in social activities is not safe for these individuals as these can disrupt physical health. For instance, the fall of an older person during social activity can disturb the overall treatment plan. Addressing these issues, the residential care unit is suggested to involve the older people in social care activity under close monitoring.  </w:t>
      </w:r>
    </w:p>
    <w:p w14:paraId="34E7DA39" w14:textId="77777777" w:rsidR="00CC4E59" w:rsidRPr="00FF6116" w:rsidRDefault="007540F2">
      <w:pPr>
        <w:pStyle w:val="Heading2"/>
        <w:rPr>
          <w:i/>
          <w:iCs/>
        </w:rPr>
      </w:pPr>
      <w:bookmarkStart w:id="13" w:name="_xt65mu8q03p4" w:colFirst="0" w:colLast="0"/>
      <w:bookmarkStart w:id="14" w:name="_Toc222490801"/>
      <w:bookmarkEnd w:id="13"/>
      <w:r w:rsidRPr="00FF6116">
        <w:t>Conclusion</w:t>
      </w:r>
      <w:bookmarkEnd w:id="14"/>
      <w:r w:rsidRPr="00FF6116">
        <w:rPr>
          <w:i/>
          <w:iCs/>
        </w:rPr>
        <w:t xml:space="preserve"> </w:t>
      </w:r>
    </w:p>
    <w:p w14:paraId="3DAB8DA1" w14:textId="44F3F9AA" w:rsidR="00CC4E59" w:rsidRPr="00FF6116" w:rsidRDefault="007540F2">
      <w:pPr>
        <w:spacing w:line="360" w:lineRule="auto"/>
        <w:jc w:val="both"/>
        <w:rPr>
          <w:b/>
          <w:bCs/>
          <w:i/>
          <w:iCs/>
        </w:rPr>
      </w:pPr>
      <w:r w:rsidRPr="00FF6116">
        <w:t xml:space="preserve">It can be summed up from the above discussion that Havighurst’s activity influences tasks related to mental development, especially among the older population. The application </w:t>
      </w:r>
      <w:r w:rsidR="00FF6116" w:rsidRPr="00FF6116">
        <w:t>of Havighurst’s</w:t>
      </w:r>
      <w:r w:rsidRPr="00FF6116">
        <w:t xml:space="preserve"> Activity Theory can provide an efficient way of improving self-esteem, and improving psychological well-being in the residential care home. This theory suggests involving the older people in small but effective activities, such as gardening, and active community members. Diverse functional health is the application of Havighurst’s Activity Theory that can be addressed by close monitoring by the residential care members.</w:t>
      </w:r>
      <w:r w:rsidRPr="00FF6116">
        <w:br w:type="page"/>
      </w:r>
    </w:p>
    <w:p w14:paraId="796539EB" w14:textId="77777777" w:rsidR="00CC4E59" w:rsidRPr="00FF6116" w:rsidRDefault="007540F2">
      <w:pPr>
        <w:pStyle w:val="Heading1"/>
        <w:rPr>
          <w:rFonts w:ascii="Arial" w:eastAsia="Arial" w:hAnsi="Arial" w:cs="Arial"/>
          <w:sz w:val="22"/>
          <w:szCs w:val="22"/>
        </w:rPr>
      </w:pPr>
      <w:bookmarkStart w:id="15" w:name="_uhp9qxsu0kkn" w:colFirst="0" w:colLast="0"/>
      <w:bookmarkStart w:id="16" w:name="_Toc222490802"/>
      <w:bookmarkEnd w:id="15"/>
      <w:r w:rsidRPr="00FF6116">
        <w:rPr>
          <w:rFonts w:ascii="Arial" w:eastAsia="Arial" w:hAnsi="Arial" w:cs="Arial"/>
          <w:sz w:val="22"/>
          <w:szCs w:val="22"/>
        </w:rPr>
        <w:lastRenderedPageBreak/>
        <w:t>References</w:t>
      </w:r>
      <w:bookmarkEnd w:id="16"/>
      <w:r w:rsidRPr="00FF6116">
        <w:rPr>
          <w:rFonts w:ascii="Arial" w:eastAsia="Arial" w:hAnsi="Arial" w:cs="Arial"/>
          <w:sz w:val="22"/>
          <w:szCs w:val="22"/>
        </w:rPr>
        <w:t xml:space="preserve"> </w:t>
      </w:r>
    </w:p>
    <w:p w14:paraId="3B6BE3CF" w14:textId="77777777" w:rsidR="00CC4E59" w:rsidRPr="00FF6116" w:rsidRDefault="007540F2">
      <w:pPr>
        <w:spacing w:before="240" w:after="240" w:line="360" w:lineRule="auto"/>
        <w:jc w:val="both"/>
        <w:rPr>
          <w:b/>
          <w:bCs/>
        </w:rPr>
      </w:pPr>
      <w:r w:rsidRPr="00FF6116">
        <w:rPr>
          <w:b/>
          <w:bCs/>
        </w:rPr>
        <w:t xml:space="preserve">Annotated biography </w:t>
      </w:r>
    </w:p>
    <w:p w14:paraId="3F825B7F" w14:textId="77777777" w:rsidR="00FF6116" w:rsidRPr="00FF6116" w:rsidRDefault="00FF6116">
      <w:pPr>
        <w:spacing w:before="240" w:after="240" w:line="360" w:lineRule="auto"/>
        <w:jc w:val="both"/>
      </w:pPr>
      <w:r w:rsidRPr="00FF6116">
        <w:t xml:space="preserve">Behrens, K.Y., Jones-Mason, K. and Forslund, T., (2025). ‘John Bowlby’s theory of attachment and separation: revisiting his original visions after 50+ years, what we know today, and where to go from here?’. </w:t>
      </w:r>
      <w:r w:rsidRPr="00FF6116">
        <w:rPr>
          <w:i/>
          <w:iCs/>
        </w:rPr>
        <w:t>Attachment &amp; Human Development</w:t>
      </w:r>
      <w:r w:rsidRPr="00FF6116">
        <w:t xml:space="preserve">, </w:t>
      </w:r>
      <w:r w:rsidRPr="00FF6116">
        <w:rPr>
          <w:i/>
          <w:iCs/>
        </w:rPr>
        <w:t>27</w:t>
      </w:r>
      <w:r w:rsidRPr="00FF6116">
        <w:t>(5), pp.657-661. Available at:</w:t>
      </w:r>
      <w:hyperlink r:id="rId9">
        <w:r w:rsidRPr="00FF6116">
          <w:t xml:space="preserve"> </w:t>
        </w:r>
      </w:hyperlink>
      <w:hyperlink r:id="rId10">
        <w:r w:rsidRPr="00FF6116">
          <w:rPr>
            <w:color w:val="1155CC"/>
            <w:u w:val="single"/>
          </w:rPr>
          <w:t>https://www.tandfonline.com/doi/pdf/10.1080/14616734.2024.2342665</w:t>
        </w:r>
      </w:hyperlink>
      <w:r w:rsidRPr="00FF6116">
        <w:t xml:space="preserve"> (Accessed: 20 February 2026)</w:t>
      </w:r>
    </w:p>
    <w:p w14:paraId="06FCE5D1" w14:textId="77777777" w:rsidR="00FF6116" w:rsidRPr="00FF6116" w:rsidRDefault="00FF6116">
      <w:pPr>
        <w:spacing w:before="240" w:after="240" w:line="360" w:lineRule="auto"/>
        <w:jc w:val="both"/>
      </w:pPr>
      <w:r w:rsidRPr="00FF6116">
        <w:t>de Carvalho, N.A. and Veiga, F.H., (2022). ‘Psychosocial development research in adolescence: A scoping review’.</w:t>
      </w:r>
      <w:r w:rsidRPr="00FF6116">
        <w:rPr>
          <w:i/>
          <w:iCs/>
        </w:rPr>
        <w:t xml:space="preserve"> Trends in Psychology, 30(4)</w:t>
      </w:r>
      <w:r w:rsidRPr="00FF6116">
        <w:t>, pp.640-669. Available at:</w:t>
      </w:r>
      <w:hyperlink r:id="rId11">
        <w:r w:rsidRPr="00FF6116">
          <w:t xml:space="preserve"> </w:t>
        </w:r>
      </w:hyperlink>
      <w:hyperlink r:id="rId12">
        <w:r w:rsidRPr="00FF6116">
          <w:rPr>
            <w:color w:val="1155CC"/>
            <w:u w:val="single"/>
          </w:rPr>
          <w:t>https://doi.org/10.1007/s43076-022-00143-0</w:t>
        </w:r>
      </w:hyperlink>
      <w:r w:rsidRPr="00FF6116">
        <w:t xml:space="preserve"> (Accessed: 20 February 2026)</w:t>
      </w:r>
    </w:p>
    <w:p w14:paraId="2F092BC3" w14:textId="77777777" w:rsidR="00FF6116" w:rsidRPr="00FF6116" w:rsidRDefault="00FF6116">
      <w:pPr>
        <w:spacing w:before="240" w:after="240" w:line="360" w:lineRule="auto"/>
        <w:jc w:val="both"/>
      </w:pPr>
      <w:r w:rsidRPr="00FF6116">
        <w:t xml:space="preserve">Jankowiak, B., Soroko, E., </w:t>
      </w:r>
      <w:proofErr w:type="spellStart"/>
      <w:r w:rsidRPr="00FF6116">
        <w:t>Kuryś-Szyncel</w:t>
      </w:r>
      <w:proofErr w:type="spellEnd"/>
      <w:r w:rsidRPr="00FF6116">
        <w:t xml:space="preserve">, K., Jaskulska, S., Hill, C.T., Sawaumi, T., Sanz-Barbero, B., Vives-Cases, C., Neves, S., Inagaki, T. and Lee, J., (2025). ‘Building bridges between Arnett’s and Havighurst’s theories: New developmental tasks in emerging adulthood across six countries’. </w:t>
      </w:r>
      <w:r w:rsidRPr="00FF6116">
        <w:rPr>
          <w:i/>
          <w:iCs/>
        </w:rPr>
        <w:t>Emerging Adulthood, 13(3)</w:t>
      </w:r>
      <w:r w:rsidRPr="00FF6116">
        <w:t>, pp.503-518.</w:t>
      </w:r>
      <w:hyperlink r:id="rId13">
        <w:r w:rsidRPr="00FF6116">
          <w:t xml:space="preserve"> </w:t>
        </w:r>
      </w:hyperlink>
      <w:hyperlink r:id="rId14">
        <w:r w:rsidRPr="00FF6116">
          <w:rPr>
            <w:color w:val="1155CC"/>
            <w:u w:val="single"/>
          </w:rPr>
          <w:t>https://doi.org/10.1177/21676968251322822</w:t>
        </w:r>
      </w:hyperlink>
      <w:r w:rsidRPr="00FF6116">
        <w:t xml:space="preserve"> (Accessed: 20 February 2026)</w:t>
      </w:r>
    </w:p>
    <w:p w14:paraId="0DE0B175" w14:textId="77777777" w:rsidR="00FF6116" w:rsidRPr="00FF6116" w:rsidRDefault="00FF6116">
      <w:pPr>
        <w:spacing w:before="240" w:after="240" w:line="360" w:lineRule="auto"/>
        <w:jc w:val="both"/>
      </w:pPr>
      <w:r w:rsidRPr="00FF6116">
        <w:t xml:space="preserve">Li, H., Xiong, Y. and Ye, Z., (2024). ‘Newman’s theory of health as expanding consciousness: an evolutionary concept analysis’. </w:t>
      </w:r>
      <w:r w:rsidRPr="00FF6116">
        <w:rPr>
          <w:i/>
          <w:iCs/>
        </w:rPr>
        <w:t>BMC nursing</w:t>
      </w:r>
      <w:r w:rsidRPr="00FF6116">
        <w:t xml:space="preserve">, </w:t>
      </w:r>
      <w:r w:rsidRPr="00FF6116">
        <w:rPr>
          <w:i/>
          <w:iCs/>
        </w:rPr>
        <w:t>23</w:t>
      </w:r>
      <w:r w:rsidRPr="00FF6116">
        <w:t>(1), p.616. Available at:</w:t>
      </w:r>
      <w:hyperlink r:id="rId15">
        <w:r w:rsidRPr="00FF6116">
          <w:t xml:space="preserve"> </w:t>
        </w:r>
      </w:hyperlink>
      <w:hyperlink r:id="rId16">
        <w:r w:rsidRPr="00FF6116">
          <w:rPr>
            <w:color w:val="1155CC"/>
            <w:u w:val="single"/>
          </w:rPr>
          <w:t>https://doi.org/10.1186/s12912-024-02262-8</w:t>
        </w:r>
      </w:hyperlink>
      <w:r w:rsidRPr="00FF6116">
        <w:t xml:space="preserve">  (Accessed: 20 February 2026)</w:t>
      </w:r>
    </w:p>
    <w:p w14:paraId="377107C8" w14:textId="77777777" w:rsidR="00CC4E59" w:rsidRPr="00FF6116" w:rsidRDefault="007540F2">
      <w:pPr>
        <w:spacing w:line="360" w:lineRule="auto"/>
        <w:rPr>
          <w:b/>
          <w:bCs/>
        </w:rPr>
      </w:pPr>
      <w:r w:rsidRPr="00FF6116">
        <w:rPr>
          <w:b/>
          <w:bCs/>
        </w:rPr>
        <w:t xml:space="preserve">Report </w:t>
      </w:r>
    </w:p>
    <w:p w14:paraId="157A6E45" w14:textId="77777777" w:rsidR="00FF6116" w:rsidRPr="00FF6116" w:rsidRDefault="00FF6116" w:rsidP="00FF6116">
      <w:pPr>
        <w:spacing w:before="240" w:after="240" w:line="360" w:lineRule="auto"/>
        <w:jc w:val="both"/>
        <w:rPr>
          <w:b/>
          <w:bCs/>
          <w:color w:val="000000" w:themeColor="text1"/>
        </w:rPr>
      </w:pPr>
      <w:r w:rsidRPr="00FF6116">
        <w:rPr>
          <w:color w:val="000000" w:themeColor="text1"/>
          <w:highlight w:val="white"/>
        </w:rPr>
        <w:t xml:space="preserve">Hoang, P., King, J.A., Moore, S., Moore, K., Reich, K., Sidhu, H., Tan, C.V., Whaley, C. and McMillan, J., (2022). ‘Interventions associated with reduced loneliness and social isolation in older adults: a systematic review and meta-analysis’. </w:t>
      </w:r>
      <w:r w:rsidRPr="00FF6116">
        <w:rPr>
          <w:i/>
          <w:iCs/>
          <w:color w:val="000000" w:themeColor="text1"/>
          <w:highlight w:val="white"/>
        </w:rPr>
        <w:t>JAMA network open</w:t>
      </w:r>
      <w:r w:rsidRPr="00FF6116">
        <w:rPr>
          <w:color w:val="000000" w:themeColor="text1"/>
          <w:highlight w:val="white"/>
        </w:rPr>
        <w:t xml:space="preserve">, </w:t>
      </w:r>
      <w:r w:rsidRPr="00FF6116">
        <w:rPr>
          <w:i/>
          <w:iCs/>
          <w:color w:val="000000" w:themeColor="text1"/>
          <w:highlight w:val="white"/>
        </w:rPr>
        <w:t>5</w:t>
      </w:r>
      <w:r w:rsidRPr="00FF6116">
        <w:rPr>
          <w:color w:val="000000" w:themeColor="text1"/>
          <w:highlight w:val="white"/>
        </w:rPr>
        <w:t xml:space="preserve">(10), p.e2236676. </w:t>
      </w:r>
      <w:r w:rsidRPr="00FF6116">
        <w:rPr>
          <w:color w:val="000000" w:themeColor="text1"/>
        </w:rPr>
        <w:t xml:space="preserve">Available </w:t>
      </w:r>
      <w:r w:rsidRPr="00FF6116">
        <w:t xml:space="preserve">at: </w:t>
      </w:r>
      <w:hyperlink r:id="rId17">
        <w:r w:rsidRPr="00FF6116">
          <w:rPr>
            <w:color w:val="1155CC"/>
            <w:highlight w:val="white"/>
            <w:u w:val="single"/>
          </w:rPr>
          <w:t>https://journals.lww.com/indianjpsychiatry/fulltext/2024/66002/clinical_practice_guidelines_for_promoting_mental.14.aspx?context=latestarticles</w:t>
        </w:r>
      </w:hyperlink>
      <w:r w:rsidRPr="00FF6116">
        <w:rPr>
          <w:b/>
          <w:bCs/>
        </w:rPr>
        <w:t xml:space="preserve"> </w:t>
      </w:r>
      <w:r w:rsidRPr="00FF6116">
        <w:rPr>
          <w:color w:val="000000" w:themeColor="text1"/>
        </w:rPr>
        <w:t>(Accessed: 20 February 2026)</w:t>
      </w:r>
    </w:p>
    <w:p w14:paraId="14E504F7" w14:textId="77777777" w:rsidR="00FF6116" w:rsidRPr="00FF6116" w:rsidRDefault="00FF6116" w:rsidP="00FF6116">
      <w:pPr>
        <w:spacing w:before="240" w:after="240" w:line="360" w:lineRule="auto"/>
        <w:jc w:val="both"/>
        <w:rPr>
          <w:color w:val="222222"/>
          <w:highlight w:val="white"/>
        </w:rPr>
      </w:pPr>
      <w:r w:rsidRPr="00FF6116">
        <w:rPr>
          <w:color w:val="000000" w:themeColor="text1"/>
          <w:highlight w:val="white"/>
        </w:rPr>
        <w:t xml:space="preserve">Hossen, M.S. and Salleh, S.F.B., (2025). ‘Social influences on the psychological well-being of elderly individuals’. </w:t>
      </w:r>
      <w:r w:rsidRPr="00FF6116">
        <w:rPr>
          <w:i/>
          <w:iCs/>
          <w:color w:val="000000" w:themeColor="text1"/>
          <w:highlight w:val="white"/>
        </w:rPr>
        <w:t>Journal of Humanities and Applied Social Sciences</w:t>
      </w:r>
      <w:r w:rsidRPr="00FF6116">
        <w:rPr>
          <w:color w:val="000000" w:themeColor="text1"/>
          <w:highlight w:val="white"/>
        </w:rPr>
        <w:t xml:space="preserve">, </w:t>
      </w:r>
      <w:r w:rsidRPr="00FF6116">
        <w:rPr>
          <w:i/>
          <w:iCs/>
          <w:color w:val="000000" w:themeColor="text1"/>
          <w:highlight w:val="white"/>
        </w:rPr>
        <w:t>7</w:t>
      </w:r>
      <w:r w:rsidRPr="00FF6116">
        <w:rPr>
          <w:color w:val="000000" w:themeColor="text1"/>
          <w:highlight w:val="white"/>
        </w:rPr>
        <w:t xml:space="preserve">(4), pp.315-332. </w:t>
      </w:r>
      <w:r w:rsidRPr="00FF6116">
        <w:t xml:space="preserve">Available at: </w:t>
      </w:r>
      <w:hyperlink r:id="rId18">
        <w:r w:rsidRPr="00FF6116">
          <w:rPr>
            <w:color w:val="1155CC"/>
            <w:highlight w:val="white"/>
            <w:u w:val="single"/>
          </w:rPr>
          <w:t>https://doi.org/10.1108/JHASS-01-2024-0010</w:t>
        </w:r>
      </w:hyperlink>
      <w:r w:rsidRPr="00FF6116">
        <w:rPr>
          <w:color w:val="222222"/>
          <w:highlight w:val="white"/>
        </w:rPr>
        <w:t xml:space="preserve"> </w:t>
      </w:r>
      <w:r w:rsidRPr="00FF6116">
        <w:t>(Accessed: 20 February 2026)</w:t>
      </w:r>
    </w:p>
    <w:p w14:paraId="30FC3E8A" w14:textId="77777777" w:rsidR="00FF6116" w:rsidRPr="00FF6116" w:rsidRDefault="00FF6116" w:rsidP="00FF6116">
      <w:pPr>
        <w:spacing w:before="240" w:after="240" w:line="360" w:lineRule="auto"/>
        <w:jc w:val="both"/>
        <w:rPr>
          <w:color w:val="000000" w:themeColor="text1"/>
          <w:highlight w:val="white"/>
        </w:rPr>
      </w:pPr>
      <w:r w:rsidRPr="00FF6116">
        <w:rPr>
          <w:color w:val="000000" w:themeColor="text1"/>
          <w:highlight w:val="white"/>
        </w:rPr>
        <w:lastRenderedPageBreak/>
        <w:t xml:space="preserve">Porter, C., </w:t>
      </w:r>
      <w:proofErr w:type="spellStart"/>
      <w:r w:rsidRPr="00FF6116">
        <w:rPr>
          <w:color w:val="000000" w:themeColor="text1"/>
          <w:highlight w:val="white"/>
        </w:rPr>
        <w:t>Aggar</w:t>
      </w:r>
      <w:proofErr w:type="spellEnd"/>
      <w:r w:rsidRPr="00FF6116">
        <w:rPr>
          <w:color w:val="000000" w:themeColor="text1"/>
          <w:highlight w:val="white"/>
        </w:rPr>
        <w:t xml:space="preserve">, C. and Duncanson, K., (2024). ‘People Living With Mental Illness Perceptions of Physical Health, Mental Health and Well‐Being’. </w:t>
      </w:r>
      <w:r w:rsidRPr="00FF6116">
        <w:rPr>
          <w:i/>
          <w:iCs/>
          <w:color w:val="000000" w:themeColor="text1"/>
          <w:highlight w:val="white"/>
        </w:rPr>
        <w:t>International journal of mental health nursing</w:t>
      </w:r>
      <w:r w:rsidRPr="00FF6116">
        <w:rPr>
          <w:color w:val="000000" w:themeColor="text1"/>
          <w:highlight w:val="white"/>
        </w:rPr>
        <w:t xml:space="preserve">, </w:t>
      </w:r>
      <w:r w:rsidRPr="00FF6116">
        <w:rPr>
          <w:i/>
          <w:iCs/>
          <w:color w:val="000000" w:themeColor="text1"/>
          <w:highlight w:val="white"/>
        </w:rPr>
        <w:t>33</w:t>
      </w:r>
      <w:r w:rsidRPr="00FF6116">
        <w:rPr>
          <w:color w:val="000000" w:themeColor="text1"/>
          <w:highlight w:val="white"/>
        </w:rPr>
        <w:t xml:space="preserve">(6), pp.2293-2303. </w:t>
      </w:r>
      <w:r w:rsidRPr="00FF6116">
        <w:rPr>
          <w:color w:val="000000" w:themeColor="text1"/>
        </w:rPr>
        <w:t xml:space="preserve">Available at: </w:t>
      </w:r>
      <w:hyperlink r:id="rId19">
        <w:r w:rsidRPr="00FF6116">
          <w:rPr>
            <w:color w:val="1155CC"/>
            <w:highlight w:val="white"/>
            <w:u w:val="single"/>
          </w:rPr>
          <w:t>https://doi.org/10.1111/inm.13393</w:t>
        </w:r>
      </w:hyperlink>
      <w:r w:rsidRPr="00FF6116">
        <w:rPr>
          <w:color w:val="222222"/>
          <w:highlight w:val="white"/>
        </w:rPr>
        <w:t xml:space="preserve"> </w:t>
      </w:r>
      <w:r w:rsidRPr="00FF6116">
        <w:t>(</w:t>
      </w:r>
      <w:r w:rsidRPr="00FF6116">
        <w:rPr>
          <w:color w:val="000000" w:themeColor="text1"/>
        </w:rPr>
        <w:t>Accessed: 20 February 2026)</w:t>
      </w:r>
    </w:p>
    <w:sectPr w:rsidR="00FF6116" w:rsidRPr="00FF6116" w:rsidSect="00FF6116">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5C37C" w14:textId="77777777" w:rsidR="004E36E1" w:rsidRDefault="004E36E1">
      <w:pPr>
        <w:spacing w:line="240" w:lineRule="auto"/>
      </w:pPr>
      <w:r>
        <w:separator/>
      </w:r>
    </w:p>
  </w:endnote>
  <w:endnote w:type="continuationSeparator" w:id="0">
    <w:p w14:paraId="56453C46" w14:textId="77777777" w:rsidR="004E36E1" w:rsidRDefault="004E36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3276DAE-44E6-466A-8E2E-BD21541158A4}"/>
  </w:font>
  <w:font w:name="Cambria">
    <w:panose1 w:val="02040503050406030204"/>
    <w:charset w:val="00"/>
    <w:family w:val="roman"/>
    <w:pitch w:val="variable"/>
    <w:sig w:usb0="E00006FF" w:usb1="420024FF" w:usb2="02000000" w:usb3="00000000" w:csb0="0000019F" w:csb1="00000000"/>
    <w:embedRegular r:id="rId2" w:fontKey="{ADD40458-1C58-4359-A438-34F292C2929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626C7" w14:textId="09AC7901" w:rsidR="00CC4E59" w:rsidRDefault="007540F2">
    <w:pPr>
      <w:jc w:val="right"/>
      <w:rPr>
        <w:sz w:val="20"/>
        <w:szCs w:val="20"/>
      </w:rPr>
    </w:pPr>
    <w:r>
      <w:rPr>
        <w:sz w:val="20"/>
        <w:szCs w:val="20"/>
      </w:rPr>
      <w:fldChar w:fldCharType="begin"/>
    </w:r>
    <w:r>
      <w:rPr>
        <w:sz w:val="20"/>
        <w:szCs w:val="20"/>
      </w:rPr>
      <w:instrText>PAGE</w:instrText>
    </w:r>
    <w:r>
      <w:rPr>
        <w:sz w:val="20"/>
        <w:szCs w:val="20"/>
      </w:rPr>
      <w:fldChar w:fldCharType="separate"/>
    </w:r>
    <w:r w:rsidR="00FF6116">
      <w:rPr>
        <w:noProof/>
        <w:sz w:val="20"/>
        <w:szCs w:val="20"/>
      </w:rPr>
      <w:t>7</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83F7F" w14:textId="77777777" w:rsidR="004E36E1" w:rsidRDefault="004E36E1">
      <w:pPr>
        <w:spacing w:line="240" w:lineRule="auto"/>
      </w:pPr>
      <w:r>
        <w:separator/>
      </w:r>
    </w:p>
  </w:footnote>
  <w:footnote w:type="continuationSeparator" w:id="0">
    <w:p w14:paraId="1AF4BBAA" w14:textId="77777777" w:rsidR="004E36E1" w:rsidRDefault="004E36E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E91A30"/>
    <w:multiLevelType w:val="multilevel"/>
    <w:tmpl w:val="91C020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DD53C9A"/>
    <w:multiLevelType w:val="multilevel"/>
    <w:tmpl w:val="5B24C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E2539FB"/>
    <w:multiLevelType w:val="multilevel"/>
    <w:tmpl w:val="2D4657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B7B6FF6"/>
    <w:multiLevelType w:val="multilevel"/>
    <w:tmpl w:val="E35015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68250719">
    <w:abstractNumId w:val="3"/>
  </w:num>
  <w:num w:numId="2" w16cid:durableId="1569537857">
    <w:abstractNumId w:val="2"/>
  </w:num>
  <w:num w:numId="3" w16cid:durableId="1640377018">
    <w:abstractNumId w:val="0"/>
  </w:num>
  <w:num w:numId="4" w16cid:durableId="14863871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E59"/>
    <w:rsid w:val="00114F2A"/>
    <w:rsid w:val="003304EF"/>
    <w:rsid w:val="004E36E1"/>
    <w:rsid w:val="00514519"/>
    <w:rsid w:val="007540F2"/>
    <w:rsid w:val="00786793"/>
    <w:rsid w:val="007B519F"/>
    <w:rsid w:val="00AE1F31"/>
    <w:rsid w:val="00C70BBD"/>
    <w:rsid w:val="00CC4E59"/>
    <w:rsid w:val="00E5321C"/>
    <w:rsid w:val="00EF4A4D"/>
    <w:rsid w:val="00FF61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4832E"/>
  <w15:docId w15:val="{FD935A48-AD0E-44D4-B4AA-31FF7E8C8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keepNext/>
      <w:keepLines/>
      <w:spacing w:line="360" w:lineRule="auto"/>
      <w:jc w:val="both"/>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7B519F"/>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7B519F"/>
    <w:pPr>
      <w:spacing w:after="100"/>
    </w:pPr>
  </w:style>
  <w:style w:type="paragraph" w:styleId="TOC2">
    <w:name w:val="toc 2"/>
    <w:basedOn w:val="Normal"/>
    <w:next w:val="Normal"/>
    <w:autoRedefine/>
    <w:uiPriority w:val="39"/>
    <w:unhideWhenUsed/>
    <w:rsid w:val="007B519F"/>
    <w:pPr>
      <w:spacing w:after="100"/>
      <w:ind w:left="220"/>
    </w:pPr>
  </w:style>
  <w:style w:type="character" w:styleId="Hyperlink">
    <w:name w:val="Hyperlink"/>
    <w:basedOn w:val="DefaultParagraphFont"/>
    <w:uiPriority w:val="99"/>
    <w:unhideWhenUsed/>
    <w:rsid w:val="007B51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21676968251322822" TargetMode="External"/><Relationship Id="rId18" Type="http://schemas.openxmlformats.org/officeDocument/2006/relationships/hyperlink" Target="https://doi.org/10.1108/JHASS-01-2024-001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07/s43076-022-00143-0" TargetMode="External"/><Relationship Id="rId17" Type="http://schemas.openxmlformats.org/officeDocument/2006/relationships/hyperlink" Target="https://journals.lww.com/indianjpsychiatry/fulltext/2024/66002/clinical_practice_guidelines_for_promoting_mental.14.aspx?context=latestarticles" TargetMode="External"/><Relationship Id="rId2" Type="http://schemas.openxmlformats.org/officeDocument/2006/relationships/numbering" Target="numbering.xml"/><Relationship Id="rId16" Type="http://schemas.openxmlformats.org/officeDocument/2006/relationships/hyperlink" Target="https://doi.org/10.1186/s12912-024-02262-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43076-022-00143-0" TargetMode="External"/><Relationship Id="rId5" Type="http://schemas.openxmlformats.org/officeDocument/2006/relationships/webSettings" Target="webSettings.xml"/><Relationship Id="rId15" Type="http://schemas.openxmlformats.org/officeDocument/2006/relationships/hyperlink" Target="https://doi.org/10.1186/s12912-024-02262-8" TargetMode="External"/><Relationship Id="rId10" Type="http://schemas.openxmlformats.org/officeDocument/2006/relationships/hyperlink" Target="https://www.tandfonline.com/doi/pdf/10.1080/14616734.2024.2342665" TargetMode="External"/><Relationship Id="rId19" Type="http://schemas.openxmlformats.org/officeDocument/2006/relationships/hyperlink" Target="https://doi.org/10.1111/inm.13393" TargetMode="External"/><Relationship Id="rId4" Type="http://schemas.openxmlformats.org/officeDocument/2006/relationships/settings" Target="settings.xml"/><Relationship Id="rId9" Type="http://schemas.openxmlformats.org/officeDocument/2006/relationships/hyperlink" Target="https://www.tandfonline.com/doi/pdf/10.1080/14616734.2024.2342665" TargetMode="External"/><Relationship Id="rId14" Type="http://schemas.openxmlformats.org/officeDocument/2006/relationships/hyperlink" Target="https://doi.org/10.1177/21676968251322822"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FF68C-D0B6-4C99-B5EF-65B40DEF7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2255</Words>
  <Characters>12859</Characters>
  <Application>Microsoft Office Word</Application>
  <DocSecurity>0</DocSecurity>
  <Lines>107</Lines>
  <Paragraphs>30</Paragraphs>
  <ScaleCrop>false</ScaleCrop>
  <Company/>
  <LinksUpToDate>false</LinksUpToDate>
  <CharactersWithSpaces>15084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Simao</dc:creator>
  <cp:lastModifiedBy>Anne Simao</cp:lastModifiedBy>
  <cp:revision>2</cp:revision>
  <dcterms:created xsi:type="dcterms:W3CDTF">2026-02-25T16:24:00Z</dcterms:created>
  <dcterms:modified xsi:type="dcterms:W3CDTF">2026-02-25T16:24:00Z</dcterms:modified>
</cp:coreProperties>
</file>