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E182" w14:textId="77777777" w:rsidR="009E5ECC" w:rsidRPr="0008459C" w:rsidRDefault="009E5ECC" w:rsidP="007F7024">
      <w:pPr>
        <w:jc w:val="center"/>
        <w:rPr>
          <w:rFonts w:ascii="Arial" w:eastAsia="Times New Roman" w:hAnsi="Arial" w:cs="Arial"/>
          <w:b/>
          <w:bCs/>
          <w:sz w:val="42"/>
          <w:szCs w:val="36"/>
        </w:rPr>
      </w:pPr>
      <w:r w:rsidRPr="0008459C">
        <w:rPr>
          <w:rFonts w:ascii="Arial" w:hAnsi="Arial" w:cs="Arial"/>
          <w:noProof/>
          <w:sz w:val="32"/>
          <w:lang w:val="en-US"/>
        </w:rPr>
        <w:t xml:space="preserve"> </w:t>
      </w:r>
      <w:r w:rsidR="007F7024" w:rsidRPr="0008459C">
        <w:rPr>
          <w:rFonts w:ascii="Arial" w:eastAsia="Times New Roman" w:hAnsi="Arial" w:cs="Arial"/>
          <w:b/>
          <w:bCs/>
          <w:sz w:val="42"/>
          <w:szCs w:val="36"/>
        </w:rPr>
        <w:t>University of Wales Trinity Saint David</w:t>
      </w:r>
    </w:p>
    <w:p w14:paraId="270AFBAA" w14:textId="77777777" w:rsidR="007F7024" w:rsidRPr="00970339" w:rsidRDefault="007F7024" w:rsidP="000E3733">
      <w:pPr>
        <w:spacing w:line="360" w:lineRule="auto"/>
        <w:jc w:val="center"/>
        <w:rPr>
          <w:rFonts w:ascii="Arial" w:eastAsia="Times New Roman" w:hAnsi="Arial" w:cs="Arial"/>
          <w:b/>
          <w:bCs/>
          <w:sz w:val="32"/>
          <w:szCs w:val="36"/>
        </w:rPr>
      </w:pPr>
      <w:r w:rsidRPr="00970339">
        <w:rPr>
          <w:rFonts w:ascii="Arial" w:hAnsi="Arial" w:cs="Arial"/>
          <w:noProof/>
          <w:lang w:val="en-US"/>
        </w:rPr>
        <w:drawing>
          <wp:anchor distT="0" distB="0" distL="114300" distR="114300" simplePos="0" relativeHeight="251664384" behindDoc="0" locked="0" layoutInCell="1" allowOverlap="1" wp14:anchorId="6A39FD54" wp14:editId="4DB870B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6B656E84" w14:textId="77777777" w:rsidR="007F7024" w:rsidRPr="00970339" w:rsidRDefault="007F7024" w:rsidP="0065412B">
      <w:pPr>
        <w:spacing w:line="360" w:lineRule="auto"/>
        <w:jc w:val="center"/>
        <w:rPr>
          <w:rFonts w:ascii="Arial" w:eastAsia="Times New Roman" w:hAnsi="Arial" w:cs="Arial"/>
          <w:b/>
          <w:bCs/>
          <w:sz w:val="28"/>
          <w:szCs w:val="24"/>
        </w:rPr>
      </w:pPr>
    </w:p>
    <w:p w14:paraId="2D4D9BEA" w14:textId="77777777" w:rsidR="007F7024" w:rsidRPr="00970339" w:rsidRDefault="007F7024" w:rsidP="0065412B">
      <w:pPr>
        <w:spacing w:line="360" w:lineRule="auto"/>
        <w:jc w:val="center"/>
        <w:rPr>
          <w:rFonts w:ascii="Arial" w:eastAsia="Times New Roman" w:hAnsi="Arial" w:cs="Arial"/>
          <w:b/>
          <w:bCs/>
          <w:sz w:val="28"/>
          <w:szCs w:val="24"/>
        </w:rPr>
      </w:pPr>
    </w:p>
    <w:p w14:paraId="1563314F" w14:textId="77777777" w:rsidR="0065412B" w:rsidRPr="00326A85" w:rsidRDefault="0065412B" w:rsidP="0065412B">
      <w:pPr>
        <w:spacing w:line="360" w:lineRule="auto"/>
        <w:jc w:val="center"/>
        <w:rPr>
          <w:rFonts w:ascii="Arial" w:hAnsi="Arial" w:cs="Arial"/>
          <w:b/>
          <w:sz w:val="34"/>
          <w:szCs w:val="24"/>
        </w:rPr>
      </w:pPr>
      <w:r w:rsidRPr="00326A85">
        <w:rPr>
          <w:rFonts w:ascii="Arial" w:eastAsia="Times New Roman" w:hAnsi="Arial" w:cs="Arial"/>
          <w:b/>
          <w:bCs/>
          <w:sz w:val="34"/>
          <w:szCs w:val="24"/>
        </w:rPr>
        <w:t xml:space="preserve">Title: </w:t>
      </w:r>
      <w:r w:rsidR="006738CC" w:rsidRPr="00326A85">
        <w:rPr>
          <w:rFonts w:ascii="Arial" w:hAnsi="Arial" w:cs="Arial"/>
          <w:b/>
          <w:sz w:val="34"/>
          <w:szCs w:val="24"/>
        </w:rPr>
        <w:t>Assessment component</w:t>
      </w:r>
      <w:r w:rsidR="0029105C" w:rsidRPr="00326A85">
        <w:rPr>
          <w:rFonts w:ascii="Arial" w:hAnsi="Arial" w:cs="Arial"/>
          <w:b/>
          <w:sz w:val="34"/>
          <w:szCs w:val="24"/>
        </w:rPr>
        <w:t xml:space="preserve"> 1</w:t>
      </w:r>
      <w:r w:rsidR="006738CC" w:rsidRPr="00326A85">
        <w:rPr>
          <w:rFonts w:ascii="Arial" w:hAnsi="Arial" w:cs="Arial"/>
          <w:b/>
          <w:sz w:val="34"/>
          <w:szCs w:val="24"/>
        </w:rPr>
        <w:t xml:space="preserve">: </w:t>
      </w:r>
      <w:r w:rsidR="0029105C" w:rsidRPr="00326A85">
        <w:rPr>
          <w:rFonts w:ascii="Arial" w:hAnsi="Arial" w:cs="Arial"/>
          <w:b/>
          <w:sz w:val="34"/>
          <w:szCs w:val="24"/>
        </w:rPr>
        <w:t>Individual Report</w:t>
      </w:r>
    </w:p>
    <w:p w14:paraId="19675A40"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Student Name:</w:t>
      </w:r>
      <w:r w:rsidRPr="00093F46">
        <w:rPr>
          <w:rFonts w:ascii="Arial" w:eastAsia="Times New Roman" w:hAnsi="Arial" w:cs="Arial"/>
          <w:bCs/>
          <w:sz w:val="32"/>
          <w:szCs w:val="36"/>
        </w:rPr>
        <w:tab/>
      </w:r>
      <w:r w:rsidR="00326A85">
        <w:rPr>
          <w:rFonts w:ascii="Arial" w:eastAsia="Times New Roman" w:hAnsi="Arial" w:cs="Arial"/>
          <w:bCs/>
          <w:sz w:val="32"/>
          <w:szCs w:val="36"/>
        </w:rPr>
        <w:tab/>
      </w:r>
      <w:r w:rsidR="00627F8D" w:rsidRPr="00FF7A70">
        <w:rPr>
          <w:rFonts w:ascii="Arial" w:eastAsia="Times New Roman" w:hAnsi="Arial" w:cs="Arial"/>
          <w:b/>
          <w:bCs/>
          <w:sz w:val="32"/>
          <w:szCs w:val="36"/>
        </w:rPr>
        <w:t>Saira Usman</w:t>
      </w:r>
    </w:p>
    <w:p w14:paraId="2CFE05B8" w14:textId="77777777" w:rsidR="00BF6F8D" w:rsidRPr="00093F46" w:rsidRDefault="00627F8D" w:rsidP="00BF6F8D">
      <w:pPr>
        <w:spacing w:line="360" w:lineRule="auto"/>
        <w:jc w:val="both"/>
        <w:rPr>
          <w:rFonts w:ascii="Arial" w:eastAsia="Times New Roman" w:hAnsi="Arial" w:cs="Arial"/>
          <w:bCs/>
          <w:sz w:val="32"/>
          <w:szCs w:val="36"/>
        </w:rPr>
      </w:pPr>
      <w:r>
        <w:rPr>
          <w:rFonts w:ascii="Arial" w:eastAsia="Times New Roman" w:hAnsi="Arial" w:cs="Arial"/>
          <w:bCs/>
          <w:sz w:val="32"/>
          <w:szCs w:val="36"/>
        </w:rPr>
        <w:t>Student ID:</w:t>
      </w:r>
      <w:r>
        <w:rPr>
          <w:rFonts w:ascii="Arial" w:eastAsia="Times New Roman" w:hAnsi="Arial" w:cs="Arial"/>
          <w:bCs/>
          <w:sz w:val="32"/>
          <w:szCs w:val="36"/>
        </w:rPr>
        <w:tab/>
      </w:r>
      <w:r>
        <w:rPr>
          <w:rFonts w:ascii="Arial" w:eastAsia="Times New Roman" w:hAnsi="Arial" w:cs="Arial"/>
          <w:bCs/>
          <w:sz w:val="32"/>
          <w:szCs w:val="36"/>
        </w:rPr>
        <w:tab/>
        <w:t>2</w:t>
      </w:r>
    </w:p>
    <w:p w14:paraId="282E2DBA"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t>Human Capital Management</w:t>
      </w:r>
    </w:p>
    <w:p w14:paraId="0E9CEFCC"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 Code:</w:t>
      </w:r>
      <w:r w:rsidRPr="00093F46">
        <w:rPr>
          <w:rFonts w:ascii="Arial" w:eastAsia="Times New Roman" w:hAnsi="Arial" w:cs="Arial"/>
          <w:bCs/>
          <w:sz w:val="32"/>
          <w:szCs w:val="36"/>
        </w:rPr>
        <w:tab/>
      </w:r>
      <w:r w:rsidRPr="00093F46">
        <w:rPr>
          <w:rFonts w:ascii="Arial" w:eastAsia="Times New Roman" w:hAnsi="Arial" w:cs="Arial"/>
          <w:bCs/>
          <w:sz w:val="32"/>
          <w:szCs w:val="36"/>
        </w:rPr>
        <w:tab/>
        <w:t>LCMB70023</w:t>
      </w:r>
    </w:p>
    <w:p w14:paraId="35A81391"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Name of Lecturer:</w:t>
      </w:r>
      <w:r w:rsidRPr="00093F46">
        <w:rPr>
          <w:rFonts w:ascii="Arial" w:eastAsia="Times New Roman" w:hAnsi="Arial" w:cs="Arial"/>
          <w:bCs/>
          <w:sz w:val="32"/>
          <w:szCs w:val="36"/>
        </w:rPr>
        <w:tab/>
        <w:t>Ejike Udeogu (Birmingham)</w:t>
      </w:r>
    </w:p>
    <w:p w14:paraId="0C036CD5"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Internal verifier:</w:t>
      </w:r>
      <w:r w:rsidRPr="00093F46">
        <w:rPr>
          <w:rFonts w:ascii="Arial" w:eastAsia="Times New Roman" w:hAnsi="Arial" w:cs="Arial"/>
          <w:bCs/>
          <w:sz w:val="32"/>
          <w:szCs w:val="36"/>
        </w:rPr>
        <w:tab/>
        <w:t xml:space="preserve">Vasilios Tavlaridis </w:t>
      </w:r>
    </w:p>
    <w:p w14:paraId="7A72E1F8"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Hoang Nguyen</w:t>
      </w:r>
    </w:p>
    <w:p w14:paraId="2453E8F2" w14:textId="77777777" w:rsidR="00BF6F8D" w:rsidRPr="00093F46" w:rsidRDefault="00BF6F8D" w:rsidP="00BF6F8D">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Date: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t>06 October 2025</w:t>
      </w:r>
    </w:p>
    <w:p w14:paraId="421C5D83" w14:textId="77777777" w:rsidR="00BF6F8D" w:rsidRPr="00093F46" w:rsidRDefault="00C83973" w:rsidP="00BF6F8D">
      <w:pPr>
        <w:spacing w:line="360" w:lineRule="auto"/>
        <w:rPr>
          <w:rFonts w:ascii="Arial" w:eastAsia="Times New Roman" w:hAnsi="Arial" w:cs="Arial"/>
          <w:bCs/>
          <w:sz w:val="28"/>
          <w:szCs w:val="24"/>
        </w:rPr>
      </w:pPr>
      <w:r>
        <w:rPr>
          <w:rFonts w:ascii="Arial" w:eastAsia="Times New Roman" w:hAnsi="Arial" w:cs="Arial"/>
          <w:bCs/>
          <w:sz w:val="32"/>
          <w:szCs w:val="36"/>
        </w:rPr>
        <w:t>Word count:</w:t>
      </w:r>
      <w:r>
        <w:rPr>
          <w:rFonts w:ascii="Arial" w:eastAsia="Times New Roman" w:hAnsi="Arial" w:cs="Arial"/>
          <w:bCs/>
          <w:sz w:val="32"/>
          <w:szCs w:val="36"/>
        </w:rPr>
        <w:tab/>
      </w:r>
      <w:r>
        <w:rPr>
          <w:rFonts w:ascii="Arial" w:eastAsia="Times New Roman" w:hAnsi="Arial" w:cs="Arial"/>
          <w:bCs/>
          <w:sz w:val="32"/>
          <w:szCs w:val="36"/>
        </w:rPr>
        <w:tab/>
        <w:t>270</w:t>
      </w:r>
      <w:r w:rsidR="004230E7">
        <w:rPr>
          <w:rFonts w:ascii="Arial" w:eastAsia="Times New Roman" w:hAnsi="Arial" w:cs="Arial"/>
          <w:bCs/>
          <w:sz w:val="32"/>
          <w:szCs w:val="36"/>
        </w:rPr>
        <w:t>0</w:t>
      </w:r>
    </w:p>
    <w:p w14:paraId="553C3D03" w14:textId="77777777" w:rsidR="00216B03" w:rsidRPr="00970339" w:rsidRDefault="00FD0388">
      <w:pPr>
        <w:rPr>
          <w:rFonts w:ascii="Arial" w:hAnsi="Arial" w:cs="Arial"/>
          <w:b/>
          <w:sz w:val="24"/>
        </w:rPr>
      </w:pPr>
      <w:r w:rsidRPr="00970339">
        <w:rPr>
          <w:rFonts w:ascii="Arial" w:hAnsi="Arial" w:cs="Arial"/>
          <w:b/>
          <w:sz w:val="24"/>
        </w:rPr>
        <w:br w:type="page"/>
      </w:r>
    </w:p>
    <w:sdt>
      <w:sdtPr>
        <w:rPr>
          <w:rFonts w:ascii="Arial" w:eastAsiaTheme="minorHAnsi" w:hAnsi="Arial" w:cs="Arial"/>
          <w:b w:val="0"/>
          <w:bCs w:val="0"/>
          <w:color w:val="auto"/>
          <w:sz w:val="22"/>
          <w:szCs w:val="22"/>
          <w:lang w:val="en-GB" w:eastAsia="en-US"/>
        </w:rPr>
        <w:id w:val="1720093859"/>
        <w:docPartObj>
          <w:docPartGallery w:val="Table of Contents"/>
          <w:docPartUnique/>
        </w:docPartObj>
      </w:sdtPr>
      <w:sdtEndPr>
        <w:rPr>
          <w:noProof/>
        </w:rPr>
      </w:sdtEndPr>
      <w:sdtContent>
        <w:p w14:paraId="02FD6E71" w14:textId="77777777" w:rsidR="00FD0388" w:rsidRPr="00970339" w:rsidRDefault="00FD0388" w:rsidP="00135C1B">
          <w:pPr>
            <w:pStyle w:val="TOCHeading"/>
            <w:jc w:val="both"/>
            <w:rPr>
              <w:rFonts w:ascii="Arial" w:hAnsi="Arial" w:cs="Arial"/>
            </w:rPr>
          </w:pPr>
          <w:r w:rsidRPr="00970339">
            <w:rPr>
              <w:rFonts w:ascii="Arial" w:hAnsi="Arial" w:cs="Arial"/>
            </w:rPr>
            <w:t>Contents</w:t>
          </w:r>
        </w:p>
        <w:p w14:paraId="4F828A11" w14:textId="77777777" w:rsidR="00A46EB0" w:rsidRDefault="00FD0388">
          <w:pPr>
            <w:pStyle w:val="TOC1"/>
            <w:tabs>
              <w:tab w:val="right" w:leader="dot" w:pos="9016"/>
            </w:tabs>
            <w:rPr>
              <w:rFonts w:eastAsiaTheme="minorEastAsia"/>
              <w:noProof/>
              <w:lang w:val="en-US"/>
            </w:rPr>
          </w:pPr>
          <w:r w:rsidRPr="00970339">
            <w:rPr>
              <w:rFonts w:ascii="Arial" w:hAnsi="Arial" w:cs="Arial"/>
            </w:rPr>
            <w:fldChar w:fldCharType="begin"/>
          </w:r>
          <w:r w:rsidRPr="00970339">
            <w:rPr>
              <w:rFonts w:ascii="Arial" w:hAnsi="Arial" w:cs="Arial"/>
            </w:rPr>
            <w:instrText xml:space="preserve"> TOC \o "1-3" \h \z \u </w:instrText>
          </w:r>
          <w:r w:rsidRPr="00970339">
            <w:rPr>
              <w:rFonts w:ascii="Arial" w:hAnsi="Arial" w:cs="Arial"/>
            </w:rPr>
            <w:fldChar w:fldCharType="separate"/>
          </w:r>
          <w:hyperlink w:anchor="_Toc211378572" w:history="1">
            <w:r w:rsidR="00A46EB0" w:rsidRPr="006D119A">
              <w:rPr>
                <w:rStyle w:val="Hyperlink"/>
                <w:rFonts w:ascii="Arial" w:hAnsi="Arial" w:cs="Arial"/>
                <w:noProof/>
              </w:rPr>
              <w:t>1.0 Introduction</w:t>
            </w:r>
            <w:r w:rsidR="00A46EB0">
              <w:rPr>
                <w:noProof/>
                <w:webHidden/>
              </w:rPr>
              <w:tab/>
            </w:r>
            <w:r w:rsidR="00A46EB0">
              <w:rPr>
                <w:noProof/>
                <w:webHidden/>
              </w:rPr>
              <w:fldChar w:fldCharType="begin"/>
            </w:r>
            <w:r w:rsidR="00A46EB0">
              <w:rPr>
                <w:noProof/>
                <w:webHidden/>
              </w:rPr>
              <w:instrText xml:space="preserve"> PAGEREF _Toc211378572 \h </w:instrText>
            </w:r>
            <w:r w:rsidR="00A46EB0">
              <w:rPr>
                <w:noProof/>
                <w:webHidden/>
              </w:rPr>
            </w:r>
            <w:r w:rsidR="00A46EB0">
              <w:rPr>
                <w:noProof/>
                <w:webHidden/>
              </w:rPr>
              <w:fldChar w:fldCharType="separate"/>
            </w:r>
            <w:r w:rsidR="00A46EB0">
              <w:rPr>
                <w:noProof/>
                <w:webHidden/>
              </w:rPr>
              <w:t>1</w:t>
            </w:r>
            <w:r w:rsidR="00A46EB0">
              <w:rPr>
                <w:noProof/>
                <w:webHidden/>
              </w:rPr>
              <w:fldChar w:fldCharType="end"/>
            </w:r>
          </w:hyperlink>
        </w:p>
        <w:p w14:paraId="5DF77DAD" w14:textId="77777777" w:rsidR="00A46EB0" w:rsidRDefault="00A46EB0">
          <w:pPr>
            <w:pStyle w:val="TOC1"/>
            <w:tabs>
              <w:tab w:val="right" w:leader="dot" w:pos="9016"/>
            </w:tabs>
            <w:rPr>
              <w:rFonts w:eastAsiaTheme="minorEastAsia"/>
              <w:noProof/>
              <w:lang w:val="en-US"/>
            </w:rPr>
          </w:pPr>
          <w:hyperlink w:anchor="_Toc211378573" w:history="1">
            <w:r w:rsidRPr="006D119A">
              <w:rPr>
                <w:rStyle w:val="Hyperlink"/>
                <w:rFonts w:ascii="Arial" w:hAnsi="Arial" w:cs="Arial"/>
                <w:noProof/>
                <w:lang w:val="en-US"/>
              </w:rPr>
              <w:t>1.1 The Influence of Technological Advancements on Labour Markets and HRM/IHRM Strategies</w:t>
            </w:r>
            <w:r>
              <w:rPr>
                <w:noProof/>
                <w:webHidden/>
              </w:rPr>
              <w:tab/>
            </w:r>
            <w:r>
              <w:rPr>
                <w:noProof/>
                <w:webHidden/>
              </w:rPr>
              <w:fldChar w:fldCharType="begin"/>
            </w:r>
            <w:r>
              <w:rPr>
                <w:noProof/>
                <w:webHidden/>
              </w:rPr>
              <w:instrText xml:space="preserve"> PAGEREF _Toc211378573 \h </w:instrText>
            </w:r>
            <w:r>
              <w:rPr>
                <w:noProof/>
                <w:webHidden/>
              </w:rPr>
            </w:r>
            <w:r>
              <w:rPr>
                <w:noProof/>
                <w:webHidden/>
              </w:rPr>
              <w:fldChar w:fldCharType="separate"/>
            </w:r>
            <w:r>
              <w:rPr>
                <w:noProof/>
                <w:webHidden/>
              </w:rPr>
              <w:t>1</w:t>
            </w:r>
            <w:r>
              <w:rPr>
                <w:noProof/>
                <w:webHidden/>
              </w:rPr>
              <w:fldChar w:fldCharType="end"/>
            </w:r>
          </w:hyperlink>
        </w:p>
        <w:p w14:paraId="7A9D3BF9" w14:textId="77777777" w:rsidR="00A46EB0" w:rsidRDefault="00A46EB0">
          <w:pPr>
            <w:pStyle w:val="TOC2"/>
            <w:tabs>
              <w:tab w:val="right" w:leader="dot" w:pos="9016"/>
            </w:tabs>
            <w:rPr>
              <w:rFonts w:eastAsiaTheme="minorEastAsia"/>
              <w:noProof/>
              <w:lang w:val="en-US"/>
            </w:rPr>
          </w:pPr>
          <w:hyperlink w:anchor="_Toc211378574" w:history="1">
            <w:r w:rsidRPr="006D119A">
              <w:rPr>
                <w:rStyle w:val="Hyperlink"/>
                <w:noProof/>
                <w:lang w:val="en-US"/>
              </w:rPr>
              <w:t>1.1.1 The Reshaping of Global Labour Markets by Technology</w:t>
            </w:r>
            <w:r>
              <w:rPr>
                <w:noProof/>
                <w:webHidden/>
              </w:rPr>
              <w:tab/>
            </w:r>
            <w:r>
              <w:rPr>
                <w:noProof/>
                <w:webHidden/>
              </w:rPr>
              <w:fldChar w:fldCharType="begin"/>
            </w:r>
            <w:r>
              <w:rPr>
                <w:noProof/>
                <w:webHidden/>
              </w:rPr>
              <w:instrText xml:space="preserve"> PAGEREF _Toc211378574 \h </w:instrText>
            </w:r>
            <w:r>
              <w:rPr>
                <w:noProof/>
                <w:webHidden/>
              </w:rPr>
            </w:r>
            <w:r>
              <w:rPr>
                <w:noProof/>
                <w:webHidden/>
              </w:rPr>
              <w:fldChar w:fldCharType="separate"/>
            </w:r>
            <w:r>
              <w:rPr>
                <w:noProof/>
                <w:webHidden/>
              </w:rPr>
              <w:t>1</w:t>
            </w:r>
            <w:r>
              <w:rPr>
                <w:noProof/>
                <w:webHidden/>
              </w:rPr>
              <w:fldChar w:fldCharType="end"/>
            </w:r>
          </w:hyperlink>
        </w:p>
        <w:p w14:paraId="7D12AF66" w14:textId="77777777" w:rsidR="00A46EB0" w:rsidRDefault="00A46EB0">
          <w:pPr>
            <w:pStyle w:val="TOC2"/>
            <w:tabs>
              <w:tab w:val="right" w:leader="dot" w:pos="9016"/>
            </w:tabs>
            <w:rPr>
              <w:rFonts w:eastAsiaTheme="minorEastAsia"/>
              <w:noProof/>
              <w:lang w:val="en-US"/>
            </w:rPr>
          </w:pPr>
          <w:hyperlink w:anchor="_Toc211378575" w:history="1">
            <w:r w:rsidRPr="006D119A">
              <w:rPr>
                <w:rStyle w:val="Hyperlink"/>
                <w:noProof/>
                <w:lang w:val="en-US"/>
              </w:rPr>
              <w:t>1.1.2 Implications for HRM and IHRM Strategies</w:t>
            </w:r>
            <w:r>
              <w:rPr>
                <w:noProof/>
                <w:webHidden/>
              </w:rPr>
              <w:tab/>
            </w:r>
            <w:r>
              <w:rPr>
                <w:noProof/>
                <w:webHidden/>
              </w:rPr>
              <w:fldChar w:fldCharType="begin"/>
            </w:r>
            <w:r>
              <w:rPr>
                <w:noProof/>
                <w:webHidden/>
              </w:rPr>
              <w:instrText xml:space="preserve"> PAGEREF _Toc211378575 \h </w:instrText>
            </w:r>
            <w:r>
              <w:rPr>
                <w:noProof/>
                <w:webHidden/>
              </w:rPr>
            </w:r>
            <w:r>
              <w:rPr>
                <w:noProof/>
                <w:webHidden/>
              </w:rPr>
              <w:fldChar w:fldCharType="separate"/>
            </w:r>
            <w:r>
              <w:rPr>
                <w:noProof/>
                <w:webHidden/>
              </w:rPr>
              <w:t>3</w:t>
            </w:r>
            <w:r>
              <w:rPr>
                <w:noProof/>
                <w:webHidden/>
              </w:rPr>
              <w:fldChar w:fldCharType="end"/>
            </w:r>
          </w:hyperlink>
        </w:p>
        <w:p w14:paraId="50DFC421" w14:textId="77777777" w:rsidR="00A46EB0" w:rsidRDefault="00A46EB0">
          <w:pPr>
            <w:pStyle w:val="TOC3"/>
            <w:tabs>
              <w:tab w:val="right" w:leader="dot" w:pos="9016"/>
            </w:tabs>
            <w:rPr>
              <w:rFonts w:eastAsiaTheme="minorEastAsia"/>
              <w:noProof/>
              <w:lang w:val="en-US"/>
            </w:rPr>
          </w:pPr>
          <w:hyperlink w:anchor="_Toc211378576" w:history="1">
            <w:r w:rsidRPr="006D119A">
              <w:rPr>
                <w:rStyle w:val="Hyperlink"/>
                <w:noProof/>
                <w:lang w:val="en-US"/>
              </w:rPr>
              <w:t>1.1.2.1 Talent Management and Skills Redevelopment</w:t>
            </w:r>
            <w:r>
              <w:rPr>
                <w:noProof/>
                <w:webHidden/>
              </w:rPr>
              <w:tab/>
            </w:r>
            <w:r>
              <w:rPr>
                <w:noProof/>
                <w:webHidden/>
              </w:rPr>
              <w:fldChar w:fldCharType="begin"/>
            </w:r>
            <w:r>
              <w:rPr>
                <w:noProof/>
                <w:webHidden/>
              </w:rPr>
              <w:instrText xml:space="preserve"> PAGEREF _Toc211378576 \h </w:instrText>
            </w:r>
            <w:r>
              <w:rPr>
                <w:noProof/>
                <w:webHidden/>
              </w:rPr>
            </w:r>
            <w:r>
              <w:rPr>
                <w:noProof/>
                <w:webHidden/>
              </w:rPr>
              <w:fldChar w:fldCharType="separate"/>
            </w:r>
            <w:r>
              <w:rPr>
                <w:noProof/>
                <w:webHidden/>
              </w:rPr>
              <w:t>3</w:t>
            </w:r>
            <w:r>
              <w:rPr>
                <w:noProof/>
                <w:webHidden/>
              </w:rPr>
              <w:fldChar w:fldCharType="end"/>
            </w:r>
          </w:hyperlink>
        </w:p>
        <w:p w14:paraId="33740B5E" w14:textId="77777777" w:rsidR="00A46EB0" w:rsidRDefault="00A46EB0">
          <w:pPr>
            <w:pStyle w:val="TOC3"/>
            <w:tabs>
              <w:tab w:val="right" w:leader="dot" w:pos="9016"/>
            </w:tabs>
            <w:rPr>
              <w:rFonts w:eastAsiaTheme="minorEastAsia"/>
              <w:noProof/>
              <w:lang w:val="en-US"/>
            </w:rPr>
          </w:pPr>
          <w:hyperlink w:anchor="_Toc211378577" w:history="1">
            <w:r w:rsidRPr="006D119A">
              <w:rPr>
                <w:rStyle w:val="Hyperlink"/>
                <w:noProof/>
                <w:lang w:val="en-US"/>
              </w:rPr>
              <w:t>1.1.2.2 Data-Driven HRM and Ethical Considerations</w:t>
            </w:r>
            <w:r>
              <w:rPr>
                <w:noProof/>
                <w:webHidden/>
              </w:rPr>
              <w:tab/>
            </w:r>
            <w:r>
              <w:rPr>
                <w:noProof/>
                <w:webHidden/>
              </w:rPr>
              <w:fldChar w:fldCharType="begin"/>
            </w:r>
            <w:r>
              <w:rPr>
                <w:noProof/>
                <w:webHidden/>
              </w:rPr>
              <w:instrText xml:space="preserve"> PAGEREF _Toc211378577 \h </w:instrText>
            </w:r>
            <w:r>
              <w:rPr>
                <w:noProof/>
                <w:webHidden/>
              </w:rPr>
            </w:r>
            <w:r>
              <w:rPr>
                <w:noProof/>
                <w:webHidden/>
              </w:rPr>
              <w:fldChar w:fldCharType="separate"/>
            </w:r>
            <w:r>
              <w:rPr>
                <w:noProof/>
                <w:webHidden/>
              </w:rPr>
              <w:t>3</w:t>
            </w:r>
            <w:r>
              <w:rPr>
                <w:noProof/>
                <w:webHidden/>
              </w:rPr>
              <w:fldChar w:fldCharType="end"/>
            </w:r>
          </w:hyperlink>
        </w:p>
        <w:p w14:paraId="05E4E5C6" w14:textId="77777777" w:rsidR="00A46EB0" w:rsidRDefault="00A46EB0">
          <w:pPr>
            <w:pStyle w:val="TOC3"/>
            <w:tabs>
              <w:tab w:val="right" w:leader="dot" w:pos="9016"/>
            </w:tabs>
            <w:rPr>
              <w:rFonts w:eastAsiaTheme="minorEastAsia"/>
              <w:noProof/>
              <w:lang w:val="en-US"/>
            </w:rPr>
          </w:pPr>
          <w:hyperlink w:anchor="_Toc211378578" w:history="1">
            <w:r w:rsidRPr="006D119A">
              <w:rPr>
                <w:rStyle w:val="Hyperlink"/>
                <w:noProof/>
                <w:lang w:val="en-US"/>
              </w:rPr>
              <w:t>1.1.2.3 Strategic IHRM in a Digital World</w:t>
            </w:r>
            <w:r>
              <w:rPr>
                <w:noProof/>
                <w:webHidden/>
              </w:rPr>
              <w:tab/>
            </w:r>
            <w:r>
              <w:rPr>
                <w:noProof/>
                <w:webHidden/>
              </w:rPr>
              <w:fldChar w:fldCharType="begin"/>
            </w:r>
            <w:r>
              <w:rPr>
                <w:noProof/>
                <w:webHidden/>
              </w:rPr>
              <w:instrText xml:space="preserve"> PAGEREF _Toc211378578 \h </w:instrText>
            </w:r>
            <w:r>
              <w:rPr>
                <w:noProof/>
                <w:webHidden/>
              </w:rPr>
            </w:r>
            <w:r>
              <w:rPr>
                <w:noProof/>
                <w:webHidden/>
              </w:rPr>
              <w:fldChar w:fldCharType="separate"/>
            </w:r>
            <w:r>
              <w:rPr>
                <w:noProof/>
                <w:webHidden/>
              </w:rPr>
              <w:t>4</w:t>
            </w:r>
            <w:r>
              <w:rPr>
                <w:noProof/>
                <w:webHidden/>
              </w:rPr>
              <w:fldChar w:fldCharType="end"/>
            </w:r>
          </w:hyperlink>
        </w:p>
        <w:p w14:paraId="394FA17D" w14:textId="77777777" w:rsidR="00A46EB0" w:rsidRDefault="00A46EB0">
          <w:pPr>
            <w:pStyle w:val="TOC1"/>
            <w:tabs>
              <w:tab w:val="right" w:leader="dot" w:pos="9016"/>
            </w:tabs>
            <w:rPr>
              <w:rFonts w:eastAsiaTheme="minorEastAsia"/>
              <w:noProof/>
              <w:lang w:val="en-US"/>
            </w:rPr>
          </w:pPr>
          <w:hyperlink w:anchor="_Toc211378579" w:history="1">
            <w:r w:rsidRPr="006D119A">
              <w:rPr>
                <w:rStyle w:val="Hyperlink"/>
                <w:rFonts w:ascii="Arial" w:hAnsi="Arial" w:cs="Arial"/>
                <w:noProof/>
              </w:rPr>
              <w:t>2. Key Demographic and Geopolitical Factors Influencing Employment Markets</w:t>
            </w:r>
            <w:r w:rsidRPr="006D119A">
              <w:rPr>
                <w:rStyle w:val="Hyperlink"/>
                <w:rFonts w:ascii="Arial" w:hAnsi="Arial" w:cs="Arial"/>
                <w:noProof/>
                <w:lang w:val="en-US"/>
              </w:rPr>
              <w:t xml:space="preserve"> and Consequent HR Challenges</w:t>
            </w:r>
            <w:r>
              <w:rPr>
                <w:noProof/>
                <w:webHidden/>
              </w:rPr>
              <w:tab/>
            </w:r>
            <w:r>
              <w:rPr>
                <w:noProof/>
                <w:webHidden/>
              </w:rPr>
              <w:fldChar w:fldCharType="begin"/>
            </w:r>
            <w:r>
              <w:rPr>
                <w:noProof/>
                <w:webHidden/>
              </w:rPr>
              <w:instrText xml:space="preserve"> PAGEREF _Toc211378579 \h </w:instrText>
            </w:r>
            <w:r>
              <w:rPr>
                <w:noProof/>
                <w:webHidden/>
              </w:rPr>
            </w:r>
            <w:r>
              <w:rPr>
                <w:noProof/>
                <w:webHidden/>
              </w:rPr>
              <w:fldChar w:fldCharType="separate"/>
            </w:r>
            <w:r>
              <w:rPr>
                <w:noProof/>
                <w:webHidden/>
              </w:rPr>
              <w:t>4</w:t>
            </w:r>
            <w:r>
              <w:rPr>
                <w:noProof/>
                <w:webHidden/>
              </w:rPr>
              <w:fldChar w:fldCharType="end"/>
            </w:r>
          </w:hyperlink>
        </w:p>
        <w:p w14:paraId="3EF319F8" w14:textId="77777777" w:rsidR="00A46EB0" w:rsidRDefault="00A46EB0">
          <w:pPr>
            <w:pStyle w:val="TOC2"/>
            <w:tabs>
              <w:tab w:val="right" w:leader="dot" w:pos="9016"/>
            </w:tabs>
            <w:rPr>
              <w:rFonts w:eastAsiaTheme="minorEastAsia"/>
              <w:noProof/>
              <w:lang w:val="en-US"/>
            </w:rPr>
          </w:pPr>
          <w:hyperlink w:anchor="_Toc211378580" w:history="1">
            <w:r w:rsidRPr="006D119A">
              <w:rPr>
                <w:rStyle w:val="Hyperlink"/>
                <w:noProof/>
                <w:lang w:val="en-US"/>
              </w:rPr>
              <w:t>2.1 The Demographic Imperative: Ageing Populations and Skill Mismatches</w:t>
            </w:r>
            <w:r>
              <w:rPr>
                <w:noProof/>
                <w:webHidden/>
              </w:rPr>
              <w:tab/>
            </w:r>
            <w:r>
              <w:rPr>
                <w:noProof/>
                <w:webHidden/>
              </w:rPr>
              <w:fldChar w:fldCharType="begin"/>
            </w:r>
            <w:r>
              <w:rPr>
                <w:noProof/>
                <w:webHidden/>
              </w:rPr>
              <w:instrText xml:space="preserve"> PAGEREF _Toc211378580 \h </w:instrText>
            </w:r>
            <w:r>
              <w:rPr>
                <w:noProof/>
                <w:webHidden/>
              </w:rPr>
            </w:r>
            <w:r>
              <w:rPr>
                <w:noProof/>
                <w:webHidden/>
              </w:rPr>
              <w:fldChar w:fldCharType="separate"/>
            </w:r>
            <w:r>
              <w:rPr>
                <w:noProof/>
                <w:webHidden/>
              </w:rPr>
              <w:t>4</w:t>
            </w:r>
            <w:r>
              <w:rPr>
                <w:noProof/>
                <w:webHidden/>
              </w:rPr>
              <w:fldChar w:fldCharType="end"/>
            </w:r>
          </w:hyperlink>
        </w:p>
        <w:p w14:paraId="0F38059B" w14:textId="77777777" w:rsidR="00A46EB0" w:rsidRDefault="00A46EB0">
          <w:pPr>
            <w:pStyle w:val="TOC2"/>
            <w:tabs>
              <w:tab w:val="right" w:leader="dot" w:pos="9016"/>
            </w:tabs>
            <w:rPr>
              <w:rFonts w:eastAsiaTheme="minorEastAsia"/>
              <w:noProof/>
              <w:lang w:val="en-US"/>
            </w:rPr>
          </w:pPr>
          <w:hyperlink w:anchor="_Toc211378581" w:history="1">
            <w:r w:rsidRPr="006D119A">
              <w:rPr>
                <w:rStyle w:val="Hyperlink"/>
                <w:noProof/>
                <w:lang w:val="en-US"/>
              </w:rPr>
              <w:t>2.2 Geopolitical Volatility: Disruption and Regulatory Complexity</w:t>
            </w:r>
            <w:r>
              <w:rPr>
                <w:noProof/>
                <w:webHidden/>
              </w:rPr>
              <w:tab/>
            </w:r>
            <w:r>
              <w:rPr>
                <w:noProof/>
                <w:webHidden/>
              </w:rPr>
              <w:fldChar w:fldCharType="begin"/>
            </w:r>
            <w:r>
              <w:rPr>
                <w:noProof/>
                <w:webHidden/>
              </w:rPr>
              <w:instrText xml:space="preserve"> PAGEREF _Toc211378581 \h </w:instrText>
            </w:r>
            <w:r>
              <w:rPr>
                <w:noProof/>
                <w:webHidden/>
              </w:rPr>
            </w:r>
            <w:r>
              <w:rPr>
                <w:noProof/>
                <w:webHidden/>
              </w:rPr>
              <w:fldChar w:fldCharType="separate"/>
            </w:r>
            <w:r>
              <w:rPr>
                <w:noProof/>
                <w:webHidden/>
              </w:rPr>
              <w:t>5</w:t>
            </w:r>
            <w:r>
              <w:rPr>
                <w:noProof/>
                <w:webHidden/>
              </w:rPr>
              <w:fldChar w:fldCharType="end"/>
            </w:r>
          </w:hyperlink>
        </w:p>
        <w:p w14:paraId="733BBBDC" w14:textId="77777777" w:rsidR="00A46EB0" w:rsidRDefault="00A46EB0">
          <w:pPr>
            <w:pStyle w:val="TOC2"/>
            <w:tabs>
              <w:tab w:val="right" w:leader="dot" w:pos="9016"/>
            </w:tabs>
            <w:rPr>
              <w:rFonts w:eastAsiaTheme="minorEastAsia"/>
              <w:noProof/>
              <w:lang w:val="en-US"/>
            </w:rPr>
          </w:pPr>
          <w:hyperlink w:anchor="_Toc211378582" w:history="1">
            <w:r w:rsidRPr="006D119A">
              <w:rPr>
                <w:rStyle w:val="Hyperlink"/>
                <w:noProof/>
                <w:lang w:val="en-US"/>
              </w:rPr>
              <w:t>2.3 Challenges for HR Professionals</w:t>
            </w:r>
            <w:r>
              <w:rPr>
                <w:noProof/>
                <w:webHidden/>
              </w:rPr>
              <w:tab/>
            </w:r>
            <w:r>
              <w:rPr>
                <w:noProof/>
                <w:webHidden/>
              </w:rPr>
              <w:fldChar w:fldCharType="begin"/>
            </w:r>
            <w:r>
              <w:rPr>
                <w:noProof/>
                <w:webHidden/>
              </w:rPr>
              <w:instrText xml:space="preserve"> PAGEREF _Toc211378582 \h </w:instrText>
            </w:r>
            <w:r>
              <w:rPr>
                <w:noProof/>
                <w:webHidden/>
              </w:rPr>
            </w:r>
            <w:r>
              <w:rPr>
                <w:noProof/>
                <w:webHidden/>
              </w:rPr>
              <w:fldChar w:fldCharType="separate"/>
            </w:r>
            <w:r>
              <w:rPr>
                <w:noProof/>
                <w:webHidden/>
              </w:rPr>
              <w:t>5</w:t>
            </w:r>
            <w:r>
              <w:rPr>
                <w:noProof/>
                <w:webHidden/>
              </w:rPr>
              <w:fldChar w:fldCharType="end"/>
            </w:r>
          </w:hyperlink>
        </w:p>
        <w:p w14:paraId="55A2DBBC" w14:textId="77777777" w:rsidR="00A46EB0" w:rsidRDefault="00A46EB0">
          <w:pPr>
            <w:pStyle w:val="TOC1"/>
            <w:tabs>
              <w:tab w:val="right" w:leader="dot" w:pos="9016"/>
            </w:tabs>
            <w:rPr>
              <w:rFonts w:eastAsiaTheme="minorEastAsia"/>
              <w:noProof/>
              <w:lang w:val="en-US"/>
            </w:rPr>
          </w:pPr>
          <w:hyperlink w:anchor="_Toc211378583" w:history="1">
            <w:r w:rsidRPr="006D119A">
              <w:rPr>
                <w:rStyle w:val="Hyperlink"/>
                <w:noProof/>
                <w:lang w:val="en-US"/>
              </w:rPr>
              <w:t>3. Strategic HRM Responses to Persistent Skills and Talent Shortages</w:t>
            </w:r>
            <w:r>
              <w:rPr>
                <w:noProof/>
                <w:webHidden/>
              </w:rPr>
              <w:tab/>
            </w:r>
            <w:r>
              <w:rPr>
                <w:noProof/>
                <w:webHidden/>
              </w:rPr>
              <w:fldChar w:fldCharType="begin"/>
            </w:r>
            <w:r>
              <w:rPr>
                <w:noProof/>
                <w:webHidden/>
              </w:rPr>
              <w:instrText xml:space="preserve"> PAGEREF _Toc211378583 \h </w:instrText>
            </w:r>
            <w:r>
              <w:rPr>
                <w:noProof/>
                <w:webHidden/>
              </w:rPr>
            </w:r>
            <w:r>
              <w:rPr>
                <w:noProof/>
                <w:webHidden/>
              </w:rPr>
              <w:fldChar w:fldCharType="separate"/>
            </w:r>
            <w:r>
              <w:rPr>
                <w:noProof/>
                <w:webHidden/>
              </w:rPr>
              <w:t>6</w:t>
            </w:r>
            <w:r>
              <w:rPr>
                <w:noProof/>
                <w:webHidden/>
              </w:rPr>
              <w:fldChar w:fldCharType="end"/>
            </w:r>
          </w:hyperlink>
        </w:p>
        <w:p w14:paraId="63D49C07" w14:textId="77777777" w:rsidR="00A46EB0" w:rsidRDefault="00A46EB0">
          <w:pPr>
            <w:pStyle w:val="TOC2"/>
            <w:tabs>
              <w:tab w:val="right" w:leader="dot" w:pos="9016"/>
            </w:tabs>
            <w:rPr>
              <w:rFonts w:eastAsiaTheme="minorEastAsia"/>
              <w:noProof/>
              <w:lang w:val="en-US"/>
            </w:rPr>
          </w:pPr>
          <w:hyperlink w:anchor="_Toc211378584" w:history="1">
            <w:r w:rsidRPr="006D119A">
              <w:rPr>
                <w:rStyle w:val="Hyperlink"/>
                <w:noProof/>
                <w:lang w:val="en-US"/>
              </w:rPr>
              <w:t>3.1 Upskilling and Reskilling: Building Talent from Within</w:t>
            </w:r>
            <w:r>
              <w:rPr>
                <w:noProof/>
                <w:webHidden/>
              </w:rPr>
              <w:tab/>
            </w:r>
            <w:r>
              <w:rPr>
                <w:noProof/>
                <w:webHidden/>
              </w:rPr>
              <w:fldChar w:fldCharType="begin"/>
            </w:r>
            <w:r>
              <w:rPr>
                <w:noProof/>
                <w:webHidden/>
              </w:rPr>
              <w:instrText xml:space="preserve"> PAGEREF _Toc211378584 \h </w:instrText>
            </w:r>
            <w:r>
              <w:rPr>
                <w:noProof/>
                <w:webHidden/>
              </w:rPr>
            </w:r>
            <w:r>
              <w:rPr>
                <w:noProof/>
                <w:webHidden/>
              </w:rPr>
              <w:fldChar w:fldCharType="separate"/>
            </w:r>
            <w:r>
              <w:rPr>
                <w:noProof/>
                <w:webHidden/>
              </w:rPr>
              <w:t>7</w:t>
            </w:r>
            <w:r>
              <w:rPr>
                <w:noProof/>
                <w:webHidden/>
              </w:rPr>
              <w:fldChar w:fldCharType="end"/>
            </w:r>
          </w:hyperlink>
        </w:p>
        <w:p w14:paraId="6E72A57C" w14:textId="77777777" w:rsidR="00A46EB0" w:rsidRDefault="00A46EB0">
          <w:pPr>
            <w:pStyle w:val="TOC2"/>
            <w:tabs>
              <w:tab w:val="right" w:leader="dot" w:pos="9016"/>
            </w:tabs>
            <w:rPr>
              <w:rFonts w:eastAsiaTheme="minorEastAsia"/>
              <w:noProof/>
              <w:lang w:val="en-US"/>
            </w:rPr>
          </w:pPr>
          <w:hyperlink w:anchor="_Toc211378585" w:history="1">
            <w:r w:rsidRPr="006D119A">
              <w:rPr>
                <w:rStyle w:val="Hyperlink"/>
                <w:noProof/>
                <w:lang w:val="en-US"/>
              </w:rPr>
              <w:t>3.2 Strategic Talent Acquisition and Partnerships: Buying and Borrowing Capability</w:t>
            </w:r>
            <w:r>
              <w:rPr>
                <w:noProof/>
                <w:webHidden/>
              </w:rPr>
              <w:tab/>
            </w:r>
            <w:r>
              <w:rPr>
                <w:noProof/>
                <w:webHidden/>
              </w:rPr>
              <w:fldChar w:fldCharType="begin"/>
            </w:r>
            <w:r>
              <w:rPr>
                <w:noProof/>
                <w:webHidden/>
              </w:rPr>
              <w:instrText xml:space="preserve"> PAGEREF _Toc211378585 \h </w:instrText>
            </w:r>
            <w:r>
              <w:rPr>
                <w:noProof/>
                <w:webHidden/>
              </w:rPr>
            </w:r>
            <w:r>
              <w:rPr>
                <w:noProof/>
                <w:webHidden/>
              </w:rPr>
              <w:fldChar w:fldCharType="separate"/>
            </w:r>
            <w:r>
              <w:rPr>
                <w:noProof/>
                <w:webHidden/>
              </w:rPr>
              <w:t>8</w:t>
            </w:r>
            <w:r>
              <w:rPr>
                <w:noProof/>
                <w:webHidden/>
              </w:rPr>
              <w:fldChar w:fldCharType="end"/>
            </w:r>
          </w:hyperlink>
        </w:p>
        <w:p w14:paraId="3F438A4C" w14:textId="77777777" w:rsidR="00A46EB0" w:rsidRDefault="00A46EB0">
          <w:pPr>
            <w:pStyle w:val="TOC2"/>
            <w:tabs>
              <w:tab w:val="right" w:leader="dot" w:pos="9016"/>
            </w:tabs>
            <w:rPr>
              <w:rFonts w:eastAsiaTheme="minorEastAsia"/>
              <w:noProof/>
              <w:lang w:val="en-US"/>
            </w:rPr>
          </w:pPr>
          <w:hyperlink w:anchor="_Toc211378586" w:history="1">
            <w:r w:rsidRPr="006D119A">
              <w:rPr>
                <w:rStyle w:val="Hyperlink"/>
                <w:noProof/>
                <w:lang w:val="en-US"/>
              </w:rPr>
              <w:t>3.3 Enhancing Sector Attractiveness and Retention</w:t>
            </w:r>
            <w:r>
              <w:rPr>
                <w:noProof/>
                <w:webHidden/>
              </w:rPr>
              <w:tab/>
            </w:r>
            <w:r>
              <w:rPr>
                <w:noProof/>
                <w:webHidden/>
              </w:rPr>
              <w:fldChar w:fldCharType="begin"/>
            </w:r>
            <w:r>
              <w:rPr>
                <w:noProof/>
                <w:webHidden/>
              </w:rPr>
              <w:instrText xml:space="preserve"> PAGEREF _Toc211378586 \h </w:instrText>
            </w:r>
            <w:r>
              <w:rPr>
                <w:noProof/>
                <w:webHidden/>
              </w:rPr>
            </w:r>
            <w:r>
              <w:rPr>
                <w:noProof/>
                <w:webHidden/>
              </w:rPr>
              <w:fldChar w:fldCharType="separate"/>
            </w:r>
            <w:r>
              <w:rPr>
                <w:noProof/>
                <w:webHidden/>
              </w:rPr>
              <w:t>8</w:t>
            </w:r>
            <w:r>
              <w:rPr>
                <w:noProof/>
                <w:webHidden/>
              </w:rPr>
              <w:fldChar w:fldCharType="end"/>
            </w:r>
          </w:hyperlink>
        </w:p>
        <w:p w14:paraId="1D1D5004" w14:textId="77777777" w:rsidR="00A46EB0" w:rsidRDefault="00A46EB0">
          <w:pPr>
            <w:pStyle w:val="TOC1"/>
            <w:tabs>
              <w:tab w:val="right" w:leader="dot" w:pos="9016"/>
            </w:tabs>
            <w:rPr>
              <w:rFonts w:eastAsiaTheme="minorEastAsia"/>
              <w:noProof/>
              <w:lang w:val="en-US"/>
            </w:rPr>
          </w:pPr>
          <w:hyperlink w:anchor="_Toc211378587" w:history="1">
            <w:r w:rsidRPr="006D119A">
              <w:rPr>
                <w:rStyle w:val="Hyperlink"/>
                <w:rFonts w:ascii="Arial" w:hAnsi="Arial" w:cs="Arial"/>
                <w:noProof/>
              </w:rPr>
              <w:t>4. Reflective Report on International Capabilities</w:t>
            </w:r>
            <w:r>
              <w:rPr>
                <w:noProof/>
                <w:webHidden/>
              </w:rPr>
              <w:tab/>
            </w:r>
            <w:r>
              <w:rPr>
                <w:noProof/>
                <w:webHidden/>
              </w:rPr>
              <w:fldChar w:fldCharType="begin"/>
            </w:r>
            <w:r>
              <w:rPr>
                <w:noProof/>
                <w:webHidden/>
              </w:rPr>
              <w:instrText xml:space="preserve"> PAGEREF _Toc211378587 \h </w:instrText>
            </w:r>
            <w:r>
              <w:rPr>
                <w:noProof/>
                <w:webHidden/>
              </w:rPr>
            </w:r>
            <w:r>
              <w:rPr>
                <w:noProof/>
                <w:webHidden/>
              </w:rPr>
              <w:fldChar w:fldCharType="separate"/>
            </w:r>
            <w:r>
              <w:rPr>
                <w:noProof/>
                <w:webHidden/>
              </w:rPr>
              <w:t>9</w:t>
            </w:r>
            <w:r>
              <w:rPr>
                <w:noProof/>
                <w:webHidden/>
              </w:rPr>
              <w:fldChar w:fldCharType="end"/>
            </w:r>
          </w:hyperlink>
        </w:p>
        <w:p w14:paraId="08936B18" w14:textId="77777777" w:rsidR="00A46EB0" w:rsidRDefault="00A46EB0">
          <w:pPr>
            <w:pStyle w:val="TOC2"/>
            <w:tabs>
              <w:tab w:val="right" w:leader="dot" w:pos="9016"/>
            </w:tabs>
            <w:rPr>
              <w:rFonts w:eastAsiaTheme="minorEastAsia"/>
              <w:noProof/>
              <w:lang w:val="en-US"/>
            </w:rPr>
          </w:pPr>
          <w:hyperlink w:anchor="_Toc211378588" w:history="1">
            <w:r w:rsidRPr="006D119A">
              <w:rPr>
                <w:rStyle w:val="Hyperlink"/>
                <w:noProof/>
                <w:lang w:val="en-US"/>
              </w:rPr>
              <w:t>4.1 Introduction</w:t>
            </w:r>
            <w:r>
              <w:rPr>
                <w:noProof/>
                <w:webHidden/>
              </w:rPr>
              <w:tab/>
            </w:r>
            <w:r>
              <w:rPr>
                <w:noProof/>
                <w:webHidden/>
              </w:rPr>
              <w:fldChar w:fldCharType="begin"/>
            </w:r>
            <w:r>
              <w:rPr>
                <w:noProof/>
                <w:webHidden/>
              </w:rPr>
              <w:instrText xml:space="preserve"> PAGEREF _Toc211378588 \h </w:instrText>
            </w:r>
            <w:r>
              <w:rPr>
                <w:noProof/>
                <w:webHidden/>
              </w:rPr>
            </w:r>
            <w:r>
              <w:rPr>
                <w:noProof/>
                <w:webHidden/>
              </w:rPr>
              <w:fldChar w:fldCharType="separate"/>
            </w:r>
            <w:r>
              <w:rPr>
                <w:noProof/>
                <w:webHidden/>
              </w:rPr>
              <w:t>9</w:t>
            </w:r>
            <w:r>
              <w:rPr>
                <w:noProof/>
                <w:webHidden/>
              </w:rPr>
              <w:fldChar w:fldCharType="end"/>
            </w:r>
          </w:hyperlink>
        </w:p>
        <w:p w14:paraId="1A802FB1" w14:textId="77777777" w:rsidR="00A46EB0" w:rsidRDefault="00A46EB0">
          <w:pPr>
            <w:pStyle w:val="TOC2"/>
            <w:tabs>
              <w:tab w:val="right" w:leader="dot" w:pos="9016"/>
            </w:tabs>
            <w:rPr>
              <w:rFonts w:eastAsiaTheme="minorEastAsia"/>
              <w:noProof/>
              <w:lang w:val="en-US"/>
            </w:rPr>
          </w:pPr>
          <w:hyperlink w:anchor="_Toc211378589" w:history="1">
            <w:r w:rsidRPr="006D119A">
              <w:rPr>
                <w:rStyle w:val="Hyperlink"/>
                <w:noProof/>
                <w:lang w:val="en-US"/>
              </w:rPr>
              <w:t>4.2 Analysis of Current Capabilities</w:t>
            </w:r>
            <w:r>
              <w:rPr>
                <w:noProof/>
                <w:webHidden/>
              </w:rPr>
              <w:tab/>
            </w:r>
            <w:r>
              <w:rPr>
                <w:noProof/>
                <w:webHidden/>
              </w:rPr>
              <w:fldChar w:fldCharType="begin"/>
            </w:r>
            <w:r>
              <w:rPr>
                <w:noProof/>
                <w:webHidden/>
              </w:rPr>
              <w:instrText xml:space="preserve"> PAGEREF _Toc211378589 \h </w:instrText>
            </w:r>
            <w:r>
              <w:rPr>
                <w:noProof/>
                <w:webHidden/>
              </w:rPr>
            </w:r>
            <w:r>
              <w:rPr>
                <w:noProof/>
                <w:webHidden/>
              </w:rPr>
              <w:fldChar w:fldCharType="separate"/>
            </w:r>
            <w:r>
              <w:rPr>
                <w:noProof/>
                <w:webHidden/>
              </w:rPr>
              <w:t>9</w:t>
            </w:r>
            <w:r>
              <w:rPr>
                <w:noProof/>
                <w:webHidden/>
              </w:rPr>
              <w:fldChar w:fldCharType="end"/>
            </w:r>
          </w:hyperlink>
        </w:p>
        <w:p w14:paraId="42B26714" w14:textId="77777777" w:rsidR="00A46EB0" w:rsidRDefault="00A46EB0">
          <w:pPr>
            <w:pStyle w:val="TOC3"/>
            <w:tabs>
              <w:tab w:val="right" w:leader="dot" w:pos="9016"/>
            </w:tabs>
            <w:rPr>
              <w:rFonts w:eastAsiaTheme="minorEastAsia"/>
              <w:noProof/>
              <w:lang w:val="en-US"/>
            </w:rPr>
          </w:pPr>
          <w:hyperlink w:anchor="_Toc211378590" w:history="1">
            <w:r w:rsidRPr="006D119A">
              <w:rPr>
                <w:rStyle w:val="Hyperlink"/>
                <w:noProof/>
                <w:lang w:val="en-US"/>
              </w:rPr>
              <w:t>4.2.1 Technology and Self-Directed Learning</w:t>
            </w:r>
            <w:r>
              <w:rPr>
                <w:noProof/>
                <w:webHidden/>
              </w:rPr>
              <w:tab/>
            </w:r>
            <w:r>
              <w:rPr>
                <w:noProof/>
                <w:webHidden/>
              </w:rPr>
              <w:fldChar w:fldCharType="begin"/>
            </w:r>
            <w:r>
              <w:rPr>
                <w:noProof/>
                <w:webHidden/>
              </w:rPr>
              <w:instrText xml:space="preserve"> PAGEREF _Toc211378590 \h </w:instrText>
            </w:r>
            <w:r>
              <w:rPr>
                <w:noProof/>
                <w:webHidden/>
              </w:rPr>
            </w:r>
            <w:r>
              <w:rPr>
                <w:noProof/>
                <w:webHidden/>
              </w:rPr>
              <w:fldChar w:fldCharType="separate"/>
            </w:r>
            <w:r>
              <w:rPr>
                <w:noProof/>
                <w:webHidden/>
              </w:rPr>
              <w:t>9</w:t>
            </w:r>
            <w:r>
              <w:rPr>
                <w:noProof/>
                <w:webHidden/>
              </w:rPr>
              <w:fldChar w:fldCharType="end"/>
            </w:r>
          </w:hyperlink>
        </w:p>
        <w:p w14:paraId="51293292" w14:textId="77777777" w:rsidR="00A46EB0" w:rsidRDefault="00A46EB0">
          <w:pPr>
            <w:pStyle w:val="TOC3"/>
            <w:tabs>
              <w:tab w:val="right" w:leader="dot" w:pos="9016"/>
            </w:tabs>
            <w:rPr>
              <w:rFonts w:eastAsiaTheme="minorEastAsia"/>
              <w:noProof/>
              <w:lang w:val="en-US"/>
            </w:rPr>
          </w:pPr>
          <w:hyperlink w:anchor="_Toc211378591" w:history="1">
            <w:r w:rsidRPr="006D119A">
              <w:rPr>
                <w:rStyle w:val="Hyperlink"/>
                <w:noProof/>
                <w:lang w:val="en-US"/>
              </w:rPr>
              <w:t>4.2.2 Communication and Teamwork</w:t>
            </w:r>
            <w:r>
              <w:rPr>
                <w:noProof/>
                <w:webHidden/>
              </w:rPr>
              <w:tab/>
            </w:r>
            <w:r>
              <w:rPr>
                <w:noProof/>
                <w:webHidden/>
              </w:rPr>
              <w:fldChar w:fldCharType="begin"/>
            </w:r>
            <w:r>
              <w:rPr>
                <w:noProof/>
                <w:webHidden/>
              </w:rPr>
              <w:instrText xml:space="preserve"> PAGEREF _Toc211378591 \h </w:instrText>
            </w:r>
            <w:r>
              <w:rPr>
                <w:noProof/>
                <w:webHidden/>
              </w:rPr>
            </w:r>
            <w:r>
              <w:rPr>
                <w:noProof/>
                <w:webHidden/>
              </w:rPr>
              <w:fldChar w:fldCharType="separate"/>
            </w:r>
            <w:r>
              <w:rPr>
                <w:noProof/>
                <w:webHidden/>
              </w:rPr>
              <w:t>9</w:t>
            </w:r>
            <w:r>
              <w:rPr>
                <w:noProof/>
                <w:webHidden/>
              </w:rPr>
              <w:fldChar w:fldCharType="end"/>
            </w:r>
          </w:hyperlink>
        </w:p>
        <w:p w14:paraId="3485EFBE" w14:textId="77777777" w:rsidR="00A46EB0" w:rsidRDefault="00A46EB0">
          <w:pPr>
            <w:pStyle w:val="TOC3"/>
            <w:tabs>
              <w:tab w:val="right" w:leader="dot" w:pos="9016"/>
            </w:tabs>
            <w:rPr>
              <w:rFonts w:eastAsiaTheme="minorEastAsia"/>
              <w:noProof/>
              <w:lang w:val="en-US"/>
            </w:rPr>
          </w:pPr>
          <w:hyperlink w:anchor="_Toc211378592" w:history="1">
            <w:r w:rsidRPr="006D119A">
              <w:rPr>
                <w:rStyle w:val="Hyperlink"/>
                <w:noProof/>
                <w:lang w:val="en-US"/>
              </w:rPr>
              <w:t>4.2.3 Leadership</w:t>
            </w:r>
            <w:r>
              <w:rPr>
                <w:noProof/>
                <w:webHidden/>
              </w:rPr>
              <w:tab/>
            </w:r>
            <w:r>
              <w:rPr>
                <w:noProof/>
                <w:webHidden/>
              </w:rPr>
              <w:fldChar w:fldCharType="begin"/>
            </w:r>
            <w:r>
              <w:rPr>
                <w:noProof/>
                <w:webHidden/>
              </w:rPr>
              <w:instrText xml:space="preserve"> PAGEREF _Toc211378592 \h </w:instrText>
            </w:r>
            <w:r>
              <w:rPr>
                <w:noProof/>
                <w:webHidden/>
              </w:rPr>
            </w:r>
            <w:r>
              <w:rPr>
                <w:noProof/>
                <w:webHidden/>
              </w:rPr>
              <w:fldChar w:fldCharType="separate"/>
            </w:r>
            <w:r>
              <w:rPr>
                <w:noProof/>
                <w:webHidden/>
              </w:rPr>
              <w:t>10</w:t>
            </w:r>
            <w:r>
              <w:rPr>
                <w:noProof/>
                <w:webHidden/>
              </w:rPr>
              <w:fldChar w:fldCharType="end"/>
            </w:r>
          </w:hyperlink>
        </w:p>
        <w:p w14:paraId="114B2AA9" w14:textId="77777777" w:rsidR="00A46EB0" w:rsidRDefault="00A46EB0">
          <w:pPr>
            <w:pStyle w:val="TOC3"/>
            <w:tabs>
              <w:tab w:val="right" w:leader="dot" w:pos="9016"/>
            </w:tabs>
            <w:rPr>
              <w:rFonts w:eastAsiaTheme="minorEastAsia"/>
              <w:noProof/>
              <w:lang w:val="en-US"/>
            </w:rPr>
          </w:pPr>
          <w:hyperlink w:anchor="_Toc211378593" w:history="1">
            <w:r w:rsidRPr="006D119A">
              <w:rPr>
                <w:rStyle w:val="Hyperlink"/>
                <w:noProof/>
                <w:lang w:val="en-US"/>
              </w:rPr>
              <w:t>4.2.4 Development Plan</w:t>
            </w:r>
            <w:r>
              <w:rPr>
                <w:noProof/>
                <w:webHidden/>
              </w:rPr>
              <w:tab/>
            </w:r>
            <w:r>
              <w:rPr>
                <w:noProof/>
                <w:webHidden/>
              </w:rPr>
              <w:fldChar w:fldCharType="begin"/>
            </w:r>
            <w:r>
              <w:rPr>
                <w:noProof/>
                <w:webHidden/>
              </w:rPr>
              <w:instrText xml:space="preserve"> PAGEREF _Toc211378593 \h </w:instrText>
            </w:r>
            <w:r>
              <w:rPr>
                <w:noProof/>
                <w:webHidden/>
              </w:rPr>
            </w:r>
            <w:r>
              <w:rPr>
                <w:noProof/>
                <w:webHidden/>
              </w:rPr>
              <w:fldChar w:fldCharType="separate"/>
            </w:r>
            <w:r>
              <w:rPr>
                <w:noProof/>
                <w:webHidden/>
              </w:rPr>
              <w:t>10</w:t>
            </w:r>
            <w:r>
              <w:rPr>
                <w:noProof/>
                <w:webHidden/>
              </w:rPr>
              <w:fldChar w:fldCharType="end"/>
            </w:r>
          </w:hyperlink>
        </w:p>
        <w:p w14:paraId="0BB058AF" w14:textId="77777777" w:rsidR="00A46EB0" w:rsidRDefault="00A46EB0">
          <w:pPr>
            <w:pStyle w:val="TOC1"/>
            <w:tabs>
              <w:tab w:val="left" w:pos="440"/>
              <w:tab w:val="right" w:leader="dot" w:pos="9016"/>
            </w:tabs>
            <w:rPr>
              <w:rFonts w:eastAsiaTheme="minorEastAsia"/>
              <w:noProof/>
              <w:lang w:val="en-US"/>
            </w:rPr>
          </w:pPr>
          <w:hyperlink w:anchor="_Toc211378594" w:history="1">
            <w:r w:rsidRPr="006D119A">
              <w:rPr>
                <w:rStyle w:val="Hyperlink"/>
                <w:rFonts w:ascii="Arial" w:hAnsi="Arial" w:cs="Arial"/>
                <w:noProof/>
                <w:lang w:val="en-US"/>
              </w:rPr>
              <w:t>5.</w:t>
            </w:r>
            <w:r>
              <w:rPr>
                <w:rFonts w:eastAsiaTheme="minorEastAsia"/>
                <w:noProof/>
                <w:lang w:val="en-US"/>
              </w:rPr>
              <w:tab/>
            </w:r>
            <w:r w:rsidRPr="006D119A">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_Toc211378594 \h </w:instrText>
            </w:r>
            <w:r>
              <w:rPr>
                <w:noProof/>
                <w:webHidden/>
              </w:rPr>
            </w:r>
            <w:r>
              <w:rPr>
                <w:noProof/>
                <w:webHidden/>
              </w:rPr>
              <w:fldChar w:fldCharType="separate"/>
            </w:r>
            <w:r>
              <w:rPr>
                <w:noProof/>
                <w:webHidden/>
              </w:rPr>
              <w:t>11</w:t>
            </w:r>
            <w:r>
              <w:rPr>
                <w:noProof/>
                <w:webHidden/>
              </w:rPr>
              <w:fldChar w:fldCharType="end"/>
            </w:r>
          </w:hyperlink>
        </w:p>
        <w:p w14:paraId="0746E966" w14:textId="77777777" w:rsidR="00A46EB0" w:rsidRDefault="00A46EB0">
          <w:pPr>
            <w:pStyle w:val="TOC1"/>
            <w:tabs>
              <w:tab w:val="right" w:leader="dot" w:pos="9016"/>
            </w:tabs>
            <w:rPr>
              <w:rFonts w:eastAsiaTheme="minorEastAsia"/>
              <w:noProof/>
              <w:lang w:val="en-US"/>
            </w:rPr>
          </w:pPr>
          <w:hyperlink w:anchor="_Toc211378595" w:history="1">
            <w:r w:rsidRPr="006D119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_Toc211378595 \h </w:instrText>
            </w:r>
            <w:r>
              <w:rPr>
                <w:noProof/>
                <w:webHidden/>
              </w:rPr>
            </w:r>
            <w:r>
              <w:rPr>
                <w:noProof/>
                <w:webHidden/>
              </w:rPr>
              <w:fldChar w:fldCharType="separate"/>
            </w:r>
            <w:r>
              <w:rPr>
                <w:noProof/>
                <w:webHidden/>
              </w:rPr>
              <w:t>12</w:t>
            </w:r>
            <w:r>
              <w:rPr>
                <w:noProof/>
                <w:webHidden/>
              </w:rPr>
              <w:fldChar w:fldCharType="end"/>
            </w:r>
          </w:hyperlink>
        </w:p>
        <w:p w14:paraId="4674ADE5" w14:textId="77777777" w:rsidR="00FD0388" w:rsidRPr="00970339" w:rsidRDefault="00FD0388" w:rsidP="00135C1B">
          <w:pPr>
            <w:jc w:val="both"/>
            <w:rPr>
              <w:rFonts w:ascii="Arial" w:hAnsi="Arial" w:cs="Arial"/>
            </w:rPr>
          </w:pPr>
          <w:r w:rsidRPr="00970339">
            <w:rPr>
              <w:rFonts w:ascii="Arial" w:hAnsi="Arial" w:cs="Arial"/>
              <w:b/>
              <w:bCs/>
              <w:noProof/>
            </w:rPr>
            <w:fldChar w:fldCharType="end"/>
          </w:r>
        </w:p>
      </w:sdtContent>
    </w:sdt>
    <w:p w14:paraId="053FFABE" w14:textId="77777777" w:rsidR="00FD0388" w:rsidRPr="00970339" w:rsidRDefault="00FD0388" w:rsidP="00135C1B">
      <w:pPr>
        <w:spacing w:line="360" w:lineRule="auto"/>
        <w:jc w:val="both"/>
        <w:rPr>
          <w:rFonts w:ascii="Arial" w:hAnsi="Arial" w:cs="Arial"/>
          <w:b/>
          <w:bCs/>
          <w:sz w:val="24"/>
        </w:rPr>
      </w:pPr>
    </w:p>
    <w:p w14:paraId="0283089E" w14:textId="77777777" w:rsidR="00EC03CF" w:rsidRPr="00970339" w:rsidRDefault="009922AE" w:rsidP="00EC03CF">
      <w:pPr>
        <w:rPr>
          <w:rFonts w:ascii="Arial" w:hAnsi="Arial" w:cs="Arial"/>
          <w:b/>
          <w:bCs/>
          <w:sz w:val="24"/>
        </w:rPr>
      </w:pPr>
      <w:r w:rsidRPr="00970339">
        <w:rPr>
          <w:rFonts w:ascii="Arial" w:hAnsi="Arial" w:cs="Arial"/>
          <w:b/>
          <w:bCs/>
          <w:sz w:val="24"/>
        </w:rPr>
        <w:br w:type="page"/>
      </w:r>
      <w:r w:rsidRPr="00970339">
        <w:rPr>
          <w:rFonts w:ascii="Arial" w:hAnsi="Arial" w:cs="Arial"/>
          <w:b/>
          <w:bCs/>
          <w:sz w:val="24"/>
        </w:rPr>
        <w:lastRenderedPageBreak/>
        <w:t>L</w:t>
      </w:r>
      <w:r w:rsidR="009D7A3D" w:rsidRPr="00970339">
        <w:rPr>
          <w:rFonts w:ascii="Arial" w:hAnsi="Arial" w:cs="Arial"/>
          <w:b/>
          <w:bCs/>
          <w:sz w:val="24"/>
        </w:rPr>
        <w:t>ist of Tables</w:t>
      </w:r>
    </w:p>
    <w:p w14:paraId="77EE54B6" w14:textId="77777777" w:rsidR="00A46EB0" w:rsidRDefault="00210D08">
      <w:pPr>
        <w:pStyle w:val="TableofFigures"/>
        <w:tabs>
          <w:tab w:val="right" w:leader="dot" w:pos="9016"/>
        </w:tabs>
        <w:rPr>
          <w:rFonts w:eastAsiaTheme="minorEastAsia"/>
          <w:noProof/>
          <w:lang w:val="en-US"/>
        </w:rPr>
      </w:pPr>
      <w:r w:rsidRPr="00970339">
        <w:rPr>
          <w:rFonts w:ascii="Arial" w:hAnsi="Arial" w:cs="Arial"/>
          <w:sz w:val="24"/>
        </w:rPr>
        <w:fldChar w:fldCharType="begin"/>
      </w:r>
      <w:r w:rsidRPr="00970339">
        <w:rPr>
          <w:rFonts w:ascii="Arial" w:hAnsi="Arial" w:cs="Arial"/>
          <w:sz w:val="24"/>
        </w:rPr>
        <w:instrText xml:space="preserve"> TOC \h \z \c "Figure" </w:instrText>
      </w:r>
      <w:r w:rsidRPr="00970339">
        <w:rPr>
          <w:rFonts w:ascii="Arial" w:hAnsi="Arial" w:cs="Arial"/>
          <w:sz w:val="24"/>
        </w:rPr>
        <w:fldChar w:fldCharType="separate"/>
      </w:r>
      <w:hyperlink w:anchor="_Toc211378596" w:history="1">
        <w:r w:rsidR="00A46EB0" w:rsidRPr="00597089">
          <w:rPr>
            <w:rStyle w:val="Hyperlink"/>
            <w:noProof/>
          </w:rPr>
          <w:t>Figure 1 Share of jobs at high risk of automation by occupation (averaged across OECD countries)</w:t>
        </w:r>
        <w:r w:rsidR="00A46EB0">
          <w:rPr>
            <w:noProof/>
            <w:webHidden/>
          </w:rPr>
          <w:tab/>
        </w:r>
        <w:r w:rsidR="00A46EB0">
          <w:rPr>
            <w:noProof/>
            <w:webHidden/>
          </w:rPr>
          <w:fldChar w:fldCharType="begin"/>
        </w:r>
        <w:r w:rsidR="00A46EB0">
          <w:rPr>
            <w:noProof/>
            <w:webHidden/>
          </w:rPr>
          <w:instrText xml:space="preserve"> PAGEREF _Toc211378596 \h </w:instrText>
        </w:r>
        <w:r w:rsidR="00A46EB0">
          <w:rPr>
            <w:noProof/>
            <w:webHidden/>
          </w:rPr>
        </w:r>
        <w:r w:rsidR="00A46EB0">
          <w:rPr>
            <w:noProof/>
            <w:webHidden/>
          </w:rPr>
          <w:fldChar w:fldCharType="separate"/>
        </w:r>
        <w:r w:rsidR="00A46EB0">
          <w:rPr>
            <w:noProof/>
            <w:webHidden/>
          </w:rPr>
          <w:t>2</w:t>
        </w:r>
        <w:r w:rsidR="00A46EB0">
          <w:rPr>
            <w:noProof/>
            <w:webHidden/>
          </w:rPr>
          <w:fldChar w:fldCharType="end"/>
        </w:r>
      </w:hyperlink>
    </w:p>
    <w:p w14:paraId="0D34B69E" w14:textId="77777777" w:rsidR="00A46EB0" w:rsidRDefault="00A46EB0">
      <w:pPr>
        <w:pStyle w:val="TableofFigures"/>
        <w:tabs>
          <w:tab w:val="right" w:leader="dot" w:pos="9016"/>
        </w:tabs>
        <w:rPr>
          <w:rFonts w:eastAsiaTheme="minorEastAsia"/>
          <w:noProof/>
          <w:lang w:val="en-US"/>
        </w:rPr>
      </w:pPr>
      <w:hyperlink w:anchor="_Toc211378597" w:history="1">
        <w:r w:rsidRPr="00597089">
          <w:rPr>
            <w:rStyle w:val="Hyperlink"/>
            <w:noProof/>
          </w:rPr>
          <w:t>Figure 2 Innovation and labour market effects</w:t>
        </w:r>
        <w:r>
          <w:rPr>
            <w:noProof/>
            <w:webHidden/>
          </w:rPr>
          <w:tab/>
        </w:r>
        <w:r>
          <w:rPr>
            <w:noProof/>
            <w:webHidden/>
          </w:rPr>
          <w:fldChar w:fldCharType="begin"/>
        </w:r>
        <w:r>
          <w:rPr>
            <w:noProof/>
            <w:webHidden/>
          </w:rPr>
          <w:instrText xml:space="preserve"> PAGEREF _Toc211378597 \h </w:instrText>
        </w:r>
        <w:r>
          <w:rPr>
            <w:noProof/>
            <w:webHidden/>
          </w:rPr>
        </w:r>
        <w:r>
          <w:rPr>
            <w:noProof/>
            <w:webHidden/>
          </w:rPr>
          <w:fldChar w:fldCharType="separate"/>
        </w:r>
        <w:r>
          <w:rPr>
            <w:noProof/>
            <w:webHidden/>
          </w:rPr>
          <w:t>3</w:t>
        </w:r>
        <w:r>
          <w:rPr>
            <w:noProof/>
            <w:webHidden/>
          </w:rPr>
          <w:fldChar w:fldCharType="end"/>
        </w:r>
      </w:hyperlink>
    </w:p>
    <w:p w14:paraId="3A4E9667" w14:textId="77777777" w:rsidR="00A46EB0" w:rsidRDefault="00A46EB0">
      <w:pPr>
        <w:pStyle w:val="TableofFigures"/>
        <w:tabs>
          <w:tab w:val="right" w:leader="dot" w:pos="9016"/>
        </w:tabs>
        <w:rPr>
          <w:rFonts w:eastAsiaTheme="minorEastAsia"/>
          <w:noProof/>
          <w:lang w:val="en-US"/>
        </w:rPr>
      </w:pPr>
      <w:hyperlink w:anchor="_Toc211378598" w:history="1">
        <w:r w:rsidRPr="00597089">
          <w:rPr>
            <w:rStyle w:val="Hyperlink"/>
            <w:noProof/>
          </w:rPr>
          <w:t>Figure 3  UK productivity growth has been weak since the Financial Crisis</w:t>
        </w:r>
        <w:r>
          <w:rPr>
            <w:noProof/>
            <w:webHidden/>
          </w:rPr>
          <w:tab/>
        </w:r>
        <w:r>
          <w:rPr>
            <w:noProof/>
            <w:webHidden/>
          </w:rPr>
          <w:fldChar w:fldCharType="begin"/>
        </w:r>
        <w:r>
          <w:rPr>
            <w:noProof/>
            <w:webHidden/>
          </w:rPr>
          <w:instrText xml:space="preserve"> PAGEREF _Toc211378598 \h </w:instrText>
        </w:r>
        <w:r>
          <w:rPr>
            <w:noProof/>
            <w:webHidden/>
          </w:rPr>
        </w:r>
        <w:r>
          <w:rPr>
            <w:noProof/>
            <w:webHidden/>
          </w:rPr>
          <w:fldChar w:fldCharType="separate"/>
        </w:r>
        <w:r>
          <w:rPr>
            <w:noProof/>
            <w:webHidden/>
          </w:rPr>
          <w:t>6</w:t>
        </w:r>
        <w:r>
          <w:rPr>
            <w:noProof/>
            <w:webHidden/>
          </w:rPr>
          <w:fldChar w:fldCharType="end"/>
        </w:r>
      </w:hyperlink>
    </w:p>
    <w:p w14:paraId="73ECC070" w14:textId="77777777" w:rsidR="00A46EB0" w:rsidRDefault="00A46EB0">
      <w:pPr>
        <w:pStyle w:val="TableofFigures"/>
        <w:tabs>
          <w:tab w:val="right" w:leader="dot" w:pos="9016"/>
        </w:tabs>
        <w:rPr>
          <w:rFonts w:eastAsiaTheme="minorEastAsia"/>
          <w:noProof/>
          <w:lang w:val="en-US"/>
        </w:rPr>
      </w:pPr>
      <w:hyperlink w:anchor="_Toc211378599" w:history="1">
        <w:r w:rsidRPr="00597089">
          <w:rPr>
            <w:rStyle w:val="Hyperlink"/>
            <w:noProof/>
          </w:rPr>
          <w:t>Figure 4 The UK workforce contains several skills mismatches</w:t>
        </w:r>
        <w:r>
          <w:rPr>
            <w:noProof/>
            <w:webHidden/>
          </w:rPr>
          <w:tab/>
        </w:r>
        <w:r>
          <w:rPr>
            <w:noProof/>
            <w:webHidden/>
          </w:rPr>
          <w:fldChar w:fldCharType="begin"/>
        </w:r>
        <w:r>
          <w:rPr>
            <w:noProof/>
            <w:webHidden/>
          </w:rPr>
          <w:instrText xml:space="preserve"> PAGEREF _Toc211378599 \h </w:instrText>
        </w:r>
        <w:r>
          <w:rPr>
            <w:noProof/>
            <w:webHidden/>
          </w:rPr>
        </w:r>
        <w:r>
          <w:rPr>
            <w:noProof/>
            <w:webHidden/>
          </w:rPr>
          <w:fldChar w:fldCharType="separate"/>
        </w:r>
        <w:r>
          <w:rPr>
            <w:noProof/>
            <w:webHidden/>
          </w:rPr>
          <w:t>7</w:t>
        </w:r>
        <w:r>
          <w:rPr>
            <w:noProof/>
            <w:webHidden/>
          </w:rPr>
          <w:fldChar w:fldCharType="end"/>
        </w:r>
      </w:hyperlink>
    </w:p>
    <w:p w14:paraId="5C9F6C6A" w14:textId="77777777" w:rsidR="005347DF" w:rsidRPr="00970339" w:rsidRDefault="00210D08" w:rsidP="001515C7">
      <w:pPr>
        <w:spacing w:line="360" w:lineRule="auto"/>
        <w:rPr>
          <w:rFonts w:ascii="Arial" w:hAnsi="Arial" w:cs="Arial"/>
          <w:sz w:val="24"/>
        </w:rPr>
      </w:pPr>
      <w:r w:rsidRPr="00970339">
        <w:rPr>
          <w:rFonts w:ascii="Arial" w:hAnsi="Arial" w:cs="Arial"/>
          <w:sz w:val="24"/>
        </w:rPr>
        <w:fldChar w:fldCharType="end"/>
      </w:r>
    </w:p>
    <w:p w14:paraId="6B0F15B7" w14:textId="77777777" w:rsidR="00556ED3" w:rsidRDefault="00556ED3">
      <w:pPr>
        <w:rPr>
          <w:rFonts w:ascii="Arial" w:hAnsi="Arial" w:cs="Arial"/>
        </w:rPr>
      </w:pPr>
      <w:r>
        <w:rPr>
          <w:rFonts w:ascii="Arial" w:hAnsi="Arial" w:cs="Arial"/>
        </w:rPr>
        <w:br w:type="page"/>
      </w:r>
    </w:p>
    <w:p w14:paraId="3CC10D4F" w14:textId="77777777" w:rsidR="00001D26" w:rsidRPr="00970339" w:rsidRDefault="00001D26">
      <w:pPr>
        <w:rPr>
          <w:rFonts w:ascii="Arial" w:hAnsi="Arial" w:cs="Arial"/>
        </w:rPr>
        <w:sectPr w:rsidR="00001D26" w:rsidRPr="00970339" w:rsidSect="000C142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ols w:space="708"/>
          <w:titlePg/>
          <w:docGrid w:linePitch="360"/>
        </w:sectPr>
      </w:pPr>
    </w:p>
    <w:p w14:paraId="552864E4" w14:textId="77777777" w:rsidR="00230176" w:rsidRPr="00970339" w:rsidRDefault="00EC5B7C" w:rsidP="00EC5B7C">
      <w:pPr>
        <w:tabs>
          <w:tab w:val="left" w:pos="3399"/>
        </w:tabs>
        <w:rPr>
          <w:rFonts w:ascii="Arial" w:eastAsiaTheme="majorEastAsia" w:hAnsi="Arial" w:cs="Arial"/>
          <w:b/>
          <w:bCs/>
          <w:color w:val="2E74B5" w:themeColor="accent1" w:themeShade="BF"/>
          <w:sz w:val="28"/>
          <w:szCs w:val="28"/>
        </w:rPr>
      </w:pPr>
      <w:r w:rsidRPr="00970339">
        <w:rPr>
          <w:rFonts w:ascii="Arial" w:eastAsiaTheme="majorEastAsia" w:hAnsi="Arial" w:cs="Arial"/>
          <w:b/>
          <w:bCs/>
          <w:color w:val="2E74B5" w:themeColor="accent1" w:themeShade="BF"/>
          <w:sz w:val="28"/>
          <w:szCs w:val="28"/>
        </w:rPr>
        <w:lastRenderedPageBreak/>
        <w:tab/>
      </w:r>
    </w:p>
    <w:p w14:paraId="09B36CD4" w14:textId="77777777" w:rsidR="00FD0388" w:rsidRPr="00970339" w:rsidRDefault="00647BA0" w:rsidP="00135C1B">
      <w:pPr>
        <w:pStyle w:val="Heading1"/>
        <w:jc w:val="both"/>
        <w:rPr>
          <w:rFonts w:ascii="Arial" w:hAnsi="Arial" w:cs="Arial"/>
          <w:u w:val="single"/>
        </w:rPr>
      </w:pPr>
      <w:bookmarkStart w:id="0" w:name="_Toc211378572"/>
      <w:r>
        <w:rPr>
          <w:rFonts w:ascii="Arial" w:hAnsi="Arial" w:cs="Arial"/>
          <w:u w:val="single"/>
        </w:rPr>
        <w:t xml:space="preserve">1.0 </w:t>
      </w:r>
      <w:r w:rsidR="00FD0388" w:rsidRPr="00970339">
        <w:rPr>
          <w:rFonts w:ascii="Arial" w:hAnsi="Arial" w:cs="Arial"/>
          <w:u w:val="single"/>
        </w:rPr>
        <w:t>Introduction</w:t>
      </w:r>
      <w:bookmarkEnd w:id="0"/>
    </w:p>
    <w:p w14:paraId="4362A701" w14:textId="77777777" w:rsidR="009E448F" w:rsidRPr="009E448F" w:rsidRDefault="009E448F" w:rsidP="009E448F">
      <w:pPr>
        <w:spacing w:line="360" w:lineRule="auto"/>
        <w:jc w:val="both"/>
        <w:rPr>
          <w:rFonts w:ascii="Arial" w:hAnsi="Arial" w:cs="Arial"/>
          <w:sz w:val="24"/>
          <w:szCs w:val="24"/>
          <w:lang w:val="en-US"/>
        </w:rPr>
      </w:pPr>
      <w:r w:rsidRPr="009E448F">
        <w:rPr>
          <w:rFonts w:ascii="Arial" w:hAnsi="Arial" w:cs="Arial"/>
          <w:sz w:val="24"/>
          <w:szCs w:val="24"/>
          <w:lang w:val="en-US"/>
        </w:rPr>
        <w:t xml:space="preserve">This study critically investigates the profound influence of technological advancements, demographic shifts, and geopolitical tensions on contemporary labour markets. It analyses the subsequent challenges and strategic imperatives for Human Resource Management (HRM) and International Human Resource Management (IHRM), </w:t>
      </w:r>
      <w:r w:rsidR="0023377F" w:rsidRPr="0023377F">
        <w:rPr>
          <w:rFonts w:ascii="Arial" w:hAnsi="Arial" w:cs="Arial"/>
          <w:sz w:val="24"/>
          <w:szCs w:val="24"/>
        </w:rPr>
        <w:t xml:space="preserve">from tackling widespread talent gaps to managing moral quandaries in an increasingly automated global economy. The analysis ends with a self-assessment of cultivating the international skills necessary for success in this fluid and connected commercial landscape, thus connecting large-scale economic shifts </w:t>
      </w:r>
      <w:r w:rsidR="0023377F">
        <w:rPr>
          <w:rFonts w:ascii="Arial" w:hAnsi="Arial" w:cs="Arial"/>
          <w:sz w:val="24"/>
          <w:szCs w:val="24"/>
        </w:rPr>
        <w:t>to personal professional growth</w:t>
      </w:r>
      <w:r w:rsidRPr="009E448F">
        <w:rPr>
          <w:rFonts w:ascii="Arial" w:hAnsi="Arial" w:cs="Arial"/>
          <w:sz w:val="24"/>
          <w:szCs w:val="24"/>
          <w:lang w:val="en-US"/>
        </w:rPr>
        <w:t>.</w:t>
      </w:r>
    </w:p>
    <w:p w14:paraId="3AADAEB9" w14:textId="77777777" w:rsidR="00FB21BB" w:rsidRPr="00970339" w:rsidRDefault="00647BA0" w:rsidP="00FB21BB">
      <w:pPr>
        <w:pStyle w:val="Heading1"/>
        <w:rPr>
          <w:rFonts w:ascii="Arial" w:hAnsi="Arial" w:cs="Arial"/>
          <w:u w:val="single"/>
          <w:lang w:val="en-US"/>
        </w:rPr>
      </w:pPr>
      <w:bookmarkStart w:id="1" w:name="_Toc211378573"/>
      <w:r>
        <w:rPr>
          <w:rFonts w:ascii="Arial" w:hAnsi="Arial" w:cs="Arial"/>
          <w:u w:val="single"/>
          <w:lang w:val="en-US"/>
        </w:rPr>
        <w:t xml:space="preserve">1.1 </w:t>
      </w:r>
      <w:r w:rsidR="00627F8D" w:rsidRPr="00627F8D">
        <w:rPr>
          <w:rFonts w:ascii="Arial" w:hAnsi="Arial" w:cs="Arial"/>
          <w:u w:val="single"/>
          <w:lang w:val="en-US"/>
        </w:rPr>
        <w:t>The Influence of Technological Advancements on Labour Markets and HRM/IHRM Strategies</w:t>
      </w:r>
      <w:bookmarkEnd w:id="1"/>
    </w:p>
    <w:p w14:paraId="3414D57C" w14:textId="77777777" w:rsidR="00253019" w:rsidRPr="00253019" w:rsidRDefault="00647BA0" w:rsidP="00647BA0">
      <w:pPr>
        <w:pStyle w:val="Heading2"/>
        <w:rPr>
          <w:lang w:val="en-US"/>
        </w:rPr>
      </w:pPr>
      <w:bookmarkStart w:id="2" w:name="_Toc211378574"/>
      <w:r>
        <w:rPr>
          <w:lang w:val="en-US"/>
        </w:rPr>
        <w:t xml:space="preserve">1.1.1 </w:t>
      </w:r>
      <w:r w:rsidR="00253019" w:rsidRPr="00253019">
        <w:rPr>
          <w:lang w:val="en-US"/>
        </w:rPr>
        <w:t>The Reshaping of Global Labour Markets by Technology</w:t>
      </w:r>
      <w:bookmarkEnd w:id="2"/>
    </w:p>
    <w:p w14:paraId="1E4ECD91" w14:textId="77777777" w:rsidR="00253019" w:rsidRDefault="00253019" w:rsidP="00253019">
      <w:pPr>
        <w:spacing w:line="360" w:lineRule="auto"/>
        <w:jc w:val="both"/>
        <w:rPr>
          <w:rFonts w:ascii="Arial" w:hAnsi="Arial" w:cs="Arial"/>
          <w:sz w:val="24"/>
          <w:szCs w:val="24"/>
          <w:lang w:val="en-US"/>
        </w:rPr>
      </w:pPr>
      <w:r w:rsidRPr="00253019">
        <w:rPr>
          <w:rFonts w:ascii="Arial" w:hAnsi="Arial" w:cs="Arial"/>
          <w:sz w:val="24"/>
          <w:szCs w:val="24"/>
          <w:lang w:val="en-US"/>
        </w:rPr>
        <w:t xml:space="preserve">Technological advancements are having a dual impact on labour markets: creating new roles while rendering others obsolete. Automation and AI are primarily affecting routine, manual, and cognitive tasks. A discussion on the impacts of automation technologies suggests that up to 30% of tasks in 60% of occupations could be automated, fundamentally altering job structures across sectors </w:t>
      </w:r>
      <w:r w:rsidR="00A877A0">
        <w:rPr>
          <w:rFonts w:ascii="Arial" w:hAnsi="Arial" w:cs="Arial"/>
          <w:color w:val="2C3E50"/>
          <w:sz w:val="23"/>
          <w:szCs w:val="23"/>
          <w:shd w:val="clear" w:color="auto" w:fill="FFFFFF"/>
        </w:rPr>
        <w:t>(Guznajeva et al., 2022)</w:t>
      </w:r>
      <w:r w:rsidRPr="00253019">
        <w:rPr>
          <w:rFonts w:ascii="Arial" w:hAnsi="Arial" w:cs="Arial"/>
          <w:sz w:val="24"/>
          <w:szCs w:val="24"/>
          <w:lang w:val="en-US"/>
        </w:rPr>
        <w:t>. This trend is global but manifests differently across regions.</w:t>
      </w:r>
    </w:p>
    <w:p w14:paraId="5030ED25" w14:textId="77777777" w:rsidR="00B64813" w:rsidRDefault="00B64813" w:rsidP="00253019">
      <w:pPr>
        <w:spacing w:line="360" w:lineRule="auto"/>
        <w:jc w:val="both"/>
        <w:rPr>
          <w:rFonts w:ascii="Arial" w:hAnsi="Arial" w:cs="Arial"/>
          <w:sz w:val="24"/>
          <w:szCs w:val="24"/>
          <w:lang w:val="en-US"/>
        </w:rPr>
      </w:pPr>
      <w:r>
        <w:rPr>
          <w:noProof/>
          <w:lang w:val="en-US"/>
        </w:rPr>
        <w:lastRenderedPageBreak/>
        <w:drawing>
          <wp:inline distT="0" distB="0" distL="0" distR="0" wp14:anchorId="37C9A162" wp14:editId="4D40F236">
            <wp:extent cx="5219700" cy="3114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19700" cy="3114675"/>
                    </a:xfrm>
                    <a:prstGeom prst="rect">
                      <a:avLst/>
                    </a:prstGeom>
                  </pic:spPr>
                </pic:pic>
              </a:graphicData>
            </a:graphic>
          </wp:inline>
        </w:drawing>
      </w:r>
    </w:p>
    <w:p w14:paraId="00068A7F" w14:textId="77777777" w:rsidR="00B64813" w:rsidRDefault="00B64813" w:rsidP="009A68F0">
      <w:pPr>
        <w:pStyle w:val="Caption"/>
        <w:jc w:val="center"/>
      </w:pPr>
      <w:bookmarkStart w:id="3" w:name="_Toc211378596"/>
      <w:r>
        <w:t xml:space="preserve">Figure </w:t>
      </w:r>
      <w:r w:rsidR="00283DB2">
        <w:fldChar w:fldCharType="begin"/>
      </w:r>
      <w:r w:rsidR="00283DB2">
        <w:instrText xml:space="preserve"> SEQ Figure \* ARABIC </w:instrText>
      </w:r>
      <w:r w:rsidR="00283DB2">
        <w:fldChar w:fldCharType="separate"/>
      </w:r>
      <w:r w:rsidR="00283DB2">
        <w:rPr>
          <w:noProof/>
        </w:rPr>
        <w:t>1</w:t>
      </w:r>
      <w:r w:rsidR="00283DB2">
        <w:rPr>
          <w:noProof/>
        </w:rPr>
        <w:fldChar w:fldCharType="end"/>
      </w:r>
      <w:r>
        <w:t xml:space="preserve"> </w:t>
      </w:r>
      <w:r w:rsidRPr="009952FB">
        <w:t>Share of jobs at high risk of automation by occupation (averaged across OECD countries)</w:t>
      </w:r>
      <w:bookmarkEnd w:id="3"/>
    </w:p>
    <w:p w14:paraId="15FBECC0" w14:textId="77777777" w:rsidR="00DB63A1" w:rsidRPr="00DB63A1" w:rsidRDefault="00DB63A1" w:rsidP="00DB63A1">
      <w:pPr>
        <w:jc w:val="center"/>
      </w:pPr>
      <w:r>
        <w:t xml:space="preserve">Source: OECD </w:t>
      </w:r>
      <w:r>
        <w:rPr>
          <w:rFonts w:ascii="Algerian" w:hAnsi="Algerian"/>
        </w:rPr>
        <w:t>(</w:t>
      </w:r>
      <w:r>
        <w:t>2021</w:t>
      </w:r>
      <w:r>
        <w:rPr>
          <w:rFonts w:ascii="Algerian" w:hAnsi="Algerian"/>
        </w:rPr>
        <w:t>)</w:t>
      </w:r>
    </w:p>
    <w:p w14:paraId="7CB64795" w14:textId="77777777" w:rsidR="00253019" w:rsidRPr="00253019" w:rsidRDefault="00253019" w:rsidP="00253019">
      <w:pPr>
        <w:spacing w:line="360" w:lineRule="auto"/>
        <w:jc w:val="both"/>
        <w:rPr>
          <w:rFonts w:ascii="Arial" w:hAnsi="Arial" w:cs="Arial"/>
          <w:sz w:val="24"/>
          <w:szCs w:val="24"/>
          <w:lang w:val="en-US"/>
        </w:rPr>
      </w:pPr>
      <w:r w:rsidRPr="00253019">
        <w:rPr>
          <w:rFonts w:ascii="Arial" w:hAnsi="Arial" w:cs="Arial"/>
          <w:sz w:val="24"/>
          <w:szCs w:val="24"/>
          <w:lang w:val="en-US"/>
        </w:rPr>
        <w:t>In the </w:t>
      </w:r>
      <w:r w:rsidRPr="00253019">
        <w:rPr>
          <w:rFonts w:ascii="Arial" w:hAnsi="Arial" w:cs="Arial"/>
          <w:b/>
          <w:bCs/>
          <w:sz w:val="24"/>
          <w:szCs w:val="24"/>
          <w:lang w:val="en-US"/>
        </w:rPr>
        <w:t>United Kingdom</w:t>
      </w:r>
      <w:r w:rsidRPr="00253019">
        <w:rPr>
          <w:rFonts w:ascii="Arial" w:hAnsi="Arial" w:cs="Arial"/>
          <w:sz w:val="24"/>
          <w:szCs w:val="24"/>
          <w:lang w:val="en-US"/>
        </w:rPr>
        <w:t>, the automation revolution is well underway. It is estimated that up to 10 million workers are in roles that are at high risk of being automated, raising significant ethical and practical concerns for the workforce (HR News, 2024). This has created a pressing skills gap, where the demand for digital competencies outpaces the current supply.</w:t>
      </w:r>
    </w:p>
    <w:p w14:paraId="77E511B6" w14:textId="77777777" w:rsidR="0047685A" w:rsidRPr="00253019" w:rsidRDefault="00253019" w:rsidP="00253019">
      <w:pPr>
        <w:spacing w:line="360" w:lineRule="auto"/>
        <w:jc w:val="both"/>
        <w:rPr>
          <w:rFonts w:ascii="Arial" w:hAnsi="Arial" w:cs="Arial"/>
          <w:sz w:val="24"/>
          <w:szCs w:val="24"/>
          <w:lang w:val="en-US"/>
        </w:rPr>
      </w:pPr>
      <w:r w:rsidRPr="00253019">
        <w:rPr>
          <w:rFonts w:ascii="Arial" w:hAnsi="Arial" w:cs="Arial"/>
          <w:sz w:val="24"/>
          <w:szCs w:val="24"/>
          <w:lang w:val="en-US"/>
        </w:rPr>
        <w:t>In the </w:t>
      </w:r>
      <w:r w:rsidRPr="00253019">
        <w:rPr>
          <w:rFonts w:ascii="Arial" w:hAnsi="Arial" w:cs="Arial"/>
          <w:b/>
          <w:bCs/>
          <w:sz w:val="24"/>
          <w:szCs w:val="24"/>
          <w:lang w:val="en-US"/>
        </w:rPr>
        <w:t>United States and other Western economies</w:t>
      </w:r>
      <w:r w:rsidRPr="00253019">
        <w:rPr>
          <w:rFonts w:ascii="Arial" w:hAnsi="Arial" w:cs="Arial"/>
          <w:sz w:val="24"/>
          <w:szCs w:val="24"/>
          <w:lang w:val="en-US"/>
        </w:rPr>
        <w:t>, the integration of AI is transforming service and knowledge industries. For instance, the adoption of Robotic Process Automation (RPA) is streamlining back-office functions in finance and accounting, leading to a redefinition of roles rather than purely job displacement (Al Zarooni and El Khatib, 2023). The focus is shifting towards human-AI collaboration.</w:t>
      </w:r>
    </w:p>
    <w:p w14:paraId="29E5610A" w14:textId="77777777" w:rsidR="00253019" w:rsidRDefault="00253019" w:rsidP="00253019">
      <w:pPr>
        <w:spacing w:line="360" w:lineRule="auto"/>
        <w:jc w:val="both"/>
        <w:rPr>
          <w:rFonts w:ascii="Arial" w:hAnsi="Arial" w:cs="Arial"/>
          <w:sz w:val="24"/>
          <w:szCs w:val="24"/>
          <w:lang w:val="en-US"/>
        </w:rPr>
      </w:pPr>
      <w:r w:rsidRPr="00253019">
        <w:rPr>
          <w:rFonts w:ascii="Arial" w:hAnsi="Arial" w:cs="Arial"/>
          <w:sz w:val="24"/>
          <w:szCs w:val="24"/>
          <w:lang w:val="en-US"/>
        </w:rPr>
        <w:t>In </w:t>
      </w:r>
      <w:r w:rsidRPr="00253019">
        <w:rPr>
          <w:rFonts w:ascii="Arial" w:hAnsi="Arial" w:cs="Arial"/>
          <w:b/>
          <w:bCs/>
          <w:sz w:val="24"/>
          <w:szCs w:val="24"/>
          <w:lang w:val="en-US"/>
        </w:rPr>
        <w:t>Asia</w:t>
      </w:r>
      <w:r w:rsidRPr="00253019">
        <w:rPr>
          <w:rFonts w:ascii="Arial" w:hAnsi="Arial" w:cs="Arial"/>
          <w:sz w:val="24"/>
          <w:szCs w:val="24"/>
          <w:lang w:val="en-US"/>
        </w:rPr>
        <w:t>, the manufacturing sector is at the forefront of this change. In the United Arab Emirates (UAE), for example, technological capabilities are seen as critical for enhancing the competitiveness of Small and Medium-sized Enterprises (SMEs) (Alshurideh et al., 2023). Similarly, research in the Asian context confirms that information technology competencies are directly impacting operational efficiency and service delivery, forcing a re-evaluation of the workforce's skill set (Al Kurdi e</w:t>
      </w:r>
      <w:r w:rsidR="00A877A0">
        <w:rPr>
          <w:rFonts w:ascii="Arial" w:hAnsi="Arial" w:cs="Arial"/>
          <w:sz w:val="24"/>
          <w:szCs w:val="24"/>
          <w:lang w:val="en-US"/>
        </w:rPr>
        <w:t>t al., 2023; Akour et al., 2022</w:t>
      </w:r>
      <w:r w:rsidRPr="00253019">
        <w:rPr>
          <w:rFonts w:ascii="Arial" w:hAnsi="Arial" w:cs="Arial"/>
          <w:sz w:val="24"/>
          <w:szCs w:val="24"/>
          <w:lang w:val="en-US"/>
        </w:rPr>
        <w:t>).</w:t>
      </w:r>
    </w:p>
    <w:p w14:paraId="5FC88217" w14:textId="77777777" w:rsidR="0047685A" w:rsidRDefault="0047685A" w:rsidP="00A06DEC">
      <w:pPr>
        <w:spacing w:line="360" w:lineRule="auto"/>
        <w:jc w:val="center"/>
        <w:rPr>
          <w:rFonts w:ascii="Arial" w:hAnsi="Arial" w:cs="Arial"/>
          <w:sz w:val="24"/>
          <w:szCs w:val="24"/>
          <w:lang w:val="en-US"/>
        </w:rPr>
      </w:pPr>
      <w:r>
        <w:rPr>
          <w:noProof/>
          <w:lang w:val="en-US"/>
        </w:rPr>
        <w:lastRenderedPageBreak/>
        <w:drawing>
          <wp:inline distT="0" distB="0" distL="0" distR="0" wp14:anchorId="4F98D1A4" wp14:editId="34AF5A1E">
            <wp:extent cx="4219575" cy="2657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219575" cy="2657475"/>
                    </a:xfrm>
                    <a:prstGeom prst="rect">
                      <a:avLst/>
                    </a:prstGeom>
                  </pic:spPr>
                </pic:pic>
              </a:graphicData>
            </a:graphic>
          </wp:inline>
        </w:drawing>
      </w:r>
    </w:p>
    <w:p w14:paraId="2A3394CF" w14:textId="77777777" w:rsidR="0047685A" w:rsidRDefault="0047685A" w:rsidP="0047685A">
      <w:pPr>
        <w:pStyle w:val="Caption"/>
        <w:jc w:val="center"/>
      </w:pPr>
      <w:bookmarkStart w:id="4" w:name="_Toc211378597"/>
      <w:r>
        <w:t xml:space="preserve">Figure </w:t>
      </w:r>
      <w:r w:rsidR="00283DB2">
        <w:fldChar w:fldCharType="begin"/>
      </w:r>
      <w:r w:rsidR="00283DB2">
        <w:instrText xml:space="preserve"> SEQ Figure \* ARABIC </w:instrText>
      </w:r>
      <w:r w:rsidR="00283DB2">
        <w:fldChar w:fldCharType="separate"/>
      </w:r>
      <w:r w:rsidR="00283DB2">
        <w:rPr>
          <w:noProof/>
        </w:rPr>
        <w:t>2</w:t>
      </w:r>
      <w:r w:rsidR="00283DB2">
        <w:rPr>
          <w:noProof/>
        </w:rPr>
        <w:fldChar w:fldCharType="end"/>
      </w:r>
      <w:r>
        <w:t xml:space="preserve"> </w:t>
      </w:r>
      <w:r w:rsidRPr="00F87052">
        <w:t>Innovation and labour market effects</w:t>
      </w:r>
      <w:bookmarkEnd w:id="4"/>
    </w:p>
    <w:p w14:paraId="17E0849F" w14:textId="77777777" w:rsidR="008315B0" w:rsidRPr="008315B0" w:rsidRDefault="008315B0" w:rsidP="008315B0">
      <w:pPr>
        <w:jc w:val="center"/>
      </w:pPr>
      <w:r>
        <w:t>Source: Vivarelli (2015)</w:t>
      </w:r>
    </w:p>
    <w:p w14:paraId="1B4C7CD0" w14:textId="77777777" w:rsidR="00253019" w:rsidRPr="00253019" w:rsidRDefault="00647BA0" w:rsidP="00647BA0">
      <w:pPr>
        <w:pStyle w:val="Heading2"/>
        <w:rPr>
          <w:lang w:val="en-US"/>
        </w:rPr>
      </w:pPr>
      <w:bookmarkStart w:id="5" w:name="_Toc211378575"/>
      <w:r>
        <w:rPr>
          <w:lang w:val="en-US"/>
        </w:rPr>
        <w:t xml:space="preserve">1.1.2 </w:t>
      </w:r>
      <w:r w:rsidR="00253019" w:rsidRPr="00253019">
        <w:rPr>
          <w:lang w:val="en-US"/>
        </w:rPr>
        <w:t>Implications for HRM and IHRM Strategies</w:t>
      </w:r>
      <w:bookmarkEnd w:id="5"/>
    </w:p>
    <w:p w14:paraId="605D021D" w14:textId="77777777" w:rsidR="00253019" w:rsidRPr="00253019" w:rsidRDefault="00C9609B" w:rsidP="00253019">
      <w:pPr>
        <w:spacing w:line="360" w:lineRule="auto"/>
        <w:jc w:val="both"/>
        <w:rPr>
          <w:rFonts w:ascii="Arial" w:hAnsi="Arial" w:cs="Arial"/>
          <w:sz w:val="24"/>
          <w:szCs w:val="24"/>
          <w:lang w:val="en-US"/>
        </w:rPr>
      </w:pPr>
      <w:r w:rsidRPr="00C9609B">
        <w:rPr>
          <w:rFonts w:ascii="Arial" w:hAnsi="Arial" w:cs="Arial"/>
          <w:sz w:val="24"/>
          <w:szCs w:val="24"/>
        </w:rPr>
        <w:t>The shift in the labour markets requires the essential change in HRM and IHRM strategies. These functions need to be shifted towards strategic partners capable of creating organisational adaptability and talent management in a digital era</w:t>
      </w:r>
      <w:r w:rsidR="00253019" w:rsidRPr="00253019">
        <w:rPr>
          <w:rFonts w:ascii="Arial" w:hAnsi="Arial" w:cs="Arial"/>
          <w:sz w:val="24"/>
          <w:szCs w:val="24"/>
          <w:lang w:val="en-US"/>
        </w:rPr>
        <w:t>.</w:t>
      </w:r>
    </w:p>
    <w:p w14:paraId="6B270878" w14:textId="77777777" w:rsidR="00253019" w:rsidRDefault="00647BA0" w:rsidP="00647BA0">
      <w:pPr>
        <w:pStyle w:val="Heading3"/>
        <w:rPr>
          <w:lang w:val="en-US"/>
        </w:rPr>
      </w:pPr>
      <w:bookmarkStart w:id="6" w:name="_Toc211378576"/>
      <w:r>
        <w:rPr>
          <w:lang w:val="en-US"/>
        </w:rPr>
        <w:t>1.1.2</w:t>
      </w:r>
      <w:r w:rsidR="00253019" w:rsidRPr="00253019">
        <w:rPr>
          <w:lang w:val="en-US"/>
        </w:rPr>
        <w:t>.1 Talent Management and Skills Redevelopment</w:t>
      </w:r>
      <w:bookmarkEnd w:id="6"/>
    </w:p>
    <w:p w14:paraId="537CE00C" w14:textId="77777777" w:rsidR="00253019" w:rsidRPr="00253019" w:rsidRDefault="00253019" w:rsidP="00253019">
      <w:pPr>
        <w:spacing w:line="360" w:lineRule="auto"/>
        <w:jc w:val="both"/>
        <w:rPr>
          <w:rFonts w:ascii="Arial" w:hAnsi="Arial" w:cs="Arial"/>
          <w:sz w:val="24"/>
          <w:szCs w:val="24"/>
          <w:lang w:val="en-US"/>
        </w:rPr>
      </w:pPr>
      <w:r w:rsidRPr="00253019">
        <w:rPr>
          <w:rFonts w:ascii="Arial" w:hAnsi="Arial" w:cs="Arial"/>
          <w:sz w:val="24"/>
          <w:szCs w:val="24"/>
          <w:lang w:val="en-US"/>
        </w:rPr>
        <w:t xml:space="preserve">A primary implication is the urgent need for large-scale reskilling and upskilling. </w:t>
      </w:r>
      <w:r w:rsidR="00A63890" w:rsidRPr="00A63890">
        <w:rPr>
          <w:rFonts w:ascii="Arial" w:hAnsi="Arial" w:cs="Arial"/>
          <w:sz w:val="24"/>
          <w:szCs w:val="24"/>
        </w:rPr>
        <w:t>The HRM strategies should focus on continuous learning in order to fill the skills gap that is increasingly widening. When manual work is replaced by automation, human skills that require critical thinking, creativity, and solving complex problems will gain an added value (Budhwar et al., 2023). Indicatively, companies such as Siemens in Germany have long been investing in massive apprenticeship and ongoing vocational training programmes so that their employees can be transformed by technological change. On the UK scale, HR has to be at the forefront in the process of identifying the skills gaps and introducing specific development programmes to reduce the risks posed by the proces</w:t>
      </w:r>
      <w:r w:rsidR="00A63890">
        <w:rPr>
          <w:rFonts w:ascii="Arial" w:hAnsi="Arial" w:cs="Arial"/>
          <w:sz w:val="24"/>
          <w:szCs w:val="24"/>
        </w:rPr>
        <w:t>s of automation</w:t>
      </w:r>
      <w:r w:rsidRPr="00253019">
        <w:rPr>
          <w:rFonts w:ascii="Arial" w:hAnsi="Arial" w:cs="Arial"/>
          <w:sz w:val="24"/>
          <w:szCs w:val="24"/>
          <w:lang w:val="en-US"/>
        </w:rPr>
        <w:t xml:space="preserve"> (HR News, 2024).</w:t>
      </w:r>
    </w:p>
    <w:p w14:paraId="78AC2152" w14:textId="77777777" w:rsidR="00253019" w:rsidRDefault="00647BA0" w:rsidP="00647BA0">
      <w:pPr>
        <w:pStyle w:val="Heading3"/>
        <w:rPr>
          <w:lang w:val="en-US"/>
        </w:rPr>
      </w:pPr>
      <w:bookmarkStart w:id="7" w:name="_Toc211378577"/>
      <w:r>
        <w:rPr>
          <w:lang w:val="en-US"/>
        </w:rPr>
        <w:t>1.1.2</w:t>
      </w:r>
      <w:r w:rsidR="00253019" w:rsidRPr="00253019">
        <w:rPr>
          <w:lang w:val="en-US"/>
        </w:rPr>
        <w:t>.2 Data-Driven HRM and Ethical Considerations</w:t>
      </w:r>
      <w:bookmarkEnd w:id="7"/>
    </w:p>
    <w:p w14:paraId="7E873561" w14:textId="77777777" w:rsidR="00253019" w:rsidRPr="00253019" w:rsidRDefault="00A3212C" w:rsidP="00253019">
      <w:pPr>
        <w:spacing w:line="360" w:lineRule="auto"/>
        <w:jc w:val="both"/>
        <w:rPr>
          <w:rFonts w:ascii="Arial" w:hAnsi="Arial" w:cs="Arial"/>
          <w:sz w:val="24"/>
          <w:szCs w:val="24"/>
          <w:lang w:val="en-US"/>
        </w:rPr>
      </w:pPr>
      <w:r w:rsidRPr="00A3212C">
        <w:rPr>
          <w:rFonts w:ascii="Arial" w:hAnsi="Arial" w:cs="Arial"/>
          <w:sz w:val="24"/>
          <w:szCs w:val="24"/>
        </w:rPr>
        <w:t>AI has been integrated into HR processes with various names, such as HR Analytics or People Analytics, since it enables making decisions based more on data, particularly in recruitment, performance managem</w:t>
      </w:r>
      <w:r w:rsidR="00A877A0">
        <w:rPr>
          <w:rFonts w:ascii="Arial" w:hAnsi="Arial" w:cs="Arial"/>
          <w:sz w:val="24"/>
          <w:szCs w:val="24"/>
        </w:rPr>
        <w:t xml:space="preserve">ent, and retention of employees. </w:t>
      </w:r>
      <w:r w:rsidRPr="00A3212C">
        <w:rPr>
          <w:rFonts w:ascii="Arial" w:hAnsi="Arial" w:cs="Arial"/>
          <w:sz w:val="24"/>
          <w:szCs w:val="24"/>
        </w:rPr>
        <w:t>As an example, multinational corporations such as IBM can analyse data on the workforce with the help of AI to forecast turnover and implement preventive measures. This, however, brings up critical moral issues of privacy of data, algorithmic bias, and fairness (Budhwar et al., 2023). HRM should also implement sound ethical systems and governance systems to see to it that AI is used in transparent and fair manner.</w:t>
      </w:r>
    </w:p>
    <w:p w14:paraId="2417CE57" w14:textId="77777777" w:rsidR="00253019" w:rsidRDefault="00647BA0" w:rsidP="00647BA0">
      <w:pPr>
        <w:pStyle w:val="Heading3"/>
        <w:rPr>
          <w:lang w:val="en-US"/>
        </w:rPr>
      </w:pPr>
      <w:bookmarkStart w:id="8" w:name="_Toc211378578"/>
      <w:r>
        <w:rPr>
          <w:lang w:val="en-US"/>
        </w:rPr>
        <w:t>1.1.2</w:t>
      </w:r>
      <w:r w:rsidR="00253019" w:rsidRPr="00253019">
        <w:rPr>
          <w:lang w:val="en-US"/>
        </w:rPr>
        <w:t>.3 Strategic IHRM in a Digital World</w:t>
      </w:r>
      <w:bookmarkEnd w:id="8"/>
    </w:p>
    <w:p w14:paraId="40539C13" w14:textId="77777777" w:rsidR="00627F8D" w:rsidRPr="00627F8D" w:rsidRDefault="00253019" w:rsidP="003A4E5E">
      <w:pPr>
        <w:spacing w:line="360" w:lineRule="auto"/>
        <w:jc w:val="both"/>
        <w:rPr>
          <w:rFonts w:ascii="Arial" w:hAnsi="Arial" w:cs="Arial"/>
          <w:sz w:val="24"/>
          <w:szCs w:val="24"/>
          <w:lang w:val="en-US"/>
        </w:rPr>
      </w:pPr>
      <w:r w:rsidRPr="00253019">
        <w:rPr>
          <w:rFonts w:ascii="Arial" w:hAnsi="Arial" w:cs="Arial"/>
          <w:sz w:val="24"/>
          <w:szCs w:val="24"/>
          <w:lang w:val="en-US"/>
        </w:rPr>
        <w:t>For multinational enterprises (MNEs), the implications are even more complex. IHRM must navigate varying rates of technological adoption, different regulatory landscapes, and diverse cultural attitudes towards automation and data privacy across countries (Budhwar et al., 2023). A standardised global HR policy may be ineffective. For example, while an MNE might implement a single AI-based recruitment platform globally, the IHRM function must adapt its application to comply with the EU's General Data Protection Regulation (GDPR), address different labour laws in the US, and consider the specific skill availability in its Asian subsidiaries. Furthermore, IHRM is responsible for fostering a global culture of learning and knowledge sharing to facilitate the transfer of digital best pr</w:t>
      </w:r>
      <w:r w:rsidR="00A877A0">
        <w:rPr>
          <w:rFonts w:ascii="Arial" w:hAnsi="Arial" w:cs="Arial"/>
          <w:sz w:val="24"/>
          <w:szCs w:val="24"/>
          <w:lang w:val="en-US"/>
        </w:rPr>
        <w:t xml:space="preserve">actices across the organization </w:t>
      </w:r>
      <w:r w:rsidRPr="00253019">
        <w:rPr>
          <w:rFonts w:ascii="Arial" w:hAnsi="Arial" w:cs="Arial"/>
          <w:sz w:val="24"/>
          <w:szCs w:val="24"/>
          <w:lang w:val="en-US"/>
        </w:rPr>
        <w:t>(Akour et al., 2022b).</w:t>
      </w:r>
    </w:p>
    <w:p w14:paraId="62974EC8" w14:textId="77777777" w:rsidR="00440F84" w:rsidRPr="00970339" w:rsidRDefault="001738C6" w:rsidP="006D50A2">
      <w:pPr>
        <w:pStyle w:val="Heading1"/>
        <w:rPr>
          <w:rFonts w:ascii="Arial" w:hAnsi="Arial" w:cs="Arial"/>
          <w:u w:val="single"/>
        </w:rPr>
      </w:pPr>
      <w:bookmarkStart w:id="9" w:name="_Toc211378579"/>
      <w:r>
        <w:rPr>
          <w:rFonts w:ascii="Arial" w:hAnsi="Arial" w:cs="Arial"/>
          <w:u w:val="single"/>
        </w:rPr>
        <w:t xml:space="preserve">2. </w:t>
      </w:r>
      <w:r w:rsidR="00440F84" w:rsidRPr="00970339">
        <w:rPr>
          <w:rFonts w:ascii="Arial" w:hAnsi="Arial" w:cs="Arial"/>
          <w:u w:val="single"/>
        </w:rPr>
        <w:t>Key Demographic and Geopolitical Factors Influencing Employment Markets</w:t>
      </w:r>
      <w:r w:rsidR="002A02A6" w:rsidRPr="002A02A6">
        <w:rPr>
          <w:rFonts w:ascii="Arial" w:hAnsi="Arial" w:cs="Arial"/>
          <w:sz w:val="24"/>
          <w:szCs w:val="24"/>
          <w:lang w:val="en-US"/>
        </w:rPr>
        <w:t xml:space="preserve"> and Consequent HR Challenges</w:t>
      </w:r>
      <w:bookmarkEnd w:id="9"/>
    </w:p>
    <w:p w14:paraId="61B62C3D" w14:textId="77777777" w:rsidR="00E22341" w:rsidRPr="00E22341" w:rsidRDefault="00E22341" w:rsidP="00E22341">
      <w:pPr>
        <w:spacing w:line="360" w:lineRule="auto"/>
        <w:jc w:val="both"/>
        <w:rPr>
          <w:rFonts w:ascii="Arial" w:hAnsi="Arial" w:cs="Arial"/>
          <w:sz w:val="24"/>
          <w:szCs w:val="24"/>
          <w:lang w:val="en-US"/>
        </w:rPr>
      </w:pPr>
      <w:r w:rsidRPr="00E22341">
        <w:rPr>
          <w:rFonts w:ascii="Arial" w:hAnsi="Arial" w:cs="Arial"/>
          <w:sz w:val="24"/>
          <w:szCs w:val="24"/>
          <w:lang w:val="en-US"/>
        </w:rPr>
        <w:t xml:space="preserve">The contemporary global employment market is a complex tapestry woven from powerful demographic shifts and volatile geopolitical undercurrents </w:t>
      </w:r>
      <w:r w:rsidR="00885759">
        <w:rPr>
          <w:rFonts w:ascii="Arial" w:hAnsi="Arial" w:cs="Arial"/>
          <w:color w:val="2C3E50"/>
          <w:sz w:val="23"/>
          <w:szCs w:val="23"/>
          <w:shd w:val="clear" w:color="auto" w:fill="FFFFFF"/>
        </w:rPr>
        <w:t>(CIPM Nigeria, 2025)</w:t>
      </w:r>
      <w:r w:rsidRPr="00E22341">
        <w:rPr>
          <w:rFonts w:ascii="Arial" w:hAnsi="Arial" w:cs="Arial"/>
          <w:sz w:val="24"/>
          <w:szCs w:val="24"/>
          <w:lang w:val="en-US"/>
        </w:rPr>
        <w:t>. For Human Resource (HR) professionals, navigating this landscape requires a sophisticated understanding of how these macro-environmental forces constrain and redefine talent strategy. This analysis critically examines the dual pressures of demographic change and geopolitical instability, elucidating the profound challenges they pose for HRM on a global scale.</w:t>
      </w:r>
    </w:p>
    <w:p w14:paraId="24CC1B58" w14:textId="77777777" w:rsidR="00E22341" w:rsidRPr="00E22341" w:rsidRDefault="00B9534B" w:rsidP="00B9534B">
      <w:pPr>
        <w:pStyle w:val="Heading2"/>
        <w:rPr>
          <w:lang w:val="en-US"/>
        </w:rPr>
      </w:pPr>
      <w:bookmarkStart w:id="10" w:name="_Toc211378580"/>
      <w:r>
        <w:rPr>
          <w:lang w:val="en-US"/>
        </w:rPr>
        <w:t xml:space="preserve">2.1 </w:t>
      </w:r>
      <w:r w:rsidR="00E22341" w:rsidRPr="00E22341">
        <w:rPr>
          <w:lang w:val="en-US"/>
        </w:rPr>
        <w:t>The Demographic Imperative: Ageing Populations and Skill Mismatches</w:t>
      </w:r>
      <w:bookmarkEnd w:id="10"/>
    </w:p>
    <w:p w14:paraId="4541CA1F" w14:textId="77777777" w:rsidR="00E22341" w:rsidRPr="00E22341" w:rsidRDefault="00E22341" w:rsidP="00E22341">
      <w:pPr>
        <w:spacing w:line="360" w:lineRule="auto"/>
        <w:jc w:val="both"/>
        <w:rPr>
          <w:rFonts w:ascii="Arial" w:hAnsi="Arial" w:cs="Arial"/>
          <w:sz w:val="24"/>
          <w:szCs w:val="24"/>
          <w:lang w:val="en-US"/>
        </w:rPr>
      </w:pPr>
      <w:r w:rsidRPr="00E22341">
        <w:rPr>
          <w:rFonts w:ascii="Arial" w:hAnsi="Arial" w:cs="Arial"/>
          <w:sz w:val="24"/>
          <w:szCs w:val="24"/>
          <w:lang w:val="en-US"/>
        </w:rPr>
        <w:t>A primary demographic trend reshaping labour markets is population ageing, a phenomenon acutely felt across Europe and parts of Asia. According to the International Labour Organization (</w:t>
      </w:r>
      <w:r w:rsidR="00A877A0" w:rsidRPr="00631BB3">
        <w:rPr>
          <w:rFonts w:ascii="Calibri" w:eastAsia="Times New Roman" w:hAnsi="Calibri" w:cs="Calibri"/>
          <w:color w:val="2C3E50"/>
          <w:sz w:val="27"/>
          <w:szCs w:val="27"/>
        </w:rPr>
        <w:t>United Nations</w:t>
      </w:r>
      <w:r w:rsidR="00A877A0">
        <w:rPr>
          <w:rFonts w:ascii="Arial" w:hAnsi="Arial" w:cs="Arial"/>
          <w:sz w:val="24"/>
          <w:szCs w:val="24"/>
          <w:lang w:val="en-US"/>
        </w:rPr>
        <w:t xml:space="preserve">, </w:t>
      </w:r>
      <w:r w:rsidR="00A877A0" w:rsidRPr="00A877A0">
        <w:rPr>
          <w:rFonts w:ascii="Calibri" w:eastAsia="Times New Roman" w:hAnsi="Calibri" w:cs="Calibri"/>
          <w:color w:val="2C3E50"/>
          <w:sz w:val="27"/>
          <w:szCs w:val="27"/>
        </w:rPr>
        <w:t>2022</w:t>
      </w:r>
      <w:r w:rsidRPr="00E22341">
        <w:rPr>
          <w:rFonts w:ascii="Arial" w:hAnsi="Arial" w:cs="Arial"/>
          <w:sz w:val="24"/>
          <w:szCs w:val="24"/>
          <w:lang w:val="en-US"/>
        </w:rPr>
        <w:t>), the global share of older persons (aged 65+) is projected to rise from 10% in 2022 to 16% by 2050, directly shrinking the prime-age workforce. In the United Kingdom, this is manifested in a significant rise in economic inactivity due to long-term sickness amongst older workers, exacerbating talent shortages (CIPD, 2024). Concurrently, the World Economic Forum (2025) identifies a pervasive skills gap, with over a quarter of all core skills expected to change in the next five years, creating a critical mismatch between the supply of labour and the demands of a modern, digital economy. This demographic double-bind—a shrinking workforce and an inadequately skilled one—forces HR into a relentless competition for a smaller pool of qualified talent (Baird &amp; McGrath-Champ, 1999). The strategic response necessitates heavy investment in robust reskilling and upskilling programmes, alongside innovative policies to retain older, experienced workers and attract younger generations with divergent workplace expectations (Heijltjes &amp; Witteloostuijn, 2003).</w:t>
      </w:r>
    </w:p>
    <w:p w14:paraId="07F3E839" w14:textId="77777777" w:rsidR="00E22341" w:rsidRPr="00E22341" w:rsidRDefault="00B9534B" w:rsidP="00B9534B">
      <w:pPr>
        <w:pStyle w:val="Heading2"/>
        <w:rPr>
          <w:lang w:val="en-US"/>
        </w:rPr>
      </w:pPr>
      <w:bookmarkStart w:id="11" w:name="_Toc211378581"/>
      <w:r>
        <w:rPr>
          <w:lang w:val="en-US"/>
        </w:rPr>
        <w:t xml:space="preserve">2.2 </w:t>
      </w:r>
      <w:r w:rsidR="00E22341" w:rsidRPr="00E22341">
        <w:rPr>
          <w:lang w:val="en-US"/>
        </w:rPr>
        <w:t>Geopolitical Volatility: Disruption and Regulatory Complexity</w:t>
      </w:r>
      <w:bookmarkEnd w:id="11"/>
    </w:p>
    <w:p w14:paraId="332087D5" w14:textId="77777777" w:rsidR="00E22341" w:rsidRPr="00E22341" w:rsidRDefault="00E22341" w:rsidP="00E22341">
      <w:pPr>
        <w:spacing w:line="360" w:lineRule="auto"/>
        <w:jc w:val="both"/>
        <w:rPr>
          <w:rFonts w:ascii="Arial" w:hAnsi="Arial" w:cs="Arial"/>
          <w:sz w:val="24"/>
          <w:szCs w:val="24"/>
          <w:lang w:val="en-US"/>
        </w:rPr>
      </w:pPr>
      <w:r w:rsidRPr="00E22341">
        <w:rPr>
          <w:rFonts w:ascii="Arial" w:hAnsi="Arial" w:cs="Arial"/>
          <w:sz w:val="24"/>
          <w:szCs w:val="24"/>
          <w:lang w:val="en-US"/>
        </w:rPr>
        <w:t>Geopolitical factors introduce a layer of profound uncertainty that severely complicates international HRM (IHRM). The war in Ukraine and persistent Sino-American trade tensions have triggered widespread supply chain disruptions, compelling multinational corporations to reconfigure their global footprints and, consequently, their international workforce (W</w:t>
      </w:r>
      <w:r w:rsidR="00F31BD8">
        <w:rPr>
          <w:rFonts w:ascii="Arial" w:hAnsi="Arial" w:cs="Arial"/>
          <w:sz w:val="24"/>
          <w:szCs w:val="24"/>
          <w:lang w:val="en-US"/>
        </w:rPr>
        <w:t xml:space="preserve">orld </w:t>
      </w:r>
      <w:r w:rsidRPr="00E22341">
        <w:rPr>
          <w:rFonts w:ascii="Arial" w:hAnsi="Arial" w:cs="Arial"/>
          <w:sz w:val="24"/>
          <w:szCs w:val="24"/>
          <w:lang w:val="en-US"/>
        </w:rPr>
        <w:t>E</w:t>
      </w:r>
      <w:r w:rsidR="00F31BD8">
        <w:rPr>
          <w:rFonts w:ascii="Arial" w:hAnsi="Arial" w:cs="Arial"/>
          <w:sz w:val="24"/>
          <w:szCs w:val="24"/>
          <w:lang w:val="en-US"/>
        </w:rPr>
        <w:t xml:space="preserve">conomic </w:t>
      </w:r>
      <w:r w:rsidRPr="00E22341">
        <w:rPr>
          <w:rFonts w:ascii="Arial" w:hAnsi="Arial" w:cs="Arial"/>
          <w:sz w:val="24"/>
          <w:szCs w:val="24"/>
          <w:lang w:val="en-US"/>
        </w:rPr>
        <w:t>F</w:t>
      </w:r>
      <w:r w:rsidR="00F31BD8">
        <w:rPr>
          <w:rFonts w:ascii="Arial" w:hAnsi="Arial" w:cs="Arial"/>
          <w:sz w:val="24"/>
          <w:szCs w:val="24"/>
          <w:lang w:val="en-US"/>
        </w:rPr>
        <w:t>orum</w:t>
      </w:r>
      <w:r w:rsidRPr="00E22341">
        <w:rPr>
          <w:rFonts w:ascii="Arial" w:hAnsi="Arial" w:cs="Arial"/>
          <w:sz w:val="24"/>
          <w:szCs w:val="24"/>
          <w:lang w:val="en-US"/>
        </w:rPr>
        <w:t>, 2025). For the UK, the enduring impact of Brexit serves as a quintessential example of geopolitical shock, creating significant labour shortages in sectors like hospitality and logistics that were historically reliant on EU nationals (ManpowerGroup, 2024). This necessitates a fundamental rethinking of talent sourcing strategies, forcing HR to look domestically or to new international labour markets, each with its own complex visa and regulatory hurdles (IndeedFlex, 2025). Furthermore, the fragmentation of the global economy into competing blocs forces HR to navigate a labyrinth of divergent employment laws, data protection regulations, and ethical standards, making standardised HR policies nearly impossible to implement and increasing complian</w:t>
      </w:r>
      <w:r w:rsidR="00561831">
        <w:rPr>
          <w:rFonts w:ascii="Arial" w:hAnsi="Arial" w:cs="Arial"/>
          <w:sz w:val="24"/>
          <w:szCs w:val="24"/>
          <w:lang w:val="en-US"/>
        </w:rPr>
        <w:t>ce risks exponentially.</w:t>
      </w:r>
    </w:p>
    <w:p w14:paraId="0207C7E8" w14:textId="77777777" w:rsidR="00E22341" w:rsidRPr="00E22341" w:rsidRDefault="00DD0282" w:rsidP="00DD0282">
      <w:pPr>
        <w:pStyle w:val="Heading2"/>
        <w:rPr>
          <w:lang w:val="en-US"/>
        </w:rPr>
      </w:pPr>
      <w:bookmarkStart w:id="12" w:name="_Toc211378582"/>
      <w:r>
        <w:rPr>
          <w:lang w:val="en-US"/>
        </w:rPr>
        <w:t xml:space="preserve">2.3 </w:t>
      </w:r>
      <w:r w:rsidR="00E22341" w:rsidRPr="00E22341">
        <w:rPr>
          <w:lang w:val="en-US"/>
        </w:rPr>
        <w:t>Challenges for HR Professionals</w:t>
      </w:r>
      <w:bookmarkEnd w:id="12"/>
    </w:p>
    <w:p w14:paraId="7F8CB45E" w14:textId="77777777" w:rsidR="00E22341" w:rsidRPr="00E22341" w:rsidRDefault="00E22341" w:rsidP="00E22341">
      <w:pPr>
        <w:spacing w:line="360" w:lineRule="auto"/>
        <w:jc w:val="both"/>
        <w:rPr>
          <w:rFonts w:ascii="Arial" w:hAnsi="Arial" w:cs="Arial"/>
          <w:sz w:val="24"/>
          <w:szCs w:val="24"/>
          <w:lang w:val="en-US"/>
        </w:rPr>
      </w:pPr>
      <w:r w:rsidRPr="00E22341">
        <w:rPr>
          <w:rFonts w:ascii="Arial" w:hAnsi="Arial" w:cs="Arial"/>
          <w:sz w:val="24"/>
          <w:szCs w:val="24"/>
          <w:lang w:val="en-US"/>
        </w:rPr>
        <w:t>The convergence of these demographic and geopolitical forces creates a multifaceted set of challenges for HR. Firstly, talent acquisition and retention have become intensely competitive and expensive, requiring sophisticated employer branding and total rewards strategies to attract candidates with in-deman</w:t>
      </w:r>
      <w:r w:rsidR="00561831">
        <w:rPr>
          <w:rFonts w:ascii="Arial" w:hAnsi="Arial" w:cs="Arial"/>
          <w:sz w:val="24"/>
          <w:szCs w:val="24"/>
          <w:lang w:val="en-US"/>
        </w:rPr>
        <w:t>d digital skills (</w:t>
      </w:r>
      <w:r w:rsidR="00561831">
        <w:rPr>
          <w:rFonts w:ascii="Arial" w:hAnsi="Arial" w:cs="Arial"/>
          <w:color w:val="222222"/>
          <w:sz w:val="20"/>
          <w:szCs w:val="20"/>
          <w:shd w:val="clear" w:color="auto" w:fill="FFFFFF"/>
        </w:rPr>
        <w:t>Liimatta, S., 2025)</w:t>
      </w:r>
      <w:r w:rsidRPr="00E22341">
        <w:rPr>
          <w:rFonts w:ascii="Arial" w:hAnsi="Arial" w:cs="Arial"/>
          <w:sz w:val="24"/>
          <w:szCs w:val="24"/>
          <w:lang w:val="en-US"/>
        </w:rPr>
        <w:t>. Secondly, HR must lead organisational agility, developing workforce plans that are resilient to both sudden geopolitical shocks and gradual demographic declines (Belcourt &amp; McBey, 2010). Finally, there is an increased burden of compliance and ethical governance, as HR must ensure that practices from global mobility to algorithmic recruitment adhere to a complex and often contradictory web of international and national regulations. In essence, the HR function is transformed from an administrative partner into a strategic architect, responsible for building an adaptable, skilled, and globally compliant workforce in an era of unprecedented turbulence.</w:t>
      </w:r>
    </w:p>
    <w:p w14:paraId="53F076FB" w14:textId="77777777" w:rsidR="00C415AD" w:rsidRPr="00C415AD" w:rsidRDefault="00DD0282" w:rsidP="00C415AD">
      <w:pPr>
        <w:pStyle w:val="Heading1"/>
        <w:rPr>
          <w:u w:val="single"/>
          <w:lang w:val="en-US"/>
        </w:rPr>
      </w:pPr>
      <w:bookmarkStart w:id="13" w:name="_Toc211378583"/>
      <w:r>
        <w:rPr>
          <w:u w:val="single"/>
          <w:lang w:val="en-US"/>
        </w:rPr>
        <w:t xml:space="preserve">3. </w:t>
      </w:r>
      <w:r w:rsidR="00C415AD" w:rsidRPr="00C415AD">
        <w:rPr>
          <w:u w:val="single"/>
          <w:lang w:val="en-US"/>
        </w:rPr>
        <w:t>Strategic HRM Responses to Persistent Skills and Talent Shortages</w:t>
      </w:r>
      <w:bookmarkEnd w:id="13"/>
    </w:p>
    <w:p w14:paraId="4B115D1D" w14:textId="77777777" w:rsidR="001E4206" w:rsidRDefault="001E4206" w:rsidP="001E4206">
      <w:pPr>
        <w:spacing w:line="360" w:lineRule="auto"/>
        <w:jc w:val="both"/>
        <w:rPr>
          <w:rFonts w:ascii="Arial" w:hAnsi="Arial" w:cs="Arial"/>
          <w:sz w:val="24"/>
          <w:szCs w:val="24"/>
          <w:lang w:val="en-US"/>
        </w:rPr>
      </w:pPr>
      <w:r w:rsidRPr="001E4206">
        <w:rPr>
          <w:rFonts w:ascii="Arial" w:hAnsi="Arial" w:cs="Arial"/>
          <w:sz w:val="24"/>
          <w:szCs w:val="24"/>
          <w:lang w:val="en-US"/>
        </w:rPr>
        <w:t>Persistent skills gaps and talent shortages in critical sectors such as technology, healthcare, and hospitality represent a significant drag on national economic competitiveness and organisational performance (OECD, 2024). In the United Kingdom, these challenges are particularly acute, with over 80% of firms in the hospitality sector reporting severe difficulties in recruiting skilled staff (Moore Kingston Smith, 2024). Strategic Human Resource Management (HRM) moves beyond reactive recruitment to implement a holistic, long-term approach focused on building, buying, and borrowing talent to bridge these critical gaps effectively (CIPD, 2023).</w:t>
      </w:r>
    </w:p>
    <w:p w14:paraId="742E0AE2" w14:textId="77777777" w:rsidR="00D54E15" w:rsidRDefault="00D54E15" w:rsidP="001E4206">
      <w:pPr>
        <w:spacing w:line="360" w:lineRule="auto"/>
        <w:jc w:val="both"/>
        <w:rPr>
          <w:rFonts w:ascii="Arial" w:hAnsi="Arial" w:cs="Arial"/>
          <w:sz w:val="24"/>
          <w:szCs w:val="24"/>
          <w:lang w:val="en-US"/>
        </w:rPr>
      </w:pPr>
      <w:r>
        <w:rPr>
          <w:noProof/>
          <w:lang w:val="en-US"/>
        </w:rPr>
        <w:drawing>
          <wp:inline distT="0" distB="0" distL="0" distR="0" wp14:anchorId="46210D0F" wp14:editId="7CFEE252">
            <wp:extent cx="5419725" cy="2686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23604" cy="2687972"/>
                    </a:xfrm>
                    <a:prstGeom prst="rect">
                      <a:avLst/>
                    </a:prstGeom>
                  </pic:spPr>
                </pic:pic>
              </a:graphicData>
            </a:graphic>
          </wp:inline>
        </w:drawing>
      </w:r>
    </w:p>
    <w:p w14:paraId="256468C7" w14:textId="77777777" w:rsidR="00D54E15" w:rsidRPr="001E4206" w:rsidRDefault="00D54E15" w:rsidP="00D54E15">
      <w:pPr>
        <w:pStyle w:val="Caption"/>
        <w:jc w:val="center"/>
        <w:rPr>
          <w:rFonts w:ascii="Arial" w:hAnsi="Arial" w:cs="Arial"/>
          <w:sz w:val="24"/>
          <w:szCs w:val="24"/>
          <w:lang w:val="en-US"/>
        </w:rPr>
      </w:pPr>
      <w:bookmarkStart w:id="14" w:name="_Toc211378598"/>
      <w:r>
        <w:t xml:space="preserve">Figure </w:t>
      </w:r>
      <w:r w:rsidR="00283DB2">
        <w:fldChar w:fldCharType="begin"/>
      </w:r>
      <w:r w:rsidR="00283DB2">
        <w:instrText xml:space="preserve"> SEQ Figure \* ARABIC </w:instrText>
      </w:r>
      <w:r w:rsidR="00283DB2">
        <w:fldChar w:fldCharType="separate"/>
      </w:r>
      <w:r w:rsidR="00283DB2">
        <w:rPr>
          <w:noProof/>
        </w:rPr>
        <w:t>3</w:t>
      </w:r>
      <w:r w:rsidR="00283DB2">
        <w:rPr>
          <w:noProof/>
        </w:rPr>
        <w:fldChar w:fldCharType="end"/>
      </w:r>
      <w:r>
        <w:t xml:space="preserve"> </w:t>
      </w:r>
      <w:r w:rsidRPr="002372C6">
        <w:t xml:space="preserve"> UK productivity growth has been weak since the Financial Crisis</w:t>
      </w:r>
      <w:bookmarkEnd w:id="14"/>
    </w:p>
    <w:p w14:paraId="18146AB2" w14:textId="77777777" w:rsidR="001E4206" w:rsidRPr="001E4206" w:rsidRDefault="00DD0282" w:rsidP="00DD0282">
      <w:pPr>
        <w:pStyle w:val="Heading2"/>
        <w:rPr>
          <w:lang w:val="en-US"/>
        </w:rPr>
      </w:pPr>
      <w:bookmarkStart w:id="15" w:name="_Toc211378584"/>
      <w:r>
        <w:rPr>
          <w:lang w:val="en-US"/>
        </w:rPr>
        <w:t xml:space="preserve">3.1 </w:t>
      </w:r>
      <w:r w:rsidR="001E4206" w:rsidRPr="001E4206">
        <w:rPr>
          <w:lang w:val="en-US"/>
        </w:rPr>
        <w:t>Upskilling and Reskilling: Building Talent from Within</w:t>
      </w:r>
      <w:bookmarkEnd w:id="15"/>
    </w:p>
    <w:p w14:paraId="624DDE51" w14:textId="77777777" w:rsidR="001E4206" w:rsidRDefault="001E4206" w:rsidP="001E4206">
      <w:pPr>
        <w:spacing w:line="360" w:lineRule="auto"/>
        <w:jc w:val="both"/>
        <w:rPr>
          <w:rFonts w:ascii="Arial" w:hAnsi="Arial" w:cs="Arial"/>
          <w:sz w:val="24"/>
          <w:szCs w:val="24"/>
          <w:lang w:val="en-US"/>
        </w:rPr>
      </w:pPr>
      <w:r w:rsidRPr="001E4206">
        <w:rPr>
          <w:rFonts w:ascii="Arial" w:hAnsi="Arial" w:cs="Arial"/>
          <w:sz w:val="24"/>
          <w:szCs w:val="24"/>
          <w:lang w:val="en-US"/>
        </w:rPr>
        <w:t>A primary strategic response is the aggressive investment in internal talent development through upskilling and reskilling initiatives. This approach recognises that the required skills are often scarce in the external labour market and must be cultivated internally. Globally, 87% of companies report facing or anticipating skills shortages, prompting a shift towards reskilling programmes (McKinsey &amp; Company, 2023). For instance, the multinational technology giant </w:t>
      </w:r>
      <w:r w:rsidRPr="001E4206">
        <w:rPr>
          <w:rFonts w:ascii="Arial" w:hAnsi="Arial" w:cs="Arial"/>
          <w:b/>
          <w:bCs/>
          <w:sz w:val="24"/>
          <w:szCs w:val="24"/>
          <w:lang w:val="en-US"/>
        </w:rPr>
        <w:t>Amazon</w:t>
      </w:r>
      <w:r w:rsidRPr="001E4206">
        <w:rPr>
          <w:rFonts w:ascii="Arial" w:hAnsi="Arial" w:cs="Arial"/>
          <w:sz w:val="24"/>
          <w:szCs w:val="24"/>
          <w:lang w:val="en-US"/>
        </w:rPr>
        <w:t> has committed over $1.2 billion to upskill 300,000 of its employees in the United States by 2025, focusing on data mapping and AWS cloud competencies (McKinsey &amp; Company, 2023). Within the UK's National Health Service (NHS), strat</w:t>
      </w:r>
      <w:r w:rsidR="00342FF5">
        <w:rPr>
          <w:rFonts w:ascii="Arial" w:hAnsi="Arial" w:cs="Arial"/>
          <w:sz w:val="24"/>
          <w:szCs w:val="24"/>
          <w:lang w:val="en-US"/>
        </w:rPr>
        <w:t>egic workforce planning emphasiz</w:t>
      </w:r>
      <w:r w:rsidRPr="001E4206">
        <w:rPr>
          <w:rFonts w:ascii="Arial" w:hAnsi="Arial" w:cs="Arial"/>
          <w:sz w:val="24"/>
          <w:szCs w:val="24"/>
          <w:lang w:val="en-US"/>
        </w:rPr>
        <w:t>es expanding apprenticeship routes and clinical training programmes to mitigate a projected shortfall of over 100,000 full-time equivalent staff, thereby building a sustainable pipeline of home-grown talent. This "build" strategy enhances retention and ensures skills ar</w:t>
      </w:r>
      <w:r w:rsidR="00B00803">
        <w:rPr>
          <w:rFonts w:ascii="Arial" w:hAnsi="Arial" w:cs="Arial"/>
          <w:sz w:val="24"/>
          <w:szCs w:val="24"/>
          <w:lang w:val="en-US"/>
        </w:rPr>
        <w:t>e precisely aligned with organiz</w:t>
      </w:r>
      <w:r w:rsidRPr="001E4206">
        <w:rPr>
          <w:rFonts w:ascii="Arial" w:hAnsi="Arial" w:cs="Arial"/>
          <w:sz w:val="24"/>
          <w:szCs w:val="24"/>
          <w:lang w:val="en-US"/>
        </w:rPr>
        <w:t>ational needs.</w:t>
      </w:r>
    </w:p>
    <w:p w14:paraId="6056B758" w14:textId="77777777" w:rsidR="00283DB2" w:rsidRDefault="00283DB2" w:rsidP="00283DB2">
      <w:pPr>
        <w:spacing w:line="360" w:lineRule="auto"/>
        <w:jc w:val="center"/>
        <w:rPr>
          <w:rFonts w:ascii="Arial" w:hAnsi="Arial" w:cs="Arial"/>
          <w:sz w:val="24"/>
          <w:szCs w:val="24"/>
          <w:lang w:val="en-US"/>
        </w:rPr>
      </w:pPr>
      <w:r>
        <w:rPr>
          <w:noProof/>
          <w:lang w:val="en-US"/>
        </w:rPr>
        <w:drawing>
          <wp:inline distT="0" distB="0" distL="0" distR="0" wp14:anchorId="593D56E1" wp14:editId="213ACF94">
            <wp:extent cx="4029075" cy="3124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029075" cy="3124200"/>
                    </a:xfrm>
                    <a:prstGeom prst="rect">
                      <a:avLst/>
                    </a:prstGeom>
                  </pic:spPr>
                </pic:pic>
              </a:graphicData>
            </a:graphic>
          </wp:inline>
        </w:drawing>
      </w:r>
    </w:p>
    <w:p w14:paraId="79C496B6" w14:textId="77777777" w:rsidR="00283DB2" w:rsidRDefault="00283DB2" w:rsidP="00283DB2">
      <w:pPr>
        <w:pStyle w:val="Caption"/>
        <w:jc w:val="center"/>
      </w:pPr>
      <w:bookmarkStart w:id="16" w:name="_Toc211378599"/>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AB6623">
        <w:t>The UK workforce contains several skills mismatches</w:t>
      </w:r>
      <w:bookmarkEnd w:id="16"/>
    </w:p>
    <w:p w14:paraId="05D6CBF7" w14:textId="77777777" w:rsidR="00283DB2" w:rsidRPr="00F44E92" w:rsidRDefault="00283DB2" w:rsidP="00F44E92">
      <w:pPr>
        <w:jc w:val="center"/>
        <w:rPr>
          <w:i/>
        </w:rPr>
      </w:pPr>
      <w:r w:rsidRPr="001914DA">
        <w:rPr>
          <w:b/>
          <w:i/>
        </w:rPr>
        <w:t>Source</w:t>
      </w:r>
      <w:r w:rsidR="001914DA" w:rsidRPr="001914DA">
        <w:rPr>
          <w:rFonts w:ascii="Algerian" w:hAnsi="Algerian"/>
          <w:i/>
        </w:rPr>
        <w:t>:</w:t>
      </w:r>
      <w:r w:rsidR="001914DA" w:rsidRPr="001914DA">
        <w:rPr>
          <w:i/>
        </w:rPr>
        <w:t xml:space="preserve"> </w:t>
      </w:r>
      <w:r w:rsidRPr="001914DA">
        <w:rPr>
          <w:i/>
        </w:rPr>
        <w:t>Graduate Labour Market Statistics, 2023</w:t>
      </w:r>
    </w:p>
    <w:p w14:paraId="1C5B8259" w14:textId="77777777" w:rsidR="00283DB2" w:rsidRDefault="00283DB2" w:rsidP="00283DB2"/>
    <w:p w14:paraId="7DA44BF9" w14:textId="77777777" w:rsidR="00283DB2" w:rsidRPr="00283DB2" w:rsidRDefault="00283DB2" w:rsidP="00283DB2"/>
    <w:p w14:paraId="23037FC7" w14:textId="77777777" w:rsidR="00283DB2" w:rsidRPr="00283DB2" w:rsidRDefault="00283DB2" w:rsidP="00283DB2"/>
    <w:p w14:paraId="5849B38F" w14:textId="77777777" w:rsidR="001E4206" w:rsidRPr="001E4206" w:rsidRDefault="00DD0282" w:rsidP="00DD0282">
      <w:pPr>
        <w:pStyle w:val="Heading2"/>
        <w:rPr>
          <w:lang w:val="en-US"/>
        </w:rPr>
      </w:pPr>
      <w:bookmarkStart w:id="17" w:name="_Toc211378585"/>
      <w:r>
        <w:rPr>
          <w:lang w:val="en-US"/>
        </w:rPr>
        <w:t xml:space="preserve">3.2 </w:t>
      </w:r>
      <w:r w:rsidR="001E4206" w:rsidRPr="001E4206">
        <w:rPr>
          <w:lang w:val="en-US"/>
        </w:rPr>
        <w:t>Strategic Talent Acquisition and Partnerships: Buying and Borrowing Capability</w:t>
      </w:r>
      <w:bookmarkEnd w:id="17"/>
    </w:p>
    <w:p w14:paraId="1E7A4C9E" w14:textId="77777777" w:rsidR="001E4206" w:rsidRPr="001E4206" w:rsidRDefault="001E4206" w:rsidP="001E4206">
      <w:pPr>
        <w:spacing w:line="360" w:lineRule="auto"/>
        <w:jc w:val="both"/>
        <w:rPr>
          <w:rFonts w:ascii="Arial" w:hAnsi="Arial" w:cs="Arial"/>
          <w:sz w:val="24"/>
          <w:szCs w:val="24"/>
          <w:lang w:val="en-US"/>
        </w:rPr>
      </w:pPr>
      <w:r w:rsidRPr="001E4206">
        <w:rPr>
          <w:rFonts w:ascii="Arial" w:hAnsi="Arial" w:cs="Arial"/>
          <w:sz w:val="24"/>
          <w:szCs w:val="24"/>
          <w:lang w:val="en-US"/>
        </w:rPr>
        <w:t>When internal development is insufficient, organisations must innovate their talent acquisition strategies. This involves both "buying" talent through targeted recruitment and "borrowing" it through strategic partnerships. In the competitive UK tech sector, where skill shortages are rampant, companies are leveraging data analytics to refine their hiring, focusing on potential and adaptability rather than solely on formal qualifications (LinkedIn, 2024). Furthermore, forming alliances with educational institutions is a critical strategy; for example, </w:t>
      </w:r>
      <w:r w:rsidRPr="001E4206">
        <w:rPr>
          <w:rFonts w:ascii="Arial" w:hAnsi="Arial" w:cs="Arial"/>
          <w:b/>
          <w:bCs/>
          <w:sz w:val="24"/>
          <w:szCs w:val="24"/>
          <w:lang w:val="en-US"/>
        </w:rPr>
        <w:t>Siemens</w:t>
      </w:r>
      <w:r w:rsidRPr="001E4206">
        <w:rPr>
          <w:rFonts w:ascii="Arial" w:hAnsi="Arial" w:cs="Arial"/>
          <w:sz w:val="24"/>
          <w:szCs w:val="24"/>
          <w:lang w:val="en-US"/>
        </w:rPr>
        <w:t> in Germany has long been celebrated for its dual education system, which seamlessly integrates academic learning with practical apprenticeships, creating a direct pipeline of industry-ready engineers (OECD, 2024). Similarly, in the hospitality sector, UK firms are increasingly "borrowing" talent through partnerships with overseas educational providers to secure a flow of international students, thereby addressing immediate staffing crises while fostering a diverse workforce (Moore Kingston Smith, 2024).</w:t>
      </w:r>
    </w:p>
    <w:p w14:paraId="54DA10CE" w14:textId="77777777" w:rsidR="001E4206" w:rsidRPr="001E4206" w:rsidRDefault="00DD0282" w:rsidP="00DD0282">
      <w:pPr>
        <w:pStyle w:val="Heading2"/>
        <w:rPr>
          <w:lang w:val="en-US"/>
        </w:rPr>
      </w:pPr>
      <w:bookmarkStart w:id="18" w:name="_Toc211378586"/>
      <w:r>
        <w:rPr>
          <w:lang w:val="en-US"/>
        </w:rPr>
        <w:t xml:space="preserve">3.3 </w:t>
      </w:r>
      <w:r w:rsidR="001E4206" w:rsidRPr="001E4206">
        <w:rPr>
          <w:lang w:val="en-US"/>
        </w:rPr>
        <w:t>Enhancing Sector Attractiveness and Retention</w:t>
      </w:r>
      <w:bookmarkEnd w:id="18"/>
    </w:p>
    <w:p w14:paraId="4CC38CA5" w14:textId="77777777" w:rsidR="00807B43" w:rsidRPr="00807B43" w:rsidRDefault="001E4206" w:rsidP="00807B43">
      <w:pPr>
        <w:spacing w:line="360" w:lineRule="auto"/>
        <w:jc w:val="both"/>
        <w:rPr>
          <w:rFonts w:ascii="Arial" w:hAnsi="Arial" w:cs="Arial"/>
          <w:sz w:val="24"/>
          <w:szCs w:val="24"/>
          <w:lang w:val="en-US"/>
        </w:rPr>
      </w:pPr>
      <w:r w:rsidRPr="001E4206">
        <w:rPr>
          <w:rFonts w:ascii="Arial" w:hAnsi="Arial" w:cs="Arial"/>
          <w:sz w:val="24"/>
          <w:szCs w:val="24"/>
          <w:lang w:val="en-US"/>
        </w:rPr>
        <w:t>Strategic HRM must also address the root causes of talent shortages by enhancing the overall attractiveness of critical sectors. In hospitality, characterised by high turnover, this involves re-evaluating total reward packages, offering clear career progression pathways, and improving work-life balance (ILO, 2021). A report on the UK hospitality industry advocates for promoting sector-specific apprenticeships and improving the industry's image to make it a career of choice, not just a temporary job (Moore Kingston Smith, 2024). In Nigeria, strategic HRM responses to ta</w:t>
      </w:r>
      <w:r w:rsidR="00342FF5">
        <w:rPr>
          <w:rFonts w:ascii="Arial" w:hAnsi="Arial" w:cs="Arial"/>
          <w:sz w:val="24"/>
          <w:szCs w:val="24"/>
          <w:lang w:val="en-US"/>
        </w:rPr>
        <w:t>lent shortages include emphasiz</w:t>
      </w:r>
      <w:r w:rsidRPr="001E4206">
        <w:rPr>
          <w:rFonts w:ascii="Arial" w:hAnsi="Arial" w:cs="Arial"/>
          <w:sz w:val="24"/>
          <w:szCs w:val="24"/>
          <w:lang w:val="en-US"/>
        </w:rPr>
        <w:t xml:space="preserve">ing employer branding and offering non-wage incentives like flexible working arrangements to attract and retain scarce skilled professionals </w:t>
      </w:r>
      <w:r w:rsidR="001F0A3B">
        <w:rPr>
          <w:rFonts w:ascii="Arial" w:hAnsi="Arial" w:cs="Arial"/>
          <w:color w:val="2C3E50"/>
          <w:sz w:val="23"/>
          <w:szCs w:val="23"/>
          <w:shd w:val="clear" w:color="auto" w:fill="FFFFFF"/>
        </w:rPr>
        <w:t> (Lolo Teddy Adias and Aziba-anyam Gift Raimi, 2025)</w:t>
      </w:r>
      <w:r w:rsidRPr="001E4206">
        <w:rPr>
          <w:rFonts w:ascii="Arial" w:hAnsi="Arial" w:cs="Arial"/>
          <w:sz w:val="24"/>
          <w:szCs w:val="24"/>
          <w:lang w:val="en-US"/>
        </w:rPr>
        <w:t>. By strategically managing the entire employee value propositio</w:t>
      </w:r>
      <w:r w:rsidR="00342FF5">
        <w:rPr>
          <w:rFonts w:ascii="Arial" w:hAnsi="Arial" w:cs="Arial"/>
          <w:sz w:val="24"/>
          <w:szCs w:val="24"/>
          <w:lang w:val="en-US"/>
        </w:rPr>
        <w:t>n, organiz</w:t>
      </w:r>
      <w:r w:rsidRPr="001E4206">
        <w:rPr>
          <w:rFonts w:ascii="Arial" w:hAnsi="Arial" w:cs="Arial"/>
          <w:sz w:val="24"/>
          <w:szCs w:val="24"/>
          <w:lang w:val="en-US"/>
        </w:rPr>
        <w:t>ations can reduce attrition and become employers of choice in tight labour markets.</w:t>
      </w:r>
    </w:p>
    <w:p w14:paraId="04F77FAB" w14:textId="77777777" w:rsidR="00950D33" w:rsidRPr="00970339" w:rsidRDefault="00950D33">
      <w:pPr>
        <w:rPr>
          <w:rFonts w:ascii="Arial" w:eastAsiaTheme="majorEastAsia" w:hAnsi="Arial" w:cs="Arial"/>
          <w:b/>
          <w:bCs/>
          <w:color w:val="2E74B5" w:themeColor="accent1" w:themeShade="BF"/>
          <w:sz w:val="28"/>
          <w:szCs w:val="28"/>
          <w:lang w:val="en-US"/>
        </w:rPr>
      </w:pPr>
      <w:r w:rsidRPr="00970339">
        <w:rPr>
          <w:rFonts w:ascii="Arial" w:hAnsi="Arial" w:cs="Arial"/>
          <w:lang w:val="en-US"/>
        </w:rPr>
        <w:br w:type="page"/>
      </w:r>
    </w:p>
    <w:p w14:paraId="25E981EA" w14:textId="77777777" w:rsidR="00DC355A" w:rsidRPr="00A578D0" w:rsidRDefault="00A746BF" w:rsidP="00702036">
      <w:pPr>
        <w:pStyle w:val="Heading1"/>
        <w:rPr>
          <w:rFonts w:ascii="Arial" w:hAnsi="Arial" w:cs="Arial"/>
          <w:u w:val="single"/>
        </w:rPr>
      </w:pPr>
      <w:bookmarkStart w:id="19" w:name="_Toc211378587"/>
      <w:r>
        <w:rPr>
          <w:rFonts w:ascii="Arial" w:hAnsi="Arial" w:cs="Arial"/>
          <w:u w:val="single"/>
        </w:rPr>
        <w:t xml:space="preserve">4. </w:t>
      </w:r>
      <w:r w:rsidR="00DC355A" w:rsidRPr="00A578D0">
        <w:rPr>
          <w:rFonts w:ascii="Arial" w:hAnsi="Arial" w:cs="Arial"/>
          <w:u w:val="single"/>
        </w:rPr>
        <w:t>Reflective Report on International Capabilities</w:t>
      </w:r>
      <w:bookmarkEnd w:id="19"/>
    </w:p>
    <w:p w14:paraId="0A29A9BB" w14:textId="77777777" w:rsidR="00DC355A" w:rsidRPr="00970339" w:rsidRDefault="00A746BF" w:rsidP="00A746BF">
      <w:pPr>
        <w:pStyle w:val="Heading2"/>
        <w:rPr>
          <w:lang w:val="en-US"/>
        </w:rPr>
      </w:pPr>
      <w:bookmarkStart w:id="20" w:name="_Toc211378588"/>
      <w:r>
        <w:rPr>
          <w:lang w:val="en-US"/>
        </w:rPr>
        <w:t xml:space="preserve">4.1 </w:t>
      </w:r>
      <w:r w:rsidR="00DC355A" w:rsidRPr="00970339">
        <w:rPr>
          <w:lang w:val="en-US"/>
        </w:rPr>
        <w:t>Introduction</w:t>
      </w:r>
      <w:bookmarkEnd w:id="20"/>
    </w:p>
    <w:p w14:paraId="7B61157D" w14:textId="77777777" w:rsidR="00ED26DA" w:rsidRPr="00ED26DA" w:rsidRDefault="00ED26DA" w:rsidP="00ED26DA">
      <w:pPr>
        <w:spacing w:line="360" w:lineRule="auto"/>
        <w:jc w:val="both"/>
        <w:rPr>
          <w:rFonts w:ascii="Arial" w:hAnsi="Arial" w:cs="Arial"/>
          <w:sz w:val="24"/>
          <w:szCs w:val="24"/>
          <w:lang w:val="en-US"/>
        </w:rPr>
      </w:pPr>
      <w:r w:rsidRPr="00ED26DA">
        <w:rPr>
          <w:rFonts w:ascii="Arial" w:hAnsi="Arial" w:cs="Arial"/>
          <w:sz w:val="24"/>
          <w:szCs w:val="24"/>
          <w:lang w:val="en-US"/>
        </w:rPr>
        <w:t>In the context of a global energy leader like Shell, operating across more than 70 countries, the ability to perform effectively in an international environment is not an optional competency but a fundamental requirement for driving innovation and maintaining competitive advantage (Shell, 2023). This report provides a critical self-reflection on my current capabilities within the international context of my role at Shell, focusing on the interrelated areas of technology, communication, teamwork, leadership, and self-directed learning. Drawing on evidence from recent projects, this analysis will identify key strengths and weaknesses and propose a structured plan for continuous professional development.</w:t>
      </w:r>
    </w:p>
    <w:p w14:paraId="56826335" w14:textId="77777777" w:rsidR="00ED26DA" w:rsidRPr="00ED26DA" w:rsidRDefault="00A746BF" w:rsidP="00A746BF">
      <w:pPr>
        <w:pStyle w:val="Heading2"/>
        <w:rPr>
          <w:lang w:val="en-US"/>
        </w:rPr>
      </w:pPr>
      <w:bookmarkStart w:id="21" w:name="_Toc211378589"/>
      <w:r>
        <w:rPr>
          <w:lang w:val="en-US"/>
        </w:rPr>
        <w:t xml:space="preserve">4.2 </w:t>
      </w:r>
      <w:r w:rsidR="00ED26DA" w:rsidRPr="00ED26DA">
        <w:rPr>
          <w:lang w:val="en-US"/>
        </w:rPr>
        <w:t>Analysis of Current Capabilities</w:t>
      </w:r>
      <w:bookmarkEnd w:id="21"/>
    </w:p>
    <w:p w14:paraId="6324B966" w14:textId="77777777" w:rsidR="00ED26DA" w:rsidRDefault="00A746BF" w:rsidP="00A746BF">
      <w:pPr>
        <w:pStyle w:val="Heading3"/>
        <w:rPr>
          <w:lang w:val="en-US"/>
        </w:rPr>
      </w:pPr>
      <w:bookmarkStart w:id="22" w:name="_Toc211378590"/>
      <w:r>
        <w:rPr>
          <w:lang w:val="en-US"/>
        </w:rPr>
        <w:t>4.</w:t>
      </w:r>
      <w:r w:rsidR="00ED26DA" w:rsidRPr="00ED26DA">
        <w:rPr>
          <w:lang w:val="en-US"/>
        </w:rPr>
        <w:t>2.1 Technology and Self-Directed Learning</w:t>
      </w:r>
      <w:bookmarkEnd w:id="22"/>
    </w:p>
    <w:p w14:paraId="12E97365" w14:textId="77777777" w:rsidR="00ED26DA" w:rsidRPr="00ED26DA" w:rsidRDefault="00ED26DA" w:rsidP="00ED26DA">
      <w:pPr>
        <w:spacing w:line="360" w:lineRule="auto"/>
        <w:jc w:val="both"/>
        <w:rPr>
          <w:rFonts w:ascii="Arial" w:hAnsi="Arial" w:cs="Arial"/>
          <w:sz w:val="24"/>
          <w:szCs w:val="24"/>
          <w:lang w:val="en-US"/>
        </w:rPr>
      </w:pPr>
      <w:r w:rsidRPr="00ED26DA">
        <w:rPr>
          <w:rFonts w:ascii="Arial" w:hAnsi="Arial" w:cs="Arial"/>
          <w:sz w:val="24"/>
          <w:szCs w:val="24"/>
          <w:lang w:val="en-US"/>
        </w:rPr>
        <w:t>My strength lies in a proactive approach to technological adoption and self-directed learning. In my recent involvement with Shell’s </w:t>
      </w:r>
      <w:r w:rsidRPr="00ED26DA">
        <w:rPr>
          <w:rFonts w:ascii="Arial" w:hAnsi="Arial" w:cs="Arial"/>
          <w:b/>
          <w:bCs/>
          <w:sz w:val="24"/>
          <w:szCs w:val="24"/>
          <w:lang w:val="en-US"/>
        </w:rPr>
        <w:t>"Digital Twin" initiative</w:t>
      </w:r>
      <w:r w:rsidRPr="00ED26DA">
        <w:rPr>
          <w:rFonts w:ascii="Arial" w:hAnsi="Arial" w:cs="Arial"/>
          <w:sz w:val="24"/>
          <w:szCs w:val="24"/>
          <w:lang w:val="en-US"/>
        </w:rPr>
        <w:t> for a new LNG facility, I independently undertook to master the data visualization software, Tableau, to better interpret real-time operational data. This was achieved through a combination of Shell’s internal learning platform, </w:t>
      </w:r>
      <w:r w:rsidRPr="00ED26DA">
        <w:rPr>
          <w:rFonts w:ascii="Arial" w:hAnsi="Arial" w:cs="Arial"/>
          <w:b/>
          <w:bCs/>
          <w:sz w:val="24"/>
          <w:szCs w:val="24"/>
          <w:lang w:val="en-US"/>
        </w:rPr>
        <w:t>Shell Step</w:t>
      </w:r>
      <w:r w:rsidRPr="00ED26DA">
        <w:rPr>
          <w:rFonts w:ascii="Arial" w:hAnsi="Arial" w:cs="Arial"/>
          <w:sz w:val="24"/>
          <w:szCs w:val="24"/>
          <w:lang w:val="en-US"/>
        </w:rPr>
        <w:t>, and external MOOCs, allowing me to contribute meaningfully to data-driven decision-making sessions (Shell Learning, 2024). However, a weakness is my tendency to focus on immediate, task-specific technologies rather than strategically forecasting broader technological trends, such as the full potential of AI in subsurface engineering, which could limit my future strategic impact.</w:t>
      </w:r>
    </w:p>
    <w:p w14:paraId="20FCAE67" w14:textId="77777777" w:rsidR="00ED26DA" w:rsidRDefault="00A746BF" w:rsidP="00A746BF">
      <w:pPr>
        <w:pStyle w:val="Heading3"/>
        <w:rPr>
          <w:lang w:val="en-US"/>
        </w:rPr>
      </w:pPr>
      <w:bookmarkStart w:id="23" w:name="_Toc211378591"/>
      <w:r>
        <w:rPr>
          <w:lang w:val="en-US"/>
        </w:rPr>
        <w:t>4.</w:t>
      </w:r>
      <w:r w:rsidR="00ED26DA" w:rsidRPr="00ED26DA">
        <w:rPr>
          <w:lang w:val="en-US"/>
        </w:rPr>
        <w:t>2.2 Communication and Teamwork</w:t>
      </w:r>
      <w:bookmarkEnd w:id="23"/>
    </w:p>
    <w:p w14:paraId="18BB6E8D" w14:textId="77777777" w:rsidR="00ED26DA" w:rsidRPr="00ED26DA" w:rsidRDefault="00ED26DA" w:rsidP="00ED26DA">
      <w:pPr>
        <w:spacing w:line="360" w:lineRule="auto"/>
        <w:jc w:val="both"/>
        <w:rPr>
          <w:rFonts w:ascii="Arial" w:hAnsi="Arial" w:cs="Arial"/>
          <w:sz w:val="24"/>
          <w:szCs w:val="24"/>
          <w:lang w:val="en-US"/>
        </w:rPr>
      </w:pPr>
      <w:r w:rsidRPr="00ED26DA">
        <w:rPr>
          <w:rFonts w:ascii="Arial" w:hAnsi="Arial" w:cs="Arial"/>
          <w:sz w:val="24"/>
          <w:szCs w:val="24"/>
          <w:lang w:val="en-US"/>
        </w:rPr>
        <w:t>Working within a project team comprising Dutch, Malaysian, and Brazilian colleagues has honed my strength in cross-cultural communication. I have developed a conscious competence in adjusting my communication style, moving from direct, task-oriented language to a more relationship-based approach when collaborating with our Southeast Asian partners, aligning with research on high-context cultures (Hofstede, 2023). This was evidenced in our successful negotiation of a project timeline, where I facilitated a compromise that respected both the European need for pace and the Asian emphasis on consensus. A persisting weakness, however, is my limited proficiency in a second language. While English is the corporate lingua franca, my inability to converse in Dutch or Portuguese creates a subtle barrier to building deeper rapport and fully understanding local nuances during site visits or informal meetings.</w:t>
      </w:r>
    </w:p>
    <w:p w14:paraId="698CD57C" w14:textId="77777777" w:rsidR="00ED26DA" w:rsidRDefault="00A746BF" w:rsidP="00A746BF">
      <w:pPr>
        <w:pStyle w:val="Heading3"/>
        <w:rPr>
          <w:lang w:val="en-US"/>
        </w:rPr>
      </w:pPr>
      <w:bookmarkStart w:id="24" w:name="_Toc211378592"/>
      <w:r>
        <w:rPr>
          <w:lang w:val="en-US"/>
        </w:rPr>
        <w:t>4.</w:t>
      </w:r>
      <w:r w:rsidR="00ED26DA" w:rsidRPr="00ED26DA">
        <w:rPr>
          <w:lang w:val="en-US"/>
        </w:rPr>
        <w:t>2.3 Leadership</w:t>
      </w:r>
      <w:bookmarkEnd w:id="24"/>
    </w:p>
    <w:p w14:paraId="5AE6F413" w14:textId="77777777" w:rsidR="00ED26DA" w:rsidRPr="00ED26DA" w:rsidRDefault="00ED26DA" w:rsidP="00ED26DA">
      <w:pPr>
        <w:spacing w:line="360" w:lineRule="auto"/>
        <w:jc w:val="both"/>
        <w:rPr>
          <w:rFonts w:ascii="Arial" w:hAnsi="Arial" w:cs="Arial"/>
          <w:sz w:val="24"/>
          <w:szCs w:val="24"/>
          <w:lang w:val="en-US"/>
        </w:rPr>
      </w:pPr>
      <w:r w:rsidRPr="00ED26DA">
        <w:rPr>
          <w:rFonts w:ascii="Arial" w:hAnsi="Arial" w:cs="Arial"/>
          <w:sz w:val="24"/>
          <w:szCs w:val="24"/>
          <w:lang w:val="en-US"/>
        </w:rPr>
        <w:t>I have demonstrated emergent leadership in fostering an inclusive team environment. During a virtual project review, I noticed that junior team members from different regions were hesitant to voice dissenting opinions. I subsequently championed the use of a anonymous digital polling tool to gather feedback, which surfaced a critical safety concern that had been overlooked. This action aligns with the concept of creating "psychological safety" in global teams, a cornerstone of effective modern leadership (Edmondson, 2018). My area for development is in formal leadership and influence beyond my immediate team. I have yet to leverage Shell’s global matrix structure to build a robust network of sponsors and allies across different business functions and regions, which is crucial for championing larger-scale initiatives.</w:t>
      </w:r>
    </w:p>
    <w:p w14:paraId="692E6AAC" w14:textId="77777777" w:rsidR="00ED26DA" w:rsidRPr="00ED26DA" w:rsidRDefault="00A746BF" w:rsidP="00A746BF">
      <w:pPr>
        <w:pStyle w:val="Heading3"/>
        <w:rPr>
          <w:lang w:val="en-US"/>
        </w:rPr>
      </w:pPr>
      <w:bookmarkStart w:id="25" w:name="_Toc211378593"/>
      <w:r>
        <w:rPr>
          <w:lang w:val="en-US"/>
        </w:rPr>
        <w:t>4.2.4</w:t>
      </w:r>
      <w:r w:rsidR="00ED26DA" w:rsidRPr="00ED26DA">
        <w:rPr>
          <w:lang w:val="en-US"/>
        </w:rPr>
        <w:t xml:space="preserve"> Development Plan</w:t>
      </w:r>
      <w:bookmarkEnd w:id="25"/>
    </w:p>
    <w:p w14:paraId="34BF264C" w14:textId="77777777" w:rsidR="00ED26DA" w:rsidRPr="00ED26DA" w:rsidRDefault="00ED26DA" w:rsidP="00ED26DA">
      <w:pPr>
        <w:spacing w:line="360" w:lineRule="auto"/>
        <w:jc w:val="both"/>
        <w:rPr>
          <w:rFonts w:ascii="Arial" w:hAnsi="Arial" w:cs="Arial"/>
          <w:sz w:val="24"/>
          <w:szCs w:val="24"/>
          <w:lang w:val="en-US"/>
        </w:rPr>
      </w:pPr>
      <w:r w:rsidRPr="00ED26DA">
        <w:rPr>
          <w:rFonts w:ascii="Arial" w:hAnsi="Arial" w:cs="Arial"/>
          <w:sz w:val="24"/>
          <w:szCs w:val="24"/>
          <w:lang w:val="en-US"/>
        </w:rPr>
        <w:t>To leverage my strengths and address my weaknesses, I have formulated the following actionable plan:</w:t>
      </w:r>
    </w:p>
    <w:p w14:paraId="242CF4F9" w14:textId="77777777" w:rsidR="00ED26DA" w:rsidRPr="00ED26DA" w:rsidRDefault="00ED26DA" w:rsidP="00ED26DA">
      <w:pPr>
        <w:numPr>
          <w:ilvl w:val="0"/>
          <w:numId w:val="14"/>
        </w:numPr>
        <w:spacing w:line="360" w:lineRule="auto"/>
        <w:jc w:val="both"/>
        <w:rPr>
          <w:rFonts w:ascii="Arial" w:hAnsi="Arial" w:cs="Arial"/>
          <w:sz w:val="24"/>
          <w:szCs w:val="24"/>
          <w:lang w:val="en-US"/>
        </w:rPr>
      </w:pPr>
      <w:r w:rsidRPr="00ED26DA">
        <w:rPr>
          <w:rFonts w:ascii="Arial" w:hAnsi="Arial" w:cs="Arial"/>
          <w:b/>
          <w:bCs/>
          <w:sz w:val="24"/>
          <w:szCs w:val="24"/>
          <w:lang w:val="en-US"/>
        </w:rPr>
        <w:t>To Address the Technological Forecasting Gap:</w:t>
      </w:r>
      <w:r w:rsidRPr="00ED26DA">
        <w:rPr>
          <w:rFonts w:ascii="Arial" w:hAnsi="Arial" w:cs="Arial"/>
          <w:sz w:val="24"/>
          <w:szCs w:val="24"/>
          <w:lang w:val="en-US"/>
        </w:rPr>
        <w:t> I will enrol in Shell’s curated online programme on </w:t>
      </w:r>
      <w:r w:rsidRPr="00ED26DA">
        <w:rPr>
          <w:rFonts w:ascii="Arial" w:hAnsi="Arial" w:cs="Arial"/>
          <w:i/>
          <w:iCs/>
          <w:sz w:val="24"/>
          <w:szCs w:val="24"/>
          <w:lang w:val="en-US"/>
        </w:rPr>
        <w:t>"AI for Business"</w:t>
      </w:r>
      <w:r w:rsidRPr="00ED26DA">
        <w:rPr>
          <w:rFonts w:ascii="Arial" w:hAnsi="Arial" w:cs="Arial"/>
          <w:sz w:val="24"/>
          <w:szCs w:val="24"/>
          <w:lang w:val="en-US"/>
        </w:rPr>
        <w:t> offered by a leading business school within the next quarter. Furthermore, I will proactively seek a mentorship role within the Digital Twin project to solidify my learning and force a more strategic perspective.</w:t>
      </w:r>
    </w:p>
    <w:p w14:paraId="6BBEB33F" w14:textId="77777777" w:rsidR="00ED26DA" w:rsidRPr="00ED26DA" w:rsidRDefault="00ED26DA" w:rsidP="00ED26DA">
      <w:pPr>
        <w:numPr>
          <w:ilvl w:val="0"/>
          <w:numId w:val="14"/>
        </w:numPr>
        <w:spacing w:line="360" w:lineRule="auto"/>
        <w:jc w:val="both"/>
        <w:rPr>
          <w:rFonts w:ascii="Arial" w:hAnsi="Arial" w:cs="Arial"/>
          <w:sz w:val="24"/>
          <w:szCs w:val="24"/>
          <w:lang w:val="en-US"/>
        </w:rPr>
      </w:pPr>
      <w:r w:rsidRPr="00ED26DA">
        <w:rPr>
          <w:rFonts w:ascii="Arial" w:hAnsi="Arial" w:cs="Arial"/>
          <w:b/>
          <w:bCs/>
          <w:sz w:val="24"/>
          <w:szCs w:val="24"/>
          <w:lang w:val="en-US"/>
        </w:rPr>
        <w:t>To Improve Language and Deep Cultural Fluency:</w:t>
      </w:r>
      <w:r w:rsidRPr="00ED26DA">
        <w:rPr>
          <w:rFonts w:ascii="Arial" w:hAnsi="Arial" w:cs="Arial"/>
          <w:sz w:val="24"/>
          <w:szCs w:val="24"/>
          <w:lang w:val="en-US"/>
        </w:rPr>
        <w:t> I commit to beginning introductory Dutch lessons via Shell’s corporate language programme by the end of this term. I will also volunteer to lead the onboarding of the next intern from our Netherlands office to practice in a safe, structured environment.</w:t>
      </w:r>
    </w:p>
    <w:p w14:paraId="0DEF59F9" w14:textId="77777777" w:rsidR="00DC355A" w:rsidRPr="00014A58" w:rsidRDefault="00ED26DA" w:rsidP="00DC355A">
      <w:pPr>
        <w:numPr>
          <w:ilvl w:val="0"/>
          <w:numId w:val="14"/>
        </w:numPr>
        <w:spacing w:line="360" w:lineRule="auto"/>
        <w:jc w:val="both"/>
        <w:rPr>
          <w:rFonts w:ascii="Arial" w:hAnsi="Arial" w:cs="Arial"/>
          <w:sz w:val="24"/>
          <w:szCs w:val="24"/>
          <w:lang w:val="en-US"/>
        </w:rPr>
      </w:pPr>
      <w:r w:rsidRPr="00ED26DA">
        <w:rPr>
          <w:rFonts w:ascii="Arial" w:hAnsi="Arial" w:cs="Arial"/>
          <w:b/>
          <w:bCs/>
          <w:sz w:val="24"/>
          <w:szCs w:val="24"/>
          <w:lang w:val="en-US"/>
        </w:rPr>
        <w:t>To Build Strategic Influence and Leadership:</w:t>
      </w:r>
      <w:r w:rsidRPr="00ED26DA">
        <w:rPr>
          <w:rFonts w:ascii="Arial" w:hAnsi="Arial" w:cs="Arial"/>
          <w:sz w:val="24"/>
          <w:szCs w:val="24"/>
          <w:lang w:val="en-US"/>
        </w:rPr>
        <w:t> I will set a target to connect with at least two senior leaders from different functional lines (e.g., Projects &amp; Technology and Commercial) each month, seeking their perspectives on cross-regional challenges. I will also put myself forward to present the findings of the Digital Twin project at a regional forum, increasing my visibility and demonstrating thought leadership.</w:t>
      </w:r>
    </w:p>
    <w:p w14:paraId="325B5018" w14:textId="77777777" w:rsidR="00DC355A" w:rsidRPr="00970339" w:rsidRDefault="00737F0A" w:rsidP="00A746BF">
      <w:pPr>
        <w:pStyle w:val="Heading1"/>
        <w:numPr>
          <w:ilvl w:val="0"/>
          <w:numId w:val="16"/>
        </w:numPr>
        <w:rPr>
          <w:rFonts w:ascii="Arial" w:hAnsi="Arial" w:cs="Arial"/>
          <w:u w:val="single"/>
          <w:lang w:val="en-US"/>
        </w:rPr>
      </w:pPr>
      <w:bookmarkStart w:id="26" w:name="_Toc211378594"/>
      <w:r w:rsidRPr="00970339">
        <w:rPr>
          <w:rFonts w:ascii="Arial" w:hAnsi="Arial" w:cs="Arial"/>
          <w:u w:val="single"/>
          <w:lang w:val="en-US"/>
        </w:rPr>
        <w:t>Conclusion</w:t>
      </w:r>
      <w:bookmarkEnd w:id="26"/>
      <w:r w:rsidRPr="00970339">
        <w:rPr>
          <w:rFonts w:ascii="Arial" w:hAnsi="Arial" w:cs="Arial"/>
          <w:u w:val="single"/>
          <w:lang w:val="en-US"/>
        </w:rPr>
        <w:t xml:space="preserve"> </w:t>
      </w:r>
    </w:p>
    <w:p w14:paraId="741C69C1" w14:textId="77777777" w:rsidR="00014A58" w:rsidRPr="00970339" w:rsidRDefault="00014A58" w:rsidP="0018664A">
      <w:pPr>
        <w:spacing w:line="360" w:lineRule="auto"/>
        <w:jc w:val="both"/>
        <w:rPr>
          <w:rFonts w:ascii="Arial" w:hAnsi="Arial" w:cs="Arial"/>
          <w:sz w:val="24"/>
          <w:szCs w:val="24"/>
          <w:lang w:val="en-US"/>
        </w:rPr>
      </w:pPr>
      <w:r w:rsidRPr="00014A58">
        <w:rPr>
          <w:rFonts w:ascii="Arial" w:hAnsi="Arial" w:cs="Arial"/>
          <w:sz w:val="24"/>
          <w:szCs w:val="24"/>
        </w:rPr>
        <w:t>This study concludes that global labour markets are fundamentally being reshaped by an interconnected triad of technological, demographic, and geopolitical forces. In response, the HRM and IHRM function must evolve from an administrative support role to a strategic, proactive architect of organisational resilience. This necessitates a paradigm shift towards building talent through upskilling, designing agile and ethical people strategies, and navigating complex international regulations. Ultimately, success in this new era is contingent upon both organisational agility in strategic human resource planning and the individual's commitment to continuous, self-directed learning and global competency development.</w:t>
      </w:r>
    </w:p>
    <w:p w14:paraId="0112046F" w14:textId="77777777" w:rsidR="001515C7" w:rsidRPr="00970339" w:rsidRDefault="001515C7" w:rsidP="0018664A">
      <w:pPr>
        <w:spacing w:line="360" w:lineRule="auto"/>
        <w:ind w:firstLine="720"/>
        <w:jc w:val="both"/>
        <w:rPr>
          <w:rFonts w:ascii="Arial" w:eastAsiaTheme="majorEastAsia" w:hAnsi="Arial" w:cs="Arial"/>
          <w:b/>
          <w:bCs/>
          <w:color w:val="2E74B5" w:themeColor="accent1" w:themeShade="BF"/>
          <w:sz w:val="28"/>
          <w:szCs w:val="28"/>
        </w:rPr>
      </w:pPr>
      <w:r w:rsidRPr="00970339">
        <w:rPr>
          <w:rFonts w:ascii="Arial" w:hAnsi="Arial" w:cs="Arial"/>
        </w:rPr>
        <w:br w:type="page"/>
      </w:r>
    </w:p>
    <w:p w14:paraId="2B40B86B" w14:textId="77777777" w:rsidR="008E3138" w:rsidRPr="00970339" w:rsidRDefault="004561EB" w:rsidP="000B5FFF">
      <w:pPr>
        <w:pStyle w:val="Heading1"/>
        <w:jc w:val="both"/>
        <w:rPr>
          <w:rFonts w:ascii="Arial" w:hAnsi="Arial" w:cs="Arial"/>
        </w:rPr>
      </w:pPr>
      <w:bookmarkStart w:id="27" w:name="_Toc211378595"/>
      <w:r w:rsidRPr="00970339">
        <w:rPr>
          <w:rFonts w:ascii="Arial" w:hAnsi="Arial" w:cs="Arial"/>
        </w:rPr>
        <w:t>References</w:t>
      </w:r>
      <w:bookmarkEnd w:id="27"/>
    </w:p>
    <w:p w14:paraId="6CEFAD26"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Alshurideh, M., Al Kurdi, B., &amp; Alrawabdeh, W. (2023). Enhancing Manufacturing Competitiveness in UAE SMEs: The Influence of Process Quality Improvement and Lean Practices. </w:t>
      </w:r>
      <w:r w:rsidRPr="000D109E">
        <w:rPr>
          <w:rFonts w:ascii="Arial" w:hAnsi="Arial" w:cs="Arial"/>
          <w:i/>
          <w:iCs/>
          <w:color w:val="404040"/>
        </w:rPr>
        <w:t>International Journal of Business Analytics and Security (IJBAS)</w:t>
      </w:r>
      <w:r w:rsidRPr="000D109E">
        <w:rPr>
          <w:rFonts w:ascii="Arial" w:hAnsi="Arial" w:cs="Arial"/>
          <w:color w:val="404040"/>
        </w:rPr>
        <w:t>, 3(2), pp.1-10.</w:t>
      </w:r>
    </w:p>
    <w:p w14:paraId="41D26CB3"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Al Zarooni, L., &amp; El Khatib, M. (2023). Robotics Process Automation (RPA) and Project Risk Management. </w:t>
      </w:r>
      <w:r w:rsidRPr="000D109E">
        <w:rPr>
          <w:rFonts w:ascii="Arial" w:hAnsi="Arial" w:cs="Arial"/>
          <w:i/>
          <w:iCs/>
          <w:color w:val="404040"/>
        </w:rPr>
        <w:t>International Journal of Business Analytics and Security (IJBAS)</w:t>
      </w:r>
      <w:r w:rsidRPr="000D109E">
        <w:rPr>
          <w:rFonts w:ascii="Arial" w:hAnsi="Arial" w:cs="Arial"/>
          <w:color w:val="404040"/>
        </w:rPr>
        <w:t>, 3(1), pp.11-19.</w:t>
      </w:r>
    </w:p>
    <w:p w14:paraId="40A0E1AC"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Budhwar, P., Malik, A., &amp; De Silva, P. T. (2023). Introduction: Artificial Intelligence - Challenges and Opportunities for International HRM. In: </w:t>
      </w:r>
      <w:r w:rsidRPr="000D109E">
        <w:rPr>
          <w:rFonts w:ascii="Arial" w:hAnsi="Arial" w:cs="Arial"/>
          <w:i/>
          <w:iCs/>
          <w:color w:val="404040"/>
        </w:rPr>
        <w:t>The Routledge Companion to Artificial Intelligence in International Human Resource Management</w:t>
      </w:r>
      <w:r w:rsidRPr="000D109E">
        <w:rPr>
          <w:rFonts w:ascii="Arial" w:hAnsi="Arial" w:cs="Arial"/>
          <w:color w:val="404040"/>
        </w:rPr>
        <w:t>. Routledge.</w:t>
      </w:r>
    </w:p>
    <w:p w14:paraId="76FE6ABC"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Chartered Institute of Personnel and Development (CIPD). (2024). </w:t>
      </w:r>
      <w:r w:rsidRPr="000D109E">
        <w:rPr>
          <w:rFonts w:ascii="Arial" w:hAnsi="Arial" w:cs="Arial"/>
          <w:i/>
          <w:iCs/>
          <w:color w:val="404040"/>
        </w:rPr>
        <w:t>Labour Market Outlook</w:t>
      </w:r>
      <w:r w:rsidRPr="000D109E">
        <w:rPr>
          <w:rFonts w:ascii="Arial" w:hAnsi="Arial" w:cs="Arial"/>
          <w:color w:val="404040"/>
        </w:rPr>
        <w:t>. [online] Available at: </w:t>
      </w:r>
      <w:hyperlink r:id="rId19" w:tgtFrame="_blank" w:history="1">
        <w:r w:rsidRPr="000D109E">
          <w:rPr>
            <w:rStyle w:val="Hyperlink"/>
            <w:rFonts w:ascii="Arial" w:hAnsi="Arial" w:cs="Arial"/>
          </w:rPr>
          <w:t>https://www.cipd.org/en/knowledge/reports/labour-market-outlook/</w:t>
        </w:r>
      </w:hyperlink>
      <w:r w:rsidRPr="000D109E">
        <w:rPr>
          <w:rFonts w:ascii="Arial" w:hAnsi="Arial" w:cs="Arial"/>
          <w:color w:val="404040"/>
        </w:rPr>
        <w:t> [Accessed 10 October 2025].</w:t>
      </w:r>
    </w:p>
    <w:p w14:paraId="195193AD"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CIPM Nigeria. (2025). </w:t>
      </w:r>
      <w:r w:rsidRPr="000D109E">
        <w:rPr>
          <w:rFonts w:ascii="Arial" w:hAnsi="Arial" w:cs="Arial"/>
          <w:i/>
          <w:iCs/>
          <w:color w:val="404040"/>
        </w:rPr>
        <w:t>WORKFORCE PLANNING - CIPM Nigeria</w:t>
      </w:r>
      <w:r w:rsidRPr="000D109E">
        <w:rPr>
          <w:rFonts w:ascii="Arial" w:hAnsi="Arial" w:cs="Arial"/>
          <w:color w:val="404040"/>
        </w:rPr>
        <w:t xml:space="preserve">. [online] Available at: </w:t>
      </w:r>
      <w:hyperlink r:id="rId20" w:history="1">
        <w:r w:rsidRPr="000D109E">
          <w:rPr>
            <w:rStyle w:val="Hyperlink"/>
            <w:rFonts w:ascii="Arial" w:hAnsi="Arial" w:cs="Arial"/>
          </w:rPr>
          <w:t>https://cipmnigeria.org/learning/workforce-planning/</w:t>
        </w:r>
      </w:hyperlink>
      <w:r w:rsidRPr="000D109E">
        <w:rPr>
          <w:rFonts w:ascii="Arial" w:hAnsi="Arial" w:cs="Arial"/>
          <w:color w:val="404040"/>
        </w:rPr>
        <w:t xml:space="preserve"> [Accessed 15 Oct. 2025].</w:t>
      </w:r>
    </w:p>
    <w:p w14:paraId="699B248B"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 xml:space="preserve">Driving reinvention, delivering value. (n.d.). Available at: </w:t>
      </w:r>
      <w:hyperlink r:id="rId21" w:history="1">
        <w:r w:rsidRPr="000D109E">
          <w:rPr>
            <w:rStyle w:val="Hyperlink"/>
            <w:rFonts w:ascii="Arial" w:hAnsi="Arial" w:cs="Arial"/>
          </w:rPr>
          <w:t>https://www.accenture.com/content/dam/accenture/final/accenture-com/a-com-custom-component/iconic/document/FY23-360-Value-Report-Custom.pdf</w:t>
        </w:r>
      </w:hyperlink>
      <w:r w:rsidRPr="000D109E">
        <w:rPr>
          <w:rFonts w:ascii="Arial" w:hAnsi="Arial" w:cs="Arial"/>
          <w:color w:val="404040"/>
        </w:rPr>
        <w:t>.</w:t>
      </w:r>
    </w:p>
    <w:p w14:paraId="7FD5DA62"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Edmondson, A. C. (2018). </w:t>
      </w:r>
      <w:r w:rsidRPr="000D109E">
        <w:rPr>
          <w:rFonts w:ascii="Arial" w:hAnsi="Arial" w:cs="Arial"/>
          <w:i/>
          <w:iCs/>
          <w:color w:val="404040"/>
        </w:rPr>
        <w:t>The Fearless Organization: Creating Psychological Safety in the Workplace for Learning, Innovation, and Growth</w:t>
      </w:r>
      <w:r w:rsidRPr="000D109E">
        <w:rPr>
          <w:rFonts w:ascii="Arial" w:hAnsi="Arial" w:cs="Arial"/>
          <w:color w:val="404040"/>
        </w:rPr>
        <w:t>. Hoboken, NJ: Wiley.</w:t>
      </w:r>
    </w:p>
    <w:p w14:paraId="4A27E566"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European Parliament. (2024). </w:t>
      </w:r>
      <w:r w:rsidRPr="000D109E">
        <w:rPr>
          <w:rFonts w:ascii="Arial" w:hAnsi="Arial" w:cs="Arial"/>
          <w:i/>
          <w:iCs/>
          <w:color w:val="404040"/>
        </w:rPr>
        <w:t>EU AI Act</w:t>
      </w:r>
      <w:r w:rsidRPr="000D109E">
        <w:rPr>
          <w:rFonts w:ascii="Arial" w:hAnsi="Arial" w:cs="Arial"/>
          <w:color w:val="404040"/>
        </w:rPr>
        <w:t>. [online] Available at: </w:t>
      </w:r>
      <w:hyperlink r:id="rId22" w:tgtFrame="_blank" w:history="1">
        <w:r w:rsidRPr="000D109E">
          <w:rPr>
            <w:rStyle w:val="Hyperlink"/>
            <w:rFonts w:ascii="Arial" w:hAnsi="Arial" w:cs="Arial"/>
          </w:rPr>
          <w:t>https://www.europarl.europa.eu/</w:t>
        </w:r>
      </w:hyperlink>
      <w:r w:rsidRPr="000D109E">
        <w:rPr>
          <w:rFonts w:ascii="Arial" w:hAnsi="Arial" w:cs="Arial"/>
          <w:color w:val="404040"/>
        </w:rPr>
        <w:t> [Accessed 13 October 2025].</w:t>
      </w:r>
    </w:p>
    <w:p w14:paraId="7798675F" w14:textId="77777777" w:rsidR="000D109E" w:rsidRPr="000D109E" w:rsidRDefault="00050887"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Guznajeva, T., Garcia Gutierrez, J., Konstantynova, A., Zeqo, K., Nausedaite, R. and Kooijmans, O. (2022). </w:t>
      </w:r>
      <w:r w:rsidRPr="000D109E">
        <w:rPr>
          <w:rFonts w:ascii="Arial" w:hAnsi="Arial" w:cs="Arial"/>
          <w:i/>
          <w:iCs/>
          <w:color w:val="404040"/>
        </w:rPr>
        <w:t>Discussion of impacts of automation technologies on the labour market</w:t>
      </w:r>
      <w:r w:rsidRPr="000D109E">
        <w:rPr>
          <w:rFonts w:ascii="Arial" w:hAnsi="Arial" w:cs="Arial"/>
          <w:color w:val="404040"/>
        </w:rPr>
        <w:t xml:space="preserve">. [online] Available at: </w:t>
      </w:r>
      <w:hyperlink r:id="rId23" w:history="1">
        <w:r w:rsidRPr="000D109E">
          <w:rPr>
            <w:rStyle w:val="Hyperlink"/>
            <w:rFonts w:ascii="Arial" w:hAnsi="Arial" w:cs="Arial"/>
          </w:rPr>
          <w:t>https://www.h2020-pillars.eu/sites/default/files/toolkit/Discussion%20of%20impacts%20of%20automation%20technologies%20on%20the%20labour%20markets.pdf</w:t>
        </w:r>
      </w:hyperlink>
      <w:r w:rsidRPr="000D109E">
        <w:rPr>
          <w:rFonts w:ascii="Arial" w:hAnsi="Arial" w:cs="Arial"/>
          <w:color w:val="404040"/>
        </w:rPr>
        <w:t>.</w:t>
      </w:r>
    </w:p>
    <w:p w14:paraId="2CC2A83D"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Healthfield, S.M. (2004). </w:t>
      </w:r>
      <w:r w:rsidRPr="000D109E">
        <w:rPr>
          <w:rFonts w:ascii="Arial" w:hAnsi="Arial" w:cs="Arial"/>
          <w:i/>
          <w:iCs/>
          <w:color w:val="404040"/>
        </w:rPr>
        <w:t>Four Trends Shaping Your Future</w:t>
      </w:r>
      <w:r w:rsidRPr="000D109E">
        <w:rPr>
          <w:rFonts w:ascii="Arial" w:hAnsi="Arial" w:cs="Arial"/>
          <w:color w:val="404040"/>
        </w:rPr>
        <w:t>. [online] Available at: </w:t>
      </w:r>
      <w:hyperlink r:id="rId24" w:tgtFrame="_blank" w:history="1">
        <w:r w:rsidRPr="000D109E">
          <w:rPr>
            <w:rStyle w:val="Hyperlink"/>
            <w:rFonts w:ascii="Arial" w:hAnsi="Arial" w:cs="Arial"/>
          </w:rPr>
          <w:t>http://humanresources.about.com/library/weekly/noreserach.htm</w:t>
        </w:r>
      </w:hyperlink>
      <w:r w:rsidRPr="000D109E">
        <w:rPr>
          <w:rFonts w:ascii="Arial" w:hAnsi="Arial" w:cs="Arial"/>
          <w:color w:val="404040"/>
        </w:rPr>
        <w:t> [Accessed 12 October 2025].</w:t>
      </w:r>
    </w:p>
    <w:p w14:paraId="42BD083F"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Hofstede, G. (2023). *The 6-D Model of National Culture*. [online] Hofstede Insights. Available at: </w:t>
      </w:r>
      <w:hyperlink r:id="rId25" w:tgtFrame="_blank" w:history="1">
        <w:r w:rsidRPr="000D109E">
          <w:rPr>
            <w:rStyle w:val="Hyperlink"/>
            <w:rFonts w:ascii="Arial" w:hAnsi="Arial" w:cs="Arial"/>
          </w:rPr>
          <w:t>https://www.hofstede-insights.com/models/national-culture/</w:t>
        </w:r>
      </w:hyperlink>
      <w:r w:rsidRPr="000D109E">
        <w:rPr>
          <w:rFonts w:ascii="Arial" w:hAnsi="Arial" w:cs="Arial"/>
          <w:color w:val="404040"/>
        </w:rPr>
        <w:t> [Accessed 07 October 2025].</w:t>
      </w:r>
    </w:p>
    <w:p w14:paraId="68F23BCA"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Heijltjes, M. and van Witteloostuijn, A., 2003. Configurations of market environments, competitive strategies, manufacturing technologies and human resource management policies: A two-industry and two-country analysis of fit. Scandinavian Journal of management, 19(1), pp.31-62.</w:t>
      </w:r>
    </w:p>
    <w:p w14:paraId="2FECAB98"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HR News. (2024). Automation and its Ethical Issues: The UK Automation</w:t>
      </w:r>
      <w:r w:rsidRPr="000D109E">
        <w:rPr>
          <w:rFonts w:ascii="Arial" w:hAnsi="Arial" w:cs="Arial"/>
          <w:i/>
          <w:iCs/>
          <w:color w:val="404040"/>
        </w:rPr>
        <w:t xml:space="preserve"> Revolution</w:t>
      </w:r>
      <w:r w:rsidRPr="000D109E">
        <w:rPr>
          <w:rFonts w:ascii="Arial" w:hAnsi="Arial" w:cs="Arial"/>
          <w:color w:val="404040"/>
        </w:rPr>
        <w:t>. [online] Available at: </w:t>
      </w:r>
      <w:hyperlink r:id="rId26" w:tgtFrame="_blank" w:history="1">
        <w:r w:rsidRPr="000D109E">
          <w:rPr>
            <w:rStyle w:val="Hyperlink"/>
            <w:rFonts w:ascii="Arial" w:hAnsi="Arial" w:cs="Arial"/>
          </w:rPr>
          <w:t>https://hrnews.co.uk/automation-and-its-ethical-issues-the-uk-automation-revolution/</w:t>
        </w:r>
      </w:hyperlink>
      <w:r w:rsidRPr="000D109E">
        <w:rPr>
          <w:rFonts w:ascii="Arial" w:hAnsi="Arial" w:cs="Arial"/>
          <w:color w:val="404040"/>
        </w:rPr>
        <w:t> [Accessed 03 October 2025].</w:t>
      </w:r>
    </w:p>
    <w:p w14:paraId="257FBFAF"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ISF München. (2022). </w:t>
      </w:r>
      <w:r w:rsidRPr="000D109E">
        <w:rPr>
          <w:rFonts w:ascii="Arial" w:hAnsi="Arial" w:cs="Arial"/>
          <w:i/>
          <w:iCs/>
          <w:color w:val="404040"/>
        </w:rPr>
        <w:t>Demographic Change and Work Design</w:t>
      </w:r>
      <w:r w:rsidRPr="000D109E">
        <w:rPr>
          <w:rFonts w:ascii="Arial" w:hAnsi="Arial" w:cs="Arial"/>
          <w:color w:val="404040"/>
        </w:rPr>
        <w:t>. [online] Available at: </w:t>
      </w:r>
      <w:hyperlink r:id="rId27" w:tgtFrame="_blank" w:history="1">
        <w:r w:rsidRPr="000D109E">
          <w:rPr>
            <w:rStyle w:val="Hyperlink"/>
            <w:rFonts w:ascii="Arial" w:hAnsi="Arial" w:cs="Arial"/>
          </w:rPr>
          <w:t>https://www.isf-muenchen.de/pdf/BR_DE_BR13.pdf</w:t>
        </w:r>
      </w:hyperlink>
      <w:r w:rsidRPr="000D109E">
        <w:rPr>
          <w:rFonts w:ascii="Arial" w:hAnsi="Arial" w:cs="Arial"/>
          <w:color w:val="404040"/>
        </w:rPr>
        <w:t> [Accessed 23 October 2024].</w:t>
      </w:r>
    </w:p>
    <w:p w14:paraId="30E971C5"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Iman A. Akour, Muhammad Alshurideh, Ahmad AlHamad, Barween Hikmat Al Kurdi , Impact of information technologies capabilities and information system capabilities on business process management , International Journal of Business Analytics and Security (IJBAS): Vol. 1 No. 1 (2022): International Journal of Business Analytics and Security (IJBAS)</w:t>
      </w:r>
    </w:p>
    <w:p w14:paraId="06BE5A34"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Kenneth, J.M., Belcourt, M. and Belcourt, M., 2010. Strategic Human Resources Planning. SP Printers E, 120.</w:t>
      </w:r>
    </w:p>
    <w:p w14:paraId="4F9722E1"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LinkedIn. (2024). </w:t>
      </w:r>
      <w:r w:rsidRPr="000D109E">
        <w:rPr>
          <w:rFonts w:ascii="Arial" w:hAnsi="Arial" w:cs="Arial"/>
          <w:i/>
          <w:iCs/>
          <w:color w:val="404040"/>
        </w:rPr>
        <w:t>Bridging the Skills Gap: Proven HRM Strategies</w:t>
      </w:r>
      <w:r w:rsidRPr="000D109E">
        <w:rPr>
          <w:rFonts w:ascii="Arial" w:hAnsi="Arial" w:cs="Arial"/>
          <w:color w:val="404040"/>
        </w:rPr>
        <w:t>. [online] Available at: </w:t>
      </w:r>
      <w:hyperlink r:id="rId28" w:tgtFrame="_blank" w:history="1">
        <w:r w:rsidRPr="000D109E">
          <w:rPr>
            <w:rStyle w:val="Hyperlink"/>
            <w:rFonts w:ascii="Arial" w:hAnsi="Arial" w:cs="Arial"/>
          </w:rPr>
          <w:t>https://www.linkedin.com/pulse/bridging-skills-gap-proven-hrm-strategies-address-g6rwf/</w:t>
        </w:r>
      </w:hyperlink>
      <w:r w:rsidRPr="000D109E">
        <w:rPr>
          <w:rFonts w:ascii="Arial" w:hAnsi="Arial" w:cs="Arial"/>
          <w:color w:val="404040"/>
        </w:rPr>
        <w:t> [Accessed 04 October 2025].</w:t>
      </w:r>
    </w:p>
    <w:p w14:paraId="7421EF19"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 xml:space="preserve">Liimatta, S., 2025. Industry Employer Branding for tourism and hospitality-towards attraction and retention (Master's thesis, Itä-Suomen yliopisto). </w:t>
      </w:r>
    </w:p>
    <w:p w14:paraId="54DE785C"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Lolo Teddy Adias and Aziba-anyam Gift Raimi (2025). Addressing Skills Gaps and Talent Shortages in Nigeria: HRM Strategies for the Future (Preprint). doi:https://doi.org/10.2196/preprints.75821.</w:t>
      </w:r>
    </w:p>
    <w:p w14:paraId="75BC3903"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McKinsey &amp; Company. (2023). Beyond hiring: How companies are reskilling to address talent gaps. [online] Available at: </w:t>
      </w:r>
      <w:hyperlink r:id="rId29" w:tgtFrame="_blank" w:history="1">
        <w:r w:rsidRPr="000D109E">
          <w:rPr>
            <w:rStyle w:val="Hyperlink"/>
            <w:rFonts w:ascii="Arial" w:hAnsi="Arial" w:cs="Arial"/>
          </w:rPr>
          <w:t>https://www.mckinsey.com/capabilities/people-and-organizational-performance/our-insights/beyond-hiring-how-companies-are-reskilling-to-address-talent-gaps</w:t>
        </w:r>
      </w:hyperlink>
      <w:r w:rsidRPr="000D109E">
        <w:rPr>
          <w:rFonts w:ascii="Arial" w:hAnsi="Arial" w:cs="Arial"/>
          <w:color w:val="404040"/>
        </w:rPr>
        <w:t> [Accessed 03 October 2025].</w:t>
      </w:r>
    </w:p>
    <w:p w14:paraId="50E40EE4"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Moore KS. (2024). </w:t>
      </w:r>
      <w:r w:rsidRPr="000D109E">
        <w:rPr>
          <w:rFonts w:ascii="Arial" w:hAnsi="Arial" w:cs="Arial"/>
          <w:i/>
          <w:iCs/>
          <w:color w:val="404040"/>
        </w:rPr>
        <w:t>Addressing Labour Shortages in the Hospitality Sector</w:t>
      </w:r>
      <w:r w:rsidRPr="000D109E">
        <w:rPr>
          <w:rFonts w:ascii="Arial" w:hAnsi="Arial" w:cs="Arial"/>
          <w:color w:val="404040"/>
        </w:rPr>
        <w:t>. [online] Available at: </w:t>
      </w:r>
      <w:hyperlink r:id="rId30" w:tgtFrame="_blank" w:history="1">
        <w:r w:rsidRPr="000D109E">
          <w:rPr>
            <w:rStyle w:val="Hyperlink"/>
            <w:rFonts w:ascii="Arial" w:hAnsi="Arial" w:cs="Arial"/>
          </w:rPr>
          <w:t>https://mooreks.co.uk/insights/addressing-labour-shortages-in-the-hospitality-sector/</w:t>
        </w:r>
      </w:hyperlink>
      <w:r w:rsidRPr="000D109E">
        <w:rPr>
          <w:rFonts w:ascii="Arial" w:hAnsi="Arial" w:cs="Arial"/>
          <w:color w:val="404040"/>
        </w:rPr>
        <w:t> [Accessed 07 October 2025].</w:t>
      </w:r>
    </w:p>
    <w:p w14:paraId="581C22C2"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OECD. (2024). </w:t>
      </w:r>
      <w:r w:rsidRPr="000D109E">
        <w:rPr>
          <w:rFonts w:ascii="Arial" w:hAnsi="Arial" w:cs="Arial"/>
          <w:i/>
          <w:iCs/>
          <w:color w:val="404040"/>
        </w:rPr>
        <w:t>Understanding Skill Gaps in Firms</w:t>
      </w:r>
      <w:r w:rsidRPr="000D109E">
        <w:rPr>
          <w:rFonts w:ascii="Arial" w:hAnsi="Arial" w:cs="Arial"/>
          <w:color w:val="404040"/>
        </w:rPr>
        <w:t>. [online] Available at: </w:t>
      </w:r>
      <w:hyperlink r:id="rId31" w:history="1">
        <w:r w:rsidRPr="000D109E">
          <w:rPr>
            <w:rStyle w:val="Hyperlink"/>
            <w:rFonts w:ascii="Arial" w:hAnsi="Arial" w:cs="Arial"/>
          </w:rPr>
          <w:t>https://www.oecd.org/en/publications/understanding-skill-gaps-in-firms_b388d1da-en.html</w:t>
        </w:r>
      </w:hyperlink>
      <w:r w:rsidRPr="000D109E">
        <w:rPr>
          <w:rFonts w:ascii="Arial" w:hAnsi="Arial" w:cs="Arial"/>
          <w:color w:val="404040"/>
        </w:rPr>
        <w:t xml:space="preserve"> [Accessed 13 October 2025].</w:t>
      </w:r>
    </w:p>
    <w:p w14:paraId="4A6E55D3"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ResearchGate. (2024). </w:t>
      </w:r>
      <w:r w:rsidRPr="000D109E">
        <w:rPr>
          <w:rFonts w:ascii="Arial" w:hAnsi="Arial" w:cs="Arial"/>
          <w:i/>
          <w:iCs/>
          <w:color w:val="404040"/>
        </w:rPr>
        <w:t>Addressing Skills Gaps and Talent Shortages in Nigeria: HRM Strategies for the Future</w:t>
      </w:r>
      <w:r w:rsidRPr="000D109E">
        <w:rPr>
          <w:rFonts w:ascii="Arial" w:hAnsi="Arial" w:cs="Arial"/>
          <w:color w:val="404040"/>
        </w:rPr>
        <w:t>. [online] Available at: </w:t>
      </w:r>
      <w:hyperlink r:id="rId32" w:tgtFrame="_blank" w:history="1">
        <w:r w:rsidRPr="000D109E">
          <w:rPr>
            <w:rStyle w:val="Hyperlink"/>
            <w:rFonts w:ascii="Arial" w:hAnsi="Arial" w:cs="Arial"/>
          </w:rPr>
          <w:t>https://www.researchgate.net/publication/390722022_Addressing_Skills_Gaps_and_Talent_Shortages_in_Nigeria_HRM_Strategies_for_the_Future_Preprint</w:t>
        </w:r>
      </w:hyperlink>
      <w:r w:rsidRPr="000D109E">
        <w:rPr>
          <w:rFonts w:ascii="Arial" w:hAnsi="Arial" w:cs="Arial"/>
          <w:color w:val="404040"/>
        </w:rPr>
        <w:t> [Accessed 07 October 2025].</w:t>
      </w:r>
    </w:p>
    <w:p w14:paraId="05DF6855"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hyperlink r:id="rId33" w:tgtFrame="_blank" w:history="1">
        <w:r w:rsidRPr="000D109E">
          <w:rPr>
            <w:rStyle w:val="Hyperlink"/>
            <w:rFonts w:ascii="Arial" w:hAnsi="Arial" w:cs="Arial"/>
          </w:rPr>
          <w:t>Shell.com</w:t>
        </w:r>
      </w:hyperlink>
      <w:r w:rsidRPr="000D109E">
        <w:rPr>
          <w:rFonts w:ascii="Arial" w:hAnsi="Arial" w:cs="Arial"/>
          <w:color w:val="404040"/>
        </w:rPr>
        <w:t> (2023). </w:t>
      </w:r>
      <w:r w:rsidRPr="000D109E">
        <w:rPr>
          <w:rFonts w:ascii="Arial" w:hAnsi="Arial" w:cs="Arial"/>
          <w:i/>
          <w:iCs/>
          <w:color w:val="404040"/>
        </w:rPr>
        <w:t>Shell Annual Report 2023: Our Strategic Ambition</w:t>
      </w:r>
      <w:r w:rsidRPr="000D109E">
        <w:rPr>
          <w:rFonts w:ascii="Arial" w:hAnsi="Arial" w:cs="Arial"/>
          <w:color w:val="404040"/>
        </w:rPr>
        <w:t xml:space="preserve">. [online] Available at </w:t>
      </w:r>
      <w:hyperlink r:id="rId34" w:history="1">
        <w:r w:rsidRPr="000D109E">
          <w:rPr>
            <w:rStyle w:val="Hyperlink"/>
            <w:rFonts w:ascii="Arial" w:hAnsi="Arial" w:cs="Arial"/>
          </w:rPr>
          <w:t>https://www.shell.com/investors/results-and-reporting/annual-report-archive/_jcr_content/root/main/section_812377294/tabs/tab/text.multi.stream/1742905301176/ce28b952e201476287788cfcf35406e464f9785c/shell-annual-report-2023.pdf</w:t>
        </w:r>
      </w:hyperlink>
      <w:r w:rsidRPr="000D109E">
        <w:rPr>
          <w:rFonts w:ascii="Arial" w:hAnsi="Arial" w:cs="Arial"/>
          <w:color w:val="404040"/>
        </w:rPr>
        <w:t xml:space="preserve"> [Accessed 05 October 2025].</w:t>
      </w:r>
    </w:p>
    <w:p w14:paraId="66B22ED6"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Siemens. (2023). </w:t>
      </w:r>
      <w:r w:rsidRPr="000D109E">
        <w:rPr>
          <w:rFonts w:ascii="Arial" w:hAnsi="Arial" w:cs="Arial"/>
          <w:i/>
          <w:iCs/>
          <w:color w:val="404040"/>
        </w:rPr>
        <w:t>Siemens opens Advanced Manufacturing Transformation Centre in Worthington</w:t>
      </w:r>
      <w:r w:rsidRPr="000D109E">
        <w:rPr>
          <w:rFonts w:ascii="Arial" w:hAnsi="Arial" w:cs="Arial"/>
          <w:color w:val="404040"/>
        </w:rPr>
        <w:t>. [online] Available at: </w:t>
      </w:r>
      <w:hyperlink r:id="rId35" w:tgtFrame="_blank" w:history="1">
        <w:r w:rsidRPr="000D109E">
          <w:rPr>
            <w:rStyle w:val="Hyperlink"/>
            <w:rFonts w:ascii="Arial" w:hAnsi="Arial" w:cs="Arial"/>
          </w:rPr>
          <w:t>https://www.siemens.com/uk/en/company/press-releases/advanced-manufacturing-transformation-centre.html</w:t>
        </w:r>
      </w:hyperlink>
      <w:r w:rsidRPr="000D109E">
        <w:rPr>
          <w:rFonts w:ascii="Arial" w:hAnsi="Arial" w:cs="Arial"/>
          <w:color w:val="404040"/>
        </w:rPr>
        <w:t> [Accessed 23 October 2024].</w:t>
      </w:r>
    </w:p>
    <w:p w14:paraId="5CBBBD27"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Skills England Report. (2024). </w:t>
      </w:r>
      <w:r w:rsidRPr="000D109E">
        <w:rPr>
          <w:rFonts w:ascii="Arial" w:hAnsi="Arial" w:cs="Arial"/>
          <w:i/>
          <w:iCs/>
          <w:color w:val="404040"/>
        </w:rPr>
        <w:t>A report by the Skills England Advisory Panel</w:t>
      </w:r>
      <w:r w:rsidRPr="000D109E">
        <w:rPr>
          <w:rFonts w:ascii="Arial" w:hAnsi="Arial" w:cs="Arial"/>
          <w:color w:val="404040"/>
        </w:rPr>
        <w:t>. HM Government. [online] Available at: </w:t>
      </w:r>
      <w:hyperlink r:id="rId36" w:tgtFrame="_blank" w:history="1">
        <w:r w:rsidRPr="000D109E">
          <w:rPr>
            <w:rStyle w:val="Hyperlink"/>
            <w:rFonts w:ascii="Arial" w:hAnsi="Arial" w:cs="Arial"/>
          </w:rPr>
          <w:t>https://assets.publishing.service.gov.uk/media/66ffd4fce84ae1fd8592ee37/Skills_England_Report.pdf</w:t>
        </w:r>
      </w:hyperlink>
      <w:r w:rsidRPr="000D109E">
        <w:rPr>
          <w:rFonts w:ascii="Arial" w:hAnsi="Arial" w:cs="Arial"/>
          <w:color w:val="404040"/>
        </w:rPr>
        <w:t> [Accessed 03 October 2025].</w:t>
      </w:r>
    </w:p>
    <w:p w14:paraId="29547336" w14:textId="77777777" w:rsidR="000D109E" w:rsidRPr="000D109E" w:rsidRDefault="000D109E"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The Employment Law Solicitors. (2024). </w:t>
      </w:r>
      <w:r w:rsidRPr="000D109E">
        <w:rPr>
          <w:rFonts w:ascii="Arial" w:hAnsi="Arial" w:cs="Arial"/>
          <w:i/>
          <w:iCs/>
          <w:color w:val="404040"/>
        </w:rPr>
        <w:t>Tackling Skills Shortages in the UK Labour Market</w:t>
      </w:r>
      <w:r w:rsidRPr="000D109E">
        <w:rPr>
          <w:rFonts w:ascii="Arial" w:hAnsi="Arial" w:cs="Arial"/>
          <w:color w:val="404040"/>
        </w:rPr>
        <w:t>. [online] Available at: </w:t>
      </w:r>
      <w:hyperlink r:id="rId37" w:tgtFrame="_blank" w:history="1">
        <w:r w:rsidRPr="000D109E">
          <w:rPr>
            <w:rStyle w:val="Hyperlink"/>
            <w:rFonts w:ascii="Arial" w:hAnsi="Arial" w:cs="Arial"/>
          </w:rPr>
          <w:t>https://www.theemploymentlawsolicitors.co.uk/news/2024/05/23/skills-shortages/</w:t>
        </w:r>
      </w:hyperlink>
      <w:r w:rsidRPr="000D109E">
        <w:rPr>
          <w:rFonts w:ascii="Arial" w:hAnsi="Arial" w:cs="Arial"/>
          <w:color w:val="404040"/>
        </w:rPr>
        <w:t> [Accessed 10 October 2025].</w:t>
      </w:r>
    </w:p>
    <w:p w14:paraId="27D4A3A1" w14:textId="77777777" w:rsidR="000D109E" w:rsidRPr="000D109E" w:rsidRDefault="00050887" w:rsidP="00F054CC">
      <w:pPr>
        <w:pStyle w:val="NormalWeb"/>
        <w:numPr>
          <w:ilvl w:val="0"/>
          <w:numId w:val="15"/>
        </w:numPr>
        <w:spacing w:beforeAutospacing="0" w:line="360" w:lineRule="auto"/>
        <w:rPr>
          <w:rFonts w:ascii="Arial" w:hAnsi="Arial" w:cs="Arial"/>
          <w:color w:val="404040"/>
        </w:rPr>
      </w:pPr>
      <w:r w:rsidRPr="000D109E">
        <w:rPr>
          <w:rFonts w:ascii="Arial" w:hAnsi="Arial" w:cs="Arial"/>
          <w:color w:val="404040"/>
        </w:rPr>
        <w:t>United Nations (2022). </w:t>
      </w:r>
      <w:r w:rsidRPr="000D109E">
        <w:rPr>
          <w:rFonts w:ascii="Arial" w:hAnsi="Arial" w:cs="Arial"/>
          <w:i/>
          <w:iCs/>
          <w:color w:val="404040"/>
        </w:rPr>
        <w:t>World Population Prospects 2022: Summary of Results</w:t>
      </w:r>
      <w:r w:rsidRPr="000D109E">
        <w:rPr>
          <w:rFonts w:ascii="Arial" w:hAnsi="Arial" w:cs="Arial"/>
          <w:color w:val="404040"/>
        </w:rPr>
        <w:t xml:space="preserve">. [online] Available at: </w:t>
      </w:r>
      <w:hyperlink r:id="rId38" w:history="1">
        <w:r w:rsidRPr="000D109E">
          <w:rPr>
            <w:rStyle w:val="Hyperlink"/>
            <w:rFonts w:ascii="Arial" w:hAnsi="Arial" w:cs="Arial"/>
          </w:rPr>
          <w:t>https://www.un.org/development/desa/pd/sites/www.un.org.development.desa.pd/files/wpp2022_summary_of_results.pdf</w:t>
        </w:r>
      </w:hyperlink>
      <w:r w:rsidRPr="000D109E">
        <w:rPr>
          <w:rFonts w:ascii="Arial" w:hAnsi="Arial" w:cs="Arial"/>
          <w:color w:val="404040"/>
        </w:rPr>
        <w:t>.</w:t>
      </w:r>
    </w:p>
    <w:p w14:paraId="23961621" w14:textId="77777777" w:rsidR="0044136E" w:rsidRPr="000D109E" w:rsidRDefault="000D109E" w:rsidP="00F054CC">
      <w:pPr>
        <w:pStyle w:val="NormalWeb"/>
        <w:numPr>
          <w:ilvl w:val="0"/>
          <w:numId w:val="15"/>
        </w:numPr>
        <w:tabs>
          <w:tab w:val="left" w:pos="1155"/>
        </w:tabs>
        <w:spacing w:line="360" w:lineRule="auto"/>
        <w:rPr>
          <w:rFonts w:ascii="Arial" w:hAnsi="Arial" w:cs="Arial"/>
          <w:color w:val="404040"/>
        </w:rPr>
      </w:pPr>
      <w:r w:rsidRPr="000D109E">
        <w:rPr>
          <w:rFonts w:ascii="Arial" w:hAnsi="Arial" w:cs="Arial"/>
          <w:color w:val="404040"/>
        </w:rPr>
        <w:t xml:space="preserve"> </w:t>
      </w:r>
      <w:r w:rsidR="00050887" w:rsidRPr="000D109E">
        <w:rPr>
          <w:rFonts w:ascii="Arial" w:hAnsi="Arial" w:cs="Arial"/>
          <w:color w:val="404040"/>
        </w:rPr>
        <w:t>World Economic Forum (WEF). (2025). </w:t>
      </w:r>
      <w:r w:rsidR="00050887" w:rsidRPr="000D109E">
        <w:rPr>
          <w:rFonts w:ascii="Arial" w:hAnsi="Arial" w:cs="Arial"/>
          <w:i/>
          <w:iCs/>
          <w:color w:val="404040"/>
        </w:rPr>
        <w:t>The Future of Jobs Report 2025</w:t>
      </w:r>
      <w:r w:rsidR="00050887" w:rsidRPr="000D109E">
        <w:rPr>
          <w:rFonts w:ascii="Arial" w:hAnsi="Arial" w:cs="Arial"/>
          <w:color w:val="404040"/>
        </w:rPr>
        <w:t>. [online] Available at: </w:t>
      </w:r>
      <w:hyperlink r:id="rId39" w:tgtFrame="_blank" w:history="1">
        <w:r w:rsidR="00050887" w:rsidRPr="000D109E">
          <w:rPr>
            <w:rStyle w:val="Hyperlink"/>
            <w:rFonts w:ascii="Arial" w:hAnsi="Arial" w:cs="Arial"/>
          </w:rPr>
          <w:t>https://www.weforum.org/publications/the-future-of-jobs-report-2025/digest/</w:t>
        </w:r>
      </w:hyperlink>
      <w:r w:rsidRPr="000D109E">
        <w:rPr>
          <w:rFonts w:ascii="Arial" w:hAnsi="Arial" w:cs="Arial"/>
          <w:color w:val="404040"/>
        </w:rPr>
        <w:t> [Accessed 13 October 2025</w:t>
      </w:r>
      <w:r w:rsidR="00050887" w:rsidRPr="000D109E">
        <w:rPr>
          <w:rFonts w:ascii="Arial" w:hAnsi="Arial" w:cs="Arial"/>
          <w:color w:val="404040"/>
        </w:rPr>
        <w:t>].</w:t>
      </w:r>
    </w:p>
    <w:p w14:paraId="4FDBC422" w14:textId="77777777" w:rsidR="000D109E" w:rsidRPr="000D109E" w:rsidRDefault="000D109E" w:rsidP="00F054CC">
      <w:pPr>
        <w:pStyle w:val="NormalWeb"/>
        <w:tabs>
          <w:tab w:val="left" w:pos="1155"/>
        </w:tabs>
        <w:spacing w:line="360" w:lineRule="auto"/>
        <w:ind w:firstLine="1155"/>
        <w:rPr>
          <w:rFonts w:ascii="Arial" w:hAnsi="Arial" w:cs="Arial"/>
          <w:color w:val="404040"/>
        </w:rPr>
      </w:pPr>
    </w:p>
    <w:p w14:paraId="3D002584" w14:textId="77777777" w:rsidR="00BA0FA5" w:rsidRPr="00970339" w:rsidRDefault="00BA0FA5" w:rsidP="00F054CC">
      <w:pPr>
        <w:pStyle w:val="NormalWeb"/>
        <w:tabs>
          <w:tab w:val="left" w:pos="1155"/>
        </w:tabs>
        <w:spacing w:before="0" w:beforeAutospacing="0" w:line="360" w:lineRule="auto"/>
        <w:ind w:firstLine="1155"/>
        <w:rPr>
          <w:rFonts w:ascii="Arial" w:hAnsi="Arial" w:cs="Arial"/>
          <w:color w:val="404040"/>
        </w:rPr>
      </w:pPr>
    </w:p>
    <w:p w14:paraId="49AC18A3" w14:textId="77777777" w:rsidR="00CC529D" w:rsidRPr="00970339" w:rsidRDefault="00CC529D" w:rsidP="00F054CC">
      <w:pPr>
        <w:spacing w:line="360" w:lineRule="auto"/>
        <w:rPr>
          <w:rFonts w:ascii="Arial" w:eastAsia="Times New Roman" w:hAnsi="Arial" w:cs="Arial"/>
          <w:color w:val="0070C0"/>
          <w:sz w:val="24"/>
          <w:szCs w:val="24"/>
          <w:lang w:val="en-US"/>
        </w:rPr>
      </w:pPr>
    </w:p>
    <w:sectPr w:rsidR="00CC529D" w:rsidRPr="00970339"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84A70" w14:textId="77777777" w:rsidR="00050887" w:rsidRDefault="00050887" w:rsidP="008C45E0">
      <w:pPr>
        <w:spacing w:after="0" w:line="240" w:lineRule="auto"/>
      </w:pPr>
      <w:r>
        <w:separator/>
      </w:r>
    </w:p>
  </w:endnote>
  <w:endnote w:type="continuationSeparator" w:id="0">
    <w:p w14:paraId="6815472E" w14:textId="77777777" w:rsidR="00050887" w:rsidRDefault="00050887"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CEF54" w14:textId="77777777" w:rsidR="00FA23A4" w:rsidRDefault="00FA2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116A42D4" w14:textId="77777777" w:rsidR="00A537DC" w:rsidRDefault="00A537DC">
        <w:pPr>
          <w:pStyle w:val="Footer"/>
          <w:jc w:val="center"/>
        </w:pPr>
        <w:r>
          <w:fldChar w:fldCharType="begin"/>
        </w:r>
        <w:r>
          <w:instrText xml:space="preserve"> PAGE   \* MERGEFORMAT </w:instrText>
        </w:r>
        <w:r>
          <w:fldChar w:fldCharType="separate"/>
        </w:r>
        <w:r w:rsidR="003F0F8C">
          <w:rPr>
            <w:noProof/>
          </w:rPr>
          <w:t>15</w:t>
        </w:r>
        <w:r>
          <w:rPr>
            <w:noProof/>
          </w:rPr>
          <w:fldChar w:fldCharType="end"/>
        </w:r>
      </w:p>
    </w:sdtContent>
  </w:sdt>
  <w:p w14:paraId="349268E7"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AA48" w14:textId="77777777" w:rsidR="00FA23A4" w:rsidRDefault="00FA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AE97D" w14:textId="77777777" w:rsidR="00050887" w:rsidRDefault="00050887" w:rsidP="008C45E0">
      <w:pPr>
        <w:spacing w:after="0" w:line="240" w:lineRule="auto"/>
      </w:pPr>
      <w:r>
        <w:separator/>
      </w:r>
    </w:p>
  </w:footnote>
  <w:footnote w:type="continuationSeparator" w:id="0">
    <w:p w14:paraId="7BD6D118" w14:textId="77777777" w:rsidR="00050887" w:rsidRDefault="00050887"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2A019" w14:textId="77777777" w:rsidR="00FA23A4" w:rsidRDefault="00FA2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EB8AA" w14:textId="77777777" w:rsidR="00012942" w:rsidRDefault="00EC5B7C">
    <w:pPr>
      <w:pStyle w:val="Header"/>
    </w:pPr>
    <w:r w:rsidRPr="009225E6">
      <w:rPr>
        <w:rFonts w:ascii="Times New Roman" w:hAnsi="Times New Roman" w:cs="Times New Roman"/>
        <w:noProof/>
        <w:lang w:val="en-US"/>
      </w:rPr>
      <w:drawing>
        <wp:anchor distT="0" distB="0" distL="114300" distR="114300" simplePos="0" relativeHeight="251659264" behindDoc="0" locked="0" layoutInCell="1" allowOverlap="1" wp14:anchorId="4A5F2528" wp14:editId="3F2149D2">
          <wp:simplePos x="0" y="0"/>
          <wp:positionH relativeFrom="column">
            <wp:posOffset>1381568</wp:posOffset>
          </wp:positionH>
          <wp:positionV relativeFrom="paragraph">
            <wp:posOffset>-393065</wp:posOffset>
          </wp:positionV>
          <wp:extent cx="2137145" cy="85805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137145" cy="858053"/>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85CC" w14:textId="77777777" w:rsidR="00FA23A4" w:rsidRDefault="00FA2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4A58"/>
    <w:multiLevelType w:val="hybridMultilevel"/>
    <w:tmpl w:val="CE5E6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C5E54"/>
    <w:multiLevelType w:val="hybridMultilevel"/>
    <w:tmpl w:val="26247F8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E65DE3"/>
    <w:multiLevelType w:val="multilevel"/>
    <w:tmpl w:val="0D76E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6724D7"/>
    <w:multiLevelType w:val="multilevel"/>
    <w:tmpl w:val="FD8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1F4FC9"/>
    <w:multiLevelType w:val="hybridMultilevel"/>
    <w:tmpl w:val="4268D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16022398">
    <w:abstractNumId w:val="7"/>
  </w:num>
  <w:num w:numId="2" w16cid:durableId="1884754901">
    <w:abstractNumId w:val="4"/>
  </w:num>
  <w:num w:numId="3" w16cid:durableId="1481071590">
    <w:abstractNumId w:val="14"/>
  </w:num>
  <w:num w:numId="4" w16cid:durableId="520628950">
    <w:abstractNumId w:val="12"/>
  </w:num>
  <w:num w:numId="5" w16cid:durableId="1668754089">
    <w:abstractNumId w:val="3"/>
  </w:num>
  <w:num w:numId="6" w16cid:durableId="888806501">
    <w:abstractNumId w:val="10"/>
  </w:num>
  <w:num w:numId="7" w16cid:durableId="655571977">
    <w:abstractNumId w:val="15"/>
  </w:num>
  <w:num w:numId="8" w16cid:durableId="2030989403">
    <w:abstractNumId w:val="9"/>
  </w:num>
  <w:num w:numId="9" w16cid:durableId="109983436">
    <w:abstractNumId w:val="8"/>
  </w:num>
  <w:num w:numId="10" w16cid:durableId="686640434">
    <w:abstractNumId w:val="2"/>
  </w:num>
  <w:num w:numId="11" w16cid:durableId="333924695">
    <w:abstractNumId w:val="5"/>
  </w:num>
  <w:num w:numId="12" w16cid:durableId="1795127074">
    <w:abstractNumId w:val="11"/>
  </w:num>
  <w:num w:numId="13" w16cid:durableId="1884905900">
    <w:abstractNumId w:val="13"/>
  </w:num>
  <w:num w:numId="14" w16cid:durableId="505022008">
    <w:abstractNumId w:val="6"/>
  </w:num>
  <w:num w:numId="15" w16cid:durableId="2000845508">
    <w:abstractNumId w:val="0"/>
  </w:num>
  <w:num w:numId="16" w16cid:durableId="189689450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1D26"/>
    <w:rsid w:val="000067B3"/>
    <w:rsid w:val="000115F5"/>
    <w:rsid w:val="00012942"/>
    <w:rsid w:val="00014A58"/>
    <w:rsid w:val="00015806"/>
    <w:rsid w:val="00015AA7"/>
    <w:rsid w:val="000206FA"/>
    <w:rsid w:val="00023282"/>
    <w:rsid w:val="00023513"/>
    <w:rsid w:val="00023AE7"/>
    <w:rsid w:val="00024BBE"/>
    <w:rsid w:val="00042399"/>
    <w:rsid w:val="000446D0"/>
    <w:rsid w:val="00044D56"/>
    <w:rsid w:val="00050887"/>
    <w:rsid w:val="00051666"/>
    <w:rsid w:val="00061153"/>
    <w:rsid w:val="00065F4C"/>
    <w:rsid w:val="00065F6B"/>
    <w:rsid w:val="000707C9"/>
    <w:rsid w:val="00070DC8"/>
    <w:rsid w:val="000738BD"/>
    <w:rsid w:val="000836EA"/>
    <w:rsid w:val="000837F8"/>
    <w:rsid w:val="0008459C"/>
    <w:rsid w:val="00093F46"/>
    <w:rsid w:val="000B5FFF"/>
    <w:rsid w:val="000C03CF"/>
    <w:rsid w:val="000C1423"/>
    <w:rsid w:val="000C1E6B"/>
    <w:rsid w:val="000D109E"/>
    <w:rsid w:val="000D18AA"/>
    <w:rsid w:val="000D50D9"/>
    <w:rsid w:val="000D57A6"/>
    <w:rsid w:val="000E3733"/>
    <w:rsid w:val="000F5921"/>
    <w:rsid w:val="001026D9"/>
    <w:rsid w:val="001059D5"/>
    <w:rsid w:val="00111B4C"/>
    <w:rsid w:val="001137B7"/>
    <w:rsid w:val="00113DE1"/>
    <w:rsid w:val="0011570E"/>
    <w:rsid w:val="001172BC"/>
    <w:rsid w:val="001231DE"/>
    <w:rsid w:val="00123DBB"/>
    <w:rsid w:val="00133062"/>
    <w:rsid w:val="00135C1B"/>
    <w:rsid w:val="00145784"/>
    <w:rsid w:val="00146B8F"/>
    <w:rsid w:val="001515C7"/>
    <w:rsid w:val="00152BB6"/>
    <w:rsid w:val="00160D83"/>
    <w:rsid w:val="001668A8"/>
    <w:rsid w:val="0016791D"/>
    <w:rsid w:val="0017159B"/>
    <w:rsid w:val="001738C6"/>
    <w:rsid w:val="0017554C"/>
    <w:rsid w:val="0018283B"/>
    <w:rsid w:val="00183449"/>
    <w:rsid w:val="00185692"/>
    <w:rsid w:val="0018664A"/>
    <w:rsid w:val="001875CD"/>
    <w:rsid w:val="001914DA"/>
    <w:rsid w:val="001A1120"/>
    <w:rsid w:val="001A1789"/>
    <w:rsid w:val="001B071D"/>
    <w:rsid w:val="001B6D55"/>
    <w:rsid w:val="001B761E"/>
    <w:rsid w:val="001B7879"/>
    <w:rsid w:val="001C0F9F"/>
    <w:rsid w:val="001C76E3"/>
    <w:rsid w:val="001D7FA7"/>
    <w:rsid w:val="001E0D5D"/>
    <w:rsid w:val="001E10B2"/>
    <w:rsid w:val="001E4206"/>
    <w:rsid w:val="001E658B"/>
    <w:rsid w:val="001E70BD"/>
    <w:rsid w:val="001F0A3B"/>
    <w:rsid w:val="001F0F74"/>
    <w:rsid w:val="001F2D01"/>
    <w:rsid w:val="001F53BE"/>
    <w:rsid w:val="001F675A"/>
    <w:rsid w:val="001F7B4F"/>
    <w:rsid w:val="00200562"/>
    <w:rsid w:val="00200A86"/>
    <w:rsid w:val="00201345"/>
    <w:rsid w:val="002064F3"/>
    <w:rsid w:val="00206E11"/>
    <w:rsid w:val="0020730A"/>
    <w:rsid w:val="002075BB"/>
    <w:rsid w:val="00210D08"/>
    <w:rsid w:val="00212729"/>
    <w:rsid w:val="00216AC4"/>
    <w:rsid w:val="00216B03"/>
    <w:rsid w:val="002225A3"/>
    <w:rsid w:val="00222FEF"/>
    <w:rsid w:val="00226CC9"/>
    <w:rsid w:val="00230176"/>
    <w:rsid w:val="0023377F"/>
    <w:rsid w:val="00235D59"/>
    <w:rsid w:val="002423B1"/>
    <w:rsid w:val="00244898"/>
    <w:rsid w:val="00245313"/>
    <w:rsid w:val="00250EE7"/>
    <w:rsid w:val="00252494"/>
    <w:rsid w:val="00253019"/>
    <w:rsid w:val="0025338C"/>
    <w:rsid w:val="00271961"/>
    <w:rsid w:val="00275324"/>
    <w:rsid w:val="002828A3"/>
    <w:rsid w:val="00283DB2"/>
    <w:rsid w:val="00286811"/>
    <w:rsid w:val="0029105C"/>
    <w:rsid w:val="0029431B"/>
    <w:rsid w:val="00295211"/>
    <w:rsid w:val="002A02A6"/>
    <w:rsid w:val="002A079B"/>
    <w:rsid w:val="002A589B"/>
    <w:rsid w:val="002B184C"/>
    <w:rsid w:val="002B5EDA"/>
    <w:rsid w:val="002C0340"/>
    <w:rsid w:val="002C21A0"/>
    <w:rsid w:val="002C2DF7"/>
    <w:rsid w:val="002C5000"/>
    <w:rsid w:val="002D5E36"/>
    <w:rsid w:val="002E7359"/>
    <w:rsid w:val="002E7D36"/>
    <w:rsid w:val="002E7D83"/>
    <w:rsid w:val="002F114C"/>
    <w:rsid w:val="002F19D5"/>
    <w:rsid w:val="002F3B04"/>
    <w:rsid w:val="002F403D"/>
    <w:rsid w:val="002F657E"/>
    <w:rsid w:val="002F71C6"/>
    <w:rsid w:val="003055CE"/>
    <w:rsid w:val="00311EA2"/>
    <w:rsid w:val="00311F23"/>
    <w:rsid w:val="0031560D"/>
    <w:rsid w:val="00315BE1"/>
    <w:rsid w:val="00326A85"/>
    <w:rsid w:val="003304E1"/>
    <w:rsid w:val="0034272E"/>
    <w:rsid w:val="00342FF5"/>
    <w:rsid w:val="00344644"/>
    <w:rsid w:val="00344D8F"/>
    <w:rsid w:val="003521CA"/>
    <w:rsid w:val="00362EE2"/>
    <w:rsid w:val="00364B06"/>
    <w:rsid w:val="00364EB6"/>
    <w:rsid w:val="00370CB5"/>
    <w:rsid w:val="00372870"/>
    <w:rsid w:val="00373773"/>
    <w:rsid w:val="00385E67"/>
    <w:rsid w:val="003900AC"/>
    <w:rsid w:val="003A4E5E"/>
    <w:rsid w:val="003B2E2E"/>
    <w:rsid w:val="003B5634"/>
    <w:rsid w:val="003C0F29"/>
    <w:rsid w:val="003D5C94"/>
    <w:rsid w:val="003E0AFE"/>
    <w:rsid w:val="003F0F8C"/>
    <w:rsid w:val="003F333C"/>
    <w:rsid w:val="003F4088"/>
    <w:rsid w:val="003F705A"/>
    <w:rsid w:val="003F75D3"/>
    <w:rsid w:val="0040585D"/>
    <w:rsid w:val="004059D2"/>
    <w:rsid w:val="00406ADA"/>
    <w:rsid w:val="00413BB3"/>
    <w:rsid w:val="00414380"/>
    <w:rsid w:val="00417405"/>
    <w:rsid w:val="004230E7"/>
    <w:rsid w:val="0042328F"/>
    <w:rsid w:val="004257CB"/>
    <w:rsid w:val="00430DB7"/>
    <w:rsid w:val="00431551"/>
    <w:rsid w:val="00436E4B"/>
    <w:rsid w:val="00440F84"/>
    <w:rsid w:val="0044136E"/>
    <w:rsid w:val="004419E5"/>
    <w:rsid w:val="004428B6"/>
    <w:rsid w:val="00443979"/>
    <w:rsid w:val="00445781"/>
    <w:rsid w:val="0045483F"/>
    <w:rsid w:val="004561EB"/>
    <w:rsid w:val="00462414"/>
    <w:rsid w:val="00462770"/>
    <w:rsid w:val="00462ED2"/>
    <w:rsid w:val="00463EB2"/>
    <w:rsid w:val="00464CDB"/>
    <w:rsid w:val="00466373"/>
    <w:rsid w:val="0047085A"/>
    <w:rsid w:val="0047685A"/>
    <w:rsid w:val="0047767D"/>
    <w:rsid w:val="004808A5"/>
    <w:rsid w:val="00481A14"/>
    <w:rsid w:val="00482006"/>
    <w:rsid w:val="00483A69"/>
    <w:rsid w:val="0048417B"/>
    <w:rsid w:val="0048503A"/>
    <w:rsid w:val="004959ED"/>
    <w:rsid w:val="004978C1"/>
    <w:rsid w:val="004A4694"/>
    <w:rsid w:val="004B1B7A"/>
    <w:rsid w:val="004B1F81"/>
    <w:rsid w:val="004B23DF"/>
    <w:rsid w:val="004B60DD"/>
    <w:rsid w:val="004C0549"/>
    <w:rsid w:val="004C2C49"/>
    <w:rsid w:val="004C7CE4"/>
    <w:rsid w:val="004D1F88"/>
    <w:rsid w:val="004D2A05"/>
    <w:rsid w:val="004E0449"/>
    <w:rsid w:val="004E1F5C"/>
    <w:rsid w:val="004F015E"/>
    <w:rsid w:val="004F1C2C"/>
    <w:rsid w:val="004F405B"/>
    <w:rsid w:val="004F4530"/>
    <w:rsid w:val="00510BE5"/>
    <w:rsid w:val="00510EC0"/>
    <w:rsid w:val="0051180C"/>
    <w:rsid w:val="00513746"/>
    <w:rsid w:val="00513965"/>
    <w:rsid w:val="00516A6C"/>
    <w:rsid w:val="005229A8"/>
    <w:rsid w:val="00524469"/>
    <w:rsid w:val="00525B46"/>
    <w:rsid w:val="005309D9"/>
    <w:rsid w:val="005347DF"/>
    <w:rsid w:val="005407E1"/>
    <w:rsid w:val="005468AC"/>
    <w:rsid w:val="00546C8D"/>
    <w:rsid w:val="00546E01"/>
    <w:rsid w:val="00554C35"/>
    <w:rsid w:val="00556ED3"/>
    <w:rsid w:val="0055746C"/>
    <w:rsid w:val="005615E8"/>
    <w:rsid w:val="00561831"/>
    <w:rsid w:val="00562BE4"/>
    <w:rsid w:val="00567BA3"/>
    <w:rsid w:val="005701B2"/>
    <w:rsid w:val="005730E8"/>
    <w:rsid w:val="00573B66"/>
    <w:rsid w:val="0058483B"/>
    <w:rsid w:val="005915CF"/>
    <w:rsid w:val="00592522"/>
    <w:rsid w:val="00593B8E"/>
    <w:rsid w:val="00593E97"/>
    <w:rsid w:val="005945D9"/>
    <w:rsid w:val="00597E69"/>
    <w:rsid w:val="005A055E"/>
    <w:rsid w:val="005A1A0E"/>
    <w:rsid w:val="005A1F09"/>
    <w:rsid w:val="005A3B2A"/>
    <w:rsid w:val="005A4A93"/>
    <w:rsid w:val="005C0DB9"/>
    <w:rsid w:val="005C3752"/>
    <w:rsid w:val="005C462C"/>
    <w:rsid w:val="005C7088"/>
    <w:rsid w:val="005C7E3F"/>
    <w:rsid w:val="005D06FA"/>
    <w:rsid w:val="005D139E"/>
    <w:rsid w:val="005D5AAD"/>
    <w:rsid w:val="005E3769"/>
    <w:rsid w:val="005E7B3B"/>
    <w:rsid w:val="005F4289"/>
    <w:rsid w:val="005F6357"/>
    <w:rsid w:val="005F7C87"/>
    <w:rsid w:val="006016A5"/>
    <w:rsid w:val="00602A5A"/>
    <w:rsid w:val="0061143F"/>
    <w:rsid w:val="00616EBD"/>
    <w:rsid w:val="00622C32"/>
    <w:rsid w:val="00625787"/>
    <w:rsid w:val="00626C3F"/>
    <w:rsid w:val="00627F8D"/>
    <w:rsid w:val="00630929"/>
    <w:rsid w:val="00632207"/>
    <w:rsid w:val="00632B42"/>
    <w:rsid w:val="00635148"/>
    <w:rsid w:val="006359F9"/>
    <w:rsid w:val="0064559B"/>
    <w:rsid w:val="00647BA0"/>
    <w:rsid w:val="0065001D"/>
    <w:rsid w:val="0065315F"/>
    <w:rsid w:val="0065357F"/>
    <w:rsid w:val="0065412B"/>
    <w:rsid w:val="00662AC8"/>
    <w:rsid w:val="006630A1"/>
    <w:rsid w:val="0067005C"/>
    <w:rsid w:val="006712B0"/>
    <w:rsid w:val="006738CC"/>
    <w:rsid w:val="0068086E"/>
    <w:rsid w:val="00684924"/>
    <w:rsid w:val="00685A46"/>
    <w:rsid w:val="00693C55"/>
    <w:rsid w:val="006B0ADC"/>
    <w:rsid w:val="006B5938"/>
    <w:rsid w:val="006B5BB7"/>
    <w:rsid w:val="006C1901"/>
    <w:rsid w:val="006C4AF8"/>
    <w:rsid w:val="006D50A2"/>
    <w:rsid w:val="006D5224"/>
    <w:rsid w:val="006D7E5C"/>
    <w:rsid w:val="006D7F47"/>
    <w:rsid w:val="006F5EBA"/>
    <w:rsid w:val="007009E8"/>
    <w:rsid w:val="00702036"/>
    <w:rsid w:val="00703CAB"/>
    <w:rsid w:val="00703D04"/>
    <w:rsid w:val="00703FBE"/>
    <w:rsid w:val="00706432"/>
    <w:rsid w:val="00712F8D"/>
    <w:rsid w:val="00715751"/>
    <w:rsid w:val="0072476B"/>
    <w:rsid w:val="007259D9"/>
    <w:rsid w:val="00726C31"/>
    <w:rsid w:val="0073108C"/>
    <w:rsid w:val="007321E8"/>
    <w:rsid w:val="00732814"/>
    <w:rsid w:val="00737F0A"/>
    <w:rsid w:val="00743D10"/>
    <w:rsid w:val="00760D82"/>
    <w:rsid w:val="00766E15"/>
    <w:rsid w:val="0076741B"/>
    <w:rsid w:val="00767458"/>
    <w:rsid w:val="0079103C"/>
    <w:rsid w:val="007A2B94"/>
    <w:rsid w:val="007A3152"/>
    <w:rsid w:val="007B560A"/>
    <w:rsid w:val="007B6C80"/>
    <w:rsid w:val="007C36EF"/>
    <w:rsid w:val="007C4269"/>
    <w:rsid w:val="007C7AFC"/>
    <w:rsid w:val="007F7024"/>
    <w:rsid w:val="007F77C7"/>
    <w:rsid w:val="00807B43"/>
    <w:rsid w:val="00807E6F"/>
    <w:rsid w:val="0081282D"/>
    <w:rsid w:val="00813C4B"/>
    <w:rsid w:val="00816D70"/>
    <w:rsid w:val="008221D7"/>
    <w:rsid w:val="008222E5"/>
    <w:rsid w:val="008223FA"/>
    <w:rsid w:val="00830733"/>
    <w:rsid w:val="008315B0"/>
    <w:rsid w:val="00843874"/>
    <w:rsid w:val="0084437D"/>
    <w:rsid w:val="0084609C"/>
    <w:rsid w:val="00846808"/>
    <w:rsid w:val="008474D3"/>
    <w:rsid w:val="00847A0E"/>
    <w:rsid w:val="00850BF3"/>
    <w:rsid w:val="008572FA"/>
    <w:rsid w:val="00866CEF"/>
    <w:rsid w:val="00867BE0"/>
    <w:rsid w:val="00871EA0"/>
    <w:rsid w:val="00874A0E"/>
    <w:rsid w:val="00874BF6"/>
    <w:rsid w:val="00875A3E"/>
    <w:rsid w:val="00875DD6"/>
    <w:rsid w:val="00885759"/>
    <w:rsid w:val="00890DBF"/>
    <w:rsid w:val="00896E68"/>
    <w:rsid w:val="008A768E"/>
    <w:rsid w:val="008B0BCE"/>
    <w:rsid w:val="008B3A44"/>
    <w:rsid w:val="008B5C1D"/>
    <w:rsid w:val="008B7A4C"/>
    <w:rsid w:val="008C30E9"/>
    <w:rsid w:val="008C3ABE"/>
    <w:rsid w:val="008C45E0"/>
    <w:rsid w:val="008C57F7"/>
    <w:rsid w:val="008D51E5"/>
    <w:rsid w:val="008D65B9"/>
    <w:rsid w:val="008E3138"/>
    <w:rsid w:val="008F4830"/>
    <w:rsid w:val="008F4B10"/>
    <w:rsid w:val="008F5FEF"/>
    <w:rsid w:val="008F7FB7"/>
    <w:rsid w:val="00901B64"/>
    <w:rsid w:val="00905574"/>
    <w:rsid w:val="009225E6"/>
    <w:rsid w:val="00923033"/>
    <w:rsid w:val="00925978"/>
    <w:rsid w:val="00926EEA"/>
    <w:rsid w:val="00927831"/>
    <w:rsid w:val="00931C38"/>
    <w:rsid w:val="00932A91"/>
    <w:rsid w:val="0093634F"/>
    <w:rsid w:val="00942EFE"/>
    <w:rsid w:val="00943C93"/>
    <w:rsid w:val="009448CE"/>
    <w:rsid w:val="0094554C"/>
    <w:rsid w:val="0095002B"/>
    <w:rsid w:val="00950D33"/>
    <w:rsid w:val="0095396B"/>
    <w:rsid w:val="00954D4E"/>
    <w:rsid w:val="00961ADC"/>
    <w:rsid w:val="00962CC2"/>
    <w:rsid w:val="00962D25"/>
    <w:rsid w:val="0096725B"/>
    <w:rsid w:val="00970339"/>
    <w:rsid w:val="009726AD"/>
    <w:rsid w:val="009804BC"/>
    <w:rsid w:val="00987360"/>
    <w:rsid w:val="009922AE"/>
    <w:rsid w:val="00994108"/>
    <w:rsid w:val="009944F3"/>
    <w:rsid w:val="009A15B9"/>
    <w:rsid w:val="009A2C32"/>
    <w:rsid w:val="009A50B4"/>
    <w:rsid w:val="009A68F0"/>
    <w:rsid w:val="009B52CA"/>
    <w:rsid w:val="009D1380"/>
    <w:rsid w:val="009D1395"/>
    <w:rsid w:val="009D1E5B"/>
    <w:rsid w:val="009D2BB4"/>
    <w:rsid w:val="009D534D"/>
    <w:rsid w:val="009D5E52"/>
    <w:rsid w:val="009D6C83"/>
    <w:rsid w:val="009D7A3D"/>
    <w:rsid w:val="009E2F95"/>
    <w:rsid w:val="009E448F"/>
    <w:rsid w:val="009E5ECC"/>
    <w:rsid w:val="009E7D78"/>
    <w:rsid w:val="009E7F8E"/>
    <w:rsid w:val="009F186C"/>
    <w:rsid w:val="009F641C"/>
    <w:rsid w:val="009F73C2"/>
    <w:rsid w:val="00A00654"/>
    <w:rsid w:val="00A059CC"/>
    <w:rsid w:val="00A06DEC"/>
    <w:rsid w:val="00A078B7"/>
    <w:rsid w:val="00A11BC3"/>
    <w:rsid w:val="00A14057"/>
    <w:rsid w:val="00A15BCD"/>
    <w:rsid w:val="00A2454B"/>
    <w:rsid w:val="00A3212C"/>
    <w:rsid w:val="00A3264A"/>
    <w:rsid w:val="00A32FC9"/>
    <w:rsid w:val="00A348DA"/>
    <w:rsid w:val="00A414D3"/>
    <w:rsid w:val="00A4304F"/>
    <w:rsid w:val="00A46C07"/>
    <w:rsid w:val="00A46EB0"/>
    <w:rsid w:val="00A5151D"/>
    <w:rsid w:val="00A537DC"/>
    <w:rsid w:val="00A54462"/>
    <w:rsid w:val="00A5671F"/>
    <w:rsid w:val="00A578D0"/>
    <w:rsid w:val="00A62234"/>
    <w:rsid w:val="00A630FC"/>
    <w:rsid w:val="00A63890"/>
    <w:rsid w:val="00A733CD"/>
    <w:rsid w:val="00A746BF"/>
    <w:rsid w:val="00A80DAA"/>
    <w:rsid w:val="00A862F5"/>
    <w:rsid w:val="00A877A0"/>
    <w:rsid w:val="00A87AB7"/>
    <w:rsid w:val="00A90321"/>
    <w:rsid w:val="00A92BEF"/>
    <w:rsid w:val="00AA0038"/>
    <w:rsid w:val="00AA2744"/>
    <w:rsid w:val="00AB050A"/>
    <w:rsid w:val="00AB3FE6"/>
    <w:rsid w:val="00AC03B2"/>
    <w:rsid w:val="00AC3EC9"/>
    <w:rsid w:val="00AD35FD"/>
    <w:rsid w:val="00AD7B87"/>
    <w:rsid w:val="00AE27D8"/>
    <w:rsid w:val="00AE2EDC"/>
    <w:rsid w:val="00AE4FC9"/>
    <w:rsid w:val="00AE5C3B"/>
    <w:rsid w:val="00AF6EB0"/>
    <w:rsid w:val="00B00803"/>
    <w:rsid w:val="00B014EF"/>
    <w:rsid w:val="00B048C8"/>
    <w:rsid w:val="00B11005"/>
    <w:rsid w:val="00B140EC"/>
    <w:rsid w:val="00B20268"/>
    <w:rsid w:val="00B354C9"/>
    <w:rsid w:val="00B35802"/>
    <w:rsid w:val="00B41DCC"/>
    <w:rsid w:val="00B42DF3"/>
    <w:rsid w:val="00B474EC"/>
    <w:rsid w:val="00B51C81"/>
    <w:rsid w:val="00B54E04"/>
    <w:rsid w:val="00B61DCF"/>
    <w:rsid w:val="00B623EB"/>
    <w:rsid w:val="00B64813"/>
    <w:rsid w:val="00B6514D"/>
    <w:rsid w:val="00B6718A"/>
    <w:rsid w:val="00B67E68"/>
    <w:rsid w:val="00B72785"/>
    <w:rsid w:val="00B73858"/>
    <w:rsid w:val="00B74D7F"/>
    <w:rsid w:val="00B80AE5"/>
    <w:rsid w:val="00B818F5"/>
    <w:rsid w:val="00B81AEB"/>
    <w:rsid w:val="00B81C7C"/>
    <w:rsid w:val="00B8447E"/>
    <w:rsid w:val="00B866ED"/>
    <w:rsid w:val="00B87CB1"/>
    <w:rsid w:val="00B92853"/>
    <w:rsid w:val="00B93327"/>
    <w:rsid w:val="00B9458B"/>
    <w:rsid w:val="00B9534B"/>
    <w:rsid w:val="00B9612E"/>
    <w:rsid w:val="00B9714D"/>
    <w:rsid w:val="00BA0FA5"/>
    <w:rsid w:val="00BA14A9"/>
    <w:rsid w:val="00BA6DE9"/>
    <w:rsid w:val="00BB1814"/>
    <w:rsid w:val="00BB2A47"/>
    <w:rsid w:val="00BB53F2"/>
    <w:rsid w:val="00BC64C0"/>
    <w:rsid w:val="00BD023E"/>
    <w:rsid w:val="00BE126F"/>
    <w:rsid w:val="00BF1D24"/>
    <w:rsid w:val="00BF3EED"/>
    <w:rsid w:val="00BF4D56"/>
    <w:rsid w:val="00BF5F8F"/>
    <w:rsid w:val="00BF6F8D"/>
    <w:rsid w:val="00C0332A"/>
    <w:rsid w:val="00C0462C"/>
    <w:rsid w:val="00C12A38"/>
    <w:rsid w:val="00C13E14"/>
    <w:rsid w:val="00C170F8"/>
    <w:rsid w:val="00C20598"/>
    <w:rsid w:val="00C256A7"/>
    <w:rsid w:val="00C26DD5"/>
    <w:rsid w:val="00C3038A"/>
    <w:rsid w:val="00C30CFA"/>
    <w:rsid w:val="00C32E0A"/>
    <w:rsid w:val="00C37550"/>
    <w:rsid w:val="00C415AD"/>
    <w:rsid w:val="00C45884"/>
    <w:rsid w:val="00C47568"/>
    <w:rsid w:val="00C51641"/>
    <w:rsid w:val="00C53BAC"/>
    <w:rsid w:val="00C5685B"/>
    <w:rsid w:val="00C61C08"/>
    <w:rsid w:val="00C636E0"/>
    <w:rsid w:val="00C70FE2"/>
    <w:rsid w:val="00C7208C"/>
    <w:rsid w:val="00C818C1"/>
    <w:rsid w:val="00C83973"/>
    <w:rsid w:val="00C87706"/>
    <w:rsid w:val="00C91CA4"/>
    <w:rsid w:val="00C94F0C"/>
    <w:rsid w:val="00C9609B"/>
    <w:rsid w:val="00CA7B8E"/>
    <w:rsid w:val="00CB072F"/>
    <w:rsid w:val="00CB1B58"/>
    <w:rsid w:val="00CB4A9B"/>
    <w:rsid w:val="00CB6A0F"/>
    <w:rsid w:val="00CB7D55"/>
    <w:rsid w:val="00CC313A"/>
    <w:rsid w:val="00CC32A0"/>
    <w:rsid w:val="00CC529D"/>
    <w:rsid w:val="00CC66D8"/>
    <w:rsid w:val="00CC793E"/>
    <w:rsid w:val="00CD1D8A"/>
    <w:rsid w:val="00CD6F74"/>
    <w:rsid w:val="00CE1036"/>
    <w:rsid w:val="00CE2CA0"/>
    <w:rsid w:val="00CE7101"/>
    <w:rsid w:val="00CF16CD"/>
    <w:rsid w:val="00CF7650"/>
    <w:rsid w:val="00D0049E"/>
    <w:rsid w:val="00D00A93"/>
    <w:rsid w:val="00D01B83"/>
    <w:rsid w:val="00D023F9"/>
    <w:rsid w:val="00D03692"/>
    <w:rsid w:val="00D036DD"/>
    <w:rsid w:val="00D07C8E"/>
    <w:rsid w:val="00D1417F"/>
    <w:rsid w:val="00D16AB1"/>
    <w:rsid w:val="00D20FA4"/>
    <w:rsid w:val="00D31978"/>
    <w:rsid w:val="00D337FB"/>
    <w:rsid w:val="00D43DF7"/>
    <w:rsid w:val="00D43FFB"/>
    <w:rsid w:val="00D44D99"/>
    <w:rsid w:val="00D464F0"/>
    <w:rsid w:val="00D5144F"/>
    <w:rsid w:val="00D52967"/>
    <w:rsid w:val="00D53A70"/>
    <w:rsid w:val="00D54BED"/>
    <w:rsid w:val="00D54E15"/>
    <w:rsid w:val="00D55FDC"/>
    <w:rsid w:val="00D64B8F"/>
    <w:rsid w:val="00D74471"/>
    <w:rsid w:val="00D745FF"/>
    <w:rsid w:val="00D772AC"/>
    <w:rsid w:val="00D80516"/>
    <w:rsid w:val="00D807F2"/>
    <w:rsid w:val="00D82788"/>
    <w:rsid w:val="00D923B3"/>
    <w:rsid w:val="00D933D3"/>
    <w:rsid w:val="00D95ABF"/>
    <w:rsid w:val="00DA0E95"/>
    <w:rsid w:val="00DA16F8"/>
    <w:rsid w:val="00DA34DB"/>
    <w:rsid w:val="00DA60E8"/>
    <w:rsid w:val="00DA6156"/>
    <w:rsid w:val="00DA78EE"/>
    <w:rsid w:val="00DB000D"/>
    <w:rsid w:val="00DB1DA5"/>
    <w:rsid w:val="00DB48B0"/>
    <w:rsid w:val="00DB5711"/>
    <w:rsid w:val="00DB63A1"/>
    <w:rsid w:val="00DC0069"/>
    <w:rsid w:val="00DC1A5B"/>
    <w:rsid w:val="00DC2FFC"/>
    <w:rsid w:val="00DC355A"/>
    <w:rsid w:val="00DC39DB"/>
    <w:rsid w:val="00DC5367"/>
    <w:rsid w:val="00DD0282"/>
    <w:rsid w:val="00DD115C"/>
    <w:rsid w:val="00DD6FD0"/>
    <w:rsid w:val="00DD7700"/>
    <w:rsid w:val="00DD7F6B"/>
    <w:rsid w:val="00DF01CA"/>
    <w:rsid w:val="00DF2902"/>
    <w:rsid w:val="00DF2E8C"/>
    <w:rsid w:val="00E0039F"/>
    <w:rsid w:val="00E0286B"/>
    <w:rsid w:val="00E02A20"/>
    <w:rsid w:val="00E1241F"/>
    <w:rsid w:val="00E140ED"/>
    <w:rsid w:val="00E14211"/>
    <w:rsid w:val="00E1602C"/>
    <w:rsid w:val="00E21DF2"/>
    <w:rsid w:val="00E22341"/>
    <w:rsid w:val="00E3000E"/>
    <w:rsid w:val="00E30F9C"/>
    <w:rsid w:val="00E31D5C"/>
    <w:rsid w:val="00E34CF4"/>
    <w:rsid w:val="00E439FF"/>
    <w:rsid w:val="00E461BB"/>
    <w:rsid w:val="00E46A8F"/>
    <w:rsid w:val="00E46E14"/>
    <w:rsid w:val="00E474E9"/>
    <w:rsid w:val="00E51E44"/>
    <w:rsid w:val="00E54A66"/>
    <w:rsid w:val="00E54A6B"/>
    <w:rsid w:val="00E8453F"/>
    <w:rsid w:val="00E86A3E"/>
    <w:rsid w:val="00E95538"/>
    <w:rsid w:val="00EA2BCD"/>
    <w:rsid w:val="00EA78BE"/>
    <w:rsid w:val="00EB53DD"/>
    <w:rsid w:val="00EC03CF"/>
    <w:rsid w:val="00EC5B7C"/>
    <w:rsid w:val="00ED033C"/>
    <w:rsid w:val="00ED1B70"/>
    <w:rsid w:val="00ED26DA"/>
    <w:rsid w:val="00ED6502"/>
    <w:rsid w:val="00EE160F"/>
    <w:rsid w:val="00EE784F"/>
    <w:rsid w:val="00EF0E2B"/>
    <w:rsid w:val="00EF6A41"/>
    <w:rsid w:val="00F015A9"/>
    <w:rsid w:val="00F03544"/>
    <w:rsid w:val="00F045BC"/>
    <w:rsid w:val="00F047AD"/>
    <w:rsid w:val="00F054CC"/>
    <w:rsid w:val="00F060A9"/>
    <w:rsid w:val="00F21D4F"/>
    <w:rsid w:val="00F30E26"/>
    <w:rsid w:val="00F31753"/>
    <w:rsid w:val="00F31BD8"/>
    <w:rsid w:val="00F349CF"/>
    <w:rsid w:val="00F34EBC"/>
    <w:rsid w:val="00F35E07"/>
    <w:rsid w:val="00F446A4"/>
    <w:rsid w:val="00F44E92"/>
    <w:rsid w:val="00F47019"/>
    <w:rsid w:val="00F47AE4"/>
    <w:rsid w:val="00F51CB6"/>
    <w:rsid w:val="00F54653"/>
    <w:rsid w:val="00F54B6C"/>
    <w:rsid w:val="00F55F08"/>
    <w:rsid w:val="00F65874"/>
    <w:rsid w:val="00F716F0"/>
    <w:rsid w:val="00F75D10"/>
    <w:rsid w:val="00F770B5"/>
    <w:rsid w:val="00F87DB6"/>
    <w:rsid w:val="00FA2217"/>
    <w:rsid w:val="00FA23A4"/>
    <w:rsid w:val="00FA372B"/>
    <w:rsid w:val="00FA7443"/>
    <w:rsid w:val="00FB21BB"/>
    <w:rsid w:val="00FB327D"/>
    <w:rsid w:val="00FB48A8"/>
    <w:rsid w:val="00FB49F4"/>
    <w:rsid w:val="00FB57F0"/>
    <w:rsid w:val="00FB798F"/>
    <w:rsid w:val="00FC223F"/>
    <w:rsid w:val="00FC3130"/>
    <w:rsid w:val="00FC34E6"/>
    <w:rsid w:val="00FD0388"/>
    <w:rsid w:val="00FD0FF6"/>
    <w:rsid w:val="00FD4F1C"/>
    <w:rsid w:val="00FE005A"/>
    <w:rsid w:val="00FE483D"/>
    <w:rsid w:val="00FE5D9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E5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character" w:customStyle="1" w:styleId="footer-block">
    <w:name w:val="footer-block"/>
    <w:basedOn w:val="DefaultParagraphFont"/>
    <w:rsid w:val="00E51E44"/>
  </w:style>
  <w:style w:type="character" w:customStyle="1" w:styleId="block-inner">
    <w:name w:val="block-inner"/>
    <w:basedOn w:val="DefaultParagraphFont"/>
    <w:rsid w:val="00E51E44"/>
  </w:style>
  <w:style w:type="character" w:customStyle="1" w:styleId="source-caption">
    <w:name w:val="source-caption"/>
    <w:basedOn w:val="DefaultParagraphFont"/>
    <w:rsid w:val="00E51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78185312">
      <w:bodyDiv w:val="1"/>
      <w:marLeft w:val="0"/>
      <w:marRight w:val="0"/>
      <w:marTop w:val="0"/>
      <w:marBottom w:val="0"/>
      <w:divBdr>
        <w:top w:val="none" w:sz="0" w:space="0" w:color="auto"/>
        <w:left w:val="none" w:sz="0" w:space="0" w:color="auto"/>
        <w:bottom w:val="none" w:sz="0" w:space="0" w:color="auto"/>
        <w:right w:val="none" w:sz="0" w:space="0" w:color="auto"/>
      </w:divBdr>
      <w:divsChild>
        <w:div w:id="164444527">
          <w:marLeft w:val="660"/>
          <w:marRight w:val="660"/>
          <w:marTop w:val="0"/>
          <w:marBottom w:val="360"/>
          <w:divBdr>
            <w:top w:val="none" w:sz="0" w:space="0" w:color="auto"/>
            <w:left w:val="none" w:sz="0" w:space="0" w:color="auto"/>
            <w:bottom w:val="none" w:sz="0" w:space="0" w:color="auto"/>
            <w:right w:val="none" w:sz="0" w:space="0" w:color="auto"/>
          </w:divBdr>
          <w:divsChild>
            <w:div w:id="315887657">
              <w:marLeft w:val="0"/>
              <w:marRight w:val="0"/>
              <w:marTop w:val="0"/>
              <w:marBottom w:val="0"/>
              <w:divBdr>
                <w:top w:val="none" w:sz="0" w:space="0" w:color="auto"/>
                <w:left w:val="none" w:sz="0" w:space="0" w:color="auto"/>
                <w:bottom w:val="none" w:sz="0" w:space="0" w:color="auto"/>
                <w:right w:val="none" w:sz="0" w:space="0" w:color="auto"/>
              </w:divBdr>
              <w:divsChild>
                <w:div w:id="47461413">
                  <w:marLeft w:val="0"/>
                  <w:marRight w:val="0"/>
                  <w:marTop w:val="0"/>
                  <w:marBottom w:val="0"/>
                  <w:divBdr>
                    <w:top w:val="none" w:sz="0" w:space="0" w:color="auto"/>
                    <w:left w:val="none" w:sz="0" w:space="0" w:color="auto"/>
                    <w:bottom w:val="none" w:sz="0" w:space="0" w:color="auto"/>
                    <w:right w:val="none" w:sz="0" w:space="0" w:color="auto"/>
                  </w:divBdr>
                  <w:divsChild>
                    <w:div w:id="7401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51407484">
      <w:bodyDiv w:val="1"/>
      <w:marLeft w:val="0"/>
      <w:marRight w:val="0"/>
      <w:marTop w:val="0"/>
      <w:marBottom w:val="0"/>
      <w:divBdr>
        <w:top w:val="none" w:sz="0" w:space="0" w:color="auto"/>
        <w:left w:val="none" w:sz="0" w:space="0" w:color="auto"/>
        <w:bottom w:val="none" w:sz="0" w:space="0" w:color="auto"/>
        <w:right w:val="none" w:sz="0" w:space="0" w:color="auto"/>
      </w:divBdr>
    </w:div>
    <w:div w:id="154805095">
      <w:bodyDiv w:val="1"/>
      <w:marLeft w:val="0"/>
      <w:marRight w:val="0"/>
      <w:marTop w:val="0"/>
      <w:marBottom w:val="0"/>
      <w:divBdr>
        <w:top w:val="none" w:sz="0" w:space="0" w:color="auto"/>
        <w:left w:val="none" w:sz="0" w:space="0" w:color="auto"/>
        <w:bottom w:val="none" w:sz="0" w:space="0" w:color="auto"/>
        <w:right w:val="none" w:sz="0" w:space="0" w:color="auto"/>
      </w:divBdr>
    </w:div>
    <w:div w:id="156308792">
      <w:bodyDiv w:val="1"/>
      <w:marLeft w:val="0"/>
      <w:marRight w:val="0"/>
      <w:marTop w:val="0"/>
      <w:marBottom w:val="0"/>
      <w:divBdr>
        <w:top w:val="none" w:sz="0" w:space="0" w:color="auto"/>
        <w:left w:val="none" w:sz="0" w:space="0" w:color="auto"/>
        <w:bottom w:val="none" w:sz="0" w:space="0" w:color="auto"/>
        <w:right w:val="none" w:sz="0" w:space="0" w:color="auto"/>
      </w:divBdr>
      <w:divsChild>
        <w:div w:id="728498757">
          <w:marLeft w:val="0"/>
          <w:marRight w:val="0"/>
          <w:marTop w:val="0"/>
          <w:marBottom w:val="0"/>
          <w:divBdr>
            <w:top w:val="none" w:sz="0" w:space="0" w:color="auto"/>
            <w:left w:val="none" w:sz="0" w:space="0" w:color="auto"/>
            <w:bottom w:val="none" w:sz="0" w:space="0" w:color="auto"/>
            <w:right w:val="none" w:sz="0" w:space="0" w:color="auto"/>
          </w:divBdr>
        </w:div>
      </w:divsChild>
    </w:div>
    <w:div w:id="252007090">
      <w:bodyDiv w:val="1"/>
      <w:marLeft w:val="0"/>
      <w:marRight w:val="0"/>
      <w:marTop w:val="0"/>
      <w:marBottom w:val="0"/>
      <w:divBdr>
        <w:top w:val="none" w:sz="0" w:space="0" w:color="auto"/>
        <w:left w:val="none" w:sz="0" w:space="0" w:color="auto"/>
        <w:bottom w:val="none" w:sz="0" w:space="0" w:color="auto"/>
        <w:right w:val="none" w:sz="0" w:space="0" w:color="auto"/>
      </w:divBdr>
    </w:div>
    <w:div w:id="307517370">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18729249">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37470164">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837001">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4440693">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21768576">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6344138">
      <w:bodyDiv w:val="1"/>
      <w:marLeft w:val="0"/>
      <w:marRight w:val="0"/>
      <w:marTop w:val="0"/>
      <w:marBottom w:val="0"/>
      <w:divBdr>
        <w:top w:val="none" w:sz="0" w:space="0" w:color="auto"/>
        <w:left w:val="none" w:sz="0" w:space="0" w:color="auto"/>
        <w:bottom w:val="none" w:sz="0" w:space="0" w:color="auto"/>
        <w:right w:val="none" w:sz="0" w:space="0" w:color="auto"/>
      </w:divBdr>
      <w:divsChild>
        <w:div w:id="1195389681">
          <w:marLeft w:val="660"/>
          <w:marRight w:val="660"/>
          <w:marTop w:val="0"/>
          <w:marBottom w:val="360"/>
          <w:divBdr>
            <w:top w:val="none" w:sz="0" w:space="0" w:color="auto"/>
            <w:left w:val="none" w:sz="0" w:space="0" w:color="auto"/>
            <w:bottom w:val="none" w:sz="0" w:space="0" w:color="auto"/>
            <w:right w:val="none" w:sz="0" w:space="0" w:color="auto"/>
          </w:divBdr>
          <w:divsChild>
            <w:div w:id="1245724868">
              <w:marLeft w:val="0"/>
              <w:marRight w:val="0"/>
              <w:marTop w:val="0"/>
              <w:marBottom w:val="0"/>
              <w:divBdr>
                <w:top w:val="none" w:sz="0" w:space="0" w:color="auto"/>
                <w:left w:val="none" w:sz="0" w:space="0" w:color="auto"/>
                <w:bottom w:val="none" w:sz="0" w:space="0" w:color="auto"/>
                <w:right w:val="none" w:sz="0" w:space="0" w:color="auto"/>
              </w:divBdr>
              <w:divsChild>
                <w:div w:id="1547788857">
                  <w:marLeft w:val="0"/>
                  <w:marRight w:val="0"/>
                  <w:marTop w:val="0"/>
                  <w:marBottom w:val="0"/>
                  <w:divBdr>
                    <w:top w:val="none" w:sz="0" w:space="0" w:color="auto"/>
                    <w:left w:val="none" w:sz="0" w:space="0" w:color="auto"/>
                    <w:bottom w:val="none" w:sz="0" w:space="0" w:color="auto"/>
                    <w:right w:val="none" w:sz="0" w:space="0" w:color="auto"/>
                  </w:divBdr>
                  <w:divsChild>
                    <w:div w:id="20468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43996030">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68267038">
      <w:bodyDiv w:val="1"/>
      <w:marLeft w:val="0"/>
      <w:marRight w:val="0"/>
      <w:marTop w:val="0"/>
      <w:marBottom w:val="0"/>
      <w:divBdr>
        <w:top w:val="none" w:sz="0" w:space="0" w:color="auto"/>
        <w:left w:val="none" w:sz="0" w:space="0" w:color="auto"/>
        <w:bottom w:val="none" w:sz="0" w:space="0" w:color="auto"/>
        <w:right w:val="none" w:sz="0" w:space="0" w:color="auto"/>
      </w:divBdr>
      <w:divsChild>
        <w:div w:id="2126149358">
          <w:marLeft w:val="0"/>
          <w:marRight w:val="0"/>
          <w:marTop w:val="0"/>
          <w:marBottom w:val="75"/>
          <w:divBdr>
            <w:top w:val="none" w:sz="0" w:space="0" w:color="auto"/>
            <w:left w:val="none" w:sz="0" w:space="0" w:color="auto"/>
            <w:bottom w:val="none" w:sz="0" w:space="0" w:color="auto"/>
            <w:right w:val="none" w:sz="0" w:space="0" w:color="auto"/>
          </w:divBdr>
          <w:divsChild>
            <w:div w:id="1434671667">
              <w:marLeft w:val="0"/>
              <w:marRight w:val="0"/>
              <w:marTop w:val="0"/>
              <w:marBottom w:val="0"/>
              <w:divBdr>
                <w:top w:val="none" w:sz="0" w:space="0" w:color="auto"/>
                <w:left w:val="none" w:sz="0" w:space="0" w:color="auto"/>
                <w:bottom w:val="none" w:sz="0" w:space="0" w:color="auto"/>
                <w:right w:val="none" w:sz="0" w:space="0" w:color="auto"/>
              </w:divBdr>
            </w:div>
          </w:divsChild>
        </w:div>
        <w:div w:id="911038925">
          <w:marLeft w:val="0"/>
          <w:marRight w:val="0"/>
          <w:marTop w:val="0"/>
          <w:marBottom w:val="0"/>
          <w:divBdr>
            <w:top w:val="none" w:sz="0" w:space="0" w:color="auto"/>
            <w:left w:val="none" w:sz="0" w:space="0" w:color="auto"/>
            <w:bottom w:val="none" w:sz="0" w:space="0" w:color="auto"/>
            <w:right w:val="none" w:sz="0" w:space="0" w:color="auto"/>
          </w:divBdr>
          <w:divsChild>
            <w:div w:id="97815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40195640">
      <w:bodyDiv w:val="1"/>
      <w:marLeft w:val="0"/>
      <w:marRight w:val="0"/>
      <w:marTop w:val="0"/>
      <w:marBottom w:val="0"/>
      <w:divBdr>
        <w:top w:val="none" w:sz="0" w:space="0" w:color="auto"/>
        <w:left w:val="none" w:sz="0" w:space="0" w:color="auto"/>
        <w:bottom w:val="none" w:sz="0" w:space="0" w:color="auto"/>
        <w:right w:val="none" w:sz="0" w:space="0" w:color="auto"/>
      </w:divBdr>
    </w:div>
    <w:div w:id="1234395576">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294941051">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09753610">
      <w:bodyDiv w:val="1"/>
      <w:marLeft w:val="0"/>
      <w:marRight w:val="0"/>
      <w:marTop w:val="0"/>
      <w:marBottom w:val="0"/>
      <w:divBdr>
        <w:top w:val="none" w:sz="0" w:space="0" w:color="auto"/>
        <w:left w:val="none" w:sz="0" w:space="0" w:color="auto"/>
        <w:bottom w:val="none" w:sz="0" w:space="0" w:color="auto"/>
        <w:right w:val="none" w:sz="0" w:space="0" w:color="auto"/>
      </w:divBdr>
    </w:div>
    <w:div w:id="1515995101">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33386940">
      <w:bodyDiv w:val="1"/>
      <w:marLeft w:val="0"/>
      <w:marRight w:val="0"/>
      <w:marTop w:val="0"/>
      <w:marBottom w:val="0"/>
      <w:divBdr>
        <w:top w:val="none" w:sz="0" w:space="0" w:color="auto"/>
        <w:left w:val="none" w:sz="0" w:space="0" w:color="auto"/>
        <w:bottom w:val="none" w:sz="0" w:space="0" w:color="auto"/>
        <w:right w:val="none" w:sz="0" w:space="0" w:color="auto"/>
      </w:divBdr>
    </w:div>
    <w:div w:id="1757705644">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4893619">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32295817">
      <w:bodyDiv w:val="1"/>
      <w:marLeft w:val="0"/>
      <w:marRight w:val="0"/>
      <w:marTop w:val="0"/>
      <w:marBottom w:val="0"/>
      <w:divBdr>
        <w:top w:val="none" w:sz="0" w:space="0" w:color="auto"/>
        <w:left w:val="none" w:sz="0" w:space="0" w:color="auto"/>
        <w:bottom w:val="none" w:sz="0" w:space="0" w:color="auto"/>
        <w:right w:val="none" w:sz="0" w:space="0" w:color="auto"/>
      </w:divBdr>
      <w:divsChild>
        <w:div w:id="1942569154">
          <w:marLeft w:val="660"/>
          <w:marRight w:val="660"/>
          <w:marTop w:val="0"/>
          <w:marBottom w:val="360"/>
          <w:divBdr>
            <w:top w:val="none" w:sz="0" w:space="0" w:color="auto"/>
            <w:left w:val="none" w:sz="0" w:space="0" w:color="auto"/>
            <w:bottom w:val="none" w:sz="0" w:space="0" w:color="auto"/>
            <w:right w:val="none" w:sz="0" w:space="0" w:color="auto"/>
          </w:divBdr>
          <w:divsChild>
            <w:div w:id="793207784">
              <w:marLeft w:val="0"/>
              <w:marRight w:val="0"/>
              <w:marTop w:val="0"/>
              <w:marBottom w:val="0"/>
              <w:divBdr>
                <w:top w:val="none" w:sz="0" w:space="0" w:color="auto"/>
                <w:left w:val="none" w:sz="0" w:space="0" w:color="auto"/>
                <w:bottom w:val="none" w:sz="0" w:space="0" w:color="auto"/>
                <w:right w:val="none" w:sz="0" w:space="0" w:color="auto"/>
              </w:divBdr>
              <w:divsChild>
                <w:div w:id="1618557754">
                  <w:marLeft w:val="0"/>
                  <w:marRight w:val="0"/>
                  <w:marTop w:val="0"/>
                  <w:marBottom w:val="0"/>
                  <w:divBdr>
                    <w:top w:val="none" w:sz="0" w:space="0" w:color="auto"/>
                    <w:left w:val="none" w:sz="0" w:space="0" w:color="auto"/>
                    <w:bottom w:val="none" w:sz="0" w:space="0" w:color="auto"/>
                    <w:right w:val="none" w:sz="0" w:space="0" w:color="auto"/>
                  </w:divBdr>
                  <w:divsChild>
                    <w:div w:id="8894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 w:id="214434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18" Type="http://schemas.openxmlformats.org/officeDocument/2006/relationships/image" Target="media/image5.png" /><Relationship Id="rId26" Type="http://schemas.openxmlformats.org/officeDocument/2006/relationships/hyperlink" Target="https://hrnews.co.uk/automation-and-its-ethical-issues-the-uk-automation-revolution/" TargetMode="External" /><Relationship Id="rId39" Type="http://schemas.openxmlformats.org/officeDocument/2006/relationships/hyperlink" Target="https://www.weforum.org/publications/the-future-of-jobs-report-2025/digest/" TargetMode="External" /><Relationship Id="rId3" Type="http://schemas.openxmlformats.org/officeDocument/2006/relationships/styles" Target="styles.xml" /><Relationship Id="rId21" Type="http://schemas.openxmlformats.org/officeDocument/2006/relationships/hyperlink" Target="https://www.accenture.com/content/dam/accenture/final/accenture-com/a-com-custom-component/iconic/document/FY23-360-Value-Report-Custom.pdf" TargetMode="External" /><Relationship Id="rId34" Type="http://schemas.openxmlformats.org/officeDocument/2006/relationships/hyperlink" Target="https://www.shell.com/investors/results-and-reporting/annual-report-archive/_jcr_content/root/main/section_812377294/tabs/tab/text.multi.stream/1742905301176/ce28b952e201476287788cfcf35406e464f9785c/shell-annual-report-2023.pdf" TargetMode="Externa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image" Target="media/image4.png" /><Relationship Id="rId25" Type="http://schemas.openxmlformats.org/officeDocument/2006/relationships/hyperlink" Target="https://www.hofstede-insights.com/models/national-culture/" TargetMode="External" /><Relationship Id="rId33" Type="http://schemas.openxmlformats.org/officeDocument/2006/relationships/hyperlink" Target="https://shell.com/" TargetMode="External" /><Relationship Id="rId38" Type="http://schemas.openxmlformats.org/officeDocument/2006/relationships/hyperlink" Target="https://www.un.org/development/desa/pd/sites/www.un.org.development.desa.pd/files/wpp2022_summary_of_results.pdf" TargetMode="Externa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hyperlink" Target="https://cipmnigeria.org/learning/workforce-planning/" TargetMode="External" /><Relationship Id="rId29" Type="http://schemas.openxmlformats.org/officeDocument/2006/relationships/hyperlink" Target="https://www.mckinsey.com/capabilities/people-and-organizational-performance/our-insights/beyond-hiring-how-companies-are-reskilling-to-address-talent-gaps"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hyperlink" Target="http://humanresources.about.com/library/weekly/noreserach.htm" TargetMode="External" /><Relationship Id="rId32" Type="http://schemas.openxmlformats.org/officeDocument/2006/relationships/hyperlink" Target="https://www.researchgate.net/publication/390722022_Addressing_Skills_Gaps_and_Talent_Shortages_in_Nigeria_HRM_Strategies_for_the_Future_Preprint" TargetMode="External" /><Relationship Id="rId37" Type="http://schemas.openxmlformats.org/officeDocument/2006/relationships/hyperlink" Target="https://www.theemploymentlawsolicitors.co.uk/news/2024/05/23/skills-shortages/"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hyperlink" Target="https://www.h2020-pillars.eu/sites/default/files/toolkit/Discussion%20of%20impacts%20of%20automation%20technologies%20on%20the%20labour%20markets.pdf" TargetMode="External" /><Relationship Id="rId28" Type="http://schemas.openxmlformats.org/officeDocument/2006/relationships/hyperlink" Target="https://www.linkedin.com/pulse/bridging-skills-gap-proven-hrm-strategies-address-g6rwf/" TargetMode="External" /><Relationship Id="rId36" Type="http://schemas.openxmlformats.org/officeDocument/2006/relationships/hyperlink" Target="https://assets.publishing.service.gov.uk/media/66ffd4fce84ae1fd8592ee37/Skills_England_Report.pdf" TargetMode="External" /><Relationship Id="rId10" Type="http://schemas.openxmlformats.org/officeDocument/2006/relationships/header" Target="header2.xml" /><Relationship Id="rId19" Type="http://schemas.openxmlformats.org/officeDocument/2006/relationships/hyperlink" Target="https://www.cipd.org/en/knowledge/reports/labour-market-outlook/" TargetMode="External" /><Relationship Id="rId31" Type="http://schemas.openxmlformats.org/officeDocument/2006/relationships/hyperlink" Target="https://www.oecd.org/en/publications/understanding-skill-gaps-in-firms_b388d1da-en.html"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hyperlink" Target="https://www.europarl.europa.eu/" TargetMode="External" /><Relationship Id="rId27" Type="http://schemas.openxmlformats.org/officeDocument/2006/relationships/hyperlink" Target="https://www.isf-muenchen.de/pdf/BR_DE_BR13.pdf" TargetMode="External" /><Relationship Id="rId30" Type="http://schemas.openxmlformats.org/officeDocument/2006/relationships/hyperlink" Target="https://mooreks.co.uk/insights/addressing-labour-shortages-in-the-hospitality-sector/" TargetMode="External" /><Relationship Id="rId35" Type="http://schemas.openxmlformats.org/officeDocument/2006/relationships/hyperlink" Target="https://www.siemens.com/uk/en/company/press-releases/advanced-manufacturing-transformation-centre.html" TargetMode="Externa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FE9A7-FE3E-424E-9EE9-E6B71C4DCB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4758</Words>
  <Characters>27123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2025-10-19T08:24:00Z</dcterms:created>
  <dcterms:modified xsi:type="dcterms:W3CDTF">2025-10-19T08:24:00Z</dcterms:modified>
</cp:coreProperties>
</file>