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0EFDD" w14:textId="7F95BC69"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Th</w:t>
      </w:r>
      <w:r w:rsidR="002D6396">
        <w:rPr>
          <w:rFonts w:ascii="Times New Roman" w:hAnsi="Times New Roman" w:cs="Times New Roman"/>
          <w:sz w:val="24"/>
          <w:szCs w:val="24"/>
        </w:rPr>
        <w:t xml:space="preserve">is essay aims </w:t>
      </w:r>
      <w:r w:rsidR="002631D0">
        <w:rPr>
          <w:rFonts w:ascii="Times New Roman" w:hAnsi="Times New Roman" w:cs="Times New Roman"/>
          <w:sz w:val="24"/>
          <w:szCs w:val="24"/>
        </w:rPr>
        <w:t xml:space="preserve">to explore </w:t>
      </w:r>
      <w:r w:rsidR="00B92C67">
        <w:rPr>
          <w:rFonts w:ascii="Times New Roman" w:hAnsi="Times New Roman" w:cs="Times New Roman"/>
          <w:sz w:val="24"/>
          <w:szCs w:val="24"/>
        </w:rPr>
        <w:t xml:space="preserve">the concept of gender ideology </w:t>
      </w:r>
      <w:r w:rsidR="002D6396">
        <w:rPr>
          <w:rFonts w:ascii="Times New Roman" w:hAnsi="Times New Roman" w:cs="Times New Roman"/>
          <w:sz w:val="24"/>
          <w:szCs w:val="24"/>
        </w:rPr>
        <w:t xml:space="preserve">to determine how self-identity is formed and shaped. </w:t>
      </w:r>
      <w:r w:rsidRPr="005C5A26">
        <w:rPr>
          <w:rFonts w:ascii="Times New Roman" w:hAnsi="Times New Roman" w:cs="Times New Roman"/>
          <w:sz w:val="24"/>
          <w:szCs w:val="24"/>
        </w:rPr>
        <w:t xml:space="preserve"> This will include </w:t>
      </w:r>
      <w:r w:rsidR="002D6396">
        <w:rPr>
          <w:rFonts w:ascii="Times New Roman" w:hAnsi="Times New Roman" w:cs="Times New Roman"/>
          <w:sz w:val="24"/>
          <w:szCs w:val="24"/>
        </w:rPr>
        <w:t xml:space="preserve">a critical reflection </w:t>
      </w:r>
      <w:r w:rsidRPr="005C5A26">
        <w:rPr>
          <w:rFonts w:ascii="Times New Roman" w:hAnsi="Times New Roman" w:cs="Times New Roman"/>
          <w:sz w:val="24"/>
          <w:szCs w:val="24"/>
        </w:rPr>
        <w:t xml:space="preserve">of the </w:t>
      </w:r>
      <w:r w:rsidR="002D6396">
        <w:rPr>
          <w:rFonts w:ascii="Times New Roman" w:hAnsi="Times New Roman" w:cs="Times New Roman"/>
          <w:sz w:val="24"/>
          <w:szCs w:val="24"/>
        </w:rPr>
        <w:t xml:space="preserve">relational </w:t>
      </w:r>
      <w:r w:rsidRPr="005C5A26">
        <w:rPr>
          <w:rFonts w:ascii="Times New Roman" w:hAnsi="Times New Roman" w:cs="Times New Roman"/>
          <w:sz w:val="24"/>
          <w:szCs w:val="24"/>
        </w:rPr>
        <w:t>dialecti</w:t>
      </w:r>
      <w:r w:rsidR="002D6396">
        <w:rPr>
          <w:rFonts w:ascii="Times New Roman" w:hAnsi="Times New Roman" w:cs="Times New Roman"/>
          <w:sz w:val="24"/>
          <w:szCs w:val="24"/>
        </w:rPr>
        <w:t>cs</w:t>
      </w:r>
      <w:r w:rsidRPr="005C5A26">
        <w:rPr>
          <w:rFonts w:ascii="Times New Roman" w:hAnsi="Times New Roman" w:cs="Times New Roman"/>
          <w:sz w:val="24"/>
          <w:szCs w:val="24"/>
        </w:rPr>
        <w:t xml:space="preserve"> between individual, culture, family and society </w:t>
      </w:r>
      <w:r w:rsidR="000452BE">
        <w:rPr>
          <w:rFonts w:ascii="Times New Roman" w:hAnsi="Times New Roman" w:cs="Times New Roman"/>
          <w:sz w:val="24"/>
          <w:szCs w:val="24"/>
        </w:rPr>
        <w:t xml:space="preserve">and the </w:t>
      </w:r>
      <w:r w:rsidRPr="005C5A26">
        <w:rPr>
          <w:rFonts w:ascii="Times New Roman" w:hAnsi="Times New Roman" w:cs="Times New Roman"/>
          <w:sz w:val="24"/>
          <w:szCs w:val="24"/>
        </w:rPr>
        <w:t>impact</w:t>
      </w:r>
      <w:r w:rsidR="000452BE">
        <w:rPr>
          <w:rFonts w:ascii="Times New Roman" w:hAnsi="Times New Roman" w:cs="Times New Roman"/>
          <w:sz w:val="24"/>
          <w:szCs w:val="24"/>
        </w:rPr>
        <w:t>s of power</w:t>
      </w:r>
      <w:r w:rsidRPr="005C5A26">
        <w:rPr>
          <w:rFonts w:ascii="Times New Roman" w:hAnsi="Times New Roman" w:cs="Times New Roman"/>
          <w:sz w:val="24"/>
          <w:szCs w:val="24"/>
        </w:rPr>
        <w:t xml:space="preserve"> </w:t>
      </w:r>
      <w:r w:rsidR="000452BE">
        <w:rPr>
          <w:rFonts w:ascii="Times New Roman" w:hAnsi="Times New Roman" w:cs="Times New Roman"/>
          <w:sz w:val="24"/>
          <w:szCs w:val="24"/>
        </w:rPr>
        <w:t xml:space="preserve">on </w:t>
      </w:r>
      <w:r w:rsidRPr="005C5A26">
        <w:rPr>
          <w:rFonts w:ascii="Times New Roman" w:hAnsi="Times New Roman" w:cs="Times New Roman"/>
          <w:sz w:val="24"/>
          <w:szCs w:val="24"/>
        </w:rPr>
        <w:t xml:space="preserve">individual, social and political attitudes which may </w:t>
      </w:r>
      <w:r w:rsidR="000452BE" w:rsidRPr="005C5A26">
        <w:rPr>
          <w:rFonts w:ascii="Times New Roman" w:hAnsi="Times New Roman" w:cs="Times New Roman"/>
          <w:sz w:val="24"/>
          <w:szCs w:val="24"/>
        </w:rPr>
        <w:t>affect</w:t>
      </w:r>
      <w:r w:rsidRPr="005C5A26">
        <w:rPr>
          <w:rFonts w:ascii="Times New Roman" w:hAnsi="Times New Roman" w:cs="Times New Roman"/>
          <w:sz w:val="24"/>
          <w:szCs w:val="24"/>
        </w:rPr>
        <w:t xml:space="preserve"> equality and diversity in practice. The position of power and control and how this may impact on both diverse populations and human rights will be discussed through the lens of hegemony theory with an emphasis on the mass media and its influence on social learning.</w:t>
      </w:r>
    </w:p>
    <w:p w14:paraId="025ED219" w14:textId="77777777" w:rsidR="004B57A0" w:rsidRPr="005C5A26" w:rsidRDefault="009C15E1">
      <w:pPr>
        <w:pStyle w:val="Body"/>
        <w:spacing w:after="0" w:line="240" w:lineRule="auto"/>
        <w:ind w:left="720"/>
        <w:jc w:val="both"/>
        <w:rPr>
          <w:rFonts w:ascii="Times New Roman" w:hAnsi="Times New Roman" w:cs="Times New Roman"/>
          <w:sz w:val="24"/>
          <w:szCs w:val="24"/>
        </w:rPr>
      </w:pPr>
      <w:r w:rsidRPr="005C5A26">
        <w:rPr>
          <w:rFonts w:ascii="Times New Roman" w:hAnsi="Times New Roman" w:cs="Times New Roman"/>
          <w:sz w:val="24"/>
          <w:szCs w:val="24"/>
        </w:rPr>
        <w:t>A profound question about human life is why men and women, and boys and girls, behave differently in many circumstances but similarly in others. There is no one discipline that provides a sovereign, overarching answer, but each discipline</w:t>
      </w:r>
      <w:r w:rsidRPr="005C5A26">
        <w:rPr>
          <w:rFonts w:ascii="Times New Roman" w:hAnsi="Times New Roman" w:cs="Times New Roman"/>
          <w:sz w:val="24"/>
          <w:szCs w:val="24"/>
          <w:lang w:val="en-GB"/>
        </w:rPr>
        <w:t xml:space="preserve"> favours</w:t>
      </w:r>
      <w:r w:rsidRPr="005C5A26">
        <w:rPr>
          <w:rFonts w:ascii="Times New Roman" w:hAnsi="Times New Roman" w:cs="Times New Roman"/>
          <w:sz w:val="24"/>
          <w:szCs w:val="24"/>
        </w:rPr>
        <w:t xml:space="preserve"> certain types of causes (Eagley and Wood, 2015, p. 458).</w:t>
      </w:r>
    </w:p>
    <w:p w14:paraId="0AAEB04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ab/>
      </w:r>
    </w:p>
    <w:p w14:paraId="6AAD20D5" w14:textId="19334E30" w:rsidR="004B57A0" w:rsidRPr="005C5A26" w:rsidRDefault="00984FEF">
      <w:pPr>
        <w:pStyle w:val="Body"/>
        <w:spacing w:line="360" w:lineRule="auto"/>
        <w:jc w:val="both"/>
        <w:rPr>
          <w:rFonts w:ascii="Times New Roman" w:hAnsi="Times New Roman" w:cs="Times New Roman"/>
          <w:sz w:val="24"/>
          <w:szCs w:val="24"/>
        </w:rPr>
      </w:pPr>
      <w:r>
        <w:rPr>
          <w:rFonts w:ascii="Times New Roman" w:hAnsi="Times New Roman" w:cs="Times New Roman"/>
          <w:sz w:val="24"/>
          <w:szCs w:val="24"/>
        </w:rPr>
        <w:t>From the time of our birth, we are assigned a biological sex</w:t>
      </w:r>
      <w:r w:rsidR="009C15E1" w:rsidRPr="005C5A26">
        <w:rPr>
          <w:rFonts w:ascii="Times New Roman" w:hAnsi="Times New Roman" w:cs="Times New Roman"/>
          <w:sz w:val="24"/>
          <w:szCs w:val="24"/>
        </w:rPr>
        <w:t xml:space="preserve"> (e.g., ‘it’s a boy/girl!’). What ensues is an intricate process of</w:t>
      </w:r>
      <w:r w:rsidR="009C15E1" w:rsidRPr="005C5A26">
        <w:rPr>
          <w:rFonts w:ascii="Times New Roman" w:hAnsi="Times New Roman" w:cs="Times New Roman"/>
          <w:sz w:val="24"/>
          <w:szCs w:val="24"/>
          <w:lang w:val="en-GB"/>
        </w:rPr>
        <w:t xml:space="preserve"> realising</w:t>
      </w:r>
      <w:r w:rsidR="009C15E1" w:rsidRPr="005C5A26">
        <w:rPr>
          <w:rFonts w:ascii="Times New Roman" w:hAnsi="Times New Roman" w:cs="Times New Roman"/>
          <w:sz w:val="24"/>
          <w:szCs w:val="24"/>
        </w:rPr>
        <w:t xml:space="preserve"> what it means to be male or female, masculine or feminine, heterosexual, homosexual, bisexual, pansexual. The concept of gender identity and its formation has been a topic of great academic interest and debate (Oakley, 1972; West and Zimmerman, 1983; Lorber and Farrell, 1991; Lorber, 1994; Nicholson and Seidman, 1995; Brickell, 2006; </w:t>
      </w:r>
      <w:proofErr w:type="spellStart"/>
      <w:r w:rsidR="009C15E1" w:rsidRPr="005C5A26">
        <w:rPr>
          <w:rFonts w:ascii="Times New Roman" w:hAnsi="Times New Roman" w:cs="Times New Roman"/>
          <w:sz w:val="24"/>
          <w:szCs w:val="24"/>
        </w:rPr>
        <w:t>Mikkola</w:t>
      </w:r>
      <w:proofErr w:type="spellEnd"/>
      <w:r w:rsidR="009C15E1" w:rsidRPr="005C5A26">
        <w:rPr>
          <w:rFonts w:ascii="Times New Roman" w:hAnsi="Times New Roman" w:cs="Times New Roman"/>
          <w:sz w:val="24"/>
          <w:szCs w:val="24"/>
        </w:rPr>
        <w:t xml:space="preserve">, 2019). Within the model of identity there are intersectional elements in which individuals differ (e.g., socially and psychologically), encompassing gender, race/ethnicity, sexual orientation, socioeconomic status and disability (Elliot, 2001; Croteau, 2002). When gender is viewed as difference (e.g., male and female) the debate has focused mainly on the role biology and culture play (Oakley, 1972) in our understanding of the self and </w:t>
      </w:r>
      <w:r w:rsidR="00B86632" w:rsidRPr="005C5A26">
        <w:rPr>
          <w:rFonts w:ascii="Times New Roman" w:hAnsi="Times New Roman" w:cs="Times New Roman"/>
          <w:sz w:val="24"/>
          <w:szCs w:val="24"/>
        </w:rPr>
        <w:t>of the way in which g</w:t>
      </w:r>
      <w:r w:rsidR="009C15E1" w:rsidRPr="005C5A26">
        <w:rPr>
          <w:rFonts w:ascii="Times New Roman" w:hAnsi="Times New Roman" w:cs="Times New Roman"/>
          <w:sz w:val="24"/>
          <w:szCs w:val="24"/>
        </w:rPr>
        <w:t xml:space="preserve">ender systems are constructed. According to Acker (1990, 92) institutions are constructed by how people experience each other in a social dimension. This includes gender socialisation (Cameron, 1997) as people perform gender in </w:t>
      </w:r>
      <w:r w:rsidR="00B86632" w:rsidRPr="005C5A26">
        <w:rPr>
          <w:rFonts w:ascii="Times New Roman" w:hAnsi="Times New Roman" w:cs="Times New Roman"/>
          <w:sz w:val="24"/>
          <w:szCs w:val="24"/>
        </w:rPr>
        <w:t xml:space="preserve">the way in which </w:t>
      </w:r>
      <w:r w:rsidR="009C15E1" w:rsidRPr="005C5A26">
        <w:rPr>
          <w:rFonts w:ascii="Times New Roman" w:hAnsi="Times New Roman" w:cs="Times New Roman"/>
          <w:sz w:val="24"/>
          <w:szCs w:val="24"/>
        </w:rPr>
        <w:t>they experience life. Acker also proposes that the differing ways in which people perform their everyday practices is what shapes and reshapes gender institutions.</w:t>
      </w:r>
    </w:p>
    <w:p w14:paraId="0ED16D14" w14:textId="77777777" w:rsidR="004B57A0" w:rsidRPr="005C5A26" w:rsidRDefault="004B57A0">
      <w:pPr>
        <w:pStyle w:val="Body"/>
        <w:spacing w:line="360" w:lineRule="auto"/>
        <w:jc w:val="both"/>
        <w:rPr>
          <w:rFonts w:ascii="Times New Roman" w:hAnsi="Times New Roman" w:cs="Times New Roman"/>
          <w:sz w:val="24"/>
          <w:szCs w:val="24"/>
        </w:rPr>
      </w:pPr>
    </w:p>
    <w:p w14:paraId="13525D6D" w14:textId="4E652974"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The hierarchical running of these institutions plays a major </w:t>
      </w:r>
      <w:r w:rsidR="00AC27A1">
        <w:rPr>
          <w:rFonts w:ascii="Times New Roman" w:hAnsi="Times New Roman" w:cs="Times New Roman"/>
          <w:sz w:val="24"/>
          <w:szCs w:val="24"/>
        </w:rPr>
        <w:t>role</w:t>
      </w:r>
      <w:r w:rsidRPr="005C5A26">
        <w:rPr>
          <w:rFonts w:ascii="Times New Roman" w:hAnsi="Times New Roman" w:cs="Times New Roman"/>
          <w:sz w:val="24"/>
          <w:szCs w:val="24"/>
        </w:rPr>
        <w:t xml:space="preserve"> in shaping societal values and norms, including the formation of identity and behaviour of its members (Balzer, 2002). However, hierarchical foundations have been criticised as affording privilege and advantage to some members of society while supporting the oppression and disadvantage of others (West and Zimmerman, 1983; Lorber and Farrell, 1991; Lorber, 1994). For example, being white, male and heterosexual could be considered as a privileged social status as opposed to being </w:t>
      </w:r>
      <w:r w:rsidRPr="005C5A26">
        <w:rPr>
          <w:rFonts w:ascii="Times New Roman" w:hAnsi="Times New Roman" w:cs="Times New Roman"/>
          <w:sz w:val="24"/>
          <w:szCs w:val="24"/>
        </w:rPr>
        <w:lastRenderedPageBreak/>
        <w:t xml:space="preserve">African, male and homosexual (Croteau, 2002). According to the International Gay and Lesbian Association, homosexuality is </w:t>
      </w:r>
      <w:r w:rsidR="001D5BC4" w:rsidRPr="005C5A26">
        <w:rPr>
          <w:rFonts w:ascii="Times New Roman" w:hAnsi="Times New Roman" w:cs="Times New Roman"/>
          <w:sz w:val="24"/>
          <w:szCs w:val="24"/>
        </w:rPr>
        <w:t>forbidden</w:t>
      </w:r>
      <w:r w:rsidRPr="005C5A26">
        <w:rPr>
          <w:rFonts w:ascii="Times New Roman" w:hAnsi="Times New Roman" w:cs="Times New Roman"/>
          <w:sz w:val="24"/>
          <w:szCs w:val="24"/>
        </w:rPr>
        <w:t xml:space="preserve"> in 34 African countries as well as many other parts of the world (Carroll</w:t>
      </w:r>
      <w:r w:rsidR="001113A6">
        <w:rPr>
          <w:rFonts w:ascii="Times New Roman" w:hAnsi="Times New Roman" w:cs="Times New Roman"/>
          <w:sz w:val="24"/>
          <w:szCs w:val="24"/>
        </w:rPr>
        <w:t xml:space="preserve"> and </w:t>
      </w:r>
      <w:r w:rsidR="001113A6" w:rsidRPr="001113A6">
        <w:rPr>
          <w:rFonts w:ascii="Times New Roman" w:hAnsi="Times New Roman" w:cs="Times New Roman"/>
          <w:sz w:val="24"/>
          <w:szCs w:val="24"/>
        </w:rPr>
        <w:t xml:space="preserve">Ramón </w:t>
      </w:r>
      <w:proofErr w:type="spellStart"/>
      <w:r w:rsidR="001113A6" w:rsidRPr="001113A6">
        <w:rPr>
          <w:rFonts w:ascii="Times New Roman" w:hAnsi="Times New Roman" w:cs="Times New Roman"/>
          <w:sz w:val="24"/>
          <w:szCs w:val="24"/>
        </w:rPr>
        <w:t>Mendos</w:t>
      </w:r>
      <w:proofErr w:type="spellEnd"/>
      <w:r w:rsidR="001113A6">
        <w:rPr>
          <w:rFonts w:ascii="Times New Roman" w:hAnsi="Times New Roman" w:cs="Times New Roman"/>
          <w:sz w:val="24"/>
          <w:szCs w:val="24"/>
        </w:rPr>
        <w:t xml:space="preserve">, </w:t>
      </w:r>
      <w:r w:rsidRPr="005C5A26">
        <w:rPr>
          <w:rFonts w:ascii="Times New Roman" w:hAnsi="Times New Roman" w:cs="Times New Roman"/>
          <w:sz w:val="24"/>
          <w:szCs w:val="24"/>
        </w:rPr>
        <w:t xml:space="preserve">2016). </w:t>
      </w:r>
      <w:proofErr w:type="spellStart"/>
      <w:r w:rsidRPr="005C5A26">
        <w:rPr>
          <w:rFonts w:ascii="Times New Roman" w:hAnsi="Times New Roman" w:cs="Times New Roman"/>
          <w:sz w:val="24"/>
          <w:szCs w:val="24"/>
        </w:rPr>
        <w:t>Criminalisation</w:t>
      </w:r>
      <w:proofErr w:type="spellEnd"/>
      <w:r w:rsidRPr="005C5A26">
        <w:rPr>
          <w:rFonts w:ascii="Times New Roman" w:hAnsi="Times New Roman" w:cs="Times New Roman"/>
          <w:sz w:val="24"/>
          <w:szCs w:val="24"/>
        </w:rPr>
        <w:t xml:space="preserve"> entails imprisonable sentences and even death. For example, in thirteen nation states, including Sudan, Saudi</w:t>
      </w:r>
      <w:r w:rsidR="002D7EEE">
        <w:rPr>
          <w:rFonts w:ascii="Times New Roman" w:hAnsi="Times New Roman" w:cs="Times New Roman"/>
          <w:sz w:val="24"/>
          <w:szCs w:val="24"/>
        </w:rPr>
        <w:t xml:space="preserve"> </w:t>
      </w:r>
      <w:r w:rsidRPr="005C5A26">
        <w:rPr>
          <w:rFonts w:ascii="Times New Roman" w:hAnsi="Times New Roman" w:cs="Times New Roman"/>
          <w:sz w:val="24"/>
          <w:szCs w:val="24"/>
        </w:rPr>
        <w:t xml:space="preserve">Arabia and Pakistan, the maximum penalty for engaging </w:t>
      </w:r>
      <w:r w:rsidR="00FB69CF" w:rsidRPr="005C5A26">
        <w:rPr>
          <w:rFonts w:ascii="Times New Roman" w:hAnsi="Times New Roman" w:cs="Times New Roman"/>
          <w:sz w:val="24"/>
          <w:szCs w:val="24"/>
        </w:rPr>
        <w:t xml:space="preserve">in </w:t>
      </w:r>
      <w:r w:rsidR="002D7EEE">
        <w:rPr>
          <w:rFonts w:ascii="Times New Roman" w:hAnsi="Times New Roman" w:cs="Times New Roman"/>
          <w:sz w:val="24"/>
          <w:szCs w:val="24"/>
        </w:rPr>
        <w:t xml:space="preserve">same-sex </w:t>
      </w:r>
      <w:r w:rsidRPr="005C5A26">
        <w:rPr>
          <w:rFonts w:ascii="Times New Roman" w:hAnsi="Times New Roman" w:cs="Times New Roman"/>
          <w:sz w:val="24"/>
          <w:szCs w:val="24"/>
        </w:rPr>
        <w:t>sex</w:t>
      </w:r>
      <w:r w:rsidR="00A72966" w:rsidRPr="005C5A26">
        <w:rPr>
          <w:rFonts w:ascii="Times New Roman" w:hAnsi="Times New Roman" w:cs="Times New Roman"/>
          <w:sz w:val="24"/>
          <w:szCs w:val="24"/>
        </w:rPr>
        <w:t>ual</w:t>
      </w:r>
      <w:r w:rsidRPr="005C5A26">
        <w:rPr>
          <w:rFonts w:ascii="Times New Roman" w:hAnsi="Times New Roman" w:cs="Times New Roman"/>
          <w:sz w:val="24"/>
          <w:szCs w:val="24"/>
        </w:rPr>
        <w:t xml:space="preserve"> </w:t>
      </w:r>
      <w:r w:rsidR="00B80641">
        <w:rPr>
          <w:rFonts w:ascii="Times New Roman" w:hAnsi="Times New Roman" w:cs="Times New Roman"/>
          <w:sz w:val="24"/>
          <w:szCs w:val="24"/>
        </w:rPr>
        <w:t>activity</w:t>
      </w:r>
      <w:r w:rsidR="00FB69CF" w:rsidRPr="005C5A26">
        <w:rPr>
          <w:rFonts w:ascii="Times New Roman" w:hAnsi="Times New Roman" w:cs="Times New Roman"/>
          <w:sz w:val="24"/>
          <w:szCs w:val="24"/>
        </w:rPr>
        <w:t xml:space="preserve"> </w:t>
      </w:r>
      <w:r w:rsidRPr="005C5A26">
        <w:rPr>
          <w:rFonts w:ascii="Times New Roman" w:hAnsi="Times New Roman" w:cs="Times New Roman"/>
          <w:sz w:val="24"/>
          <w:szCs w:val="24"/>
        </w:rPr>
        <w:t>is death (see A</w:t>
      </w:r>
      <w:r w:rsidRPr="005C5A26">
        <w:rPr>
          <w:rFonts w:ascii="Times New Roman" w:hAnsi="Times New Roman" w:cs="Times New Roman"/>
          <w:sz w:val="24"/>
          <w:szCs w:val="24"/>
          <w:lang w:val="da-DK"/>
        </w:rPr>
        <w:t>ppendix</w:t>
      </w:r>
      <w:r w:rsidRPr="005C5A26">
        <w:rPr>
          <w:rFonts w:ascii="Times New Roman" w:hAnsi="Times New Roman" w:cs="Times New Roman"/>
          <w:sz w:val="24"/>
          <w:szCs w:val="24"/>
        </w:rPr>
        <w:t xml:space="preserve"> a, State-sponsored Homophobia, World Survey of Sexual Orientation Laws</w:t>
      </w:r>
      <w:r w:rsidR="005A459A">
        <w:rPr>
          <w:rFonts w:ascii="Times New Roman" w:hAnsi="Times New Roman" w:cs="Times New Roman"/>
          <w:sz w:val="24"/>
          <w:szCs w:val="24"/>
        </w:rPr>
        <w:t xml:space="preserve">, </w:t>
      </w:r>
      <w:r w:rsidRPr="005C5A26">
        <w:rPr>
          <w:rFonts w:ascii="Times New Roman" w:hAnsi="Times New Roman" w:cs="Times New Roman"/>
          <w:sz w:val="24"/>
          <w:szCs w:val="24"/>
        </w:rPr>
        <w:t xml:space="preserve">pp. 189-191). These prohibitions create numerous equality and human rights issues, (e.g., discrimination and violence) impacting on </w:t>
      </w:r>
      <w:r w:rsidR="006A478F" w:rsidRPr="005C5A26">
        <w:rPr>
          <w:rFonts w:ascii="Times New Roman" w:hAnsi="Times New Roman" w:cs="Times New Roman"/>
          <w:sz w:val="24"/>
          <w:szCs w:val="24"/>
        </w:rPr>
        <w:t xml:space="preserve">identity, </w:t>
      </w:r>
      <w:r w:rsidRPr="005C5A26">
        <w:rPr>
          <w:rFonts w:ascii="Times New Roman" w:hAnsi="Times New Roman" w:cs="Times New Roman"/>
          <w:sz w:val="24"/>
          <w:szCs w:val="24"/>
        </w:rPr>
        <w:t xml:space="preserve">health, family relations and the right to sexual diversity (World Health Organisation, 2020). </w:t>
      </w:r>
    </w:p>
    <w:p w14:paraId="59D6EB2C" w14:textId="77777777" w:rsidR="004B57A0" w:rsidRPr="005C5A26" w:rsidRDefault="004B57A0">
      <w:pPr>
        <w:pStyle w:val="Body"/>
        <w:spacing w:line="360" w:lineRule="auto"/>
        <w:jc w:val="both"/>
        <w:rPr>
          <w:rFonts w:ascii="Times New Roman" w:hAnsi="Times New Roman" w:cs="Times New Roman"/>
          <w:sz w:val="24"/>
          <w:szCs w:val="24"/>
        </w:rPr>
      </w:pPr>
    </w:p>
    <w:p w14:paraId="2508E941" w14:textId="73584528"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The intention of this essay is to explore the mechanisms of power and the dominating forces that (re)produce and support the gender hierarchy and in doing so create intersections of inequality and human rights issues for both vulnerable and diverse groups of people universally. </w:t>
      </w:r>
      <w:r w:rsidR="0008499E" w:rsidRPr="005C5A26">
        <w:rPr>
          <w:rFonts w:ascii="Times New Roman" w:hAnsi="Times New Roman" w:cs="Times New Roman"/>
          <w:sz w:val="24"/>
          <w:szCs w:val="24"/>
        </w:rPr>
        <w:t>The concept of h</w:t>
      </w:r>
      <w:r w:rsidRPr="005C5A26">
        <w:rPr>
          <w:rFonts w:ascii="Times New Roman" w:hAnsi="Times New Roman" w:cs="Times New Roman"/>
          <w:sz w:val="24"/>
          <w:szCs w:val="24"/>
        </w:rPr>
        <w:t xml:space="preserve">uman rights </w:t>
      </w:r>
      <w:r w:rsidR="004B29C4" w:rsidRPr="005C5A26">
        <w:rPr>
          <w:rFonts w:ascii="Times New Roman" w:hAnsi="Times New Roman" w:cs="Times New Roman"/>
          <w:sz w:val="24"/>
          <w:szCs w:val="24"/>
        </w:rPr>
        <w:t>was</w:t>
      </w:r>
      <w:r w:rsidRPr="005C5A26">
        <w:rPr>
          <w:rFonts w:ascii="Times New Roman" w:hAnsi="Times New Roman" w:cs="Times New Roman"/>
          <w:sz w:val="24"/>
          <w:szCs w:val="24"/>
        </w:rPr>
        <w:t xml:space="preserve"> developed to enable all </w:t>
      </w:r>
      <w:r w:rsidR="004B29C4" w:rsidRPr="005C5A26">
        <w:rPr>
          <w:rFonts w:ascii="Times New Roman" w:hAnsi="Times New Roman" w:cs="Times New Roman"/>
          <w:sz w:val="24"/>
          <w:szCs w:val="24"/>
        </w:rPr>
        <w:t>individuals’</w:t>
      </w:r>
      <w:r w:rsidRPr="005C5A26">
        <w:rPr>
          <w:rFonts w:ascii="Times New Roman" w:hAnsi="Times New Roman" w:cs="Times New Roman"/>
          <w:sz w:val="24"/>
          <w:szCs w:val="24"/>
        </w:rPr>
        <w:t xml:space="preserve"> basic rights and freedoms. The only time these rights and freedoms would ever be restricted or taken away is when a person breaks the law or is a threat to national security. The fundamentals of human rights relate to principles of dignity, fairness, equality, respect and independence. These principles are adhered to by legislation, in the UK, </w:t>
      </w:r>
      <w:r w:rsidR="007963E6">
        <w:rPr>
          <w:rFonts w:ascii="Times New Roman" w:hAnsi="Times New Roman" w:cs="Times New Roman"/>
          <w:sz w:val="24"/>
          <w:szCs w:val="24"/>
        </w:rPr>
        <w:t>e.g.</w:t>
      </w:r>
      <w:r w:rsidRPr="005C5A26">
        <w:rPr>
          <w:rFonts w:ascii="Times New Roman" w:hAnsi="Times New Roman" w:cs="Times New Roman"/>
          <w:sz w:val="24"/>
          <w:szCs w:val="24"/>
        </w:rPr>
        <w:t xml:space="preserve">, our human rights are protected by the Human Rights Act 1998 (Equality and Human Rights Commission, EHRC, 2019). However, this is likely to be replaced soon for a new Bill of Rights (Horne and </w:t>
      </w:r>
      <w:proofErr w:type="spellStart"/>
      <w:r w:rsidRPr="005C5A26">
        <w:rPr>
          <w:rFonts w:ascii="Times New Roman" w:hAnsi="Times New Roman" w:cs="Times New Roman"/>
          <w:sz w:val="24"/>
          <w:szCs w:val="24"/>
        </w:rPr>
        <w:t>Maer</w:t>
      </w:r>
      <w:proofErr w:type="spellEnd"/>
      <w:r w:rsidRPr="005C5A26">
        <w:rPr>
          <w:rFonts w:ascii="Times New Roman" w:hAnsi="Times New Roman" w:cs="Times New Roman"/>
          <w:sz w:val="24"/>
          <w:szCs w:val="24"/>
        </w:rPr>
        <w:t>, 2010). Indeed, there are concerns that the UK ’s departure from the EU could have</w:t>
      </w:r>
      <w:r w:rsidR="00DD4E5A">
        <w:rPr>
          <w:rFonts w:ascii="Times New Roman" w:hAnsi="Times New Roman" w:cs="Times New Roman"/>
          <w:sz w:val="24"/>
          <w:szCs w:val="24"/>
        </w:rPr>
        <w:t xml:space="preserve"> </w:t>
      </w:r>
      <w:r w:rsidR="00407F4E">
        <w:rPr>
          <w:rFonts w:ascii="Times New Roman" w:hAnsi="Times New Roman" w:cs="Times New Roman"/>
          <w:sz w:val="24"/>
          <w:szCs w:val="24"/>
        </w:rPr>
        <w:t>ramifi</w:t>
      </w:r>
      <w:r w:rsidRPr="005C5A26">
        <w:rPr>
          <w:rFonts w:ascii="Times New Roman" w:hAnsi="Times New Roman" w:cs="Times New Roman"/>
          <w:sz w:val="24"/>
          <w:szCs w:val="24"/>
        </w:rPr>
        <w:t>cations for equality (see, EHRC, 2016 for full details) and domestic laws, which protect or develop equality and human rights</w:t>
      </w:r>
      <w:r w:rsidR="00DD4E5A">
        <w:rPr>
          <w:rFonts w:ascii="Times New Roman" w:hAnsi="Times New Roman" w:cs="Times New Roman"/>
          <w:sz w:val="24"/>
          <w:szCs w:val="24"/>
        </w:rPr>
        <w:t>,</w:t>
      </w:r>
      <w:r w:rsidRPr="005C5A26">
        <w:rPr>
          <w:rFonts w:ascii="Times New Roman" w:hAnsi="Times New Roman" w:cs="Times New Roman"/>
          <w:sz w:val="24"/>
          <w:szCs w:val="24"/>
        </w:rPr>
        <w:t xml:space="preserve"> this includes protection against discrimination, for example:</w:t>
      </w:r>
    </w:p>
    <w:p w14:paraId="61E9162A" w14:textId="77777777" w:rsidR="004B57A0" w:rsidRPr="005C5A26" w:rsidRDefault="009C15E1">
      <w:pPr>
        <w:pStyle w:val="Body"/>
        <w:spacing w:line="240" w:lineRule="auto"/>
        <w:ind w:left="720" w:right="57"/>
        <w:jc w:val="both"/>
        <w:rPr>
          <w:rFonts w:ascii="Times New Roman" w:hAnsi="Times New Roman" w:cs="Times New Roman"/>
          <w:sz w:val="24"/>
          <w:szCs w:val="24"/>
        </w:rPr>
      </w:pPr>
      <w:r w:rsidRPr="005C5A26">
        <w:rPr>
          <w:rFonts w:ascii="Times New Roman" w:hAnsi="Times New Roman" w:cs="Times New Roman"/>
          <w:sz w:val="24"/>
          <w:szCs w:val="24"/>
        </w:rPr>
        <w:t>The Equality Act 2010 is the domestic legislation which prohibits discrimination and makes   provision intended to advance equality. Domestic legislation will not be immediately affected by EU exit. However, whereas currently the UK is required to retain parts of the Equality Act 2010, following EU exit the Government could, in theory, repeal some or all of its provisions (EHRC, 2016, p. 9).</w:t>
      </w:r>
    </w:p>
    <w:p w14:paraId="460421E6" w14:textId="77777777" w:rsidR="004B57A0" w:rsidRPr="005C5A26" w:rsidRDefault="004B57A0">
      <w:pPr>
        <w:pStyle w:val="Body"/>
        <w:spacing w:after="0" w:line="240" w:lineRule="auto"/>
        <w:ind w:left="720" w:right="57"/>
        <w:jc w:val="both"/>
        <w:rPr>
          <w:rFonts w:ascii="Times New Roman" w:hAnsi="Times New Roman" w:cs="Times New Roman"/>
          <w:sz w:val="24"/>
          <w:szCs w:val="24"/>
        </w:rPr>
      </w:pPr>
    </w:p>
    <w:p w14:paraId="279549D3" w14:textId="10110DC7"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This next section will</w:t>
      </w:r>
      <w:r w:rsidR="005F1755">
        <w:rPr>
          <w:rFonts w:ascii="Times New Roman" w:hAnsi="Times New Roman" w:cs="Times New Roman"/>
          <w:sz w:val="24"/>
          <w:szCs w:val="24"/>
        </w:rPr>
        <w:t xml:space="preserve"> </w:t>
      </w:r>
      <w:r w:rsidRPr="005C5A26">
        <w:rPr>
          <w:rFonts w:ascii="Times New Roman" w:hAnsi="Times New Roman" w:cs="Times New Roman"/>
          <w:sz w:val="24"/>
          <w:szCs w:val="24"/>
        </w:rPr>
        <w:t>reflect on several perspectives and theories that may help in the understanding of these mechanisms of power and how they may impact on gender, identity and behaviour. In terms of biology, biological determinism hypothesises that human behaviour is controlled by a person's genetic characteristics or by their physiology (Whittier, Taylor and Rupp, 2011). An early perspective of this theory presented by Geddes and Thomson (1889</w:t>
      </w:r>
      <w:r w:rsidRPr="005C5A26">
        <w:rPr>
          <w:rFonts w:ascii="Times New Roman" w:hAnsi="Times New Roman" w:cs="Times New Roman"/>
          <w:i/>
          <w:iCs/>
          <w:sz w:val="24"/>
          <w:szCs w:val="24"/>
        </w:rPr>
        <w:t xml:space="preserve">, </w:t>
      </w:r>
      <w:r w:rsidRPr="005C5A26">
        <w:rPr>
          <w:rFonts w:ascii="Times New Roman" w:hAnsi="Times New Roman" w:cs="Times New Roman"/>
          <w:i/>
          <w:iCs/>
          <w:sz w:val="24"/>
          <w:szCs w:val="24"/>
        </w:rPr>
        <w:lastRenderedPageBreak/>
        <w:t>cited</w:t>
      </w:r>
      <w:r w:rsidRPr="005C5A26">
        <w:rPr>
          <w:rFonts w:ascii="Times New Roman" w:hAnsi="Times New Roman" w:cs="Times New Roman"/>
          <w:sz w:val="24"/>
          <w:szCs w:val="24"/>
        </w:rPr>
        <w:t xml:space="preserve"> in </w:t>
      </w:r>
      <w:proofErr w:type="spellStart"/>
      <w:r w:rsidRPr="005C5A26">
        <w:rPr>
          <w:rFonts w:ascii="Times New Roman" w:hAnsi="Times New Roman" w:cs="Times New Roman"/>
          <w:sz w:val="24"/>
          <w:szCs w:val="24"/>
        </w:rPr>
        <w:t>Mikkola</w:t>
      </w:r>
      <w:proofErr w:type="spellEnd"/>
      <w:r w:rsidRPr="005C5A26">
        <w:rPr>
          <w:rFonts w:ascii="Times New Roman" w:hAnsi="Times New Roman" w:cs="Times New Roman"/>
          <w:sz w:val="24"/>
          <w:szCs w:val="24"/>
        </w:rPr>
        <w:t xml:space="preserve">, 2019, p. 2) proposes ‘that social, psychological and behavioural traits are caused by metabolic state.’ According to this hypothesis, women are ‘anabolic,’ conservers of energy, passive by nature and static. Men on the other hand are ‘katabolic,’ energetic, eager and passionate. An analysis of these characteristics concluded that the ‘anabolic’ nature as opposed to the </w:t>
      </w:r>
      <w:r w:rsidRPr="005C5A26">
        <w:rPr>
          <w:rFonts w:ascii="Times New Roman" w:hAnsi="Times New Roman" w:cs="Times New Roman"/>
          <w:sz w:val="24"/>
          <w:szCs w:val="24"/>
          <w:lang w:val="en-GB"/>
        </w:rPr>
        <w:t>‘katabolic</w:t>
      </w:r>
      <w:r w:rsidRPr="005C5A26">
        <w:rPr>
          <w:rFonts w:ascii="Times New Roman" w:hAnsi="Times New Roman" w:cs="Times New Roman"/>
          <w:sz w:val="24"/>
          <w:szCs w:val="24"/>
        </w:rPr>
        <w:t xml:space="preserve">’ </w:t>
      </w:r>
      <w:r w:rsidRPr="005C5A26">
        <w:rPr>
          <w:rFonts w:ascii="Times New Roman" w:hAnsi="Times New Roman" w:cs="Times New Roman"/>
          <w:sz w:val="24"/>
          <w:szCs w:val="24"/>
          <w:lang w:val="fr-FR"/>
        </w:rPr>
        <w:t>nature</w:t>
      </w:r>
      <w:r w:rsidRPr="005C5A26">
        <w:rPr>
          <w:rFonts w:ascii="Times New Roman" w:hAnsi="Times New Roman" w:cs="Times New Roman"/>
          <w:sz w:val="24"/>
          <w:szCs w:val="24"/>
          <w:lang w:val="en-GB"/>
        </w:rPr>
        <w:t xml:space="preserve"> was</w:t>
      </w:r>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unsuited</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nor</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concerned</w:t>
      </w:r>
      <w:proofErr w:type="spellEnd"/>
      <w:r w:rsidRPr="005C5A26">
        <w:rPr>
          <w:rFonts w:ascii="Times New Roman" w:hAnsi="Times New Roman" w:cs="Times New Roman"/>
          <w:sz w:val="24"/>
          <w:szCs w:val="24"/>
          <w:lang w:val="fr-FR"/>
        </w:rPr>
        <w:t xml:space="preserve"> in </w:t>
      </w:r>
      <w:proofErr w:type="spellStart"/>
      <w:r w:rsidRPr="005C5A26">
        <w:rPr>
          <w:rFonts w:ascii="Times New Roman" w:hAnsi="Times New Roman" w:cs="Times New Roman"/>
          <w:sz w:val="24"/>
          <w:szCs w:val="24"/>
          <w:lang w:val="fr-FR"/>
        </w:rPr>
        <w:t>matters</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pertaining</w:t>
      </w:r>
      <w:proofErr w:type="spellEnd"/>
      <w:r w:rsidRPr="005C5A26">
        <w:rPr>
          <w:rFonts w:ascii="Times New Roman" w:hAnsi="Times New Roman" w:cs="Times New Roman"/>
          <w:sz w:val="24"/>
          <w:szCs w:val="24"/>
          <w:lang w:val="fr-FR"/>
        </w:rPr>
        <w:t xml:space="preserve"> to social </w:t>
      </w:r>
      <w:proofErr w:type="spellStart"/>
      <w:r w:rsidRPr="005C5A26">
        <w:rPr>
          <w:rFonts w:ascii="Times New Roman" w:hAnsi="Times New Roman" w:cs="Times New Roman"/>
          <w:sz w:val="24"/>
          <w:szCs w:val="24"/>
          <w:lang w:val="fr-FR"/>
        </w:rPr>
        <w:t>affairs</w:t>
      </w:r>
      <w:proofErr w:type="spellEnd"/>
      <w:r w:rsidRPr="005C5A26">
        <w:rPr>
          <w:rFonts w:ascii="Times New Roman" w:hAnsi="Times New Roman" w:cs="Times New Roman"/>
          <w:sz w:val="24"/>
          <w:szCs w:val="24"/>
          <w:lang w:val="fr-FR"/>
        </w:rPr>
        <w:t xml:space="preserve"> and </w:t>
      </w:r>
      <w:proofErr w:type="spellStart"/>
      <w:r w:rsidRPr="005C5A26">
        <w:rPr>
          <w:rFonts w:ascii="Times New Roman" w:hAnsi="Times New Roman" w:cs="Times New Roman"/>
          <w:sz w:val="24"/>
          <w:szCs w:val="24"/>
          <w:lang w:val="fr-FR"/>
        </w:rPr>
        <w:t>politics</w:t>
      </w:r>
      <w:proofErr w:type="spellEnd"/>
      <w:r w:rsidRPr="005C5A26">
        <w:rPr>
          <w:rFonts w:ascii="Times New Roman" w:hAnsi="Times New Roman" w:cs="Times New Roman"/>
          <w:sz w:val="24"/>
          <w:szCs w:val="24"/>
          <w:lang w:val="fr-FR"/>
        </w:rPr>
        <w:t xml:space="preserve">. This </w:t>
      </w:r>
      <w:proofErr w:type="spellStart"/>
      <w:r w:rsidRPr="005C5A26">
        <w:rPr>
          <w:rFonts w:ascii="Times New Roman" w:hAnsi="Times New Roman" w:cs="Times New Roman"/>
          <w:sz w:val="24"/>
          <w:szCs w:val="24"/>
          <w:lang w:val="fr-FR"/>
        </w:rPr>
        <w:t>study</w:t>
      </w:r>
      <w:proofErr w:type="spellEnd"/>
      <w:r w:rsidRPr="005C5A26">
        <w:rPr>
          <w:rFonts w:ascii="Times New Roman" w:hAnsi="Times New Roman" w:cs="Times New Roman"/>
          <w:sz w:val="24"/>
          <w:szCs w:val="24"/>
          <w:lang w:val="fr-FR"/>
        </w:rPr>
        <w:t xml:space="preserve"> of </w:t>
      </w:r>
      <w:proofErr w:type="spellStart"/>
      <w:r w:rsidRPr="005C5A26">
        <w:rPr>
          <w:rFonts w:ascii="Times New Roman" w:hAnsi="Times New Roman" w:cs="Times New Roman"/>
          <w:sz w:val="24"/>
          <w:szCs w:val="24"/>
          <w:lang w:val="fr-FR"/>
        </w:rPr>
        <w:t>gender</w:t>
      </w:r>
      <w:proofErr w:type="spellEnd"/>
      <w:r w:rsidRPr="005C5A26">
        <w:rPr>
          <w:rFonts w:ascii="Times New Roman" w:hAnsi="Times New Roman" w:cs="Times New Roman"/>
          <w:sz w:val="24"/>
          <w:szCs w:val="24"/>
          <w:lang w:val="en-GB"/>
        </w:rPr>
        <w:t xml:space="preserve"> may</w:t>
      </w:r>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be</w:t>
      </w:r>
      <w:proofErr w:type="spellEnd"/>
      <w:r w:rsidRPr="005C5A26">
        <w:rPr>
          <w:rFonts w:ascii="Times New Roman" w:hAnsi="Times New Roman" w:cs="Times New Roman"/>
          <w:sz w:val="24"/>
          <w:szCs w:val="24"/>
          <w:lang w:val="fr-FR"/>
        </w:rPr>
        <w:t xml:space="preserve"> of </w:t>
      </w:r>
      <w:proofErr w:type="spellStart"/>
      <w:r w:rsidRPr="005C5A26">
        <w:rPr>
          <w:rFonts w:ascii="Times New Roman" w:hAnsi="Times New Roman" w:cs="Times New Roman"/>
          <w:sz w:val="24"/>
          <w:szCs w:val="24"/>
          <w:lang w:val="fr-FR"/>
        </w:rPr>
        <w:t>significance</w:t>
      </w:r>
      <w:proofErr w:type="spellEnd"/>
      <w:r w:rsidRPr="005C5A26">
        <w:rPr>
          <w:rFonts w:ascii="Times New Roman" w:hAnsi="Times New Roman" w:cs="Times New Roman"/>
          <w:sz w:val="24"/>
          <w:szCs w:val="24"/>
          <w:lang w:val="fr-FR"/>
        </w:rPr>
        <w:t xml:space="preserve"> in how </w:t>
      </w:r>
      <w:proofErr w:type="spellStart"/>
      <w:r w:rsidRPr="005C5A26">
        <w:rPr>
          <w:rFonts w:ascii="Times New Roman" w:hAnsi="Times New Roman" w:cs="Times New Roman"/>
          <w:sz w:val="24"/>
          <w:szCs w:val="24"/>
          <w:lang w:val="fr-FR"/>
        </w:rPr>
        <w:t>hegemonic</w:t>
      </w:r>
      <w:proofErr w:type="spellEnd"/>
      <w:r w:rsidRPr="005C5A26">
        <w:rPr>
          <w:rFonts w:ascii="Times New Roman" w:hAnsi="Times New Roman" w:cs="Times New Roman"/>
          <w:sz w:val="24"/>
          <w:szCs w:val="24"/>
          <w:lang w:val="fr-FR"/>
        </w:rPr>
        <w:t xml:space="preserve"> institutions and </w:t>
      </w:r>
      <w:proofErr w:type="spellStart"/>
      <w:r w:rsidRPr="005C5A26">
        <w:rPr>
          <w:rFonts w:ascii="Times New Roman" w:hAnsi="Times New Roman" w:cs="Times New Roman"/>
          <w:sz w:val="24"/>
          <w:szCs w:val="24"/>
          <w:lang w:val="fr-FR"/>
        </w:rPr>
        <w:t>hierarchical</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gender</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systems</w:t>
      </w:r>
      <w:proofErr w:type="spellEnd"/>
      <w:r w:rsidRPr="005C5A26">
        <w:rPr>
          <w:rFonts w:ascii="Times New Roman" w:hAnsi="Times New Roman" w:cs="Times New Roman"/>
          <w:sz w:val="24"/>
          <w:szCs w:val="24"/>
          <w:lang w:val="fr-FR"/>
        </w:rPr>
        <w:t xml:space="preserve"> are </w:t>
      </w:r>
      <w:proofErr w:type="spellStart"/>
      <w:r w:rsidRPr="005C5A26">
        <w:rPr>
          <w:rFonts w:ascii="Times New Roman" w:hAnsi="Times New Roman" w:cs="Times New Roman"/>
          <w:sz w:val="24"/>
          <w:szCs w:val="24"/>
          <w:lang w:val="fr-FR"/>
        </w:rPr>
        <w:t>constructed</w:t>
      </w:r>
      <w:proofErr w:type="spellEnd"/>
      <w:r w:rsidRPr="005C5A26">
        <w:rPr>
          <w:rFonts w:ascii="Times New Roman" w:hAnsi="Times New Roman" w:cs="Times New Roman"/>
          <w:sz w:val="24"/>
          <w:szCs w:val="24"/>
          <w:lang w:val="fr-FR"/>
        </w:rPr>
        <w:t xml:space="preserve"> as </w:t>
      </w:r>
      <w:proofErr w:type="spellStart"/>
      <w:r w:rsidRPr="005C5A26">
        <w:rPr>
          <w:rFonts w:ascii="Times New Roman" w:hAnsi="Times New Roman" w:cs="Times New Roman"/>
          <w:sz w:val="24"/>
          <w:szCs w:val="24"/>
          <w:lang w:val="fr-FR"/>
        </w:rPr>
        <w:t>this</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analysis</w:t>
      </w:r>
      <w:proofErr w:type="spellEnd"/>
      <w:r w:rsidRPr="005C5A26">
        <w:rPr>
          <w:rFonts w:ascii="Times New Roman" w:hAnsi="Times New Roman" w:cs="Times New Roman"/>
          <w:sz w:val="24"/>
          <w:szCs w:val="24"/>
          <w:lang w:val="fr-FR"/>
        </w:rPr>
        <w:t xml:space="preserve"> of </w:t>
      </w:r>
      <w:proofErr w:type="spellStart"/>
      <w:r w:rsidRPr="005C5A26">
        <w:rPr>
          <w:rFonts w:ascii="Times New Roman" w:hAnsi="Times New Roman" w:cs="Times New Roman"/>
          <w:sz w:val="24"/>
          <w:szCs w:val="24"/>
          <w:lang w:val="fr-FR"/>
        </w:rPr>
        <w:t>gender</w:t>
      </w:r>
      <w:proofErr w:type="spellEnd"/>
      <w:r w:rsidRPr="005C5A26">
        <w:rPr>
          <w:rFonts w:ascii="Times New Roman" w:hAnsi="Times New Roman" w:cs="Times New Roman"/>
          <w:sz w:val="24"/>
          <w:szCs w:val="24"/>
          <w:lang w:val="fr-FR"/>
        </w:rPr>
        <w:t xml:space="preserve"> justifies the subordination of </w:t>
      </w:r>
      <w:proofErr w:type="spellStart"/>
      <w:r w:rsidRPr="005C5A26">
        <w:rPr>
          <w:rFonts w:ascii="Times New Roman" w:hAnsi="Times New Roman" w:cs="Times New Roman"/>
          <w:sz w:val="24"/>
          <w:szCs w:val="24"/>
          <w:lang w:val="fr-FR"/>
        </w:rPr>
        <w:t>women</w:t>
      </w:r>
      <w:proofErr w:type="spellEnd"/>
      <w:r w:rsidRPr="005C5A26">
        <w:rPr>
          <w:rFonts w:ascii="Times New Roman" w:hAnsi="Times New Roman" w:cs="Times New Roman"/>
          <w:sz w:val="24"/>
          <w:szCs w:val="24"/>
          <w:lang w:val="fr-FR"/>
        </w:rPr>
        <w:t xml:space="preserve">. Indeed, </w:t>
      </w:r>
      <w:proofErr w:type="spellStart"/>
      <w:r w:rsidRPr="005C5A26">
        <w:rPr>
          <w:rFonts w:ascii="Times New Roman" w:hAnsi="Times New Roman" w:cs="Times New Roman"/>
          <w:sz w:val="24"/>
          <w:szCs w:val="24"/>
          <w:lang w:val="fr-FR"/>
        </w:rPr>
        <w:t>women</w:t>
      </w:r>
      <w:proofErr w:type="spellEnd"/>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were</w:t>
      </w:r>
      <w:proofErr w:type="spellEnd"/>
      <w:r w:rsidRPr="005C5A26">
        <w:rPr>
          <w:rFonts w:ascii="Times New Roman" w:hAnsi="Times New Roman" w:cs="Times New Roman"/>
          <w:sz w:val="24"/>
          <w:szCs w:val="24"/>
          <w:lang w:val="fr-FR"/>
        </w:rPr>
        <w:t xml:space="preserve"> </w:t>
      </w:r>
      <w:r w:rsidR="00956D2F" w:rsidRPr="005C5A26">
        <w:rPr>
          <w:rFonts w:ascii="Times New Roman" w:hAnsi="Times New Roman" w:cs="Times New Roman"/>
          <w:sz w:val="24"/>
          <w:szCs w:val="24"/>
        </w:rPr>
        <w:t xml:space="preserve">denied </w:t>
      </w:r>
      <w:r w:rsidRPr="005C5A26">
        <w:rPr>
          <w:rFonts w:ascii="Times New Roman" w:hAnsi="Times New Roman" w:cs="Times New Roman"/>
          <w:sz w:val="24"/>
          <w:szCs w:val="24"/>
        </w:rPr>
        <w:t>voting rights on the grounds that they were not biologically suited to politics (</w:t>
      </w:r>
      <w:proofErr w:type="spellStart"/>
      <w:r w:rsidRPr="005C5A26">
        <w:rPr>
          <w:rFonts w:ascii="Times New Roman" w:hAnsi="Times New Roman" w:cs="Times New Roman"/>
          <w:sz w:val="24"/>
          <w:szCs w:val="24"/>
        </w:rPr>
        <w:t>Mikkola</w:t>
      </w:r>
      <w:proofErr w:type="spellEnd"/>
      <w:r w:rsidRPr="005C5A26">
        <w:rPr>
          <w:rFonts w:ascii="Times New Roman" w:hAnsi="Times New Roman" w:cs="Times New Roman"/>
          <w:sz w:val="24"/>
          <w:szCs w:val="24"/>
        </w:rPr>
        <w:t xml:space="preserve">, 2019). </w:t>
      </w:r>
      <w:r w:rsidR="00514DCB" w:rsidRPr="005C5A26">
        <w:rPr>
          <w:rFonts w:ascii="Times New Roman" w:hAnsi="Times New Roman" w:cs="Times New Roman"/>
          <w:sz w:val="24"/>
          <w:szCs w:val="24"/>
        </w:rPr>
        <w:t>This is supported by</w:t>
      </w:r>
      <w:r w:rsidR="0069373C" w:rsidRPr="005C5A26">
        <w:rPr>
          <w:rFonts w:ascii="Times New Roman" w:hAnsi="Times New Roman" w:cs="Times New Roman"/>
          <w:sz w:val="24"/>
          <w:szCs w:val="24"/>
        </w:rPr>
        <w:t xml:space="preserve"> Ortner (1974, </w:t>
      </w:r>
      <w:r w:rsidR="0069373C" w:rsidRPr="005C5A26">
        <w:rPr>
          <w:rFonts w:ascii="Times New Roman" w:hAnsi="Times New Roman" w:cs="Times New Roman"/>
          <w:i/>
          <w:iCs/>
          <w:sz w:val="24"/>
          <w:szCs w:val="24"/>
        </w:rPr>
        <w:t>cited in</w:t>
      </w:r>
      <w:r w:rsidR="0069373C" w:rsidRPr="005C5A26">
        <w:rPr>
          <w:rFonts w:ascii="Times New Roman" w:hAnsi="Times New Roman" w:cs="Times New Roman"/>
          <w:sz w:val="24"/>
          <w:szCs w:val="24"/>
        </w:rPr>
        <w:t xml:space="preserve"> Moore, 2013, p. 80) </w:t>
      </w:r>
      <w:r w:rsidR="00514DCB" w:rsidRPr="005C5A26">
        <w:rPr>
          <w:rFonts w:ascii="Times New Roman" w:hAnsi="Times New Roman" w:cs="Times New Roman"/>
          <w:sz w:val="24"/>
          <w:szCs w:val="24"/>
        </w:rPr>
        <w:t xml:space="preserve">who </w:t>
      </w:r>
      <w:r w:rsidR="0069373C" w:rsidRPr="005C5A26">
        <w:rPr>
          <w:rFonts w:ascii="Times New Roman" w:hAnsi="Times New Roman" w:cs="Times New Roman"/>
          <w:sz w:val="24"/>
          <w:szCs w:val="24"/>
        </w:rPr>
        <w:t>‘suggested that the devaluing of nature in relation to culture accounted for the hierarchical relations between women and men.’</w:t>
      </w:r>
    </w:p>
    <w:p w14:paraId="10D044C5" w14:textId="77777777" w:rsidR="00BB6CFD" w:rsidRPr="005C5A26" w:rsidRDefault="00BB6CFD" w:rsidP="00BB6CFD">
      <w:pPr>
        <w:pStyle w:val="Body"/>
        <w:spacing w:line="240" w:lineRule="auto"/>
        <w:jc w:val="both"/>
        <w:rPr>
          <w:rFonts w:ascii="Times New Roman" w:hAnsi="Times New Roman" w:cs="Times New Roman"/>
          <w:sz w:val="24"/>
          <w:szCs w:val="24"/>
        </w:rPr>
      </w:pPr>
    </w:p>
    <w:p w14:paraId="18EA17DB" w14:textId="094DE16E" w:rsidR="001E3A8C"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The concept of hegemony for Gramsci (1971) is when a group of people (or a nation state) adopt a political, intellectual and principled role of leadership within a hegemonic system that is underpinned by a shared worldview or ideology. Whereas hierarchy relates to a system in which members of a group or society are ranked according to </w:t>
      </w:r>
      <w:r w:rsidR="00C65D59" w:rsidRPr="005C5A26">
        <w:rPr>
          <w:rFonts w:ascii="Times New Roman" w:hAnsi="Times New Roman" w:cs="Times New Roman"/>
          <w:sz w:val="24"/>
          <w:szCs w:val="24"/>
        </w:rPr>
        <w:t>comparative</w:t>
      </w:r>
      <w:r w:rsidRPr="005C5A26">
        <w:rPr>
          <w:rFonts w:ascii="Times New Roman" w:hAnsi="Times New Roman" w:cs="Times New Roman"/>
          <w:sz w:val="24"/>
          <w:szCs w:val="24"/>
        </w:rPr>
        <w:t xml:space="preserve"> status or power. In reflecting this, the above model of gender neither takes into consideration intersections of differences between males and differences between females (Nicholson and </w:t>
      </w:r>
      <w:proofErr w:type="spellStart"/>
      <w:r w:rsidRPr="005C5A26">
        <w:rPr>
          <w:rFonts w:ascii="Times New Roman" w:hAnsi="Times New Roman" w:cs="Times New Roman"/>
          <w:sz w:val="24"/>
          <w:szCs w:val="24"/>
        </w:rPr>
        <w:t>Steidman</w:t>
      </w:r>
      <w:proofErr w:type="spellEnd"/>
      <w:r w:rsidRPr="005C5A26">
        <w:rPr>
          <w:rFonts w:ascii="Times New Roman" w:hAnsi="Times New Roman" w:cs="Times New Roman"/>
          <w:sz w:val="24"/>
          <w:szCs w:val="24"/>
        </w:rPr>
        <w:t xml:space="preserve">, 1995; </w:t>
      </w:r>
      <w:proofErr w:type="spellStart"/>
      <w:r w:rsidRPr="005C5A26">
        <w:rPr>
          <w:rFonts w:ascii="Times New Roman" w:hAnsi="Times New Roman" w:cs="Times New Roman"/>
          <w:sz w:val="24"/>
          <w:szCs w:val="24"/>
        </w:rPr>
        <w:t>Mikkola</w:t>
      </w:r>
      <w:proofErr w:type="spellEnd"/>
      <w:r w:rsidRPr="005C5A26">
        <w:rPr>
          <w:rFonts w:ascii="Times New Roman" w:hAnsi="Times New Roman" w:cs="Times New Roman"/>
          <w:sz w:val="24"/>
          <w:szCs w:val="24"/>
        </w:rPr>
        <w:t>, 2019), nor does it pay consideration to when gender identity does not resemble the gender/sex (male or female) that was assigned to a person at birth. Indeed, this binary model of gender does not support gender/sexual diversity on many levels; such as the needs of those who identify as non-binary or transgender. For instance, ‘</w:t>
      </w:r>
      <w:r w:rsidRPr="005C5A26">
        <w:rPr>
          <w:rFonts w:ascii="Times New Roman" w:hAnsi="Times New Roman" w:cs="Times New Roman"/>
          <w:sz w:val="24"/>
          <w:szCs w:val="24"/>
          <w:lang w:val="it-IT"/>
        </w:rPr>
        <w:t>Individual</w:t>
      </w:r>
      <w:r w:rsidRPr="005C5A26">
        <w:rPr>
          <w:rFonts w:ascii="Times New Roman" w:hAnsi="Times New Roman" w:cs="Times New Roman"/>
          <w:sz w:val="24"/>
          <w:szCs w:val="24"/>
        </w:rPr>
        <w:t xml:space="preserve">’s whose gender identity conflicts with biological sex assignment or societal expectations of gender expression as male and female’ (Bilodeau and </w:t>
      </w:r>
      <w:proofErr w:type="spellStart"/>
      <w:r w:rsidRPr="005C5A26">
        <w:rPr>
          <w:rFonts w:ascii="Times New Roman" w:hAnsi="Times New Roman" w:cs="Times New Roman"/>
          <w:sz w:val="24"/>
          <w:szCs w:val="24"/>
        </w:rPr>
        <w:t>Renn</w:t>
      </w:r>
      <w:proofErr w:type="spellEnd"/>
      <w:r w:rsidRPr="005C5A26">
        <w:rPr>
          <w:rFonts w:ascii="Times New Roman" w:hAnsi="Times New Roman" w:cs="Times New Roman"/>
          <w:sz w:val="24"/>
          <w:szCs w:val="24"/>
        </w:rPr>
        <w:t xml:space="preserve">, 2004, p. 29). This includes sexual orientation, which may impact largely on the lived experiences of those who do not fit societal expectations, i.e., expressing oneself in a society that largely follows heteronormative values (Nicholson and Seidman, 1995). </w:t>
      </w:r>
      <w:r w:rsidR="00734E56">
        <w:rPr>
          <w:rFonts w:ascii="Times New Roman" w:hAnsi="Times New Roman" w:cs="Times New Roman"/>
          <w:sz w:val="24"/>
          <w:szCs w:val="24"/>
        </w:rPr>
        <w:t>For instance</w:t>
      </w:r>
      <w:r w:rsidRPr="005C5A26">
        <w:rPr>
          <w:rFonts w:ascii="Times New Roman" w:hAnsi="Times New Roman" w:cs="Times New Roman"/>
          <w:sz w:val="24"/>
          <w:szCs w:val="24"/>
        </w:rPr>
        <w:t xml:space="preserve">, </w:t>
      </w:r>
      <w:r w:rsidR="00734E56" w:rsidRPr="00734E56">
        <w:rPr>
          <w:rFonts w:ascii="Times New Roman" w:hAnsi="Times New Roman" w:cs="Times New Roman"/>
          <w:sz w:val="24"/>
          <w:szCs w:val="24"/>
        </w:rPr>
        <w:t xml:space="preserve">when a person does not fall into the </w:t>
      </w:r>
      <w:r w:rsidR="00734E56">
        <w:rPr>
          <w:rFonts w:ascii="Times New Roman" w:hAnsi="Times New Roman" w:cs="Times New Roman"/>
          <w:sz w:val="24"/>
          <w:szCs w:val="24"/>
        </w:rPr>
        <w:t xml:space="preserve">traditional </w:t>
      </w:r>
      <w:r w:rsidR="00734E56" w:rsidRPr="00734E56">
        <w:rPr>
          <w:rFonts w:ascii="Times New Roman" w:hAnsi="Times New Roman" w:cs="Times New Roman"/>
          <w:sz w:val="24"/>
          <w:szCs w:val="24"/>
        </w:rPr>
        <w:t xml:space="preserve">male/female binary </w:t>
      </w:r>
      <w:r w:rsidR="00734E56">
        <w:rPr>
          <w:rFonts w:ascii="Times New Roman" w:hAnsi="Times New Roman" w:cs="Times New Roman"/>
          <w:sz w:val="24"/>
          <w:szCs w:val="24"/>
        </w:rPr>
        <w:t>model</w:t>
      </w:r>
      <w:r w:rsidR="00C63DB0">
        <w:rPr>
          <w:rFonts w:ascii="Times New Roman" w:hAnsi="Times New Roman" w:cs="Times New Roman"/>
          <w:sz w:val="24"/>
          <w:szCs w:val="24"/>
        </w:rPr>
        <w:t>,</w:t>
      </w:r>
      <w:r w:rsidR="00734E56">
        <w:rPr>
          <w:rFonts w:ascii="Times New Roman" w:hAnsi="Times New Roman" w:cs="Times New Roman"/>
          <w:sz w:val="24"/>
          <w:szCs w:val="24"/>
        </w:rPr>
        <w:t xml:space="preserve"> </w:t>
      </w:r>
      <w:r w:rsidRPr="005C5A26">
        <w:rPr>
          <w:rFonts w:ascii="Times New Roman" w:hAnsi="Times New Roman" w:cs="Times New Roman"/>
          <w:sz w:val="24"/>
          <w:szCs w:val="24"/>
        </w:rPr>
        <w:t>sexual identi</w:t>
      </w:r>
      <w:r w:rsidR="00734E56">
        <w:rPr>
          <w:rFonts w:ascii="Times New Roman" w:hAnsi="Times New Roman" w:cs="Times New Roman"/>
          <w:sz w:val="24"/>
          <w:szCs w:val="24"/>
        </w:rPr>
        <w:t>ty</w:t>
      </w:r>
      <w:r w:rsidRPr="005C5A26">
        <w:rPr>
          <w:rFonts w:ascii="Times New Roman" w:hAnsi="Times New Roman" w:cs="Times New Roman"/>
          <w:sz w:val="24"/>
          <w:szCs w:val="24"/>
        </w:rPr>
        <w:t xml:space="preserve"> </w:t>
      </w:r>
      <w:r w:rsidR="00734E56">
        <w:rPr>
          <w:rFonts w:ascii="Times New Roman" w:hAnsi="Times New Roman" w:cs="Times New Roman"/>
          <w:sz w:val="24"/>
          <w:szCs w:val="24"/>
        </w:rPr>
        <w:t xml:space="preserve">can become problematic </w:t>
      </w:r>
      <w:r w:rsidRPr="005C5A26">
        <w:rPr>
          <w:rFonts w:ascii="Times New Roman" w:hAnsi="Times New Roman" w:cs="Times New Roman"/>
          <w:sz w:val="24"/>
          <w:szCs w:val="24"/>
        </w:rPr>
        <w:t>(</w:t>
      </w:r>
      <w:proofErr w:type="spellStart"/>
      <w:r w:rsidRPr="005C5A26">
        <w:rPr>
          <w:rFonts w:ascii="Times New Roman" w:hAnsi="Times New Roman" w:cs="Times New Roman"/>
          <w:sz w:val="24"/>
          <w:szCs w:val="24"/>
        </w:rPr>
        <w:t>Giammattie</w:t>
      </w:r>
      <w:proofErr w:type="spellEnd"/>
      <w:r w:rsidRPr="005C5A26">
        <w:rPr>
          <w:rFonts w:ascii="Times New Roman" w:hAnsi="Times New Roman" w:cs="Times New Roman"/>
          <w:sz w:val="24"/>
          <w:szCs w:val="24"/>
        </w:rPr>
        <w:t xml:space="preserve">, 2015). </w:t>
      </w:r>
      <w:r w:rsidR="00C63DB0" w:rsidRPr="005C5A26">
        <w:rPr>
          <w:rFonts w:ascii="Times New Roman" w:hAnsi="Times New Roman" w:cs="Times New Roman"/>
          <w:sz w:val="24"/>
          <w:szCs w:val="24"/>
        </w:rPr>
        <w:t>This</w:t>
      </w:r>
      <w:r w:rsidR="00634627">
        <w:rPr>
          <w:rFonts w:ascii="Times New Roman" w:hAnsi="Times New Roman" w:cs="Times New Roman"/>
          <w:sz w:val="24"/>
          <w:szCs w:val="24"/>
        </w:rPr>
        <w:t>,</w:t>
      </w:r>
      <w:r w:rsidR="00C63DB0" w:rsidRPr="005C5A26">
        <w:rPr>
          <w:rFonts w:ascii="Times New Roman" w:hAnsi="Times New Roman" w:cs="Times New Roman"/>
          <w:sz w:val="24"/>
          <w:szCs w:val="24"/>
        </w:rPr>
        <w:t xml:space="preserve"> place</w:t>
      </w:r>
      <w:r w:rsidR="00C63DB0">
        <w:rPr>
          <w:rFonts w:ascii="Times New Roman" w:hAnsi="Times New Roman" w:cs="Times New Roman"/>
          <w:sz w:val="24"/>
          <w:szCs w:val="24"/>
        </w:rPr>
        <w:t>s</w:t>
      </w:r>
      <w:r w:rsidRPr="005C5A26">
        <w:rPr>
          <w:rFonts w:ascii="Times New Roman" w:hAnsi="Times New Roman" w:cs="Times New Roman"/>
          <w:sz w:val="24"/>
          <w:szCs w:val="24"/>
        </w:rPr>
        <w:t xml:space="preserve"> sexual diversity in a position of conflict with heteronormative gender norms (Gordon &amp; Meyer, 2007). For example, a large body of research </w:t>
      </w:r>
      <w:r w:rsidR="00FA4497" w:rsidRPr="005C5A26">
        <w:rPr>
          <w:rFonts w:ascii="Times New Roman" w:hAnsi="Times New Roman" w:cs="Times New Roman"/>
          <w:sz w:val="24"/>
          <w:szCs w:val="24"/>
        </w:rPr>
        <w:t xml:space="preserve">(Faulkner and Cranston, 1998; Fergusson, Horwood and </w:t>
      </w:r>
      <w:proofErr w:type="spellStart"/>
      <w:r w:rsidR="00FA4497" w:rsidRPr="005C5A26">
        <w:rPr>
          <w:rFonts w:ascii="Times New Roman" w:hAnsi="Times New Roman" w:cs="Times New Roman"/>
          <w:sz w:val="24"/>
          <w:szCs w:val="24"/>
        </w:rPr>
        <w:t>Beautrais</w:t>
      </w:r>
      <w:proofErr w:type="spellEnd"/>
      <w:r w:rsidR="00FA4497" w:rsidRPr="005C5A26">
        <w:rPr>
          <w:rFonts w:ascii="Times New Roman" w:hAnsi="Times New Roman" w:cs="Times New Roman"/>
          <w:sz w:val="24"/>
          <w:szCs w:val="24"/>
        </w:rPr>
        <w:t xml:space="preserve">, 1999; Russell and Joyner 2001; Ueno, 2005) </w:t>
      </w:r>
      <w:r w:rsidRPr="005C5A26">
        <w:rPr>
          <w:rFonts w:ascii="Times New Roman" w:hAnsi="Times New Roman" w:cs="Times New Roman"/>
          <w:sz w:val="24"/>
          <w:szCs w:val="24"/>
        </w:rPr>
        <w:t>suggests that adolescents who identify as bisexual, lesbian or gay are more likely than those who identify as heterosexual to exhibit symptoms of mental suffering including depression, suicidal ideation and suicide</w:t>
      </w:r>
      <w:r w:rsidR="00FA4497" w:rsidRPr="005C5A26">
        <w:rPr>
          <w:rFonts w:ascii="Times New Roman" w:hAnsi="Times New Roman" w:cs="Times New Roman"/>
          <w:sz w:val="24"/>
          <w:szCs w:val="24"/>
        </w:rPr>
        <w:t xml:space="preserve"> attempts</w:t>
      </w:r>
      <w:r w:rsidRPr="005C5A26">
        <w:rPr>
          <w:rFonts w:ascii="Times New Roman" w:hAnsi="Times New Roman" w:cs="Times New Roman"/>
          <w:sz w:val="24"/>
          <w:szCs w:val="24"/>
        </w:rPr>
        <w:t xml:space="preserve">. </w:t>
      </w:r>
      <w:r w:rsidRPr="005C5A26">
        <w:rPr>
          <w:rFonts w:ascii="Times New Roman" w:hAnsi="Times New Roman" w:cs="Times New Roman"/>
          <w:sz w:val="24"/>
          <w:szCs w:val="24"/>
        </w:rPr>
        <w:lastRenderedPageBreak/>
        <w:t xml:space="preserve">Despite many countries implementing legal protections to support the LGBT community, research (Carroll, 2016) reveals that LGBT people </w:t>
      </w:r>
      <w:r w:rsidR="00CF233A">
        <w:rPr>
          <w:rFonts w:ascii="Times New Roman" w:hAnsi="Times New Roman" w:cs="Times New Roman"/>
          <w:sz w:val="24"/>
          <w:szCs w:val="24"/>
        </w:rPr>
        <w:t>are subjected to greater</w:t>
      </w:r>
      <w:r w:rsidR="00356962">
        <w:rPr>
          <w:rFonts w:ascii="Times New Roman" w:hAnsi="Times New Roman" w:cs="Times New Roman"/>
          <w:sz w:val="24"/>
          <w:szCs w:val="24"/>
        </w:rPr>
        <w:t xml:space="preserve"> economic </w:t>
      </w:r>
      <w:r w:rsidR="00CF233A">
        <w:rPr>
          <w:rFonts w:ascii="Times New Roman" w:hAnsi="Times New Roman" w:cs="Times New Roman"/>
          <w:sz w:val="24"/>
          <w:szCs w:val="24"/>
        </w:rPr>
        <w:t xml:space="preserve">disparity and violence </w:t>
      </w:r>
      <w:r w:rsidRPr="005C5A26">
        <w:rPr>
          <w:rFonts w:ascii="Times New Roman" w:hAnsi="Times New Roman" w:cs="Times New Roman"/>
          <w:sz w:val="24"/>
          <w:szCs w:val="24"/>
        </w:rPr>
        <w:t>than</w:t>
      </w:r>
      <w:r w:rsidR="00CF233A">
        <w:rPr>
          <w:rFonts w:ascii="Times New Roman" w:hAnsi="Times New Roman" w:cs="Times New Roman"/>
          <w:sz w:val="24"/>
          <w:szCs w:val="24"/>
        </w:rPr>
        <w:t xml:space="preserve"> </w:t>
      </w:r>
      <w:r w:rsidR="00356962">
        <w:rPr>
          <w:rFonts w:ascii="Times New Roman" w:hAnsi="Times New Roman" w:cs="Times New Roman"/>
          <w:sz w:val="24"/>
          <w:szCs w:val="24"/>
        </w:rPr>
        <w:t>heterosexual people</w:t>
      </w:r>
      <w:r w:rsidRPr="005C5A26">
        <w:rPr>
          <w:rFonts w:ascii="Times New Roman" w:hAnsi="Times New Roman" w:cs="Times New Roman"/>
          <w:sz w:val="24"/>
          <w:szCs w:val="24"/>
        </w:rPr>
        <w:t>. Furthermore, countries such as India, Kenya and Lebanon have criminal prohibitions on gender non-conformity and same-sex relations.</w:t>
      </w:r>
    </w:p>
    <w:p w14:paraId="244D4AF4" w14:textId="77777777" w:rsidR="001E3A8C" w:rsidRPr="005C5A26" w:rsidRDefault="001E3A8C" w:rsidP="00D07311">
      <w:pPr>
        <w:pStyle w:val="Body"/>
        <w:spacing w:line="240" w:lineRule="auto"/>
        <w:jc w:val="both"/>
        <w:rPr>
          <w:rFonts w:ascii="Times New Roman" w:hAnsi="Times New Roman" w:cs="Times New Roman"/>
          <w:sz w:val="24"/>
          <w:szCs w:val="24"/>
        </w:rPr>
      </w:pPr>
    </w:p>
    <w:p w14:paraId="51668F34" w14:textId="5C9C0382"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A contemporary definition of biological determinism adds that anatomy and genetics affords men to be the more dominant gender by nature whereas women are natural ca</w:t>
      </w:r>
      <w:r w:rsidR="00496FC7" w:rsidRPr="005C5A26">
        <w:rPr>
          <w:rFonts w:ascii="Times New Roman" w:hAnsi="Times New Roman" w:cs="Times New Roman"/>
          <w:sz w:val="24"/>
          <w:szCs w:val="24"/>
        </w:rPr>
        <w:t>r</w:t>
      </w:r>
      <w:r w:rsidRPr="005C5A26">
        <w:rPr>
          <w:rFonts w:ascii="Times New Roman" w:hAnsi="Times New Roman" w:cs="Times New Roman"/>
          <w:sz w:val="24"/>
          <w:szCs w:val="24"/>
        </w:rPr>
        <w:t>e</w:t>
      </w:r>
      <w:r w:rsidR="00156DC9" w:rsidRPr="005C5A26">
        <w:rPr>
          <w:rFonts w:ascii="Times New Roman" w:hAnsi="Times New Roman" w:cs="Times New Roman"/>
          <w:sz w:val="24"/>
          <w:szCs w:val="24"/>
        </w:rPr>
        <w:t xml:space="preserve"> givers</w:t>
      </w:r>
      <w:r w:rsidRPr="005C5A26">
        <w:rPr>
          <w:rFonts w:ascii="Times New Roman" w:hAnsi="Times New Roman" w:cs="Times New Roman"/>
          <w:sz w:val="24"/>
          <w:szCs w:val="24"/>
        </w:rPr>
        <w:t xml:space="preserve"> by virtue of their procreative abilities (</w:t>
      </w:r>
      <w:r w:rsidR="00C8007F" w:rsidRPr="005C5A26">
        <w:rPr>
          <w:rFonts w:ascii="Times New Roman" w:hAnsi="Times New Roman" w:cs="Times New Roman"/>
          <w:sz w:val="24"/>
          <w:szCs w:val="24"/>
        </w:rPr>
        <w:t xml:space="preserve">Moore, 2013; </w:t>
      </w:r>
      <w:r w:rsidRPr="005C5A26">
        <w:rPr>
          <w:rFonts w:ascii="Times New Roman" w:hAnsi="Times New Roman" w:cs="Times New Roman"/>
          <w:sz w:val="24"/>
          <w:szCs w:val="24"/>
        </w:rPr>
        <w:t>Chandler and Munday, 2020). This theory is related to Connell’s (1987) concept of hegemonic masculinity and the term was used to signify characteristics attributed to real men. These characteristics distinguished men from women and subordinate masculinities and justified men in general to hold positions of power in society (</w:t>
      </w:r>
      <w:proofErr w:type="spellStart"/>
      <w:r w:rsidRPr="005C5A26">
        <w:rPr>
          <w:rFonts w:ascii="Times New Roman" w:hAnsi="Times New Roman" w:cs="Times New Roman"/>
          <w:sz w:val="24"/>
          <w:szCs w:val="24"/>
        </w:rPr>
        <w:t>Kareithi</w:t>
      </w:r>
      <w:proofErr w:type="spellEnd"/>
      <w:r w:rsidRPr="005C5A26">
        <w:rPr>
          <w:rFonts w:ascii="Times New Roman" w:hAnsi="Times New Roman" w:cs="Times New Roman"/>
          <w:sz w:val="24"/>
          <w:szCs w:val="24"/>
        </w:rPr>
        <w:t>, 2014) thereby generating systems of inequity in relation to gender, sexual orientation, race, class and disability (Donaldson, 1993; Pyke, 1996). Furthermore, de Melo-Martin (2002) argues that biological perspectives of human nature disregard the impacts that institutions, social values and practices have on the lived experiences of diverse individuals universally and maintains that;</w:t>
      </w:r>
    </w:p>
    <w:p w14:paraId="0D8F361A" w14:textId="27D27527" w:rsidR="00EE3025" w:rsidRPr="005C5A26" w:rsidRDefault="009C15E1" w:rsidP="00763FCA">
      <w:pPr>
        <w:pStyle w:val="Body"/>
        <w:spacing w:line="240" w:lineRule="auto"/>
        <w:ind w:left="720" w:right="567"/>
        <w:jc w:val="both"/>
        <w:rPr>
          <w:rFonts w:ascii="Times New Roman" w:hAnsi="Times New Roman" w:cs="Times New Roman"/>
          <w:sz w:val="24"/>
          <w:szCs w:val="24"/>
        </w:rPr>
      </w:pPr>
      <w:r w:rsidRPr="005C5A26">
        <w:rPr>
          <w:rFonts w:ascii="Times New Roman" w:hAnsi="Times New Roman" w:cs="Times New Roman"/>
          <w:sz w:val="24"/>
          <w:szCs w:val="24"/>
        </w:rPr>
        <w:t xml:space="preserve">What constitutes a problem for those who are concerned with social justice is not the fact that particular behaviours might be genetically determined, but the fact that our value system and social institutions create the conditions that make such behaviours problematic (de-Milo Martin, 2002, p. 2). </w:t>
      </w:r>
    </w:p>
    <w:p w14:paraId="4FE52359" w14:textId="77777777" w:rsidR="00763FCA" w:rsidRPr="005C5A26" w:rsidRDefault="00763FCA" w:rsidP="00763FCA">
      <w:pPr>
        <w:pStyle w:val="Body"/>
        <w:spacing w:after="0" w:line="240" w:lineRule="auto"/>
        <w:ind w:left="720" w:right="567"/>
        <w:jc w:val="both"/>
        <w:rPr>
          <w:rFonts w:ascii="Times New Roman" w:hAnsi="Times New Roman" w:cs="Times New Roman"/>
          <w:sz w:val="24"/>
          <w:szCs w:val="24"/>
        </w:rPr>
      </w:pPr>
    </w:p>
    <w:p w14:paraId="3BA0F6B0" w14:textId="27BDD8A2" w:rsidR="004B57A0"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Furthermore, </w:t>
      </w:r>
      <w:r w:rsidR="00763FCA" w:rsidRPr="005C5A26">
        <w:rPr>
          <w:rFonts w:ascii="Times New Roman" w:hAnsi="Times New Roman" w:cs="Times New Roman"/>
          <w:sz w:val="24"/>
          <w:szCs w:val="24"/>
        </w:rPr>
        <w:t xml:space="preserve">Buss (1996) and Wilson (1978) </w:t>
      </w:r>
      <w:r w:rsidR="000E5122" w:rsidRPr="005C5A26">
        <w:rPr>
          <w:rFonts w:ascii="Times New Roman" w:hAnsi="Times New Roman" w:cs="Times New Roman"/>
          <w:sz w:val="24"/>
          <w:szCs w:val="24"/>
        </w:rPr>
        <w:t>argue,</w:t>
      </w:r>
      <w:r w:rsidR="00AA24D4">
        <w:rPr>
          <w:rFonts w:ascii="Times New Roman" w:hAnsi="Times New Roman" w:cs="Times New Roman"/>
          <w:sz w:val="24"/>
          <w:szCs w:val="24"/>
        </w:rPr>
        <w:t xml:space="preserve"> th</w:t>
      </w:r>
      <w:r w:rsidR="00A162F4">
        <w:rPr>
          <w:rFonts w:ascii="Times New Roman" w:hAnsi="Times New Roman" w:cs="Times New Roman"/>
          <w:sz w:val="24"/>
          <w:szCs w:val="24"/>
        </w:rPr>
        <w:t>at</w:t>
      </w:r>
      <w:r w:rsidR="00AA24D4">
        <w:rPr>
          <w:rFonts w:ascii="Times New Roman" w:hAnsi="Times New Roman" w:cs="Times New Roman"/>
          <w:sz w:val="24"/>
          <w:szCs w:val="24"/>
        </w:rPr>
        <w:t xml:space="preserve"> </w:t>
      </w:r>
      <w:r w:rsidR="000B7D98">
        <w:rPr>
          <w:rFonts w:ascii="Times New Roman" w:hAnsi="Times New Roman" w:cs="Times New Roman"/>
          <w:sz w:val="24"/>
          <w:szCs w:val="24"/>
        </w:rPr>
        <w:t>even if</w:t>
      </w:r>
      <w:r w:rsidR="00A162F4">
        <w:rPr>
          <w:rFonts w:ascii="Times New Roman" w:hAnsi="Times New Roman" w:cs="Times New Roman"/>
          <w:sz w:val="24"/>
          <w:szCs w:val="24"/>
        </w:rPr>
        <w:t xml:space="preserve"> </w:t>
      </w:r>
      <w:r w:rsidR="00AA24D4">
        <w:rPr>
          <w:rFonts w:ascii="Times New Roman" w:hAnsi="Times New Roman" w:cs="Times New Roman"/>
          <w:sz w:val="24"/>
          <w:szCs w:val="24"/>
        </w:rPr>
        <w:t>sexual differences</w:t>
      </w:r>
      <w:r w:rsidR="00A162F4">
        <w:rPr>
          <w:rFonts w:ascii="Times New Roman" w:hAnsi="Times New Roman" w:cs="Times New Roman"/>
          <w:sz w:val="24"/>
          <w:szCs w:val="24"/>
        </w:rPr>
        <w:t xml:space="preserve"> are</w:t>
      </w:r>
      <w:r w:rsidR="00AA24D4">
        <w:rPr>
          <w:rFonts w:ascii="Times New Roman" w:hAnsi="Times New Roman" w:cs="Times New Roman"/>
          <w:sz w:val="24"/>
          <w:szCs w:val="24"/>
        </w:rPr>
        <w:t xml:space="preserve"> </w:t>
      </w:r>
      <w:r w:rsidR="00A162F4">
        <w:rPr>
          <w:rFonts w:ascii="Times New Roman" w:hAnsi="Times New Roman" w:cs="Times New Roman"/>
          <w:sz w:val="24"/>
          <w:szCs w:val="24"/>
        </w:rPr>
        <w:t xml:space="preserve">genetic, </w:t>
      </w:r>
      <w:r w:rsidR="00332EEC">
        <w:rPr>
          <w:rFonts w:ascii="Times New Roman" w:hAnsi="Times New Roman" w:cs="Times New Roman"/>
          <w:sz w:val="24"/>
          <w:szCs w:val="24"/>
        </w:rPr>
        <w:t xml:space="preserve">this </w:t>
      </w:r>
      <w:r w:rsidR="00A162F4">
        <w:rPr>
          <w:rFonts w:ascii="Times New Roman" w:hAnsi="Times New Roman" w:cs="Times New Roman"/>
          <w:sz w:val="24"/>
          <w:szCs w:val="24"/>
        </w:rPr>
        <w:t xml:space="preserve">does not </w:t>
      </w:r>
      <w:r w:rsidR="000B7D98">
        <w:rPr>
          <w:rFonts w:ascii="Times New Roman" w:hAnsi="Times New Roman" w:cs="Times New Roman"/>
          <w:sz w:val="24"/>
          <w:szCs w:val="24"/>
        </w:rPr>
        <w:t>mean</w:t>
      </w:r>
      <w:r w:rsidR="00A162F4">
        <w:rPr>
          <w:rFonts w:ascii="Times New Roman" w:hAnsi="Times New Roman" w:cs="Times New Roman"/>
          <w:sz w:val="24"/>
          <w:szCs w:val="24"/>
        </w:rPr>
        <w:t xml:space="preserve"> </w:t>
      </w:r>
      <w:r w:rsidR="000B7D98">
        <w:rPr>
          <w:rFonts w:ascii="Times New Roman" w:hAnsi="Times New Roman" w:cs="Times New Roman"/>
          <w:sz w:val="24"/>
          <w:szCs w:val="24"/>
        </w:rPr>
        <w:t xml:space="preserve">that </w:t>
      </w:r>
      <w:r w:rsidR="00A162F4">
        <w:rPr>
          <w:rFonts w:ascii="Times New Roman" w:hAnsi="Times New Roman" w:cs="Times New Roman"/>
          <w:sz w:val="24"/>
          <w:szCs w:val="24"/>
        </w:rPr>
        <w:t>they are</w:t>
      </w:r>
      <w:r w:rsidR="000B7D98">
        <w:rPr>
          <w:rFonts w:ascii="Times New Roman" w:hAnsi="Times New Roman" w:cs="Times New Roman"/>
          <w:sz w:val="24"/>
          <w:szCs w:val="24"/>
        </w:rPr>
        <w:t xml:space="preserve"> not </w:t>
      </w:r>
      <w:r w:rsidR="00A162F4">
        <w:rPr>
          <w:rFonts w:ascii="Times New Roman" w:hAnsi="Times New Roman" w:cs="Times New Roman"/>
          <w:sz w:val="24"/>
          <w:szCs w:val="24"/>
        </w:rPr>
        <w:t>subject to change over time.</w:t>
      </w:r>
    </w:p>
    <w:p w14:paraId="29249262" w14:textId="77777777" w:rsidR="004B57A0" w:rsidRPr="005C5A26" w:rsidRDefault="004B57A0" w:rsidP="00D07311">
      <w:pPr>
        <w:pStyle w:val="Body"/>
        <w:spacing w:line="240" w:lineRule="auto"/>
        <w:jc w:val="both"/>
        <w:rPr>
          <w:rFonts w:ascii="Times New Roman" w:hAnsi="Times New Roman" w:cs="Times New Roman"/>
          <w:sz w:val="24"/>
          <w:szCs w:val="24"/>
        </w:rPr>
      </w:pPr>
    </w:p>
    <w:p w14:paraId="5A2A7113" w14:textId="497C87CB" w:rsidR="007978EC" w:rsidRPr="005C5A26" w:rsidRDefault="009C15E1" w:rsidP="002F6CEF">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Gender</w:t>
      </w:r>
      <w:r w:rsidR="00E274D2">
        <w:rPr>
          <w:rFonts w:ascii="Times New Roman" w:hAnsi="Times New Roman" w:cs="Times New Roman"/>
          <w:sz w:val="24"/>
          <w:szCs w:val="24"/>
        </w:rPr>
        <w:t>,</w:t>
      </w:r>
      <w:r w:rsidRPr="005C5A26">
        <w:rPr>
          <w:rFonts w:ascii="Times New Roman" w:hAnsi="Times New Roman" w:cs="Times New Roman"/>
          <w:sz w:val="24"/>
          <w:szCs w:val="24"/>
        </w:rPr>
        <w:t xml:space="preserve"> from a social postmodernism perspective, is understood as something that is socially constructe</w:t>
      </w:r>
      <w:r w:rsidR="000E5122" w:rsidRPr="005C5A26">
        <w:rPr>
          <w:rFonts w:ascii="Times New Roman" w:hAnsi="Times New Roman" w:cs="Times New Roman"/>
          <w:sz w:val="24"/>
          <w:szCs w:val="24"/>
        </w:rPr>
        <w:t>d rather than biologically assumed (Nicholson and Seidman, 1995</w:t>
      </w:r>
      <w:r w:rsidR="00E274D2">
        <w:rPr>
          <w:rFonts w:ascii="Times New Roman" w:hAnsi="Times New Roman" w:cs="Times New Roman"/>
          <w:sz w:val="24"/>
          <w:szCs w:val="24"/>
        </w:rPr>
        <w:t xml:space="preserve">). This perspective views </w:t>
      </w:r>
      <w:r w:rsidRPr="005C5A26">
        <w:rPr>
          <w:rFonts w:ascii="Times New Roman" w:hAnsi="Times New Roman" w:cs="Times New Roman"/>
          <w:sz w:val="24"/>
          <w:szCs w:val="24"/>
        </w:rPr>
        <w:t>behaviour and personality characteristics</w:t>
      </w:r>
      <w:r w:rsidR="00E274D2">
        <w:rPr>
          <w:rFonts w:ascii="Times New Roman" w:hAnsi="Times New Roman" w:cs="Times New Roman"/>
          <w:sz w:val="24"/>
          <w:szCs w:val="24"/>
          <w:lang w:val="it-IT"/>
        </w:rPr>
        <w:t xml:space="preserve"> as</w:t>
      </w:r>
      <w:r w:rsidR="00956D2F" w:rsidRPr="005C5A26">
        <w:rPr>
          <w:rFonts w:ascii="Times New Roman" w:hAnsi="Times New Roman" w:cs="Times New Roman"/>
          <w:sz w:val="24"/>
          <w:szCs w:val="24"/>
          <w:lang w:val="it-IT"/>
        </w:rPr>
        <w:t xml:space="preserve"> seperate</w:t>
      </w:r>
      <w:r w:rsidRPr="005C5A26">
        <w:rPr>
          <w:rFonts w:ascii="Times New Roman" w:hAnsi="Times New Roman" w:cs="Times New Roman"/>
          <w:sz w:val="24"/>
          <w:szCs w:val="24"/>
          <w:lang w:val="it-IT"/>
        </w:rPr>
        <w:t xml:space="preserve"> </w:t>
      </w:r>
      <w:r w:rsidRPr="005C5A26">
        <w:rPr>
          <w:rFonts w:ascii="Times New Roman" w:hAnsi="Times New Roman" w:cs="Times New Roman"/>
          <w:sz w:val="24"/>
          <w:szCs w:val="24"/>
        </w:rPr>
        <w:t xml:space="preserve">from the body. </w:t>
      </w:r>
      <w:r w:rsidR="00E274D2">
        <w:rPr>
          <w:rFonts w:ascii="Times New Roman" w:hAnsi="Times New Roman" w:cs="Times New Roman"/>
          <w:sz w:val="24"/>
          <w:szCs w:val="24"/>
        </w:rPr>
        <w:t>Thus, g</w:t>
      </w:r>
      <w:r w:rsidRPr="005C5A26">
        <w:rPr>
          <w:rFonts w:ascii="Times New Roman" w:hAnsi="Times New Roman" w:cs="Times New Roman"/>
          <w:sz w:val="24"/>
          <w:szCs w:val="24"/>
        </w:rPr>
        <w:t xml:space="preserve">ender and sex are understood as separate, in this case, society shapes not only the characteristics and behaviour of its members but it also shapes the ways in which the body is represented. This could suggest that if the body is viewed as something to be interpreted, then sex, according to Nicholson and Seidman (1995, p. 39), ‘is not something that is separate from gender but is, rather, that which is subsumable under it.’ </w:t>
      </w:r>
      <w:r w:rsidR="00EE3025" w:rsidRPr="005C5A26">
        <w:rPr>
          <w:rFonts w:ascii="Times New Roman" w:hAnsi="Times New Roman" w:cs="Times New Roman"/>
          <w:sz w:val="24"/>
          <w:szCs w:val="24"/>
        </w:rPr>
        <w:t xml:space="preserve">From a feminist perspective, these two </w:t>
      </w:r>
      <w:r w:rsidR="00EB21EC" w:rsidRPr="005C5A26">
        <w:rPr>
          <w:rFonts w:ascii="Times New Roman" w:hAnsi="Times New Roman" w:cs="Times New Roman"/>
          <w:sz w:val="24"/>
          <w:szCs w:val="24"/>
        </w:rPr>
        <w:t>perceptions</w:t>
      </w:r>
      <w:r w:rsidR="008E6875" w:rsidRPr="005C5A26">
        <w:rPr>
          <w:rFonts w:ascii="Times New Roman" w:hAnsi="Times New Roman" w:cs="Times New Roman"/>
          <w:sz w:val="24"/>
          <w:szCs w:val="24"/>
        </w:rPr>
        <w:t xml:space="preserve"> of gender </w:t>
      </w:r>
      <w:r w:rsidR="0042615C" w:rsidRPr="005C5A26">
        <w:rPr>
          <w:rFonts w:ascii="Times New Roman" w:hAnsi="Times New Roman" w:cs="Times New Roman"/>
          <w:sz w:val="24"/>
          <w:szCs w:val="24"/>
        </w:rPr>
        <w:t xml:space="preserve">could </w:t>
      </w:r>
      <w:r w:rsidR="008E6875" w:rsidRPr="005C5A26">
        <w:rPr>
          <w:rFonts w:ascii="Times New Roman" w:hAnsi="Times New Roman" w:cs="Times New Roman"/>
          <w:sz w:val="24"/>
          <w:szCs w:val="24"/>
        </w:rPr>
        <w:t>suggest that women’s subordination is based on the</w:t>
      </w:r>
      <w:r w:rsidR="00EB21EC" w:rsidRPr="005C5A26">
        <w:rPr>
          <w:rFonts w:ascii="Times New Roman" w:hAnsi="Times New Roman" w:cs="Times New Roman"/>
          <w:sz w:val="24"/>
          <w:szCs w:val="24"/>
        </w:rPr>
        <w:t xml:space="preserve"> fact that their</w:t>
      </w:r>
      <w:r w:rsidR="008E6875" w:rsidRPr="005C5A26">
        <w:rPr>
          <w:rFonts w:ascii="Times New Roman" w:hAnsi="Times New Roman" w:cs="Times New Roman"/>
          <w:sz w:val="24"/>
          <w:szCs w:val="24"/>
        </w:rPr>
        <w:t xml:space="preserve"> position in society </w:t>
      </w:r>
      <w:r w:rsidR="00EB21EC" w:rsidRPr="005C5A26">
        <w:rPr>
          <w:rFonts w:ascii="Times New Roman" w:hAnsi="Times New Roman" w:cs="Times New Roman"/>
          <w:sz w:val="24"/>
          <w:szCs w:val="24"/>
        </w:rPr>
        <w:t xml:space="preserve">is </w:t>
      </w:r>
      <w:r w:rsidR="00D73CC8" w:rsidRPr="005C5A26">
        <w:rPr>
          <w:rFonts w:ascii="Times New Roman" w:hAnsi="Times New Roman" w:cs="Times New Roman"/>
          <w:sz w:val="24"/>
          <w:szCs w:val="24"/>
        </w:rPr>
        <w:t>largely determined by</w:t>
      </w:r>
      <w:r w:rsidR="00EB21EC" w:rsidRPr="005C5A26">
        <w:rPr>
          <w:rFonts w:ascii="Times New Roman" w:hAnsi="Times New Roman" w:cs="Times New Roman"/>
          <w:sz w:val="24"/>
          <w:szCs w:val="24"/>
        </w:rPr>
        <w:t xml:space="preserve"> </w:t>
      </w:r>
      <w:r w:rsidR="008E6875" w:rsidRPr="005C5A26">
        <w:rPr>
          <w:rFonts w:ascii="Times New Roman" w:hAnsi="Times New Roman" w:cs="Times New Roman"/>
          <w:sz w:val="24"/>
          <w:szCs w:val="24"/>
        </w:rPr>
        <w:t>biological difference</w:t>
      </w:r>
      <w:r w:rsidR="00EB21EC" w:rsidRPr="005C5A26">
        <w:rPr>
          <w:rFonts w:ascii="Times New Roman" w:hAnsi="Times New Roman" w:cs="Times New Roman"/>
          <w:sz w:val="24"/>
          <w:szCs w:val="24"/>
        </w:rPr>
        <w:t>.</w:t>
      </w:r>
    </w:p>
    <w:p w14:paraId="4448DAFE" w14:textId="454E41D6"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lastRenderedPageBreak/>
        <w:t>A poststructuralist perspective, a term associated with Foucault (1979) and Derrida (1967, 78) explores sexuality in terms of heterosexual homosexual opposition. Poststructuralist queer theory ex</w:t>
      </w:r>
      <w:r w:rsidR="00DD673B">
        <w:rPr>
          <w:rFonts w:ascii="Times New Roman" w:hAnsi="Times New Roman" w:cs="Times New Roman"/>
          <w:sz w:val="24"/>
          <w:szCs w:val="24"/>
        </w:rPr>
        <w:t>amines</w:t>
      </w:r>
      <w:r w:rsidRPr="005C5A26">
        <w:rPr>
          <w:rFonts w:ascii="Times New Roman" w:hAnsi="Times New Roman" w:cs="Times New Roman"/>
          <w:sz w:val="24"/>
          <w:szCs w:val="24"/>
        </w:rPr>
        <w:t xml:space="preserve"> </w:t>
      </w:r>
      <w:r w:rsidR="007B13B6">
        <w:rPr>
          <w:rFonts w:ascii="Times New Roman" w:hAnsi="Times New Roman" w:cs="Times New Roman"/>
          <w:sz w:val="24"/>
          <w:szCs w:val="24"/>
        </w:rPr>
        <w:t>sexuality</w:t>
      </w:r>
      <w:r w:rsidR="00DD673B">
        <w:rPr>
          <w:rFonts w:ascii="Times New Roman" w:hAnsi="Times New Roman" w:cs="Times New Roman"/>
          <w:sz w:val="24"/>
          <w:szCs w:val="24"/>
        </w:rPr>
        <w:t xml:space="preserve"> to gain a</w:t>
      </w:r>
      <w:r w:rsidR="00081FE0">
        <w:rPr>
          <w:rFonts w:ascii="Times New Roman" w:hAnsi="Times New Roman" w:cs="Times New Roman"/>
          <w:sz w:val="24"/>
          <w:szCs w:val="24"/>
        </w:rPr>
        <w:t xml:space="preserve"> better</w:t>
      </w:r>
      <w:r w:rsidR="00DD673B">
        <w:rPr>
          <w:rFonts w:ascii="Times New Roman" w:hAnsi="Times New Roman" w:cs="Times New Roman"/>
          <w:sz w:val="24"/>
          <w:szCs w:val="24"/>
        </w:rPr>
        <w:t xml:space="preserve"> understanding </w:t>
      </w:r>
      <w:r w:rsidR="00854DF3">
        <w:rPr>
          <w:rFonts w:ascii="Times New Roman" w:hAnsi="Times New Roman" w:cs="Times New Roman"/>
          <w:sz w:val="24"/>
          <w:szCs w:val="24"/>
        </w:rPr>
        <w:t>as to</w:t>
      </w:r>
      <w:r w:rsidRPr="005C5A26">
        <w:rPr>
          <w:rFonts w:ascii="Times New Roman" w:hAnsi="Times New Roman" w:cs="Times New Roman"/>
          <w:sz w:val="24"/>
          <w:szCs w:val="24"/>
        </w:rPr>
        <w:t xml:space="preserve"> </w:t>
      </w:r>
      <w:r w:rsidR="008B53C3">
        <w:rPr>
          <w:rFonts w:ascii="Times New Roman" w:hAnsi="Times New Roman" w:cs="Times New Roman"/>
          <w:sz w:val="24"/>
          <w:szCs w:val="24"/>
        </w:rPr>
        <w:t xml:space="preserve">why </w:t>
      </w:r>
      <w:r w:rsidRPr="005C5A26">
        <w:rPr>
          <w:rFonts w:ascii="Times New Roman" w:hAnsi="Times New Roman" w:cs="Times New Roman"/>
          <w:sz w:val="24"/>
          <w:szCs w:val="24"/>
        </w:rPr>
        <w:t xml:space="preserve">heterosexuality </w:t>
      </w:r>
      <w:r w:rsidR="008B53C3">
        <w:rPr>
          <w:rFonts w:ascii="Times New Roman" w:hAnsi="Times New Roman" w:cs="Times New Roman"/>
          <w:sz w:val="24"/>
          <w:szCs w:val="24"/>
        </w:rPr>
        <w:t>has</w:t>
      </w:r>
      <w:r w:rsidR="00580914">
        <w:rPr>
          <w:rFonts w:ascii="Times New Roman" w:hAnsi="Times New Roman" w:cs="Times New Roman"/>
          <w:sz w:val="24"/>
          <w:szCs w:val="24"/>
        </w:rPr>
        <w:t xml:space="preserve"> held</w:t>
      </w:r>
      <w:r w:rsidR="008B53C3">
        <w:rPr>
          <w:rFonts w:ascii="Times New Roman" w:hAnsi="Times New Roman" w:cs="Times New Roman"/>
          <w:sz w:val="24"/>
          <w:szCs w:val="24"/>
        </w:rPr>
        <w:t xml:space="preserve"> </w:t>
      </w:r>
      <w:r w:rsidR="00580914">
        <w:rPr>
          <w:rFonts w:ascii="Times New Roman" w:hAnsi="Times New Roman" w:cs="Times New Roman"/>
          <w:sz w:val="24"/>
          <w:szCs w:val="24"/>
        </w:rPr>
        <w:t>a position of</w:t>
      </w:r>
      <w:r w:rsidR="00DD673B">
        <w:rPr>
          <w:rFonts w:ascii="Times New Roman" w:hAnsi="Times New Roman" w:cs="Times New Roman"/>
          <w:sz w:val="24"/>
          <w:szCs w:val="24"/>
        </w:rPr>
        <w:t xml:space="preserve"> dominan</w:t>
      </w:r>
      <w:r w:rsidR="00F1464B">
        <w:rPr>
          <w:rFonts w:ascii="Times New Roman" w:hAnsi="Times New Roman" w:cs="Times New Roman"/>
          <w:sz w:val="24"/>
          <w:szCs w:val="24"/>
        </w:rPr>
        <w:t>ce</w:t>
      </w:r>
      <w:r w:rsidR="00DD673B">
        <w:rPr>
          <w:rFonts w:ascii="Times New Roman" w:hAnsi="Times New Roman" w:cs="Times New Roman"/>
          <w:sz w:val="24"/>
          <w:szCs w:val="24"/>
        </w:rPr>
        <w:t xml:space="preserve"> </w:t>
      </w:r>
      <w:r w:rsidR="00D407C0">
        <w:rPr>
          <w:rFonts w:ascii="Times New Roman" w:hAnsi="Times New Roman" w:cs="Times New Roman"/>
          <w:sz w:val="24"/>
          <w:szCs w:val="24"/>
        </w:rPr>
        <w:t>over</w:t>
      </w:r>
      <w:r w:rsidRPr="005C5A26">
        <w:rPr>
          <w:rFonts w:ascii="Times New Roman" w:hAnsi="Times New Roman" w:cs="Times New Roman"/>
          <w:sz w:val="24"/>
          <w:szCs w:val="24"/>
        </w:rPr>
        <w:t xml:space="preserve"> other sexual individualities.</w:t>
      </w:r>
      <w:r w:rsidR="005E4764">
        <w:rPr>
          <w:rFonts w:ascii="Times New Roman" w:hAnsi="Times New Roman" w:cs="Times New Roman"/>
          <w:sz w:val="24"/>
          <w:szCs w:val="24"/>
        </w:rPr>
        <w:t xml:space="preserve"> However</w:t>
      </w:r>
      <w:r w:rsidR="001834FD">
        <w:rPr>
          <w:rFonts w:ascii="Times New Roman" w:hAnsi="Times New Roman" w:cs="Times New Roman"/>
          <w:sz w:val="24"/>
          <w:szCs w:val="24"/>
        </w:rPr>
        <w:t xml:space="preserve">, </w:t>
      </w:r>
      <w:r w:rsidRPr="005C5A26">
        <w:rPr>
          <w:rFonts w:ascii="Times New Roman" w:hAnsi="Times New Roman" w:cs="Times New Roman"/>
          <w:sz w:val="24"/>
          <w:szCs w:val="24"/>
        </w:rPr>
        <w:t xml:space="preserve">a poststructuralist queer theory </w:t>
      </w:r>
      <w:r w:rsidR="005E4764">
        <w:rPr>
          <w:rFonts w:ascii="Times New Roman" w:hAnsi="Times New Roman" w:cs="Times New Roman"/>
          <w:sz w:val="24"/>
          <w:szCs w:val="24"/>
        </w:rPr>
        <w:t xml:space="preserve">has wider inferences for sociological approaches to sexuality; indeed, queer theory is not about focusing </w:t>
      </w:r>
      <w:r w:rsidR="005B745D">
        <w:rPr>
          <w:rFonts w:ascii="Times New Roman" w:hAnsi="Times New Roman" w:cs="Times New Roman"/>
          <w:sz w:val="24"/>
          <w:szCs w:val="24"/>
        </w:rPr>
        <w:t xml:space="preserve">primarily </w:t>
      </w:r>
      <w:r w:rsidR="005E4764">
        <w:rPr>
          <w:rFonts w:ascii="Times New Roman" w:hAnsi="Times New Roman" w:cs="Times New Roman"/>
          <w:sz w:val="24"/>
          <w:szCs w:val="24"/>
        </w:rPr>
        <w:t xml:space="preserve">on the LGBT community, but instead </w:t>
      </w:r>
      <w:r w:rsidRPr="005C5A26">
        <w:rPr>
          <w:rFonts w:ascii="Times New Roman" w:hAnsi="Times New Roman" w:cs="Times New Roman"/>
          <w:sz w:val="24"/>
          <w:szCs w:val="24"/>
        </w:rPr>
        <w:t xml:space="preserve">offers sociology a chance to </w:t>
      </w:r>
      <w:r w:rsidR="00E22364" w:rsidRPr="005C5A26">
        <w:rPr>
          <w:rFonts w:ascii="Times New Roman" w:hAnsi="Times New Roman" w:cs="Times New Roman"/>
          <w:sz w:val="24"/>
          <w:szCs w:val="24"/>
        </w:rPr>
        <w:t xml:space="preserve">critically </w:t>
      </w:r>
      <w:proofErr w:type="spellStart"/>
      <w:r w:rsidR="00E22364" w:rsidRPr="005C5A26">
        <w:rPr>
          <w:rFonts w:ascii="Times New Roman" w:hAnsi="Times New Roman" w:cs="Times New Roman"/>
          <w:sz w:val="24"/>
          <w:szCs w:val="24"/>
        </w:rPr>
        <w:t>analyse</w:t>
      </w:r>
      <w:proofErr w:type="spellEnd"/>
      <w:r w:rsidRPr="005C5A26">
        <w:rPr>
          <w:rFonts w:ascii="Times New Roman" w:hAnsi="Times New Roman" w:cs="Times New Roman"/>
          <w:sz w:val="24"/>
          <w:szCs w:val="24"/>
        </w:rPr>
        <w:t xml:space="preserve"> the position and reproduction of heterosexuality.  </w:t>
      </w:r>
      <w:r w:rsidR="00692B10">
        <w:rPr>
          <w:rFonts w:ascii="Times New Roman" w:hAnsi="Times New Roman" w:cs="Times New Roman"/>
          <w:sz w:val="24"/>
          <w:szCs w:val="24"/>
        </w:rPr>
        <w:t>This suggests</w:t>
      </w:r>
      <w:r w:rsidRPr="005C5A26">
        <w:rPr>
          <w:rFonts w:ascii="Times New Roman" w:hAnsi="Times New Roman" w:cs="Times New Roman"/>
          <w:sz w:val="24"/>
          <w:szCs w:val="24"/>
        </w:rPr>
        <w:t xml:space="preserve">, </w:t>
      </w:r>
      <w:r w:rsidR="00692B10">
        <w:rPr>
          <w:rFonts w:ascii="Times New Roman" w:hAnsi="Times New Roman" w:cs="Times New Roman"/>
          <w:sz w:val="24"/>
          <w:szCs w:val="24"/>
        </w:rPr>
        <w:t xml:space="preserve">that </w:t>
      </w:r>
      <w:r w:rsidRPr="005C5A26">
        <w:rPr>
          <w:rFonts w:ascii="Times New Roman" w:hAnsi="Times New Roman" w:cs="Times New Roman"/>
          <w:sz w:val="24"/>
          <w:szCs w:val="24"/>
        </w:rPr>
        <w:t>a poststructuralist perspective perhaps aims to understand heterosexuality as something that is socially constructed (Namaste, 1994).</w:t>
      </w:r>
      <w:r w:rsidR="00857E12">
        <w:rPr>
          <w:rFonts w:ascii="Times New Roman" w:hAnsi="Times New Roman" w:cs="Times New Roman"/>
          <w:sz w:val="24"/>
          <w:szCs w:val="24"/>
        </w:rPr>
        <w:t xml:space="preserve"> </w:t>
      </w:r>
      <w:r w:rsidRPr="005C5A26">
        <w:rPr>
          <w:rFonts w:ascii="Times New Roman" w:hAnsi="Times New Roman" w:cs="Times New Roman"/>
          <w:sz w:val="24"/>
          <w:szCs w:val="24"/>
        </w:rPr>
        <w:t xml:space="preserve">A fundamental of gender socialisation is the position that role theory plays in the forming and shaping of males and females to fulfil family and work-related positions in society. For instance, Eagley and Wood (2015) propose that societies carry out numerous methods of socialisation to encourage personality traits and skills that enable role performance of its members and that biological and psychological processes are entangled within genders. However, Connell (1985; 87; 95; and Carrigan, Connell, and Lee, 1987) criticised role theory initially and then also sex role theory because of its failure to conceptualise the position of power and conflict </w:t>
      </w:r>
      <w:r w:rsidR="00D27A14">
        <w:rPr>
          <w:rFonts w:ascii="Times New Roman" w:hAnsi="Times New Roman" w:cs="Times New Roman"/>
          <w:sz w:val="24"/>
          <w:szCs w:val="24"/>
        </w:rPr>
        <w:t>as a key element of the relationships</w:t>
      </w:r>
      <w:r w:rsidRPr="005C5A26">
        <w:rPr>
          <w:rFonts w:ascii="Times New Roman" w:hAnsi="Times New Roman" w:cs="Times New Roman"/>
          <w:sz w:val="24"/>
          <w:szCs w:val="24"/>
        </w:rPr>
        <w:t xml:space="preserve"> between and within genders; this included the inability to understand </w:t>
      </w:r>
      <w:r w:rsidR="00D27A14" w:rsidRPr="005C5A26">
        <w:rPr>
          <w:rFonts w:ascii="Times New Roman" w:hAnsi="Times New Roman" w:cs="Times New Roman"/>
          <w:sz w:val="24"/>
          <w:szCs w:val="24"/>
        </w:rPr>
        <w:t>transformation</w:t>
      </w:r>
      <w:r w:rsidRPr="005C5A26">
        <w:rPr>
          <w:rFonts w:ascii="Times New Roman" w:hAnsi="Times New Roman" w:cs="Times New Roman"/>
          <w:sz w:val="24"/>
          <w:szCs w:val="24"/>
        </w:rPr>
        <w:t xml:space="preserve"> as a consequence of the paradoxes within gender relations. Consequently, sex role theory failed to understand the connection between social institutions and human agency due to its dependence on biological perspectives (</w:t>
      </w:r>
      <w:proofErr w:type="spellStart"/>
      <w:r w:rsidRPr="005C5A26">
        <w:rPr>
          <w:rFonts w:ascii="Times New Roman" w:hAnsi="Times New Roman" w:cs="Times New Roman"/>
          <w:sz w:val="24"/>
          <w:szCs w:val="24"/>
        </w:rPr>
        <w:t>Demetrakis</w:t>
      </w:r>
      <w:proofErr w:type="spellEnd"/>
      <w:r w:rsidRPr="005C5A26">
        <w:rPr>
          <w:rFonts w:ascii="Times New Roman" w:hAnsi="Times New Roman" w:cs="Times New Roman"/>
          <w:sz w:val="24"/>
          <w:szCs w:val="24"/>
        </w:rPr>
        <w:t>, 2001).</w:t>
      </w:r>
      <w:r w:rsidR="00EE3025" w:rsidRPr="005C5A26">
        <w:rPr>
          <w:rFonts w:ascii="Times New Roman" w:hAnsi="Times New Roman" w:cs="Times New Roman"/>
          <w:sz w:val="24"/>
          <w:szCs w:val="24"/>
        </w:rPr>
        <w:t xml:space="preserve"> </w:t>
      </w:r>
    </w:p>
    <w:p w14:paraId="12A23B99" w14:textId="77777777" w:rsidR="001E3A8C" w:rsidRPr="005C5A26" w:rsidRDefault="001E3A8C" w:rsidP="00D71843">
      <w:pPr>
        <w:pStyle w:val="Body"/>
        <w:spacing w:line="240" w:lineRule="auto"/>
        <w:jc w:val="both"/>
        <w:rPr>
          <w:rFonts w:ascii="Times New Roman" w:hAnsi="Times New Roman" w:cs="Times New Roman"/>
          <w:sz w:val="24"/>
          <w:szCs w:val="24"/>
        </w:rPr>
      </w:pPr>
    </w:p>
    <w:p w14:paraId="3A061BF7" w14:textId="79233CFD"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This next section is going to explore further the mechanisms of power and control, engaging the mass media as an institution and influencer of gender ideology through social learning. The mass media has been implicated as playing a major role in the influencing of dominant ideological perspectives of gender (</w:t>
      </w:r>
      <w:proofErr w:type="spellStart"/>
      <w:r w:rsidRPr="005C5A26">
        <w:rPr>
          <w:rFonts w:ascii="Times New Roman" w:hAnsi="Times New Roman" w:cs="Times New Roman"/>
          <w:sz w:val="24"/>
          <w:szCs w:val="24"/>
        </w:rPr>
        <w:t>Giaccardi</w:t>
      </w:r>
      <w:proofErr w:type="spellEnd"/>
      <w:r w:rsidRPr="005C5A26">
        <w:rPr>
          <w:rFonts w:ascii="Times New Roman" w:hAnsi="Times New Roman" w:cs="Times New Roman"/>
          <w:sz w:val="24"/>
          <w:szCs w:val="24"/>
        </w:rPr>
        <w:t xml:space="preserve"> </w:t>
      </w:r>
      <w:r w:rsidRPr="005C5A26">
        <w:rPr>
          <w:rFonts w:ascii="Times New Roman" w:hAnsi="Times New Roman" w:cs="Times New Roman"/>
          <w:i/>
          <w:iCs/>
          <w:sz w:val="24"/>
          <w:szCs w:val="24"/>
          <w:lang w:val="nl-NL"/>
        </w:rPr>
        <w:t>et al</w:t>
      </w:r>
      <w:r w:rsidRPr="005C5A26">
        <w:rPr>
          <w:rFonts w:ascii="Times New Roman" w:hAnsi="Times New Roman" w:cs="Times New Roman"/>
          <w:sz w:val="24"/>
          <w:szCs w:val="24"/>
        </w:rPr>
        <w:t xml:space="preserve">., 2016; Harding, 2008; Ward, </w:t>
      </w:r>
      <w:proofErr w:type="spellStart"/>
      <w:r w:rsidRPr="005C5A26">
        <w:rPr>
          <w:rFonts w:ascii="Times New Roman" w:hAnsi="Times New Roman" w:cs="Times New Roman"/>
          <w:sz w:val="24"/>
          <w:szCs w:val="24"/>
        </w:rPr>
        <w:t>Merriwether</w:t>
      </w:r>
      <w:proofErr w:type="spellEnd"/>
      <w:r w:rsidRPr="005C5A26">
        <w:rPr>
          <w:rFonts w:ascii="Times New Roman" w:hAnsi="Times New Roman" w:cs="Times New Roman"/>
          <w:sz w:val="24"/>
          <w:szCs w:val="24"/>
        </w:rPr>
        <w:t xml:space="preserve"> and Caruthers, 2006). In this case, gender role ideology refers to a common viewpoint concerning the roles, rights, and responsibilities adopted by men and women in society. This entails distinctive roles for men and women; men play the role of the breadwinner and women the homemaker, for instance. However, these ideologies of the family structure have been heavily criticised (West and Zimmerman, 1983; Lorber and Farrell, 1991; Lorber, 1994) for creating inequality and human rights issues on many levels, such as unequal opportunities between men and women (e.g., the gender pay gap) and between same sex </w:t>
      </w:r>
      <w:r w:rsidR="00956D2F" w:rsidRPr="005C5A26">
        <w:rPr>
          <w:rFonts w:ascii="Times New Roman" w:hAnsi="Times New Roman" w:cs="Times New Roman"/>
          <w:sz w:val="24"/>
          <w:szCs w:val="24"/>
        </w:rPr>
        <w:t>couples for</w:t>
      </w:r>
      <w:r w:rsidRPr="005C5A26">
        <w:rPr>
          <w:rFonts w:ascii="Times New Roman" w:hAnsi="Times New Roman" w:cs="Times New Roman"/>
          <w:sz w:val="24"/>
          <w:szCs w:val="24"/>
        </w:rPr>
        <w:t xml:space="preserve"> instance. The mass media has also been criticised for the </w:t>
      </w:r>
      <w:proofErr w:type="spellStart"/>
      <w:r w:rsidRPr="005C5A26">
        <w:rPr>
          <w:rFonts w:ascii="Times New Roman" w:hAnsi="Times New Roman" w:cs="Times New Roman"/>
          <w:sz w:val="24"/>
          <w:szCs w:val="24"/>
        </w:rPr>
        <w:t>sexualisation</w:t>
      </w:r>
      <w:proofErr w:type="spellEnd"/>
      <w:r w:rsidRPr="005C5A26">
        <w:rPr>
          <w:rFonts w:ascii="Times New Roman" w:hAnsi="Times New Roman" w:cs="Times New Roman"/>
          <w:sz w:val="24"/>
          <w:szCs w:val="24"/>
        </w:rPr>
        <w:t xml:space="preserve"> of culture, through magazines, </w:t>
      </w:r>
      <w:r w:rsidRPr="005C5A26">
        <w:rPr>
          <w:rFonts w:ascii="Times New Roman" w:hAnsi="Times New Roman" w:cs="Times New Roman"/>
          <w:sz w:val="24"/>
          <w:szCs w:val="24"/>
        </w:rPr>
        <w:lastRenderedPageBreak/>
        <w:t xml:space="preserve">television, film, radio and social media. This has been illustrated in the way that magazines use celebrities and models for advertising campaigns, many of which promote the </w:t>
      </w:r>
      <w:proofErr w:type="spellStart"/>
      <w:r w:rsidRPr="005C5A26">
        <w:rPr>
          <w:rFonts w:ascii="Times New Roman" w:hAnsi="Times New Roman" w:cs="Times New Roman"/>
          <w:sz w:val="24"/>
          <w:szCs w:val="24"/>
        </w:rPr>
        <w:t>sexualised</w:t>
      </w:r>
      <w:proofErr w:type="spellEnd"/>
      <w:r w:rsidRPr="005C5A26">
        <w:rPr>
          <w:rFonts w:ascii="Times New Roman" w:hAnsi="Times New Roman" w:cs="Times New Roman"/>
          <w:sz w:val="24"/>
          <w:szCs w:val="24"/>
        </w:rPr>
        <w:t xml:space="preserve"> body as a representation of femininity (Davis, 2018; Collins, 2011; Gill, 2007) and masculinity (Papadopoulos, 2010). For example, a study concerning the advertising of beer and non-beer in entertainment and sports channels revealed that 75 per cent of beer and 50 per cent of non-beer adverts were understood to be sexist and presented women in objectifying roles (Papadopoulos, 2010; </w:t>
      </w:r>
      <w:proofErr w:type="spellStart"/>
      <w:r w:rsidRPr="005C5A26">
        <w:rPr>
          <w:rFonts w:ascii="Times New Roman" w:hAnsi="Times New Roman" w:cs="Times New Roman"/>
          <w:sz w:val="24"/>
          <w:szCs w:val="24"/>
        </w:rPr>
        <w:t>Rouner</w:t>
      </w:r>
      <w:proofErr w:type="spellEnd"/>
      <w:r w:rsidRPr="005C5A26">
        <w:rPr>
          <w:rFonts w:ascii="Times New Roman" w:hAnsi="Times New Roman" w:cs="Times New Roman"/>
          <w:sz w:val="24"/>
          <w:szCs w:val="24"/>
        </w:rPr>
        <w:t xml:space="preserve">, Slater, and Domenech-Rodriquez, 2003). Whereas representations of men as hypermasculine not only encourage the phenomenon of hegemonic masculine scripts (Mosher &amp; </w:t>
      </w:r>
      <w:proofErr w:type="spellStart"/>
      <w:r w:rsidRPr="005C5A26">
        <w:rPr>
          <w:rFonts w:ascii="Times New Roman" w:hAnsi="Times New Roman" w:cs="Times New Roman"/>
          <w:sz w:val="24"/>
          <w:szCs w:val="24"/>
        </w:rPr>
        <w:t>Sirkin</w:t>
      </w:r>
      <w:proofErr w:type="spellEnd"/>
      <w:r w:rsidRPr="005C5A26">
        <w:rPr>
          <w:rFonts w:ascii="Times New Roman" w:hAnsi="Times New Roman" w:cs="Times New Roman"/>
          <w:sz w:val="24"/>
          <w:szCs w:val="24"/>
        </w:rPr>
        <w:t xml:space="preserve">, 1988) to be played out among men, e.g., macho behaviours, but also inverts the male gaze (Patterson and Elliot, 2002). The establishments of consumer culture (Slater, 1997) play a key role in the creation of bodily norms (Patterson and Elliot, 2002; </w:t>
      </w:r>
      <w:proofErr w:type="spellStart"/>
      <w:r w:rsidRPr="005C5A26">
        <w:rPr>
          <w:rFonts w:ascii="Times New Roman" w:hAnsi="Times New Roman" w:cs="Times New Roman"/>
          <w:sz w:val="24"/>
          <w:szCs w:val="24"/>
        </w:rPr>
        <w:t>Stuhldreher</w:t>
      </w:r>
      <w:proofErr w:type="spellEnd"/>
      <w:r w:rsidRPr="005C5A26">
        <w:rPr>
          <w:rFonts w:ascii="Times New Roman" w:hAnsi="Times New Roman" w:cs="Times New Roman"/>
          <w:sz w:val="24"/>
          <w:szCs w:val="24"/>
        </w:rPr>
        <w:t xml:space="preserve"> and Ryan, 1999; Thomson and </w:t>
      </w:r>
      <w:proofErr w:type="spellStart"/>
      <w:r w:rsidRPr="005C5A26">
        <w:rPr>
          <w:rFonts w:ascii="Times New Roman" w:hAnsi="Times New Roman" w:cs="Times New Roman"/>
          <w:sz w:val="24"/>
          <w:szCs w:val="24"/>
        </w:rPr>
        <w:t>Hirchman</w:t>
      </w:r>
      <w:proofErr w:type="spellEnd"/>
      <w:r w:rsidRPr="005C5A26">
        <w:rPr>
          <w:rFonts w:ascii="Times New Roman" w:hAnsi="Times New Roman" w:cs="Times New Roman"/>
          <w:sz w:val="24"/>
          <w:szCs w:val="24"/>
        </w:rPr>
        <w:t>, 1995) and a failure to meet with these modern ideals of self-image could be symptomatic of poor self-perception (Foucault, 1979; Patterson and Elliot, 2002).</w:t>
      </w:r>
    </w:p>
    <w:p w14:paraId="176B9678" w14:textId="77777777" w:rsidR="004B57A0" w:rsidRPr="005C5A26" w:rsidRDefault="004B57A0" w:rsidP="00FD5C38">
      <w:pPr>
        <w:pStyle w:val="Body"/>
        <w:spacing w:line="240" w:lineRule="auto"/>
        <w:jc w:val="both"/>
        <w:rPr>
          <w:rFonts w:ascii="Times New Roman" w:hAnsi="Times New Roman" w:cs="Times New Roman"/>
          <w:sz w:val="24"/>
          <w:szCs w:val="24"/>
        </w:rPr>
      </w:pPr>
    </w:p>
    <w:p w14:paraId="157834DD" w14:textId="5009C0C1"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A study was undertaken in India (Shaikh, </w:t>
      </w:r>
      <w:proofErr w:type="spellStart"/>
      <w:r w:rsidRPr="005C5A26">
        <w:rPr>
          <w:rFonts w:ascii="Times New Roman" w:hAnsi="Times New Roman" w:cs="Times New Roman"/>
          <w:sz w:val="24"/>
          <w:szCs w:val="24"/>
        </w:rPr>
        <w:t>Bughio</w:t>
      </w:r>
      <w:proofErr w:type="spellEnd"/>
      <w:r w:rsidRPr="005C5A26">
        <w:rPr>
          <w:rFonts w:ascii="Times New Roman" w:hAnsi="Times New Roman" w:cs="Times New Roman"/>
          <w:sz w:val="24"/>
          <w:szCs w:val="24"/>
        </w:rPr>
        <w:t xml:space="preserve"> and Kadri, 2015) to demonstrate the position of gender representations in advertising and the impacts on gender equality. The findings of this study indicated that through patriarchal ideology, advertisers use several strategies to </w:t>
      </w:r>
      <w:proofErr w:type="spellStart"/>
      <w:r w:rsidRPr="005C5A26">
        <w:rPr>
          <w:rFonts w:ascii="Times New Roman" w:hAnsi="Times New Roman" w:cs="Times New Roman"/>
          <w:sz w:val="24"/>
          <w:szCs w:val="24"/>
        </w:rPr>
        <w:t>naturalise</w:t>
      </w:r>
      <w:proofErr w:type="spellEnd"/>
      <w:r w:rsidRPr="005C5A26">
        <w:rPr>
          <w:rFonts w:ascii="Times New Roman" w:hAnsi="Times New Roman" w:cs="Times New Roman"/>
          <w:sz w:val="24"/>
          <w:szCs w:val="24"/>
        </w:rPr>
        <w:t xml:space="preserve"> stereotypical roles of male and female. For example, an advertisement for the </w:t>
      </w:r>
      <w:r w:rsidRPr="005C5A26">
        <w:rPr>
          <w:rFonts w:ascii="Times New Roman" w:hAnsi="Times New Roman" w:cs="Times New Roman"/>
          <w:sz w:val="24"/>
          <w:szCs w:val="24"/>
          <w:lang w:val="nl-NL"/>
        </w:rPr>
        <w:t>Kenwood Chef</w:t>
      </w:r>
      <w:r w:rsidRPr="005C5A26">
        <w:rPr>
          <w:rFonts w:ascii="Times New Roman" w:hAnsi="Times New Roman" w:cs="Times New Roman"/>
          <w:sz w:val="24"/>
          <w:szCs w:val="24"/>
        </w:rPr>
        <w:t xml:space="preserve"> narrates as follows; ‘the chef does everything but cook; that is what wives are for’ (Shaikh, </w:t>
      </w:r>
      <w:proofErr w:type="spellStart"/>
      <w:r w:rsidRPr="005C5A26">
        <w:rPr>
          <w:rFonts w:ascii="Times New Roman" w:hAnsi="Times New Roman" w:cs="Times New Roman"/>
          <w:sz w:val="24"/>
          <w:szCs w:val="24"/>
        </w:rPr>
        <w:t>Bughio</w:t>
      </w:r>
      <w:proofErr w:type="spellEnd"/>
      <w:r w:rsidRPr="005C5A26">
        <w:rPr>
          <w:rFonts w:ascii="Times New Roman" w:hAnsi="Times New Roman" w:cs="Times New Roman"/>
          <w:sz w:val="24"/>
          <w:szCs w:val="24"/>
        </w:rPr>
        <w:t xml:space="preserve"> and Kadri, 2015, p. 32). Another showed a family sitting at the dinner table (two children, and two men, presumably a father and a grandfather) however, it is the wom</w:t>
      </w:r>
      <w:r w:rsidR="00956D2F" w:rsidRPr="005C5A26">
        <w:rPr>
          <w:rFonts w:ascii="Times New Roman" w:hAnsi="Times New Roman" w:cs="Times New Roman"/>
          <w:sz w:val="24"/>
          <w:szCs w:val="24"/>
        </w:rPr>
        <w:t>a</w:t>
      </w:r>
      <w:r w:rsidRPr="005C5A26">
        <w:rPr>
          <w:rFonts w:ascii="Times New Roman" w:hAnsi="Times New Roman" w:cs="Times New Roman"/>
          <w:sz w:val="24"/>
          <w:szCs w:val="24"/>
        </w:rPr>
        <w:t xml:space="preserve">n (mother figure) in the picture who serves the meal.  Other examples related to the use of women’s beauty </w:t>
      </w:r>
      <w:r w:rsidR="00956D2F" w:rsidRPr="005C5A26">
        <w:rPr>
          <w:rFonts w:ascii="Times New Roman" w:hAnsi="Times New Roman" w:cs="Times New Roman"/>
          <w:sz w:val="24"/>
          <w:szCs w:val="24"/>
        </w:rPr>
        <w:t>products; these</w:t>
      </w:r>
      <w:r w:rsidRPr="005C5A26">
        <w:rPr>
          <w:rFonts w:ascii="Times New Roman" w:hAnsi="Times New Roman" w:cs="Times New Roman"/>
          <w:sz w:val="24"/>
          <w:szCs w:val="24"/>
        </w:rPr>
        <w:t xml:space="preserve"> adverts not only suggest that physical beauty is an important part of being a woman, they also endorse the position of a woman’s role in a family setting to be one that is passive. These adverts promote a heteronormative view of gender and family life, excluding diverse family structures, e.g., LGBT families.  Furthermore, Collins (2011) argues that the media </w:t>
      </w:r>
      <w:r w:rsidR="00C651FF" w:rsidRPr="005C5A26">
        <w:rPr>
          <w:rFonts w:ascii="Times New Roman" w:hAnsi="Times New Roman" w:cs="Times New Roman"/>
          <w:sz w:val="24"/>
          <w:szCs w:val="24"/>
        </w:rPr>
        <w:t xml:space="preserve">frequently </w:t>
      </w:r>
      <w:r w:rsidRPr="005C5A26">
        <w:rPr>
          <w:rFonts w:ascii="Times New Roman" w:hAnsi="Times New Roman" w:cs="Times New Roman"/>
          <w:sz w:val="24"/>
          <w:szCs w:val="24"/>
        </w:rPr>
        <w:t xml:space="preserve">portrays women in subordinate </w:t>
      </w:r>
      <w:r w:rsidR="002A0CF7" w:rsidRPr="005C5A26">
        <w:rPr>
          <w:rFonts w:ascii="Times New Roman" w:hAnsi="Times New Roman" w:cs="Times New Roman"/>
          <w:sz w:val="24"/>
          <w:szCs w:val="24"/>
        </w:rPr>
        <w:t xml:space="preserve">and </w:t>
      </w:r>
      <w:proofErr w:type="spellStart"/>
      <w:r w:rsidRPr="005C5A26">
        <w:rPr>
          <w:rFonts w:ascii="Times New Roman" w:hAnsi="Times New Roman" w:cs="Times New Roman"/>
          <w:sz w:val="24"/>
          <w:szCs w:val="24"/>
        </w:rPr>
        <w:t>sexualised</w:t>
      </w:r>
      <w:proofErr w:type="spellEnd"/>
      <w:r w:rsidRPr="005C5A26">
        <w:rPr>
          <w:rFonts w:ascii="Times New Roman" w:hAnsi="Times New Roman" w:cs="Times New Roman"/>
          <w:sz w:val="24"/>
          <w:szCs w:val="24"/>
        </w:rPr>
        <w:t xml:space="preserve"> roles, such as nonprofessional heteronormative domestic roles, </w:t>
      </w:r>
      <w:r w:rsidR="00956D2F" w:rsidRPr="005C5A26">
        <w:rPr>
          <w:rFonts w:ascii="Times New Roman" w:hAnsi="Times New Roman" w:cs="Times New Roman"/>
          <w:sz w:val="24"/>
          <w:szCs w:val="24"/>
        </w:rPr>
        <w:t>and that</w:t>
      </w:r>
      <w:r w:rsidRPr="005C5A26">
        <w:rPr>
          <w:rFonts w:ascii="Times New Roman" w:hAnsi="Times New Roman" w:cs="Times New Roman"/>
          <w:sz w:val="24"/>
          <w:szCs w:val="24"/>
        </w:rPr>
        <w:t xml:space="preserve"> women are used in sexual scripts. For example, a study by Downs and Smith (2010, </w:t>
      </w:r>
      <w:r w:rsidRPr="005C5A26">
        <w:rPr>
          <w:rFonts w:ascii="Times New Roman" w:hAnsi="Times New Roman" w:cs="Times New Roman"/>
          <w:i/>
          <w:iCs/>
          <w:sz w:val="24"/>
          <w:szCs w:val="24"/>
        </w:rPr>
        <w:t>cited</w:t>
      </w:r>
      <w:r w:rsidRPr="005C5A26">
        <w:rPr>
          <w:rFonts w:ascii="Times New Roman" w:hAnsi="Times New Roman" w:cs="Times New Roman"/>
          <w:sz w:val="24"/>
          <w:szCs w:val="24"/>
        </w:rPr>
        <w:t xml:space="preserve"> in Collins, 2011) revealed that 41 per cent of female characters used in many of the top-selling video games wore revealing clothing or were presented to be in part or entirely naked. In addition, these women’s bodies were presented in an unrealistically proportioned manner whereas men were not generally found to </w:t>
      </w:r>
      <w:r w:rsidRPr="005C5A26">
        <w:rPr>
          <w:rFonts w:ascii="Times New Roman" w:hAnsi="Times New Roman" w:cs="Times New Roman"/>
          <w:sz w:val="24"/>
          <w:szCs w:val="24"/>
        </w:rPr>
        <w:lastRenderedPageBreak/>
        <w:t xml:space="preserve">be portrayed in the same way (Dill and Thill, 2007).  This hyper </w:t>
      </w:r>
      <w:proofErr w:type="spellStart"/>
      <w:r w:rsidRPr="005C5A26">
        <w:rPr>
          <w:rFonts w:ascii="Times New Roman" w:hAnsi="Times New Roman" w:cs="Times New Roman"/>
          <w:sz w:val="24"/>
          <w:szCs w:val="24"/>
        </w:rPr>
        <w:t>sexualisation</w:t>
      </w:r>
      <w:proofErr w:type="spellEnd"/>
      <w:r w:rsidRPr="005C5A26">
        <w:rPr>
          <w:rFonts w:ascii="Times New Roman" w:hAnsi="Times New Roman" w:cs="Times New Roman"/>
          <w:sz w:val="24"/>
          <w:szCs w:val="24"/>
        </w:rPr>
        <w:t xml:space="preserve"> of women </w:t>
      </w:r>
      <w:r w:rsidR="002A0CF7" w:rsidRPr="005C5A26">
        <w:rPr>
          <w:rFonts w:ascii="Times New Roman" w:hAnsi="Times New Roman" w:cs="Times New Roman"/>
          <w:sz w:val="24"/>
          <w:szCs w:val="24"/>
        </w:rPr>
        <w:t xml:space="preserve">and children </w:t>
      </w:r>
      <w:r w:rsidRPr="005C5A26">
        <w:rPr>
          <w:rFonts w:ascii="Times New Roman" w:hAnsi="Times New Roman" w:cs="Times New Roman"/>
          <w:sz w:val="24"/>
          <w:szCs w:val="24"/>
        </w:rPr>
        <w:t>is a growing concern</w:t>
      </w:r>
      <w:r w:rsidR="00815D28" w:rsidRPr="005C5A26">
        <w:rPr>
          <w:rFonts w:ascii="Times New Roman" w:hAnsi="Times New Roman" w:cs="Times New Roman"/>
          <w:sz w:val="24"/>
          <w:szCs w:val="24"/>
        </w:rPr>
        <w:t>, particularly</w:t>
      </w:r>
      <w:r w:rsidRPr="005C5A26">
        <w:rPr>
          <w:rFonts w:ascii="Times New Roman" w:hAnsi="Times New Roman" w:cs="Times New Roman"/>
          <w:sz w:val="24"/>
          <w:szCs w:val="24"/>
        </w:rPr>
        <w:t xml:space="preserve"> regarding its influence on young people through gaming and social media us</w:t>
      </w:r>
      <w:r w:rsidR="00CD2561" w:rsidRPr="005C5A26">
        <w:rPr>
          <w:rFonts w:ascii="Times New Roman" w:hAnsi="Times New Roman" w:cs="Times New Roman"/>
          <w:sz w:val="24"/>
          <w:szCs w:val="24"/>
        </w:rPr>
        <w:t>e</w:t>
      </w:r>
      <w:r w:rsidRPr="005C5A26">
        <w:rPr>
          <w:rFonts w:ascii="Times New Roman" w:hAnsi="Times New Roman" w:cs="Times New Roman"/>
          <w:sz w:val="24"/>
          <w:szCs w:val="24"/>
        </w:rPr>
        <w:t xml:space="preserve"> (Papadopoulos, 2010); impacting largely on the construction of self-identity, gender and sexuality. Moreover, it is the position of sexuality in online social networking that has been implicated as a key influence in this self-construction (Davis, 2018). </w:t>
      </w:r>
    </w:p>
    <w:p w14:paraId="3F90CFC3" w14:textId="77777777" w:rsidR="004B57A0" w:rsidRPr="005C5A26" w:rsidRDefault="004B57A0" w:rsidP="00A27E10">
      <w:pPr>
        <w:pStyle w:val="Body"/>
        <w:spacing w:line="240" w:lineRule="auto"/>
        <w:jc w:val="both"/>
        <w:rPr>
          <w:rFonts w:ascii="Times New Roman" w:hAnsi="Times New Roman" w:cs="Times New Roman"/>
          <w:sz w:val="24"/>
          <w:szCs w:val="24"/>
        </w:rPr>
      </w:pPr>
    </w:p>
    <w:p w14:paraId="77356265" w14:textId="72F8457F" w:rsidR="004B29C4"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According to </w:t>
      </w:r>
      <w:proofErr w:type="spellStart"/>
      <w:r w:rsidRPr="005C5A26">
        <w:rPr>
          <w:rFonts w:ascii="Times New Roman" w:hAnsi="Times New Roman" w:cs="Times New Roman"/>
          <w:sz w:val="24"/>
          <w:szCs w:val="24"/>
        </w:rPr>
        <w:t>McQuail</w:t>
      </w:r>
      <w:proofErr w:type="spellEnd"/>
      <w:r w:rsidRPr="005C5A26">
        <w:rPr>
          <w:rFonts w:ascii="Times New Roman" w:hAnsi="Times New Roman" w:cs="Times New Roman"/>
          <w:sz w:val="24"/>
          <w:szCs w:val="24"/>
        </w:rPr>
        <w:t xml:space="preserve"> (2010), mass media theory refers to the phenomen</w:t>
      </w:r>
      <w:r w:rsidR="007062EF" w:rsidRPr="005C5A26">
        <w:rPr>
          <w:rFonts w:ascii="Times New Roman" w:hAnsi="Times New Roman" w:cs="Times New Roman"/>
          <w:sz w:val="24"/>
          <w:szCs w:val="24"/>
        </w:rPr>
        <w:t>on</w:t>
      </w:r>
      <w:r w:rsidRPr="005C5A26">
        <w:rPr>
          <w:rFonts w:ascii="Times New Roman" w:hAnsi="Times New Roman" w:cs="Times New Roman"/>
          <w:sz w:val="24"/>
          <w:szCs w:val="24"/>
        </w:rPr>
        <w:t xml:space="preserve"> of mass communication to large audiences of people around the world. He argues that the mass media has played a central role in the shifting trends of contemporary society and culture (Harding, 2008) impacting on individual experience and the socioeconomic system. This includes how social values and norms are influenced and perceived, such as in the socialisation of gender and gender ideology. Ideology, for Tomkins (1965, </w:t>
      </w:r>
      <w:r w:rsidRPr="005C5A26">
        <w:rPr>
          <w:rFonts w:ascii="Times New Roman" w:hAnsi="Times New Roman" w:cs="Times New Roman"/>
          <w:i/>
          <w:iCs/>
          <w:sz w:val="24"/>
          <w:szCs w:val="24"/>
        </w:rPr>
        <w:t xml:space="preserve">cited </w:t>
      </w:r>
      <w:r w:rsidRPr="005C5A26">
        <w:rPr>
          <w:rFonts w:ascii="Times New Roman" w:hAnsi="Times New Roman" w:cs="Times New Roman"/>
          <w:sz w:val="24"/>
          <w:szCs w:val="24"/>
        </w:rPr>
        <w:t xml:space="preserve">in, Mosher and Tomkins, 1988, p. 62), is defined as a ‘biosocial construction that humans use to understand, justify, and celebrate how they live in the world.’ Furthermore, visual learning has been </w:t>
      </w:r>
      <w:proofErr w:type="spellStart"/>
      <w:r w:rsidRPr="005C5A26">
        <w:rPr>
          <w:rFonts w:ascii="Times New Roman" w:hAnsi="Times New Roman" w:cs="Times New Roman"/>
          <w:sz w:val="24"/>
          <w:szCs w:val="24"/>
        </w:rPr>
        <w:t>recognised</w:t>
      </w:r>
      <w:proofErr w:type="spellEnd"/>
      <w:r w:rsidRPr="005C5A26">
        <w:rPr>
          <w:rFonts w:ascii="Times New Roman" w:hAnsi="Times New Roman" w:cs="Times New Roman"/>
          <w:sz w:val="24"/>
          <w:szCs w:val="24"/>
        </w:rPr>
        <w:t xml:space="preserve"> to be the most influential mode of learning (see, Bandura, 1986). Indeed, Smith </w:t>
      </w:r>
      <w:r w:rsidRPr="005C5A26">
        <w:rPr>
          <w:rFonts w:ascii="Times New Roman" w:hAnsi="Times New Roman" w:cs="Times New Roman"/>
          <w:i/>
          <w:iCs/>
          <w:sz w:val="24"/>
          <w:szCs w:val="24"/>
        </w:rPr>
        <w:t>et al.,</w:t>
      </w:r>
      <w:r w:rsidRPr="005C5A26">
        <w:rPr>
          <w:rFonts w:ascii="Times New Roman" w:hAnsi="Times New Roman" w:cs="Times New Roman"/>
          <w:sz w:val="24"/>
          <w:szCs w:val="24"/>
        </w:rPr>
        <w:t xml:space="preserve"> (2019) proposes that</w:t>
      </w:r>
      <w:r w:rsidR="004B29C4" w:rsidRPr="005C5A26">
        <w:rPr>
          <w:rFonts w:ascii="Times New Roman" w:hAnsi="Times New Roman" w:cs="Times New Roman"/>
          <w:sz w:val="24"/>
          <w:szCs w:val="24"/>
        </w:rPr>
        <w:t xml:space="preserve">: </w:t>
      </w:r>
    </w:p>
    <w:p w14:paraId="41C5CE38" w14:textId="77E0081E" w:rsidR="004B29C4" w:rsidRDefault="009C15E1" w:rsidP="001E3A8C">
      <w:pPr>
        <w:pStyle w:val="Body"/>
        <w:spacing w:line="240" w:lineRule="auto"/>
        <w:ind w:left="720" w:right="567"/>
        <w:jc w:val="both"/>
        <w:rPr>
          <w:rFonts w:ascii="Times New Roman" w:hAnsi="Times New Roman" w:cs="Times New Roman"/>
          <w:sz w:val="24"/>
          <w:szCs w:val="24"/>
        </w:rPr>
      </w:pPr>
      <w:r w:rsidRPr="005C5A26">
        <w:rPr>
          <w:rFonts w:ascii="Times New Roman" w:hAnsi="Times New Roman" w:cs="Times New Roman"/>
          <w:sz w:val="24"/>
          <w:szCs w:val="24"/>
        </w:rPr>
        <w:t>In the process of our becoming, visual communication plays a crucial role, one that is particularly vulnerable to emotional learning and to manipulation by political, economic and other vested interests</w:t>
      </w:r>
      <w:r w:rsidR="001E3A8C" w:rsidRPr="005C5A26">
        <w:rPr>
          <w:rFonts w:ascii="Times New Roman" w:hAnsi="Times New Roman" w:cs="Times New Roman"/>
          <w:sz w:val="24"/>
          <w:szCs w:val="24"/>
        </w:rPr>
        <w:t xml:space="preserve"> (Smith </w:t>
      </w:r>
      <w:r w:rsidR="001E3A8C" w:rsidRPr="005C5A26">
        <w:rPr>
          <w:rFonts w:ascii="Times New Roman" w:hAnsi="Times New Roman" w:cs="Times New Roman"/>
          <w:i/>
          <w:iCs/>
          <w:sz w:val="24"/>
          <w:szCs w:val="24"/>
        </w:rPr>
        <w:t>et al</w:t>
      </w:r>
      <w:r w:rsidR="001E3A8C" w:rsidRPr="005C5A26">
        <w:rPr>
          <w:rFonts w:ascii="Times New Roman" w:hAnsi="Times New Roman" w:cs="Times New Roman"/>
          <w:sz w:val="24"/>
          <w:szCs w:val="24"/>
        </w:rPr>
        <w:t>., 2019, pp. 60-61)</w:t>
      </w:r>
      <w:r w:rsidR="00BE5E7E" w:rsidRPr="005C5A26">
        <w:rPr>
          <w:rFonts w:ascii="Times New Roman" w:hAnsi="Times New Roman" w:cs="Times New Roman"/>
          <w:sz w:val="24"/>
          <w:szCs w:val="24"/>
        </w:rPr>
        <w:t>.</w:t>
      </w:r>
    </w:p>
    <w:p w14:paraId="68A47064" w14:textId="77777777" w:rsidR="00F02B83" w:rsidRPr="005C5A26" w:rsidRDefault="00F02B83" w:rsidP="00F02B83">
      <w:pPr>
        <w:pStyle w:val="Body"/>
        <w:spacing w:after="0" w:line="240" w:lineRule="auto"/>
        <w:ind w:left="720" w:right="567"/>
        <w:jc w:val="both"/>
        <w:rPr>
          <w:rFonts w:ascii="Times New Roman" w:hAnsi="Times New Roman" w:cs="Times New Roman"/>
          <w:sz w:val="24"/>
          <w:szCs w:val="24"/>
        </w:rPr>
      </w:pPr>
    </w:p>
    <w:p w14:paraId="317F3EA3" w14:textId="5D8C6DF2"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 In view of the fact that the mass media creates large profits for privately owned corporations (</w:t>
      </w:r>
      <w:proofErr w:type="spellStart"/>
      <w:r w:rsidRPr="005C5A26">
        <w:rPr>
          <w:rFonts w:ascii="Times New Roman" w:hAnsi="Times New Roman" w:cs="Times New Roman"/>
          <w:sz w:val="24"/>
          <w:szCs w:val="24"/>
        </w:rPr>
        <w:t>Jhally</w:t>
      </w:r>
      <w:proofErr w:type="spellEnd"/>
      <w:r w:rsidRPr="005C5A26">
        <w:rPr>
          <w:rFonts w:ascii="Times New Roman" w:hAnsi="Times New Roman" w:cs="Times New Roman"/>
          <w:sz w:val="24"/>
          <w:szCs w:val="24"/>
        </w:rPr>
        <w:t xml:space="preserve">, 2006; </w:t>
      </w:r>
      <w:proofErr w:type="spellStart"/>
      <w:r w:rsidRPr="005C5A26">
        <w:rPr>
          <w:rFonts w:ascii="Times New Roman" w:hAnsi="Times New Roman" w:cs="Times New Roman"/>
          <w:sz w:val="24"/>
          <w:szCs w:val="24"/>
        </w:rPr>
        <w:t>O’Shaunnesey</w:t>
      </w:r>
      <w:proofErr w:type="spellEnd"/>
      <w:r w:rsidRPr="005C5A26">
        <w:rPr>
          <w:rFonts w:ascii="Times New Roman" w:hAnsi="Times New Roman" w:cs="Times New Roman"/>
          <w:sz w:val="24"/>
          <w:szCs w:val="24"/>
        </w:rPr>
        <w:t xml:space="preserve"> and Stadler, 2005) and some of the points raised above, how the media represents or misrepresents (Collins, 2011; Davis, 2018) gender roles could be highly influential in supporting the gender hierarchy. In addition, the rise of violence on television is a human rights’</w:t>
      </w:r>
      <w:r w:rsidRPr="005C5A26">
        <w:rPr>
          <w:rFonts w:ascii="Times New Roman" w:hAnsi="Times New Roman" w:cs="Times New Roman"/>
          <w:sz w:val="24"/>
          <w:szCs w:val="24"/>
          <w:lang w:val="fr-FR"/>
        </w:rPr>
        <w:t xml:space="preserve"> </w:t>
      </w:r>
      <w:proofErr w:type="spellStart"/>
      <w:r w:rsidRPr="005C5A26">
        <w:rPr>
          <w:rFonts w:ascii="Times New Roman" w:hAnsi="Times New Roman" w:cs="Times New Roman"/>
          <w:sz w:val="24"/>
          <w:szCs w:val="24"/>
          <w:lang w:val="fr-FR"/>
        </w:rPr>
        <w:t>concern</w:t>
      </w:r>
      <w:proofErr w:type="spellEnd"/>
      <w:r w:rsidRPr="005C5A26">
        <w:rPr>
          <w:rFonts w:ascii="Times New Roman" w:hAnsi="Times New Roman" w:cs="Times New Roman"/>
          <w:sz w:val="24"/>
          <w:szCs w:val="24"/>
        </w:rPr>
        <w:t xml:space="preserve">; male characters, for instance, have consistently been observed as the perpetrators of physical violence compared with female characters, which could impact on violence against women and children (Glascock, 2001; Smith </w:t>
      </w:r>
      <w:r w:rsidRPr="005C5A26">
        <w:rPr>
          <w:rFonts w:ascii="Times New Roman" w:hAnsi="Times New Roman" w:cs="Times New Roman"/>
          <w:i/>
          <w:iCs/>
          <w:sz w:val="24"/>
          <w:szCs w:val="24"/>
          <w:lang w:val="nl-NL"/>
        </w:rPr>
        <w:t>et al</w:t>
      </w:r>
      <w:r w:rsidRPr="005C5A26">
        <w:rPr>
          <w:rFonts w:ascii="Times New Roman" w:hAnsi="Times New Roman" w:cs="Times New Roman"/>
          <w:sz w:val="24"/>
          <w:szCs w:val="24"/>
        </w:rPr>
        <w:t xml:space="preserve">., 1998). Indeed, the Crime Survey for England and Wales (CSEW, Office for National Statistics, 2018) revealed that women were more likely to experience all forms of domestic violence than men. Papadopoulos (2010) argues that violence against women and girls on television has risen since 2004 by 120 per cent and that violence against adolescent girls has risen by 400 per cent. In 92 percent of these cases, the violence was visual, rather than implied, which implicates the position of social learning in these instances. Furthermore, statistics from the CSEW also estimated that approximately 3.1 million adults have experienced sexual abuse before the age of 16 years; this includes both adult and child </w:t>
      </w:r>
      <w:r w:rsidR="007062EF" w:rsidRPr="005C5A26">
        <w:rPr>
          <w:rFonts w:ascii="Times New Roman" w:hAnsi="Times New Roman" w:cs="Times New Roman"/>
          <w:sz w:val="24"/>
          <w:szCs w:val="24"/>
        </w:rPr>
        <w:t>offenders, whereas</w:t>
      </w:r>
      <w:r w:rsidRPr="005C5A26">
        <w:rPr>
          <w:rFonts w:ascii="Times New Roman" w:hAnsi="Times New Roman" w:cs="Times New Roman"/>
          <w:sz w:val="24"/>
          <w:szCs w:val="24"/>
        </w:rPr>
        <w:t xml:space="preserve">, 73,260 sexual offences were against </w:t>
      </w:r>
      <w:r w:rsidRPr="005C5A26">
        <w:rPr>
          <w:rFonts w:ascii="Times New Roman" w:hAnsi="Times New Roman" w:cs="Times New Roman"/>
          <w:sz w:val="24"/>
          <w:szCs w:val="24"/>
        </w:rPr>
        <w:lastRenderedPageBreak/>
        <w:t xml:space="preserve">children in that same year (Office for National Statistics, 2019).  Papadopoulos (2010) asserts </w:t>
      </w:r>
      <w:r w:rsidR="00B67B1C" w:rsidRPr="005C5A26">
        <w:rPr>
          <w:rFonts w:ascii="Times New Roman" w:hAnsi="Times New Roman" w:cs="Times New Roman"/>
          <w:sz w:val="24"/>
          <w:szCs w:val="24"/>
        </w:rPr>
        <w:t>that greater</w:t>
      </w:r>
      <w:r w:rsidRPr="005C5A26">
        <w:rPr>
          <w:rFonts w:ascii="Times New Roman" w:hAnsi="Times New Roman" w:cs="Times New Roman"/>
          <w:sz w:val="24"/>
          <w:szCs w:val="24"/>
        </w:rPr>
        <w:t xml:space="preserve"> corporate social responsibility is called for (see, Rush and La </w:t>
      </w:r>
      <w:proofErr w:type="spellStart"/>
      <w:r w:rsidRPr="005C5A26">
        <w:rPr>
          <w:rFonts w:ascii="Times New Roman" w:hAnsi="Times New Roman" w:cs="Times New Roman"/>
          <w:sz w:val="24"/>
          <w:szCs w:val="24"/>
        </w:rPr>
        <w:t>Nauze</w:t>
      </w:r>
      <w:proofErr w:type="spellEnd"/>
      <w:r w:rsidRPr="005C5A26">
        <w:rPr>
          <w:rFonts w:ascii="Times New Roman" w:hAnsi="Times New Roman" w:cs="Times New Roman"/>
          <w:sz w:val="24"/>
          <w:szCs w:val="24"/>
        </w:rPr>
        <w:t xml:space="preserve">, 2006). </w:t>
      </w:r>
    </w:p>
    <w:p w14:paraId="7992C209" w14:textId="77777777" w:rsidR="004B57A0" w:rsidRPr="005C5A26" w:rsidRDefault="004B57A0" w:rsidP="00D42502">
      <w:pPr>
        <w:pStyle w:val="Body"/>
        <w:spacing w:line="240" w:lineRule="auto"/>
        <w:jc w:val="both"/>
        <w:rPr>
          <w:rFonts w:ascii="Times New Roman" w:hAnsi="Times New Roman" w:cs="Times New Roman"/>
          <w:sz w:val="24"/>
          <w:szCs w:val="24"/>
        </w:rPr>
      </w:pPr>
    </w:p>
    <w:p w14:paraId="0E2AD6C6" w14:textId="34EE257C" w:rsidR="004B57A0" w:rsidRPr="005C5A26" w:rsidRDefault="009C15E1">
      <w:pPr>
        <w:pStyle w:val="Body"/>
        <w:spacing w:line="36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This essay has explored several perspectives and theories to try to understand how gender identity is formed and shaped and the implications for equality and diversity in practice. Evidence would suggest that </w:t>
      </w:r>
      <w:r w:rsidR="00646144" w:rsidRPr="005C5A26">
        <w:rPr>
          <w:rFonts w:ascii="Times New Roman" w:hAnsi="Times New Roman" w:cs="Times New Roman"/>
          <w:sz w:val="24"/>
          <w:szCs w:val="24"/>
        </w:rPr>
        <w:t xml:space="preserve">Patriarchal </w:t>
      </w:r>
      <w:r w:rsidRPr="005C5A26">
        <w:rPr>
          <w:rFonts w:ascii="Times New Roman" w:hAnsi="Times New Roman" w:cs="Times New Roman"/>
          <w:sz w:val="24"/>
          <w:szCs w:val="24"/>
        </w:rPr>
        <w:t xml:space="preserve">hegemonic structures </w:t>
      </w:r>
      <w:r w:rsidR="00CB00FA" w:rsidRPr="005C5A26">
        <w:rPr>
          <w:rFonts w:ascii="Times New Roman" w:hAnsi="Times New Roman" w:cs="Times New Roman"/>
          <w:sz w:val="24"/>
          <w:szCs w:val="24"/>
        </w:rPr>
        <w:t>incline to support</w:t>
      </w:r>
      <w:r w:rsidRPr="005C5A26">
        <w:rPr>
          <w:rFonts w:ascii="Times New Roman" w:hAnsi="Times New Roman" w:cs="Times New Roman"/>
          <w:sz w:val="24"/>
          <w:szCs w:val="24"/>
        </w:rPr>
        <w:t xml:space="preserve"> heteronormative values as perhaps a means of social control, </w:t>
      </w:r>
      <w:r w:rsidR="006D4D3D" w:rsidRPr="005C5A26">
        <w:rPr>
          <w:rFonts w:ascii="Times New Roman" w:hAnsi="Times New Roman" w:cs="Times New Roman"/>
          <w:sz w:val="24"/>
          <w:szCs w:val="24"/>
        </w:rPr>
        <w:t>by exploiting the process of gender socialisation. For instance,</w:t>
      </w:r>
      <w:r w:rsidRPr="005C5A26">
        <w:rPr>
          <w:rFonts w:ascii="Times New Roman" w:hAnsi="Times New Roman" w:cs="Times New Roman"/>
          <w:sz w:val="24"/>
          <w:szCs w:val="24"/>
        </w:rPr>
        <w:t xml:space="preserve"> through gender socialisation, men and women are </w:t>
      </w:r>
      <w:proofErr w:type="spellStart"/>
      <w:r w:rsidRPr="005C5A26">
        <w:rPr>
          <w:rFonts w:ascii="Times New Roman" w:hAnsi="Times New Roman" w:cs="Times New Roman"/>
          <w:sz w:val="24"/>
          <w:szCs w:val="24"/>
        </w:rPr>
        <w:t>moulded</w:t>
      </w:r>
      <w:proofErr w:type="spellEnd"/>
      <w:r w:rsidRPr="005C5A26">
        <w:rPr>
          <w:rFonts w:ascii="Times New Roman" w:hAnsi="Times New Roman" w:cs="Times New Roman"/>
          <w:sz w:val="24"/>
          <w:szCs w:val="24"/>
        </w:rPr>
        <w:t xml:space="preserve"> to carry out family and occupational positions in society</w:t>
      </w:r>
      <w:r w:rsidR="0079014C" w:rsidRPr="005C5A26">
        <w:rPr>
          <w:rFonts w:ascii="Times New Roman" w:hAnsi="Times New Roman" w:cs="Times New Roman"/>
          <w:sz w:val="24"/>
          <w:szCs w:val="24"/>
        </w:rPr>
        <w:t xml:space="preserve">. </w:t>
      </w:r>
      <w:r w:rsidR="00CB00FA" w:rsidRPr="005C5A26">
        <w:rPr>
          <w:rFonts w:ascii="Times New Roman" w:hAnsi="Times New Roman" w:cs="Times New Roman"/>
          <w:sz w:val="24"/>
          <w:szCs w:val="24"/>
        </w:rPr>
        <w:t>The hypothesis of b</w:t>
      </w:r>
      <w:r w:rsidRPr="005C5A26">
        <w:rPr>
          <w:rFonts w:ascii="Times New Roman" w:hAnsi="Times New Roman" w:cs="Times New Roman"/>
          <w:sz w:val="24"/>
          <w:szCs w:val="24"/>
        </w:rPr>
        <w:t>iolog</w:t>
      </w:r>
      <w:r w:rsidR="00CB00FA" w:rsidRPr="005C5A26">
        <w:rPr>
          <w:rFonts w:ascii="Times New Roman" w:hAnsi="Times New Roman" w:cs="Times New Roman"/>
          <w:sz w:val="24"/>
          <w:szCs w:val="24"/>
        </w:rPr>
        <w:t>y as a perspective of gender</w:t>
      </w:r>
      <w:r w:rsidRPr="005C5A26">
        <w:rPr>
          <w:rFonts w:ascii="Times New Roman" w:hAnsi="Times New Roman" w:cs="Times New Roman"/>
          <w:sz w:val="24"/>
          <w:szCs w:val="24"/>
        </w:rPr>
        <w:t xml:space="preserve"> fell short of explaining the impacts of social institutions, practices and values on the lived experiences of diverse populations universally, such as how the </w:t>
      </w:r>
      <w:proofErr w:type="spellStart"/>
      <w:r w:rsidRPr="005C5A26">
        <w:rPr>
          <w:rFonts w:ascii="Times New Roman" w:hAnsi="Times New Roman" w:cs="Times New Roman"/>
          <w:sz w:val="24"/>
          <w:szCs w:val="24"/>
        </w:rPr>
        <w:t>criminalisation</w:t>
      </w:r>
      <w:proofErr w:type="spellEnd"/>
      <w:r w:rsidRPr="005C5A26">
        <w:rPr>
          <w:rFonts w:ascii="Times New Roman" w:hAnsi="Times New Roman" w:cs="Times New Roman"/>
          <w:sz w:val="24"/>
          <w:szCs w:val="24"/>
        </w:rPr>
        <w:t xml:space="preserve"> of same sex relations in many parts of the world creates vast equality and human rights issues for gender and sexual individuality. In addition, the mass media as an institution has been implicated as reinforcing the gender hierarchy by</w:t>
      </w:r>
      <w:r w:rsidR="00023D5F" w:rsidRPr="005C5A26">
        <w:rPr>
          <w:rFonts w:ascii="Times New Roman" w:hAnsi="Times New Roman" w:cs="Times New Roman"/>
          <w:sz w:val="24"/>
          <w:szCs w:val="24"/>
        </w:rPr>
        <w:t xml:space="preserve"> </w:t>
      </w:r>
      <w:r w:rsidRPr="005C5A26">
        <w:rPr>
          <w:rFonts w:ascii="Times New Roman" w:hAnsi="Times New Roman" w:cs="Times New Roman"/>
          <w:sz w:val="24"/>
          <w:szCs w:val="24"/>
        </w:rPr>
        <w:t xml:space="preserve">promoting </w:t>
      </w:r>
      <w:r w:rsidR="008B6BD4" w:rsidRPr="005C5A26">
        <w:rPr>
          <w:rFonts w:ascii="Times New Roman" w:hAnsi="Times New Roman" w:cs="Times New Roman"/>
          <w:sz w:val="24"/>
          <w:szCs w:val="24"/>
        </w:rPr>
        <w:t>patriarchal</w:t>
      </w:r>
      <w:r w:rsidRPr="005C5A26">
        <w:rPr>
          <w:rFonts w:ascii="Times New Roman" w:hAnsi="Times New Roman" w:cs="Times New Roman"/>
          <w:sz w:val="24"/>
          <w:szCs w:val="24"/>
        </w:rPr>
        <w:t xml:space="preserve"> and heteronormative values</w:t>
      </w:r>
      <w:r w:rsidR="008B6BD4" w:rsidRPr="005C5A26">
        <w:rPr>
          <w:rFonts w:ascii="Times New Roman" w:hAnsi="Times New Roman" w:cs="Times New Roman"/>
          <w:sz w:val="24"/>
          <w:szCs w:val="24"/>
        </w:rPr>
        <w:t xml:space="preserve"> </w:t>
      </w:r>
      <w:r w:rsidR="00102DFF" w:rsidRPr="005C5A26">
        <w:rPr>
          <w:rFonts w:ascii="Times New Roman" w:hAnsi="Times New Roman" w:cs="Times New Roman"/>
          <w:sz w:val="24"/>
          <w:szCs w:val="24"/>
        </w:rPr>
        <w:t>to be</w:t>
      </w:r>
      <w:r w:rsidR="008B6BD4" w:rsidRPr="005C5A26">
        <w:rPr>
          <w:rFonts w:ascii="Times New Roman" w:hAnsi="Times New Roman" w:cs="Times New Roman"/>
          <w:sz w:val="24"/>
          <w:szCs w:val="24"/>
        </w:rPr>
        <w:t xml:space="preserve"> the most dominant, including hegemonic masculinity</w:t>
      </w:r>
      <w:r w:rsidR="002E6C20" w:rsidRPr="005C5A26">
        <w:rPr>
          <w:rFonts w:ascii="Times New Roman" w:hAnsi="Times New Roman" w:cs="Times New Roman"/>
          <w:sz w:val="24"/>
          <w:szCs w:val="24"/>
        </w:rPr>
        <w:t xml:space="preserve">. Moreover, the media’s role in the </w:t>
      </w:r>
      <w:proofErr w:type="spellStart"/>
      <w:r w:rsidR="002E6C20" w:rsidRPr="005C5A26">
        <w:rPr>
          <w:rFonts w:ascii="Times New Roman" w:hAnsi="Times New Roman" w:cs="Times New Roman"/>
          <w:sz w:val="24"/>
          <w:szCs w:val="24"/>
        </w:rPr>
        <w:t>sexualisation</w:t>
      </w:r>
      <w:proofErr w:type="spellEnd"/>
      <w:r w:rsidR="002E6C20" w:rsidRPr="005C5A26">
        <w:rPr>
          <w:rFonts w:ascii="Times New Roman" w:hAnsi="Times New Roman" w:cs="Times New Roman"/>
          <w:sz w:val="24"/>
          <w:szCs w:val="24"/>
        </w:rPr>
        <w:t xml:space="preserve"> of culture has been associated with the rise in violence against women and children, impacting on some of the most vulnerable groups of people in society. </w:t>
      </w:r>
      <w:r w:rsidR="00450815" w:rsidRPr="005C5A26">
        <w:rPr>
          <w:rFonts w:ascii="Times New Roman" w:hAnsi="Times New Roman" w:cs="Times New Roman"/>
          <w:sz w:val="24"/>
          <w:szCs w:val="24"/>
        </w:rPr>
        <w:t>Considering the fact that</w:t>
      </w:r>
      <w:r w:rsidRPr="005C5A26">
        <w:rPr>
          <w:rFonts w:ascii="Times New Roman" w:hAnsi="Times New Roman" w:cs="Times New Roman"/>
          <w:sz w:val="24"/>
          <w:szCs w:val="24"/>
        </w:rPr>
        <w:t>, visual representations</w:t>
      </w:r>
      <w:r w:rsidR="008F7BA2" w:rsidRPr="005C5A26">
        <w:rPr>
          <w:rFonts w:ascii="Times New Roman" w:hAnsi="Times New Roman" w:cs="Times New Roman"/>
          <w:sz w:val="24"/>
          <w:szCs w:val="24"/>
        </w:rPr>
        <w:t xml:space="preserve"> of gender</w:t>
      </w:r>
      <w:r w:rsidR="006D4D3D" w:rsidRPr="005C5A26">
        <w:rPr>
          <w:rFonts w:ascii="Times New Roman" w:hAnsi="Times New Roman" w:cs="Times New Roman"/>
          <w:sz w:val="24"/>
          <w:szCs w:val="24"/>
        </w:rPr>
        <w:t xml:space="preserve"> </w:t>
      </w:r>
      <w:r w:rsidR="008F7BA2" w:rsidRPr="005C5A26">
        <w:rPr>
          <w:rFonts w:ascii="Times New Roman" w:hAnsi="Times New Roman" w:cs="Times New Roman"/>
          <w:sz w:val="24"/>
          <w:szCs w:val="24"/>
        </w:rPr>
        <w:t xml:space="preserve">have been </w:t>
      </w:r>
      <w:r w:rsidR="002E6C20" w:rsidRPr="005C5A26">
        <w:rPr>
          <w:rFonts w:ascii="Times New Roman" w:hAnsi="Times New Roman" w:cs="Times New Roman"/>
          <w:sz w:val="24"/>
          <w:szCs w:val="24"/>
        </w:rPr>
        <w:t>i</w:t>
      </w:r>
      <w:r w:rsidR="00B168DC" w:rsidRPr="005C5A26">
        <w:rPr>
          <w:rFonts w:ascii="Times New Roman" w:hAnsi="Times New Roman" w:cs="Times New Roman"/>
          <w:sz w:val="24"/>
          <w:szCs w:val="24"/>
        </w:rPr>
        <w:t>dentified</w:t>
      </w:r>
      <w:r w:rsidR="008F7BA2" w:rsidRPr="005C5A26">
        <w:rPr>
          <w:rFonts w:ascii="Times New Roman" w:hAnsi="Times New Roman" w:cs="Times New Roman"/>
          <w:sz w:val="24"/>
          <w:szCs w:val="24"/>
        </w:rPr>
        <w:t xml:space="preserve"> as </w:t>
      </w:r>
      <w:r w:rsidR="006D4D3D" w:rsidRPr="005C5A26">
        <w:rPr>
          <w:rFonts w:ascii="Times New Roman" w:hAnsi="Times New Roman" w:cs="Times New Roman"/>
          <w:sz w:val="24"/>
          <w:szCs w:val="24"/>
        </w:rPr>
        <w:t>play</w:t>
      </w:r>
      <w:r w:rsidR="008F7BA2" w:rsidRPr="005C5A26">
        <w:rPr>
          <w:rFonts w:ascii="Times New Roman" w:hAnsi="Times New Roman" w:cs="Times New Roman"/>
          <w:sz w:val="24"/>
          <w:szCs w:val="24"/>
        </w:rPr>
        <w:t>ing</w:t>
      </w:r>
      <w:r w:rsidR="006D4D3D" w:rsidRPr="005C5A26">
        <w:rPr>
          <w:rFonts w:ascii="Times New Roman" w:hAnsi="Times New Roman" w:cs="Times New Roman"/>
          <w:sz w:val="24"/>
          <w:szCs w:val="24"/>
        </w:rPr>
        <w:t xml:space="preserve"> </w:t>
      </w:r>
      <w:r w:rsidRPr="005C5A26">
        <w:rPr>
          <w:rFonts w:ascii="Times New Roman" w:hAnsi="Times New Roman" w:cs="Times New Roman"/>
          <w:sz w:val="24"/>
          <w:szCs w:val="24"/>
        </w:rPr>
        <w:t xml:space="preserve">a major </w:t>
      </w:r>
      <w:r w:rsidR="006D4D3D" w:rsidRPr="005C5A26">
        <w:rPr>
          <w:rFonts w:ascii="Times New Roman" w:hAnsi="Times New Roman" w:cs="Times New Roman"/>
          <w:sz w:val="24"/>
          <w:szCs w:val="24"/>
        </w:rPr>
        <w:t>role in the</w:t>
      </w:r>
      <w:r w:rsidR="001E3956" w:rsidRPr="005C5A26">
        <w:rPr>
          <w:rFonts w:ascii="Times New Roman" w:hAnsi="Times New Roman" w:cs="Times New Roman"/>
          <w:sz w:val="24"/>
          <w:szCs w:val="24"/>
        </w:rPr>
        <w:t xml:space="preserve"> </w:t>
      </w:r>
      <w:r w:rsidR="006D4D3D" w:rsidRPr="005C5A26">
        <w:rPr>
          <w:rFonts w:ascii="Times New Roman" w:hAnsi="Times New Roman" w:cs="Times New Roman"/>
          <w:sz w:val="24"/>
          <w:szCs w:val="24"/>
        </w:rPr>
        <w:t xml:space="preserve">social </w:t>
      </w:r>
      <w:r w:rsidRPr="005C5A26">
        <w:rPr>
          <w:rFonts w:ascii="Times New Roman" w:hAnsi="Times New Roman" w:cs="Times New Roman"/>
          <w:sz w:val="24"/>
          <w:szCs w:val="24"/>
        </w:rPr>
        <w:t>learning</w:t>
      </w:r>
      <w:r w:rsidR="001E3956" w:rsidRPr="005C5A26">
        <w:rPr>
          <w:rFonts w:ascii="Times New Roman" w:hAnsi="Times New Roman" w:cs="Times New Roman"/>
          <w:sz w:val="24"/>
          <w:szCs w:val="24"/>
        </w:rPr>
        <w:t xml:space="preserve"> process</w:t>
      </w:r>
      <w:r w:rsidR="00450815" w:rsidRPr="005C5A26">
        <w:rPr>
          <w:rFonts w:ascii="Times New Roman" w:hAnsi="Times New Roman" w:cs="Times New Roman"/>
          <w:sz w:val="24"/>
          <w:szCs w:val="24"/>
        </w:rPr>
        <w:t xml:space="preserve">, </w:t>
      </w:r>
      <w:r w:rsidR="002E6C20" w:rsidRPr="005C5A26">
        <w:rPr>
          <w:rFonts w:ascii="Times New Roman" w:hAnsi="Times New Roman" w:cs="Times New Roman"/>
          <w:sz w:val="24"/>
          <w:szCs w:val="24"/>
        </w:rPr>
        <w:t>perhaps</w:t>
      </w:r>
      <w:r w:rsidR="001E3956" w:rsidRPr="005C5A26">
        <w:rPr>
          <w:rFonts w:ascii="Times New Roman" w:hAnsi="Times New Roman" w:cs="Times New Roman"/>
          <w:sz w:val="24"/>
          <w:szCs w:val="24"/>
        </w:rPr>
        <w:t xml:space="preserve"> policy makers </w:t>
      </w:r>
      <w:r w:rsidR="00BA5E8B" w:rsidRPr="005C5A26">
        <w:rPr>
          <w:rFonts w:ascii="Times New Roman" w:hAnsi="Times New Roman" w:cs="Times New Roman"/>
          <w:sz w:val="24"/>
          <w:szCs w:val="24"/>
        </w:rPr>
        <w:t>have a duty to</w:t>
      </w:r>
      <w:r w:rsidR="001E3956" w:rsidRPr="005C5A26">
        <w:rPr>
          <w:rFonts w:ascii="Times New Roman" w:hAnsi="Times New Roman" w:cs="Times New Roman"/>
          <w:sz w:val="24"/>
          <w:szCs w:val="24"/>
        </w:rPr>
        <w:t xml:space="preserve"> </w:t>
      </w:r>
      <w:r w:rsidR="00BA5E8B" w:rsidRPr="005C5A26">
        <w:rPr>
          <w:rFonts w:ascii="Times New Roman" w:hAnsi="Times New Roman" w:cs="Times New Roman"/>
          <w:sz w:val="24"/>
          <w:szCs w:val="24"/>
        </w:rPr>
        <w:t>explore</w:t>
      </w:r>
      <w:r w:rsidR="001E3956" w:rsidRPr="005C5A26">
        <w:rPr>
          <w:rFonts w:ascii="Times New Roman" w:hAnsi="Times New Roman" w:cs="Times New Roman"/>
          <w:sz w:val="24"/>
          <w:szCs w:val="24"/>
        </w:rPr>
        <w:t xml:space="preserve"> more effective ways </w:t>
      </w:r>
      <w:r w:rsidR="00BA5E8B" w:rsidRPr="005C5A26">
        <w:rPr>
          <w:rFonts w:ascii="Times New Roman" w:hAnsi="Times New Roman" w:cs="Times New Roman"/>
          <w:sz w:val="24"/>
          <w:szCs w:val="24"/>
        </w:rPr>
        <w:t>of</w:t>
      </w:r>
      <w:r w:rsidR="001E3956" w:rsidRPr="005C5A26">
        <w:rPr>
          <w:rFonts w:ascii="Times New Roman" w:hAnsi="Times New Roman" w:cs="Times New Roman"/>
          <w:sz w:val="24"/>
          <w:szCs w:val="24"/>
        </w:rPr>
        <w:t xml:space="preserve"> address</w:t>
      </w:r>
      <w:r w:rsidR="00BA5E8B" w:rsidRPr="005C5A26">
        <w:rPr>
          <w:rFonts w:ascii="Times New Roman" w:hAnsi="Times New Roman" w:cs="Times New Roman"/>
          <w:sz w:val="24"/>
          <w:szCs w:val="24"/>
        </w:rPr>
        <w:t>ing</w:t>
      </w:r>
      <w:r w:rsidR="001E3956" w:rsidRPr="005C5A26">
        <w:rPr>
          <w:rFonts w:ascii="Times New Roman" w:hAnsi="Times New Roman" w:cs="Times New Roman"/>
          <w:sz w:val="24"/>
          <w:szCs w:val="24"/>
        </w:rPr>
        <w:t xml:space="preserve"> </w:t>
      </w:r>
      <w:r w:rsidR="002E6C20" w:rsidRPr="005C5A26">
        <w:rPr>
          <w:rFonts w:ascii="Times New Roman" w:hAnsi="Times New Roman" w:cs="Times New Roman"/>
          <w:sz w:val="24"/>
          <w:szCs w:val="24"/>
        </w:rPr>
        <w:t>corporate responsibility</w:t>
      </w:r>
      <w:r w:rsidR="00BA5E8B" w:rsidRPr="005C5A26">
        <w:rPr>
          <w:rFonts w:ascii="Times New Roman" w:hAnsi="Times New Roman" w:cs="Times New Roman"/>
          <w:sz w:val="24"/>
          <w:szCs w:val="24"/>
        </w:rPr>
        <w:t>. Finally</w:t>
      </w:r>
      <w:r w:rsidR="003F05E2" w:rsidRPr="005C5A26">
        <w:rPr>
          <w:rFonts w:ascii="Times New Roman" w:hAnsi="Times New Roman" w:cs="Times New Roman"/>
          <w:sz w:val="24"/>
          <w:szCs w:val="24"/>
        </w:rPr>
        <w:t xml:space="preserve">, </w:t>
      </w:r>
      <w:r w:rsidR="009A029E" w:rsidRPr="005C5A26">
        <w:rPr>
          <w:rFonts w:ascii="Times New Roman" w:hAnsi="Times New Roman" w:cs="Times New Roman"/>
          <w:sz w:val="24"/>
          <w:szCs w:val="24"/>
        </w:rPr>
        <w:t>the concept of</w:t>
      </w:r>
      <w:r w:rsidR="003F05E2" w:rsidRPr="005C5A26">
        <w:rPr>
          <w:rFonts w:ascii="Times New Roman" w:hAnsi="Times New Roman" w:cs="Times New Roman"/>
          <w:sz w:val="24"/>
          <w:szCs w:val="24"/>
        </w:rPr>
        <w:t xml:space="preserve"> </w:t>
      </w:r>
      <w:r w:rsidR="00BA5E8B" w:rsidRPr="005C5A26">
        <w:rPr>
          <w:rFonts w:ascii="Times New Roman" w:hAnsi="Times New Roman" w:cs="Times New Roman"/>
          <w:sz w:val="24"/>
          <w:szCs w:val="24"/>
        </w:rPr>
        <w:t xml:space="preserve">difference </w:t>
      </w:r>
      <w:r w:rsidR="003F05E2" w:rsidRPr="005C5A26">
        <w:rPr>
          <w:rFonts w:ascii="Times New Roman" w:hAnsi="Times New Roman" w:cs="Times New Roman"/>
          <w:sz w:val="24"/>
          <w:szCs w:val="24"/>
        </w:rPr>
        <w:t xml:space="preserve">between and within gender identity could be a fundamental </w:t>
      </w:r>
      <w:r w:rsidR="009A029E" w:rsidRPr="005C5A26">
        <w:rPr>
          <w:rFonts w:ascii="Times New Roman" w:hAnsi="Times New Roman" w:cs="Times New Roman"/>
          <w:sz w:val="24"/>
          <w:szCs w:val="24"/>
        </w:rPr>
        <w:t xml:space="preserve">consideration to addressing </w:t>
      </w:r>
      <w:r w:rsidR="001E3956" w:rsidRPr="005C5A26">
        <w:rPr>
          <w:rFonts w:ascii="Times New Roman" w:hAnsi="Times New Roman" w:cs="Times New Roman"/>
          <w:sz w:val="24"/>
          <w:szCs w:val="24"/>
        </w:rPr>
        <w:t xml:space="preserve">equality and diversity in practice. </w:t>
      </w:r>
    </w:p>
    <w:p w14:paraId="13A848C4" w14:textId="77777777" w:rsidR="004B57A0" w:rsidRPr="005C5A26" w:rsidRDefault="004B57A0">
      <w:pPr>
        <w:pStyle w:val="Body"/>
        <w:spacing w:line="360" w:lineRule="auto"/>
        <w:jc w:val="both"/>
        <w:rPr>
          <w:rFonts w:ascii="Times New Roman" w:hAnsi="Times New Roman" w:cs="Times New Roman"/>
          <w:sz w:val="24"/>
          <w:szCs w:val="24"/>
        </w:rPr>
      </w:pPr>
    </w:p>
    <w:p w14:paraId="63930443" w14:textId="77777777" w:rsidR="001E3956" w:rsidRPr="005C5A26" w:rsidRDefault="001E3956">
      <w:pPr>
        <w:pStyle w:val="Body"/>
        <w:spacing w:line="360" w:lineRule="auto"/>
        <w:jc w:val="both"/>
        <w:rPr>
          <w:rFonts w:ascii="Times New Roman" w:hAnsi="Times New Roman" w:cs="Times New Roman"/>
          <w:sz w:val="24"/>
          <w:szCs w:val="24"/>
          <w:lang w:val="fr-FR"/>
        </w:rPr>
      </w:pPr>
    </w:p>
    <w:p w14:paraId="1078A207" w14:textId="77777777" w:rsidR="001E3956" w:rsidRPr="005C5A26" w:rsidRDefault="001E3956">
      <w:pPr>
        <w:pStyle w:val="Body"/>
        <w:spacing w:line="360" w:lineRule="auto"/>
        <w:jc w:val="both"/>
        <w:rPr>
          <w:rFonts w:ascii="Times New Roman" w:hAnsi="Times New Roman" w:cs="Times New Roman"/>
          <w:sz w:val="24"/>
          <w:szCs w:val="24"/>
          <w:lang w:val="fr-FR"/>
        </w:rPr>
      </w:pPr>
    </w:p>
    <w:p w14:paraId="56AF5A0C" w14:textId="77777777" w:rsidR="001E3956" w:rsidRPr="005C5A26" w:rsidRDefault="001E3956">
      <w:pPr>
        <w:pStyle w:val="Body"/>
        <w:spacing w:line="360" w:lineRule="auto"/>
        <w:jc w:val="both"/>
        <w:rPr>
          <w:rFonts w:ascii="Times New Roman" w:hAnsi="Times New Roman" w:cs="Times New Roman"/>
          <w:sz w:val="24"/>
          <w:szCs w:val="24"/>
          <w:lang w:val="fr-FR"/>
        </w:rPr>
      </w:pPr>
    </w:p>
    <w:p w14:paraId="4804E45F" w14:textId="77777777" w:rsidR="001E3956" w:rsidRPr="005C5A26" w:rsidRDefault="001E3956">
      <w:pPr>
        <w:pStyle w:val="Body"/>
        <w:spacing w:line="360" w:lineRule="auto"/>
        <w:jc w:val="both"/>
        <w:rPr>
          <w:rFonts w:ascii="Times New Roman" w:hAnsi="Times New Roman" w:cs="Times New Roman"/>
          <w:sz w:val="24"/>
          <w:szCs w:val="24"/>
          <w:lang w:val="fr-FR"/>
        </w:rPr>
      </w:pPr>
    </w:p>
    <w:p w14:paraId="32127AC1" w14:textId="77777777" w:rsidR="001E3956" w:rsidRPr="005C5A26" w:rsidRDefault="001E3956">
      <w:pPr>
        <w:pStyle w:val="Body"/>
        <w:spacing w:line="360" w:lineRule="auto"/>
        <w:jc w:val="both"/>
        <w:rPr>
          <w:rFonts w:ascii="Times New Roman" w:hAnsi="Times New Roman" w:cs="Times New Roman"/>
          <w:sz w:val="24"/>
          <w:szCs w:val="24"/>
          <w:lang w:val="fr-FR"/>
        </w:rPr>
      </w:pPr>
    </w:p>
    <w:p w14:paraId="44A29C55" w14:textId="77777777" w:rsidR="00FE4E3F" w:rsidRDefault="00FE4E3F">
      <w:pPr>
        <w:pStyle w:val="Body"/>
        <w:spacing w:line="360" w:lineRule="auto"/>
        <w:jc w:val="both"/>
        <w:rPr>
          <w:rFonts w:ascii="Times New Roman" w:hAnsi="Times New Roman" w:cs="Times New Roman"/>
          <w:sz w:val="24"/>
          <w:szCs w:val="24"/>
          <w:lang w:val="fr-FR"/>
        </w:rPr>
      </w:pPr>
    </w:p>
    <w:p w14:paraId="12B333FD" w14:textId="77777777" w:rsidR="00FE4E3F" w:rsidRDefault="00FE4E3F">
      <w:pPr>
        <w:pStyle w:val="Body"/>
        <w:spacing w:line="360" w:lineRule="auto"/>
        <w:jc w:val="both"/>
        <w:rPr>
          <w:rFonts w:ascii="Times New Roman" w:hAnsi="Times New Roman" w:cs="Times New Roman"/>
          <w:sz w:val="24"/>
          <w:szCs w:val="24"/>
          <w:lang w:val="fr-FR"/>
        </w:rPr>
      </w:pPr>
    </w:p>
    <w:p w14:paraId="39FC561A" w14:textId="2D543648" w:rsidR="004B57A0" w:rsidRPr="005C5A26" w:rsidRDefault="009C15E1">
      <w:pPr>
        <w:pStyle w:val="Body"/>
        <w:spacing w:line="36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lang w:val="fr-FR"/>
        </w:rPr>
        <w:lastRenderedPageBreak/>
        <w:t>References</w:t>
      </w:r>
      <w:proofErr w:type="spellEnd"/>
    </w:p>
    <w:p w14:paraId="2080078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Acker, J. (1990) ‘Hierarchies, Jobs, Bodies: A Theory of Gendered Organizations.’ </w:t>
      </w:r>
      <w:r w:rsidRPr="005C5A26">
        <w:rPr>
          <w:rFonts w:ascii="Times New Roman" w:hAnsi="Times New Roman" w:cs="Times New Roman"/>
          <w:i/>
          <w:iCs/>
          <w:sz w:val="24"/>
          <w:szCs w:val="24"/>
        </w:rPr>
        <w:t>Gender and Society</w:t>
      </w:r>
      <w:r w:rsidRPr="005C5A26">
        <w:rPr>
          <w:rFonts w:ascii="Times New Roman" w:hAnsi="Times New Roman" w:cs="Times New Roman"/>
          <w:sz w:val="24"/>
          <w:szCs w:val="24"/>
        </w:rPr>
        <w:t xml:space="preserve"> 4, pp. 139–58 [google scholar]. Available at: </w:t>
      </w:r>
      <w:hyperlink r:id="rId7" w:history="1">
        <w:r w:rsidRPr="005C5A26">
          <w:rPr>
            <w:rStyle w:val="Hyperlink0"/>
            <w:rFonts w:ascii="Times New Roman" w:hAnsi="Times New Roman" w:cs="Times New Roman"/>
            <w:sz w:val="24"/>
            <w:szCs w:val="24"/>
            <w:lang w:val="pt-PT"/>
          </w:rPr>
          <w:t>https://scholar.google.co.uk/scholar?cluster=6550510291311809133&amp;hl=en&amp;as_sdt=0,5</w:t>
        </w:r>
      </w:hyperlink>
      <w:r w:rsidRPr="005C5A26">
        <w:rPr>
          <w:rFonts w:ascii="Times New Roman" w:hAnsi="Times New Roman" w:cs="Times New Roman"/>
          <w:sz w:val="24"/>
          <w:szCs w:val="24"/>
        </w:rPr>
        <w:t xml:space="preserve"> (Accessed: 09 February 2020).</w:t>
      </w:r>
    </w:p>
    <w:p w14:paraId="6AAE7979"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Acker, J. (1992) ‘Gendered Institutions: From Sex Roles to Gendered Institutions.’ </w:t>
      </w:r>
      <w:r w:rsidRPr="005C5A26">
        <w:rPr>
          <w:rFonts w:ascii="Times New Roman" w:hAnsi="Times New Roman" w:cs="Times New Roman"/>
          <w:i/>
          <w:iCs/>
          <w:sz w:val="24"/>
          <w:szCs w:val="24"/>
        </w:rPr>
        <w:t>Contemporary Sociology</w:t>
      </w:r>
      <w:r w:rsidRPr="005C5A26">
        <w:rPr>
          <w:rFonts w:ascii="Times New Roman" w:hAnsi="Times New Roman" w:cs="Times New Roman"/>
          <w:sz w:val="24"/>
          <w:szCs w:val="24"/>
        </w:rPr>
        <w:t xml:space="preserve"> 21, pp. 565–69 [</w:t>
      </w:r>
      <w:proofErr w:type="spellStart"/>
      <w:r w:rsidRPr="005C5A26">
        <w:rPr>
          <w:rFonts w:ascii="Times New Roman" w:hAnsi="Times New Roman" w:cs="Times New Roman"/>
          <w:sz w:val="24"/>
          <w:szCs w:val="24"/>
        </w:rPr>
        <w:t>jstor</w:t>
      </w:r>
      <w:proofErr w:type="spellEnd"/>
      <w:r w:rsidRPr="005C5A26">
        <w:rPr>
          <w:rFonts w:ascii="Times New Roman" w:hAnsi="Times New Roman" w:cs="Times New Roman"/>
          <w:sz w:val="24"/>
          <w:szCs w:val="24"/>
        </w:rPr>
        <w:t xml:space="preserve">]. Available at: </w:t>
      </w:r>
      <w:hyperlink r:id="rId8" w:history="1">
        <w:r w:rsidRPr="005C5A26">
          <w:rPr>
            <w:rStyle w:val="Hyperlink0"/>
            <w:rFonts w:ascii="Times New Roman" w:hAnsi="Times New Roman" w:cs="Times New Roman"/>
            <w:sz w:val="24"/>
            <w:szCs w:val="24"/>
          </w:rPr>
          <w:t>https://www.jstor.org/stable/2075528?seq=1</w:t>
        </w:r>
      </w:hyperlink>
      <w:r w:rsidRPr="005C5A26">
        <w:rPr>
          <w:rFonts w:ascii="Times New Roman" w:hAnsi="Times New Roman" w:cs="Times New Roman"/>
          <w:sz w:val="24"/>
          <w:szCs w:val="24"/>
        </w:rPr>
        <w:t xml:space="preserve"> (Accessed: 09 February 2020).</w:t>
      </w:r>
    </w:p>
    <w:p w14:paraId="4276FB3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Balzer, W. (2002) ‘</w:t>
      </w:r>
      <w:r w:rsidRPr="005C5A26">
        <w:rPr>
          <w:rFonts w:ascii="Times New Roman" w:hAnsi="Times New Roman" w:cs="Times New Roman"/>
          <w:sz w:val="24"/>
          <w:szCs w:val="24"/>
          <w:lang w:val="fr-FR"/>
        </w:rPr>
        <w:t>Searle on Social Institutions: A Critique</w:t>
      </w:r>
      <w:r w:rsidRPr="005C5A26">
        <w:rPr>
          <w:rFonts w:ascii="Times New Roman" w:hAnsi="Times New Roman" w:cs="Times New Roman"/>
          <w:sz w:val="24"/>
          <w:szCs w:val="24"/>
        </w:rPr>
        <w:t xml:space="preserve">’, </w:t>
      </w:r>
      <w:proofErr w:type="spellStart"/>
      <w:r w:rsidRPr="005C5A26">
        <w:rPr>
          <w:rFonts w:ascii="Times New Roman" w:hAnsi="Times New Roman" w:cs="Times New Roman"/>
          <w:i/>
          <w:iCs/>
          <w:sz w:val="24"/>
          <w:szCs w:val="24"/>
          <w:lang w:val="es-ES_tradnl"/>
        </w:rPr>
        <w:t>Dialectica</w:t>
      </w:r>
      <w:proofErr w:type="spellEnd"/>
      <w:r w:rsidRPr="005C5A26">
        <w:rPr>
          <w:rFonts w:ascii="Times New Roman" w:hAnsi="Times New Roman" w:cs="Times New Roman"/>
          <w:i/>
          <w:iCs/>
          <w:sz w:val="24"/>
          <w:szCs w:val="24"/>
          <w:lang w:val="es-ES_tradnl"/>
        </w:rPr>
        <w:t>,</w:t>
      </w:r>
      <w:r w:rsidRPr="005C5A26">
        <w:rPr>
          <w:rFonts w:ascii="Times New Roman" w:hAnsi="Times New Roman" w:cs="Times New Roman"/>
          <w:sz w:val="24"/>
          <w:szCs w:val="24"/>
        </w:rPr>
        <w:t xml:space="preserve"> 56(3), pp. 195-211 [</w:t>
      </w:r>
      <w:proofErr w:type="spellStart"/>
      <w:r w:rsidRPr="005C5A26">
        <w:rPr>
          <w:rFonts w:ascii="Times New Roman" w:hAnsi="Times New Roman" w:cs="Times New Roman"/>
          <w:sz w:val="24"/>
          <w:szCs w:val="24"/>
        </w:rPr>
        <w:t>wiley</w:t>
      </w:r>
      <w:proofErr w:type="spellEnd"/>
      <w:r w:rsidRPr="005C5A26">
        <w:rPr>
          <w:rFonts w:ascii="Times New Roman" w:hAnsi="Times New Roman" w:cs="Times New Roman"/>
          <w:sz w:val="24"/>
          <w:szCs w:val="24"/>
        </w:rPr>
        <w:t xml:space="preserve">] Available at: </w:t>
      </w:r>
      <w:hyperlink r:id="rId9" w:history="1">
        <w:r w:rsidRPr="005C5A26">
          <w:rPr>
            <w:rStyle w:val="Hyperlink0"/>
            <w:rFonts w:ascii="Times New Roman" w:hAnsi="Times New Roman" w:cs="Times New Roman"/>
            <w:sz w:val="24"/>
            <w:szCs w:val="24"/>
          </w:rPr>
          <w:t>https://onlinelibrary.wiley.com/doi/pdf/10.1111/j.1746-8361.2002.tb00239.x</w:t>
        </w:r>
      </w:hyperlink>
      <w:r w:rsidRPr="005C5A26">
        <w:rPr>
          <w:rFonts w:ascii="Times New Roman" w:hAnsi="Times New Roman" w:cs="Times New Roman"/>
          <w:sz w:val="24"/>
          <w:szCs w:val="24"/>
        </w:rPr>
        <w:t xml:space="preserve"> (Accessed: 09 February 2020).</w:t>
      </w:r>
    </w:p>
    <w:p w14:paraId="699021C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Bandura, A. (1986). </w:t>
      </w:r>
      <w:r w:rsidRPr="00642FEC">
        <w:rPr>
          <w:rFonts w:ascii="Times New Roman" w:hAnsi="Times New Roman" w:cs="Times New Roman"/>
          <w:i/>
          <w:iCs/>
          <w:sz w:val="24"/>
          <w:szCs w:val="24"/>
        </w:rPr>
        <w:t>Social foundations of thought and action: A social cognitive theory</w:t>
      </w:r>
      <w:r w:rsidRPr="005C5A26">
        <w:rPr>
          <w:rFonts w:ascii="Times New Roman" w:hAnsi="Times New Roman" w:cs="Times New Roman"/>
          <w:sz w:val="24"/>
          <w:szCs w:val="24"/>
        </w:rPr>
        <w:t>. Englewood Cliffs, NJ: Prentice-Hall.</w:t>
      </w:r>
    </w:p>
    <w:p w14:paraId="596DB7D9"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de-DE"/>
        </w:rPr>
        <w:t xml:space="preserve">Bilodeau, B. L. and Renn, K. A. (2004) </w:t>
      </w:r>
      <w:r w:rsidRPr="005C5A26">
        <w:rPr>
          <w:rFonts w:ascii="Times New Roman" w:hAnsi="Times New Roman" w:cs="Times New Roman"/>
          <w:i/>
          <w:iCs/>
          <w:sz w:val="24"/>
          <w:szCs w:val="24"/>
        </w:rPr>
        <w:t xml:space="preserve">Analysis of LGBT Identity Development Models and Implications for Practice </w:t>
      </w:r>
      <w:r w:rsidRPr="005C5A26">
        <w:rPr>
          <w:rFonts w:ascii="Times New Roman" w:hAnsi="Times New Roman" w:cs="Times New Roman"/>
          <w:sz w:val="24"/>
          <w:szCs w:val="24"/>
        </w:rPr>
        <w:t xml:space="preserve">[google scholar]. Available at: </w:t>
      </w:r>
      <w:hyperlink r:id="rId10" w:history="1">
        <w:r w:rsidRPr="005C5A26">
          <w:rPr>
            <w:rStyle w:val="Hyperlink0"/>
            <w:rFonts w:ascii="Times New Roman" w:hAnsi="Times New Roman" w:cs="Times New Roman"/>
            <w:sz w:val="24"/>
            <w:szCs w:val="24"/>
          </w:rPr>
          <w:t>https://scholar.google.co.uk/scholar?cluster=10824320848510499074&amp;hl=en&amp;as_sdt=0,5</w:t>
        </w:r>
      </w:hyperlink>
      <w:r w:rsidRPr="005C5A26">
        <w:rPr>
          <w:rFonts w:ascii="Times New Roman" w:hAnsi="Times New Roman" w:cs="Times New Roman"/>
          <w:sz w:val="24"/>
          <w:szCs w:val="24"/>
        </w:rPr>
        <w:t xml:space="preserve"> (Accessed: 28 January 2020).</w:t>
      </w:r>
    </w:p>
    <w:p w14:paraId="6132DBC4"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Brickell, C (2006) ‘The Sociological Construction of Gender and Sexuality’, </w:t>
      </w:r>
      <w:r w:rsidRPr="005C5A26">
        <w:rPr>
          <w:rFonts w:ascii="Times New Roman" w:hAnsi="Times New Roman" w:cs="Times New Roman"/>
          <w:i/>
          <w:iCs/>
          <w:sz w:val="24"/>
          <w:szCs w:val="24"/>
        </w:rPr>
        <w:t>The Sociological Review</w:t>
      </w:r>
      <w:r w:rsidRPr="005C5A26">
        <w:rPr>
          <w:rFonts w:ascii="Times New Roman" w:hAnsi="Times New Roman" w:cs="Times New Roman"/>
          <w:sz w:val="24"/>
          <w:szCs w:val="24"/>
        </w:rPr>
        <w:t xml:space="preserve">, 54(1), pages, 87-113. Available at: </w:t>
      </w:r>
      <w:hyperlink r:id="rId11" w:history="1">
        <w:r w:rsidRPr="005C5A26">
          <w:rPr>
            <w:rStyle w:val="Hyperlink0"/>
            <w:rFonts w:ascii="Times New Roman" w:hAnsi="Times New Roman" w:cs="Times New Roman"/>
            <w:sz w:val="24"/>
            <w:szCs w:val="24"/>
          </w:rPr>
          <w:t>https://journals.sagepub.com/doi/pdf/10.1111/j.1467-954X.2006.00603.x</w:t>
        </w:r>
      </w:hyperlink>
      <w:r w:rsidRPr="005C5A26">
        <w:rPr>
          <w:rFonts w:ascii="Times New Roman" w:hAnsi="Times New Roman" w:cs="Times New Roman"/>
          <w:sz w:val="24"/>
          <w:szCs w:val="24"/>
        </w:rPr>
        <w:t xml:space="preserve"> (Accessed 27 January 2020).</w:t>
      </w:r>
    </w:p>
    <w:p w14:paraId="7725E988"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Buss, D. M. (1996) ‘Sexual Conflict: Evolutionary Insights into Feminism and the ‘Battle of the Sexes’.’ In Buss, D. M. and </w:t>
      </w:r>
      <w:proofErr w:type="spellStart"/>
      <w:r w:rsidRPr="005C5A26">
        <w:rPr>
          <w:rFonts w:ascii="Times New Roman" w:hAnsi="Times New Roman" w:cs="Times New Roman"/>
          <w:sz w:val="24"/>
          <w:szCs w:val="24"/>
        </w:rPr>
        <w:t>Malamuth</w:t>
      </w:r>
      <w:proofErr w:type="spellEnd"/>
      <w:r w:rsidRPr="005C5A26">
        <w:rPr>
          <w:rFonts w:ascii="Times New Roman" w:hAnsi="Times New Roman" w:cs="Times New Roman"/>
          <w:sz w:val="24"/>
          <w:szCs w:val="24"/>
        </w:rPr>
        <w:t xml:space="preserve">, N. M. (eds.). </w:t>
      </w:r>
      <w:r w:rsidRPr="005C5A26">
        <w:rPr>
          <w:rFonts w:ascii="Times New Roman" w:hAnsi="Times New Roman" w:cs="Times New Roman"/>
          <w:i/>
          <w:iCs/>
          <w:sz w:val="24"/>
          <w:szCs w:val="24"/>
        </w:rPr>
        <w:t>Sex, Power, Conflict. Evolutionary and Feminists Perspectives</w:t>
      </w:r>
      <w:r w:rsidRPr="005C5A26">
        <w:rPr>
          <w:rFonts w:ascii="Times New Roman" w:hAnsi="Times New Roman" w:cs="Times New Roman"/>
          <w:sz w:val="24"/>
          <w:szCs w:val="24"/>
        </w:rPr>
        <w:t>. New York: Oxford University Press, 296-318.</w:t>
      </w:r>
    </w:p>
    <w:p w14:paraId="047D05DD" w14:textId="79E968D1"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Carroll, A</w:t>
      </w:r>
      <w:r w:rsidR="00FB2B81" w:rsidRPr="005C5A26">
        <w:rPr>
          <w:rFonts w:ascii="Times New Roman" w:hAnsi="Times New Roman" w:cs="Times New Roman"/>
          <w:sz w:val="24"/>
          <w:szCs w:val="24"/>
        </w:rPr>
        <w:t xml:space="preserve">., and Ramón </w:t>
      </w:r>
      <w:proofErr w:type="spellStart"/>
      <w:r w:rsidR="00FB2B81" w:rsidRPr="005C5A26">
        <w:rPr>
          <w:rFonts w:ascii="Times New Roman" w:hAnsi="Times New Roman" w:cs="Times New Roman"/>
          <w:sz w:val="24"/>
          <w:szCs w:val="24"/>
        </w:rPr>
        <w:t>Mendos</w:t>
      </w:r>
      <w:proofErr w:type="spellEnd"/>
      <w:r w:rsidR="00FB2B81" w:rsidRPr="005C5A26">
        <w:rPr>
          <w:rFonts w:ascii="Times New Roman" w:hAnsi="Times New Roman" w:cs="Times New Roman"/>
          <w:sz w:val="24"/>
          <w:szCs w:val="24"/>
        </w:rPr>
        <w:t>, L.</w:t>
      </w:r>
      <w:r w:rsidRPr="005C5A26">
        <w:rPr>
          <w:rFonts w:ascii="Times New Roman" w:hAnsi="Times New Roman" w:cs="Times New Roman"/>
          <w:sz w:val="24"/>
          <w:szCs w:val="24"/>
        </w:rPr>
        <w:t xml:space="preserve"> (2016). </w:t>
      </w:r>
      <w:r w:rsidRPr="00ED3F30">
        <w:rPr>
          <w:rFonts w:ascii="Times New Roman" w:hAnsi="Times New Roman" w:cs="Times New Roman"/>
          <w:i/>
          <w:iCs/>
          <w:sz w:val="24"/>
          <w:szCs w:val="24"/>
        </w:rPr>
        <w:t xml:space="preserve">State-sponsored Homophobia, a World Survey of Sexual Orientation Laws: </w:t>
      </w:r>
      <w:proofErr w:type="spellStart"/>
      <w:r w:rsidRPr="00ED3F30">
        <w:rPr>
          <w:rFonts w:ascii="Times New Roman" w:hAnsi="Times New Roman" w:cs="Times New Roman"/>
          <w:i/>
          <w:iCs/>
          <w:sz w:val="24"/>
          <w:szCs w:val="24"/>
        </w:rPr>
        <w:t>Criminalisation</w:t>
      </w:r>
      <w:proofErr w:type="spellEnd"/>
      <w:r w:rsidRPr="00ED3F30">
        <w:rPr>
          <w:rFonts w:ascii="Times New Roman" w:hAnsi="Times New Roman" w:cs="Times New Roman"/>
          <w:i/>
          <w:iCs/>
          <w:sz w:val="24"/>
          <w:szCs w:val="24"/>
        </w:rPr>
        <w:t>, Protection and Recognition. 11</w:t>
      </w:r>
      <w:r w:rsidRPr="00ED3F30">
        <w:rPr>
          <w:rFonts w:ascii="Times New Roman" w:hAnsi="Times New Roman" w:cs="Times New Roman"/>
          <w:i/>
          <w:iCs/>
          <w:sz w:val="24"/>
          <w:szCs w:val="24"/>
          <w:vertAlign w:val="superscript"/>
        </w:rPr>
        <w:t>th</w:t>
      </w:r>
      <w:r w:rsidRPr="00ED3F30">
        <w:rPr>
          <w:rFonts w:ascii="Times New Roman" w:hAnsi="Times New Roman" w:cs="Times New Roman"/>
          <w:i/>
          <w:iCs/>
          <w:sz w:val="24"/>
          <w:szCs w:val="24"/>
        </w:rPr>
        <w:t xml:space="preserve"> Edition</w:t>
      </w:r>
      <w:r w:rsidRPr="005C5A26">
        <w:rPr>
          <w:rFonts w:ascii="Times New Roman" w:hAnsi="Times New Roman" w:cs="Times New Roman"/>
          <w:sz w:val="24"/>
          <w:szCs w:val="24"/>
        </w:rPr>
        <w:t>. Available at:</w:t>
      </w:r>
      <w:r w:rsidR="00FB2B81" w:rsidRPr="005C5A26">
        <w:rPr>
          <w:rFonts w:ascii="Times New Roman" w:hAnsi="Times New Roman" w:cs="Times New Roman"/>
          <w:sz w:val="24"/>
          <w:szCs w:val="24"/>
        </w:rPr>
        <w:t xml:space="preserve"> </w:t>
      </w:r>
      <w:hyperlink r:id="rId12" w:history="1">
        <w:r w:rsidR="00FB2B81" w:rsidRPr="005C5A26">
          <w:rPr>
            <w:rStyle w:val="Hyperlink"/>
            <w:rFonts w:ascii="Times New Roman" w:hAnsi="Times New Roman" w:cs="Times New Roman"/>
            <w:sz w:val="24"/>
            <w:szCs w:val="24"/>
          </w:rPr>
          <w:t>https://www.researchgate.net/publication/324861896_State_Sponsored_Homophobia_2017_A_world_survey_of_sexual_orientation_laws_criminalisation_protection_and_recognition</w:t>
        </w:r>
      </w:hyperlink>
      <w:r w:rsidR="00FB2B81" w:rsidRPr="005C5A26">
        <w:rPr>
          <w:rFonts w:ascii="Times New Roman" w:hAnsi="Times New Roman" w:cs="Times New Roman"/>
          <w:sz w:val="24"/>
          <w:szCs w:val="24"/>
        </w:rPr>
        <w:t xml:space="preserve"> </w:t>
      </w:r>
      <w:r w:rsidR="00FB2B81" w:rsidRPr="005C5A26">
        <w:rPr>
          <w:rFonts w:ascii="Times New Roman" w:hAnsi="Times New Roman" w:cs="Times New Roman"/>
          <w:sz w:val="24"/>
          <w:szCs w:val="24"/>
        </w:rPr>
        <w:cr/>
      </w:r>
      <w:r w:rsidRPr="005C5A26">
        <w:rPr>
          <w:rFonts w:ascii="Times New Roman" w:hAnsi="Times New Roman" w:cs="Times New Roman"/>
          <w:sz w:val="24"/>
          <w:szCs w:val="24"/>
        </w:rPr>
        <w:t>(Accessed: 09 February, 2020).</w:t>
      </w:r>
    </w:p>
    <w:p w14:paraId="4B56A1B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Cameron, D. (1997) ‘Performing Gender Identity: Young Men’s Talk and the Construction of Heterosexual Masculinity’</w:t>
      </w:r>
      <w:r w:rsidRPr="005C5A26">
        <w:rPr>
          <w:rFonts w:ascii="Times New Roman" w:hAnsi="Times New Roman" w:cs="Times New Roman"/>
          <w:sz w:val="24"/>
          <w:szCs w:val="24"/>
          <w:lang w:val="de-DE"/>
        </w:rPr>
        <w:t xml:space="preserve">, in Johnson, S. and Meinhof, U. (eds.) </w:t>
      </w:r>
      <w:r w:rsidRPr="00213001">
        <w:rPr>
          <w:rFonts w:ascii="Times New Roman" w:hAnsi="Times New Roman" w:cs="Times New Roman"/>
          <w:i/>
          <w:iCs/>
          <w:sz w:val="24"/>
          <w:szCs w:val="24"/>
          <w:lang w:val="de-DE"/>
        </w:rPr>
        <w:t>Language and Masculinity</w:t>
      </w:r>
      <w:r w:rsidRPr="005C5A26">
        <w:rPr>
          <w:rFonts w:ascii="Times New Roman" w:hAnsi="Times New Roman" w:cs="Times New Roman"/>
          <w:sz w:val="24"/>
          <w:szCs w:val="24"/>
          <w:lang w:val="de-DE"/>
        </w:rPr>
        <w:t>. Oxford: Blackwell, pp. 47-64.</w:t>
      </w:r>
    </w:p>
    <w:p w14:paraId="5586A652"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Chandler, D., and Munday, R. (2011) </w:t>
      </w:r>
      <w:r w:rsidRPr="005C5A26">
        <w:rPr>
          <w:rFonts w:ascii="Times New Roman" w:hAnsi="Times New Roman" w:cs="Times New Roman"/>
          <w:i/>
          <w:iCs/>
          <w:sz w:val="24"/>
          <w:szCs w:val="24"/>
        </w:rPr>
        <w:t xml:space="preserve">A Dictionary of Media and Communication. </w:t>
      </w:r>
      <w:r w:rsidRPr="005C5A26">
        <w:rPr>
          <w:rFonts w:ascii="Times New Roman" w:hAnsi="Times New Roman" w:cs="Times New Roman"/>
          <w:sz w:val="24"/>
          <w:szCs w:val="24"/>
        </w:rPr>
        <w:t>Oxford: Oxford University Press.</w:t>
      </w:r>
    </w:p>
    <w:p w14:paraId="29A78483"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Collins, R. L. (2011) ‘Content Analysis of Gender Roles in Media: Where Are We Now and Where Should We Go?’, </w:t>
      </w:r>
      <w:proofErr w:type="spellStart"/>
      <w:r w:rsidRPr="005C5A26">
        <w:rPr>
          <w:rFonts w:ascii="Times New Roman" w:hAnsi="Times New Roman" w:cs="Times New Roman"/>
          <w:i/>
          <w:iCs/>
          <w:sz w:val="24"/>
          <w:szCs w:val="24"/>
          <w:lang w:val="fr-FR"/>
        </w:rPr>
        <w:t>Sex</w:t>
      </w:r>
      <w:proofErr w:type="spellEnd"/>
      <w:r w:rsidRPr="005C5A26">
        <w:rPr>
          <w:rFonts w:ascii="Times New Roman" w:hAnsi="Times New Roman" w:cs="Times New Roman"/>
          <w:i/>
          <w:iCs/>
          <w:sz w:val="24"/>
          <w:szCs w:val="24"/>
          <w:lang w:val="fr-FR"/>
        </w:rPr>
        <w:t xml:space="preserve"> </w:t>
      </w:r>
      <w:proofErr w:type="spellStart"/>
      <w:r w:rsidRPr="005C5A26">
        <w:rPr>
          <w:rFonts w:ascii="Times New Roman" w:hAnsi="Times New Roman" w:cs="Times New Roman"/>
          <w:i/>
          <w:iCs/>
          <w:sz w:val="24"/>
          <w:szCs w:val="24"/>
          <w:lang w:val="fr-FR"/>
        </w:rPr>
        <w:t>Roles</w:t>
      </w:r>
      <w:proofErr w:type="spellEnd"/>
      <w:r w:rsidRPr="005C5A26">
        <w:rPr>
          <w:rFonts w:ascii="Times New Roman" w:hAnsi="Times New Roman" w:cs="Times New Roman"/>
          <w:sz w:val="24"/>
          <w:szCs w:val="24"/>
        </w:rPr>
        <w:t xml:space="preserve">, 64, pp. 290–298 [google scholar]. Available at: </w:t>
      </w:r>
      <w:hyperlink r:id="rId13" w:history="1">
        <w:r w:rsidRPr="005C5A26">
          <w:rPr>
            <w:rStyle w:val="Hyperlink0"/>
            <w:rFonts w:ascii="Times New Roman" w:hAnsi="Times New Roman" w:cs="Times New Roman"/>
            <w:sz w:val="24"/>
            <w:szCs w:val="24"/>
          </w:rPr>
          <w:t>https://scholar.google.co.uk/scholar?cluster=12188375147885035642&amp;hl=en&amp;as_sdt=0,5</w:t>
        </w:r>
      </w:hyperlink>
      <w:r w:rsidRPr="005C5A26">
        <w:rPr>
          <w:rFonts w:ascii="Times New Roman" w:hAnsi="Times New Roman" w:cs="Times New Roman"/>
          <w:sz w:val="24"/>
          <w:szCs w:val="24"/>
        </w:rPr>
        <w:t xml:space="preserve"> (Accessed: 03 February 2020).</w:t>
      </w:r>
    </w:p>
    <w:p w14:paraId="1A935E93" w14:textId="587C81F5"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Connell, R. W. (1985) ‘Theorising Gender’, </w:t>
      </w:r>
      <w:r w:rsidRPr="00E776AE">
        <w:rPr>
          <w:rFonts w:ascii="Times New Roman" w:hAnsi="Times New Roman" w:cs="Times New Roman"/>
          <w:i/>
          <w:iCs/>
          <w:sz w:val="24"/>
          <w:szCs w:val="24"/>
        </w:rPr>
        <w:t>Sociology</w:t>
      </w:r>
      <w:r w:rsidRPr="005C5A26">
        <w:rPr>
          <w:rFonts w:ascii="Times New Roman" w:hAnsi="Times New Roman" w:cs="Times New Roman"/>
          <w:sz w:val="24"/>
          <w:szCs w:val="24"/>
        </w:rPr>
        <w:t>, 19</w:t>
      </w:r>
      <w:r w:rsidR="003343B7">
        <w:rPr>
          <w:rFonts w:ascii="Times New Roman" w:hAnsi="Times New Roman" w:cs="Times New Roman"/>
          <w:sz w:val="24"/>
          <w:szCs w:val="24"/>
        </w:rPr>
        <w:t>(2),</w:t>
      </w:r>
      <w:r w:rsidRPr="005C5A26">
        <w:rPr>
          <w:rFonts w:ascii="Times New Roman" w:hAnsi="Times New Roman" w:cs="Times New Roman"/>
          <w:sz w:val="24"/>
          <w:szCs w:val="24"/>
        </w:rPr>
        <w:t xml:space="preserve"> pp. 26</w:t>
      </w:r>
      <w:r w:rsidR="003343B7">
        <w:rPr>
          <w:rFonts w:ascii="Times New Roman" w:hAnsi="Times New Roman" w:cs="Times New Roman"/>
          <w:sz w:val="24"/>
          <w:szCs w:val="24"/>
        </w:rPr>
        <w:t>0</w:t>
      </w:r>
      <w:r w:rsidRPr="005C5A26">
        <w:rPr>
          <w:rFonts w:ascii="Times New Roman" w:hAnsi="Times New Roman" w:cs="Times New Roman"/>
          <w:sz w:val="24"/>
          <w:szCs w:val="24"/>
        </w:rPr>
        <w:t>-2</w:t>
      </w:r>
      <w:r w:rsidR="003343B7">
        <w:rPr>
          <w:rFonts w:ascii="Times New Roman" w:hAnsi="Times New Roman" w:cs="Times New Roman"/>
          <w:sz w:val="24"/>
          <w:szCs w:val="24"/>
        </w:rPr>
        <w:t>72</w:t>
      </w:r>
      <w:r w:rsidR="00E776AE">
        <w:rPr>
          <w:rFonts w:ascii="Times New Roman" w:hAnsi="Times New Roman" w:cs="Times New Roman"/>
          <w:sz w:val="24"/>
          <w:szCs w:val="24"/>
        </w:rPr>
        <w:t xml:space="preserve"> [google scholar]. Available at: </w:t>
      </w:r>
      <w:hyperlink r:id="rId14" w:history="1">
        <w:r w:rsidR="00E776AE" w:rsidRPr="00191C3B">
          <w:rPr>
            <w:rStyle w:val="Hyperlink"/>
            <w:rFonts w:ascii="Times New Roman" w:hAnsi="Times New Roman" w:cs="Times New Roman"/>
            <w:sz w:val="24"/>
            <w:szCs w:val="24"/>
          </w:rPr>
          <w:t>https://scholar.google.co.uk/scholar?cluster=15603422084882134456&amp;hl=en&amp;as_sdt=0,5</w:t>
        </w:r>
      </w:hyperlink>
      <w:r w:rsidR="00E776AE">
        <w:rPr>
          <w:rFonts w:ascii="Times New Roman" w:hAnsi="Times New Roman" w:cs="Times New Roman"/>
          <w:sz w:val="24"/>
          <w:szCs w:val="24"/>
        </w:rPr>
        <w:t xml:space="preserve"> (Accessed: 13 February 2020).</w:t>
      </w:r>
    </w:p>
    <w:p w14:paraId="229FDDBC"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lastRenderedPageBreak/>
        <w:t xml:space="preserve">Connell, R. (1987) </w:t>
      </w:r>
      <w:r w:rsidRPr="00817CC8">
        <w:rPr>
          <w:rFonts w:ascii="Times New Roman" w:hAnsi="Times New Roman" w:cs="Times New Roman"/>
          <w:i/>
          <w:iCs/>
          <w:sz w:val="24"/>
          <w:szCs w:val="24"/>
        </w:rPr>
        <w:t>Gender and Power: Society, the Person, and Sexual Politics</w:t>
      </w:r>
      <w:r w:rsidRPr="005C5A26">
        <w:rPr>
          <w:rFonts w:ascii="Times New Roman" w:hAnsi="Times New Roman" w:cs="Times New Roman"/>
          <w:sz w:val="24"/>
          <w:szCs w:val="24"/>
        </w:rPr>
        <w:t>. Stanford University Press.</w:t>
      </w:r>
    </w:p>
    <w:p w14:paraId="6A0A2ED7"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Carrigan, T., Connell, R., and Lee, J. (1987) ‘Towards a New Sociology of Masculinity’ in Kaufman, editor, Beyond Patriarchy: </w:t>
      </w:r>
      <w:r w:rsidRPr="00601BDA">
        <w:rPr>
          <w:rFonts w:ascii="Times New Roman" w:hAnsi="Times New Roman" w:cs="Times New Roman"/>
          <w:i/>
          <w:iCs/>
          <w:sz w:val="24"/>
          <w:szCs w:val="24"/>
        </w:rPr>
        <w:t>Essays by Men on Pleasure, Power, and Change</w:t>
      </w:r>
      <w:r w:rsidRPr="005C5A26">
        <w:rPr>
          <w:rFonts w:ascii="Times New Roman" w:hAnsi="Times New Roman" w:cs="Times New Roman"/>
          <w:sz w:val="24"/>
          <w:szCs w:val="24"/>
        </w:rPr>
        <w:t>, pp. 156-168. Toronto: Oxford University Press.</w:t>
      </w:r>
    </w:p>
    <w:p w14:paraId="23B3DB21"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Connell, R. W. (1995) </w:t>
      </w:r>
      <w:r w:rsidRPr="001A3991">
        <w:rPr>
          <w:rFonts w:ascii="Times New Roman" w:hAnsi="Times New Roman" w:cs="Times New Roman"/>
          <w:i/>
          <w:iCs/>
          <w:sz w:val="24"/>
          <w:szCs w:val="24"/>
        </w:rPr>
        <w:t>Masculinities</w:t>
      </w:r>
      <w:r w:rsidRPr="005C5A26">
        <w:rPr>
          <w:rFonts w:ascii="Times New Roman" w:hAnsi="Times New Roman" w:cs="Times New Roman"/>
          <w:sz w:val="24"/>
          <w:szCs w:val="24"/>
        </w:rPr>
        <w:t>. Sydney: Allen and Unwin.</w:t>
      </w:r>
    </w:p>
    <w:p w14:paraId="45EA3F7A"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Croteau, J. M., Talbot, D. M., Lance, T. A., and Evans, N. J. (2002) ‘A Qualitative Study of the Interplay Between Privilege and Oppression’, </w:t>
      </w:r>
      <w:r w:rsidRPr="00266F2A">
        <w:rPr>
          <w:rFonts w:ascii="Times New Roman" w:hAnsi="Times New Roman" w:cs="Times New Roman"/>
          <w:i/>
          <w:iCs/>
          <w:sz w:val="24"/>
          <w:szCs w:val="24"/>
        </w:rPr>
        <w:t>Journal of Multicultural Counselling and Development</w:t>
      </w:r>
      <w:r w:rsidRPr="005C5A26">
        <w:rPr>
          <w:rFonts w:ascii="Times New Roman" w:hAnsi="Times New Roman" w:cs="Times New Roman"/>
          <w:sz w:val="24"/>
          <w:szCs w:val="24"/>
        </w:rPr>
        <w:t>, 30, pp. 238-258 [</w:t>
      </w:r>
      <w:proofErr w:type="spellStart"/>
      <w:r w:rsidRPr="005C5A26">
        <w:rPr>
          <w:rFonts w:ascii="Times New Roman" w:hAnsi="Times New Roman" w:cs="Times New Roman"/>
          <w:sz w:val="24"/>
          <w:szCs w:val="24"/>
        </w:rPr>
        <w:t>wiley</w:t>
      </w:r>
      <w:proofErr w:type="spellEnd"/>
      <w:r w:rsidRPr="005C5A26">
        <w:rPr>
          <w:rFonts w:ascii="Times New Roman" w:hAnsi="Times New Roman" w:cs="Times New Roman"/>
          <w:sz w:val="24"/>
          <w:szCs w:val="24"/>
        </w:rPr>
        <w:t xml:space="preserve">]. Available at: </w:t>
      </w:r>
      <w:hyperlink r:id="rId15" w:history="1">
        <w:r w:rsidRPr="005C5A26">
          <w:rPr>
            <w:rStyle w:val="Hyperlink0"/>
            <w:rFonts w:ascii="Times New Roman" w:hAnsi="Times New Roman" w:cs="Times New Roman"/>
            <w:sz w:val="24"/>
            <w:szCs w:val="24"/>
          </w:rPr>
          <w:t>https://onlinelibrary.wiley.com/doi/pdf/10.1002/j.2161-1912.2002.tb00522.x</w:t>
        </w:r>
      </w:hyperlink>
      <w:r w:rsidRPr="005C5A26">
        <w:rPr>
          <w:rFonts w:ascii="Times New Roman" w:hAnsi="Times New Roman" w:cs="Times New Roman"/>
          <w:sz w:val="24"/>
          <w:szCs w:val="24"/>
        </w:rPr>
        <w:t xml:space="preserve"> (Accessed: 06 February 2020).</w:t>
      </w:r>
    </w:p>
    <w:p w14:paraId="469217E4"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Davis, S. E. (2018) ‘Objectification, Sexualization, and Misrepresentation: Social Media and the College Experience’, </w:t>
      </w:r>
      <w:r w:rsidRPr="005C5A26">
        <w:rPr>
          <w:rFonts w:ascii="Times New Roman" w:hAnsi="Times New Roman" w:cs="Times New Roman"/>
          <w:i/>
          <w:iCs/>
          <w:sz w:val="24"/>
          <w:szCs w:val="24"/>
        </w:rPr>
        <w:t>Social Media and Society</w:t>
      </w:r>
      <w:r w:rsidRPr="005C5A26">
        <w:rPr>
          <w:rFonts w:ascii="Times New Roman" w:hAnsi="Times New Roman" w:cs="Times New Roman"/>
          <w:sz w:val="24"/>
          <w:szCs w:val="24"/>
        </w:rPr>
        <w:t xml:space="preserve">, pp, 1-9. Available at: </w:t>
      </w:r>
      <w:hyperlink r:id="rId16" w:history="1">
        <w:r w:rsidRPr="005C5A26">
          <w:rPr>
            <w:rStyle w:val="Hyperlink0"/>
            <w:rFonts w:ascii="Times New Roman" w:hAnsi="Times New Roman" w:cs="Times New Roman"/>
            <w:sz w:val="24"/>
            <w:szCs w:val="24"/>
          </w:rPr>
          <w:t>https://journals.sagepub.com/doi/pdf/10.1177/2056305118786727</w:t>
        </w:r>
      </w:hyperlink>
      <w:r w:rsidRPr="005C5A26">
        <w:rPr>
          <w:rFonts w:ascii="Times New Roman" w:hAnsi="Times New Roman" w:cs="Times New Roman"/>
          <w:sz w:val="24"/>
          <w:szCs w:val="24"/>
        </w:rPr>
        <w:t xml:space="preserve"> (04 February 2020). </w:t>
      </w:r>
    </w:p>
    <w:p w14:paraId="6DAB673C"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De Melo-Martin, I. (2002) </w:t>
      </w:r>
      <w:r w:rsidRPr="005C5A26">
        <w:rPr>
          <w:rFonts w:ascii="Times New Roman" w:hAnsi="Times New Roman" w:cs="Times New Roman"/>
          <w:i/>
          <w:iCs/>
          <w:sz w:val="24"/>
          <w:szCs w:val="24"/>
        </w:rPr>
        <w:t>When is Biology Destiny? Biological Determinism and Social Responsibility</w:t>
      </w:r>
      <w:r w:rsidRPr="005C5A26">
        <w:rPr>
          <w:rFonts w:ascii="Times New Roman" w:hAnsi="Times New Roman" w:cs="Times New Roman"/>
          <w:sz w:val="24"/>
          <w:szCs w:val="24"/>
        </w:rPr>
        <w:t xml:space="preserve">. Available at: </w:t>
      </w:r>
      <w:hyperlink r:id="rId17" w:history="1">
        <w:r w:rsidRPr="005C5A26">
          <w:rPr>
            <w:rStyle w:val="Hyperlink0"/>
            <w:rFonts w:ascii="Times New Roman" w:hAnsi="Times New Roman" w:cs="Times New Roman"/>
            <w:sz w:val="24"/>
            <w:szCs w:val="24"/>
          </w:rPr>
          <w:t>http://philsci-archive.pitt.edu/id/eprint/1062</w:t>
        </w:r>
      </w:hyperlink>
      <w:r w:rsidRPr="005C5A26">
        <w:rPr>
          <w:rFonts w:ascii="Times New Roman" w:hAnsi="Times New Roman" w:cs="Times New Roman"/>
          <w:sz w:val="24"/>
          <w:szCs w:val="24"/>
        </w:rPr>
        <w:t xml:space="preserve"> (Accessed: 30 January 2020).</w:t>
      </w:r>
    </w:p>
    <w:p w14:paraId="63A447BB" w14:textId="7777777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Demetrakis</w:t>
      </w:r>
      <w:proofErr w:type="spellEnd"/>
      <w:r w:rsidRPr="005C5A26">
        <w:rPr>
          <w:rFonts w:ascii="Times New Roman" w:hAnsi="Times New Roman" w:cs="Times New Roman"/>
          <w:sz w:val="24"/>
          <w:szCs w:val="24"/>
        </w:rPr>
        <w:t>, Z. D. (2001) ‘Connell's Concept of Hegemonic Masculinity: A Critique’</w:t>
      </w:r>
      <w:r w:rsidRPr="005C5A26">
        <w:rPr>
          <w:rFonts w:ascii="Times New Roman" w:hAnsi="Times New Roman" w:cs="Times New Roman"/>
          <w:i/>
          <w:iCs/>
          <w:sz w:val="24"/>
          <w:szCs w:val="24"/>
        </w:rPr>
        <w:t>, Theory and Society</w:t>
      </w:r>
      <w:r w:rsidRPr="005C5A26">
        <w:rPr>
          <w:rFonts w:ascii="Times New Roman" w:hAnsi="Times New Roman" w:cs="Times New Roman"/>
          <w:sz w:val="24"/>
          <w:szCs w:val="24"/>
        </w:rPr>
        <w:t>, 30(3), pp. 337-361 [</w:t>
      </w:r>
      <w:proofErr w:type="spellStart"/>
      <w:r w:rsidRPr="005C5A26">
        <w:rPr>
          <w:rFonts w:ascii="Times New Roman" w:hAnsi="Times New Roman" w:cs="Times New Roman"/>
          <w:sz w:val="24"/>
          <w:szCs w:val="24"/>
        </w:rPr>
        <w:t>jstor</w:t>
      </w:r>
      <w:proofErr w:type="spellEnd"/>
      <w:r w:rsidRPr="005C5A26">
        <w:rPr>
          <w:rFonts w:ascii="Times New Roman" w:hAnsi="Times New Roman" w:cs="Times New Roman"/>
          <w:sz w:val="24"/>
          <w:szCs w:val="24"/>
        </w:rPr>
        <w:t xml:space="preserve">].  Available at: </w:t>
      </w:r>
      <w:hyperlink r:id="rId18" w:history="1">
        <w:r w:rsidRPr="005C5A26">
          <w:rPr>
            <w:rStyle w:val="Hyperlink0"/>
            <w:rFonts w:ascii="Times New Roman" w:hAnsi="Times New Roman" w:cs="Times New Roman"/>
            <w:sz w:val="24"/>
            <w:szCs w:val="24"/>
          </w:rPr>
          <w:t>https://www.jstor.org/stable/657965?origin=JSTOR-pdf&amp;seq=1</w:t>
        </w:r>
      </w:hyperlink>
      <w:r w:rsidRPr="005C5A26">
        <w:rPr>
          <w:rFonts w:ascii="Times New Roman" w:hAnsi="Times New Roman" w:cs="Times New Roman"/>
          <w:sz w:val="24"/>
          <w:szCs w:val="24"/>
        </w:rPr>
        <w:t xml:space="preserve"> (Accessed: 05 February 2020.</w:t>
      </w:r>
    </w:p>
    <w:p w14:paraId="3060B02B"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Derrida, J. (1967) 1978. ‘Structure, Sign, and Play in the Discourse of the Human Science.’ Pp. 278-93 in.  </w:t>
      </w:r>
      <w:r w:rsidRPr="005C5A26">
        <w:rPr>
          <w:rFonts w:ascii="Times New Roman" w:hAnsi="Times New Roman" w:cs="Times New Roman"/>
          <w:i/>
          <w:iCs/>
          <w:sz w:val="24"/>
          <w:szCs w:val="24"/>
        </w:rPr>
        <w:t>Writing and Difference</w:t>
      </w:r>
      <w:r w:rsidRPr="005C5A26">
        <w:rPr>
          <w:rFonts w:ascii="Times New Roman" w:hAnsi="Times New Roman" w:cs="Times New Roman"/>
          <w:sz w:val="24"/>
          <w:szCs w:val="24"/>
        </w:rPr>
        <w:t>, translated by Alan Bass. Chicago: University of Chicago Press.</w:t>
      </w:r>
    </w:p>
    <w:p w14:paraId="0853364B"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Dill, K., and Thill, K. (2007) ‘Video game characters and the socialization of gender roles: Young people’s perceptions mirror sexist media depictions.’ </w:t>
      </w:r>
      <w:proofErr w:type="spellStart"/>
      <w:r w:rsidRPr="005C5A26">
        <w:rPr>
          <w:rFonts w:ascii="Times New Roman" w:hAnsi="Times New Roman" w:cs="Times New Roman"/>
          <w:i/>
          <w:iCs/>
          <w:sz w:val="24"/>
          <w:szCs w:val="24"/>
          <w:lang w:val="fr-FR"/>
        </w:rPr>
        <w:t>Sex</w:t>
      </w:r>
      <w:proofErr w:type="spellEnd"/>
      <w:r w:rsidRPr="005C5A26">
        <w:rPr>
          <w:rFonts w:ascii="Times New Roman" w:hAnsi="Times New Roman" w:cs="Times New Roman"/>
          <w:i/>
          <w:iCs/>
          <w:sz w:val="24"/>
          <w:szCs w:val="24"/>
          <w:lang w:val="fr-FR"/>
        </w:rPr>
        <w:t xml:space="preserve"> </w:t>
      </w:r>
      <w:proofErr w:type="spellStart"/>
      <w:r w:rsidRPr="005C5A26">
        <w:rPr>
          <w:rFonts w:ascii="Times New Roman" w:hAnsi="Times New Roman" w:cs="Times New Roman"/>
          <w:i/>
          <w:iCs/>
          <w:sz w:val="24"/>
          <w:szCs w:val="24"/>
          <w:lang w:val="fr-FR"/>
        </w:rPr>
        <w:t>Roles</w:t>
      </w:r>
      <w:proofErr w:type="spellEnd"/>
      <w:r w:rsidRPr="005C5A26">
        <w:rPr>
          <w:rFonts w:ascii="Times New Roman" w:hAnsi="Times New Roman" w:cs="Times New Roman"/>
          <w:sz w:val="24"/>
          <w:szCs w:val="24"/>
        </w:rPr>
        <w:t>, 57, pp. 851–864.</w:t>
      </w:r>
    </w:p>
    <w:p w14:paraId="7B56987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Donaldson, M. (1993) ‘What Is Hegemonic Masculinity?’, </w:t>
      </w:r>
      <w:r w:rsidRPr="005C5A26">
        <w:rPr>
          <w:rFonts w:ascii="Times New Roman" w:hAnsi="Times New Roman" w:cs="Times New Roman"/>
          <w:i/>
          <w:iCs/>
          <w:sz w:val="24"/>
          <w:szCs w:val="24"/>
        </w:rPr>
        <w:t>Theory and Society</w:t>
      </w:r>
      <w:r w:rsidRPr="005C5A26">
        <w:rPr>
          <w:rFonts w:ascii="Times New Roman" w:hAnsi="Times New Roman" w:cs="Times New Roman"/>
          <w:sz w:val="24"/>
          <w:szCs w:val="24"/>
        </w:rPr>
        <w:t xml:space="preserve">, 22(5), pp.643-657. Available at: </w:t>
      </w:r>
      <w:hyperlink r:id="rId19" w:history="1">
        <w:r w:rsidRPr="005C5A26">
          <w:rPr>
            <w:rStyle w:val="Hyperlink0"/>
            <w:rFonts w:ascii="Times New Roman" w:hAnsi="Times New Roman" w:cs="Times New Roman"/>
            <w:sz w:val="24"/>
            <w:szCs w:val="24"/>
          </w:rPr>
          <w:t>https://ro.uow.edu.au/cgi/viewcontent.cgi?article=1149&amp;context=artspapers</w:t>
        </w:r>
      </w:hyperlink>
      <w:r w:rsidRPr="005C5A26">
        <w:rPr>
          <w:rFonts w:ascii="Times New Roman" w:hAnsi="Times New Roman" w:cs="Times New Roman"/>
          <w:sz w:val="24"/>
          <w:szCs w:val="24"/>
        </w:rPr>
        <w:t xml:space="preserve">  (Accessed: 28 January 2020).</w:t>
      </w:r>
    </w:p>
    <w:p w14:paraId="4423D011"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Elliot A. (2001). </w:t>
      </w:r>
      <w:r w:rsidRPr="005C5A26">
        <w:rPr>
          <w:rFonts w:ascii="Times New Roman" w:hAnsi="Times New Roman" w:cs="Times New Roman"/>
          <w:i/>
          <w:iCs/>
          <w:sz w:val="24"/>
          <w:szCs w:val="24"/>
        </w:rPr>
        <w:t>Concepts of the Self</w:t>
      </w:r>
      <w:r w:rsidRPr="005C5A26">
        <w:rPr>
          <w:rFonts w:ascii="Times New Roman" w:hAnsi="Times New Roman" w:cs="Times New Roman"/>
          <w:sz w:val="24"/>
          <w:szCs w:val="24"/>
        </w:rPr>
        <w:t>. Cambridge: Polity.</w:t>
      </w:r>
    </w:p>
    <w:p w14:paraId="2CF1F6EA"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Equality and Human Rights Commission (2016) </w:t>
      </w:r>
      <w:r w:rsidRPr="005C5A26">
        <w:rPr>
          <w:rFonts w:ascii="Times New Roman" w:hAnsi="Times New Roman" w:cs="Times New Roman"/>
          <w:i/>
          <w:iCs/>
          <w:sz w:val="24"/>
          <w:szCs w:val="24"/>
        </w:rPr>
        <w:t>Ensuring strong equalities legislation after EU exit inquiry: our response to the Women and Equalities Committee inquiry.</w:t>
      </w:r>
      <w:r w:rsidRPr="005C5A26">
        <w:rPr>
          <w:rFonts w:ascii="Times New Roman" w:hAnsi="Times New Roman" w:cs="Times New Roman"/>
          <w:sz w:val="24"/>
          <w:szCs w:val="24"/>
        </w:rPr>
        <w:t xml:space="preserve">  Available at: </w:t>
      </w:r>
      <w:hyperlink r:id="rId20" w:history="1">
        <w:r w:rsidRPr="005C5A26">
          <w:rPr>
            <w:rStyle w:val="Hyperlink0"/>
            <w:rFonts w:ascii="Times New Roman" w:hAnsi="Times New Roman" w:cs="Times New Roman"/>
            <w:sz w:val="24"/>
            <w:szCs w:val="24"/>
          </w:rPr>
          <w:t>https://www.equalityhumanrights.com/en/legal-responses/ensuring-strong-equalities-legislation-after-eu-exit-inquiry-our-response-women-and</w:t>
        </w:r>
      </w:hyperlink>
      <w:r w:rsidRPr="005C5A26">
        <w:rPr>
          <w:rFonts w:ascii="Times New Roman" w:hAnsi="Times New Roman" w:cs="Times New Roman"/>
          <w:sz w:val="24"/>
          <w:szCs w:val="24"/>
        </w:rPr>
        <w:t xml:space="preserve"> (Accessed:09 February 2020). </w:t>
      </w:r>
    </w:p>
    <w:p w14:paraId="599A4792"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Equality and Human Rights Commission (2019) </w:t>
      </w:r>
      <w:r w:rsidRPr="005C5A26">
        <w:rPr>
          <w:rFonts w:ascii="Times New Roman" w:hAnsi="Times New Roman" w:cs="Times New Roman"/>
          <w:i/>
          <w:iCs/>
          <w:sz w:val="24"/>
          <w:szCs w:val="24"/>
        </w:rPr>
        <w:t xml:space="preserve">What are Human Rights? </w:t>
      </w:r>
      <w:r w:rsidRPr="005C5A26">
        <w:rPr>
          <w:rFonts w:ascii="Times New Roman" w:hAnsi="Times New Roman" w:cs="Times New Roman"/>
          <w:sz w:val="24"/>
          <w:szCs w:val="24"/>
        </w:rPr>
        <w:t xml:space="preserve">Available at: </w:t>
      </w:r>
      <w:hyperlink r:id="rId21" w:history="1">
        <w:r w:rsidRPr="005C5A26">
          <w:rPr>
            <w:rStyle w:val="Hyperlink0"/>
            <w:rFonts w:ascii="Times New Roman" w:hAnsi="Times New Roman" w:cs="Times New Roman"/>
            <w:sz w:val="24"/>
            <w:szCs w:val="24"/>
          </w:rPr>
          <w:t>https://www.equalityhumanrights.com/en/human-rights/what-are-human-rights</w:t>
        </w:r>
      </w:hyperlink>
      <w:r w:rsidRPr="005C5A26">
        <w:rPr>
          <w:rFonts w:ascii="Times New Roman" w:hAnsi="Times New Roman" w:cs="Times New Roman"/>
          <w:sz w:val="24"/>
          <w:szCs w:val="24"/>
        </w:rPr>
        <w:t xml:space="preserve"> (Accessed: 08 February 2020).</w:t>
      </w:r>
    </w:p>
    <w:p w14:paraId="0EB8A0B5"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Faulkner A. H., Cranston K., (1998) ‘Correlates of same-sex sexual behaviour in a random sample of Massachusetts high school students’, </w:t>
      </w:r>
      <w:r w:rsidRPr="006202B5">
        <w:rPr>
          <w:rFonts w:ascii="Times New Roman" w:hAnsi="Times New Roman" w:cs="Times New Roman"/>
          <w:i/>
          <w:iCs/>
          <w:sz w:val="24"/>
          <w:szCs w:val="24"/>
        </w:rPr>
        <w:t>American</w:t>
      </w:r>
      <w:r w:rsidRPr="005C5A26">
        <w:rPr>
          <w:rFonts w:ascii="Times New Roman" w:hAnsi="Times New Roman" w:cs="Times New Roman"/>
          <w:i/>
          <w:iCs/>
          <w:sz w:val="24"/>
          <w:szCs w:val="24"/>
        </w:rPr>
        <w:t xml:space="preserve"> Journal of Public Health</w:t>
      </w:r>
      <w:r w:rsidRPr="005C5A26">
        <w:rPr>
          <w:rFonts w:ascii="Times New Roman" w:hAnsi="Times New Roman" w:cs="Times New Roman"/>
          <w:sz w:val="24"/>
          <w:szCs w:val="24"/>
        </w:rPr>
        <w:t>, 88(2), pp. 262–</w:t>
      </w:r>
      <w:r w:rsidRPr="005C5A26">
        <w:rPr>
          <w:rFonts w:ascii="Times New Roman" w:hAnsi="Times New Roman" w:cs="Times New Roman"/>
          <w:sz w:val="24"/>
          <w:szCs w:val="24"/>
          <w:lang w:val="pt-PT"/>
        </w:rPr>
        <w:t>266. [PubMed: 9491018].</w:t>
      </w:r>
    </w:p>
    <w:p w14:paraId="5BF9EC1C" w14:textId="416BE0C4"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fr-FR"/>
        </w:rPr>
        <w:lastRenderedPageBreak/>
        <w:t xml:space="preserve">Fergusson, D. M, </w:t>
      </w:r>
      <w:proofErr w:type="spellStart"/>
      <w:r w:rsidRPr="005C5A26">
        <w:rPr>
          <w:rFonts w:ascii="Times New Roman" w:hAnsi="Times New Roman" w:cs="Times New Roman"/>
          <w:sz w:val="24"/>
          <w:szCs w:val="24"/>
          <w:lang w:val="fr-FR"/>
        </w:rPr>
        <w:t>Horwood</w:t>
      </w:r>
      <w:proofErr w:type="spellEnd"/>
      <w:r w:rsidRPr="005C5A26">
        <w:rPr>
          <w:rFonts w:ascii="Times New Roman" w:hAnsi="Times New Roman" w:cs="Times New Roman"/>
          <w:sz w:val="24"/>
          <w:szCs w:val="24"/>
          <w:lang w:val="fr-FR"/>
        </w:rPr>
        <w:t xml:space="preserve">, L. J, </w:t>
      </w:r>
      <w:proofErr w:type="spellStart"/>
      <w:r w:rsidRPr="005C5A26">
        <w:rPr>
          <w:rFonts w:ascii="Times New Roman" w:hAnsi="Times New Roman" w:cs="Times New Roman"/>
          <w:sz w:val="24"/>
          <w:szCs w:val="24"/>
          <w:lang w:val="fr-FR"/>
        </w:rPr>
        <w:t>Beautrais</w:t>
      </w:r>
      <w:proofErr w:type="spellEnd"/>
      <w:r w:rsidRPr="005C5A26">
        <w:rPr>
          <w:rFonts w:ascii="Times New Roman" w:hAnsi="Times New Roman" w:cs="Times New Roman"/>
          <w:sz w:val="24"/>
          <w:szCs w:val="24"/>
          <w:lang w:val="fr-FR"/>
        </w:rPr>
        <w:t xml:space="preserve">, A. L. </w:t>
      </w:r>
      <w:r w:rsidR="00244001">
        <w:rPr>
          <w:rFonts w:ascii="Times New Roman" w:hAnsi="Times New Roman" w:cs="Times New Roman"/>
          <w:sz w:val="24"/>
          <w:szCs w:val="24"/>
          <w:lang w:val="fr-FR"/>
        </w:rPr>
        <w:t xml:space="preserve">(1999) </w:t>
      </w:r>
      <w:r w:rsidRPr="005C5A26">
        <w:rPr>
          <w:rFonts w:ascii="Times New Roman" w:hAnsi="Times New Roman" w:cs="Times New Roman"/>
          <w:sz w:val="24"/>
          <w:szCs w:val="24"/>
        </w:rPr>
        <w:t xml:space="preserve">‘Is sexual orientation related to mental health problems and suicidality in young </w:t>
      </w:r>
      <w:r w:rsidR="00244001" w:rsidRPr="005C5A26">
        <w:rPr>
          <w:rFonts w:ascii="Times New Roman" w:hAnsi="Times New Roman" w:cs="Times New Roman"/>
          <w:sz w:val="24"/>
          <w:szCs w:val="24"/>
        </w:rPr>
        <w:t>people ?</w:t>
      </w:r>
      <w:r w:rsidRPr="005C5A26">
        <w:rPr>
          <w:rFonts w:ascii="Times New Roman" w:hAnsi="Times New Roman" w:cs="Times New Roman"/>
          <w:sz w:val="24"/>
          <w:szCs w:val="24"/>
        </w:rPr>
        <w:t xml:space="preserve">  </w:t>
      </w:r>
      <w:r w:rsidRPr="00244001">
        <w:rPr>
          <w:rFonts w:ascii="Times New Roman" w:hAnsi="Times New Roman" w:cs="Times New Roman"/>
          <w:i/>
          <w:iCs/>
          <w:sz w:val="24"/>
          <w:szCs w:val="24"/>
        </w:rPr>
        <w:t>Archives of General Psychiatry</w:t>
      </w:r>
      <w:r w:rsidR="00244001">
        <w:rPr>
          <w:rFonts w:ascii="Times New Roman" w:hAnsi="Times New Roman" w:cs="Times New Roman"/>
          <w:sz w:val="24"/>
          <w:szCs w:val="24"/>
        </w:rPr>
        <w:t xml:space="preserve">, </w:t>
      </w:r>
      <w:r w:rsidRPr="005C5A26">
        <w:rPr>
          <w:rFonts w:ascii="Times New Roman" w:hAnsi="Times New Roman" w:cs="Times New Roman"/>
          <w:sz w:val="24"/>
          <w:szCs w:val="24"/>
        </w:rPr>
        <w:t>56(10), pp. 876–</w:t>
      </w:r>
      <w:r w:rsidRPr="005C5A26">
        <w:rPr>
          <w:rFonts w:ascii="Times New Roman" w:hAnsi="Times New Roman" w:cs="Times New Roman"/>
          <w:sz w:val="24"/>
          <w:szCs w:val="24"/>
          <w:lang w:val="pt-PT"/>
        </w:rPr>
        <w:t>880. [PubMed: 10530626].</w:t>
      </w:r>
    </w:p>
    <w:p w14:paraId="1DE3DC65"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Foucault, M. (1979) </w:t>
      </w:r>
      <w:r w:rsidRPr="005C5A26">
        <w:rPr>
          <w:rFonts w:ascii="Times New Roman" w:hAnsi="Times New Roman" w:cs="Times New Roman"/>
          <w:i/>
          <w:iCs/>
          <w:sz w:val="24"/>
          <w:szCs w:val="24"/>
        </w:rPr>
        <w:t>The History of Sexuality</w:t>
      </w:r>
      <w:r w:rsidRPr="005C5A26">
        <w:rPr>
          <w:rFonts w:ascii="Times New Roman" w:hAnsi="Times New Roman" w:cs="Times New Roman"/>
          <w:sz w:val="24"/>
          <w:szCs w:val="24"/>
        </w:rPr>
        <w:t>. Vol.1.  Translated by R. Hurley. London: Penguin.</w:t>
      </w:r>
    </w:p>
    <w:p w14:paraId="498AC99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it-IT"/>
        </w:rPr>
        <w:t xml:space="preserve">Giaccardi, S., Ward, L. M., Seabrook, R. C., Manago, A., and Lippman, J. (2016) </w:t>
      </w:r>
      <w:r w:rsidRPr="005C5A26">
        <w:rPr>
          <w:rFonts w:ascii="Times New Roman" w:hAnsi="Times New Roman" w:cs="Times New Roman"/>
          <w:sz w:val="24"/>
          <w:szCs w:val="24"/>
        </w:rPr>
        <w:t xml:space="preserve">‘Media and Modern Manhood: Testing Associations Between Media Consumption and Young Men’s Acceptance of Traditional Gender Ideologies’, </w:t>
      </w:r>
      <w:proofErr w:type="spellStart"/>
      <w:r w:rsidRPr="005C5A26">
        <w:rPr>
          <w:rFonts w:ascii="Times New Roman" w:hAnsi="Times New Roman" w:cs="Times New Roman"/>
          <w:i/>
          <w:iCs/>
          <w:sz w:val="24"/>
          <w:szCs w:val="24"/>
          <w:lang w:val="fr-FR"/>
        </w:rPr>
        <w:t>Sex</w:t>
      </w:r>
      <w:proofErr w:type="spellEnd"/>
      <w:r w:rsidRPr="005C5A26">
        <w:rPr>
          <w:rFonts w:ascii="Times New Roman" w:hAnsi="Times New Roman" w:cs="Times New Roman"/>
          <w:i/>
          <w:iCs/>
          <w:sz w:val="24"/>
          <w:szCs w:val="24"/>
          <w:lang w:val="fr-FR"/>
        </w:rPr>
        <w:t xml:space="preserve"> </w:t>
      </w:r>
      <w:proofErr w:type="spellStart"/>
      <w:r w:rsidRPr="005C5A26">
        <w:rPr>
          <w:rFonts w:ascii="Times New Roman" w:hAnsi="Times New Roman" w:cs="Times New Roman"/>
          <w:i/>
          <w:iCs/>
          <w:sz w:val="24"/>
          <w:szCs w:val="24"/>
          <w:lang w:val="fr-FR"/>
        </w:rPr>
        <w:t>Roles</w:t>
      </w:r>
      <w:proofErr w:type="spellEnd"/>
      <w:r w:rsidRPr="005C5A26">
        <w:rPr>
          <w:rFonts w:ascii="Times New Roman" w:hAnsi="Times New Roman" w:cs="Times New Roman"/>
          <w:i/>
          <w:iCs/>
          <w:sz w:val="24"/>
          <w:szCs w:val="24"/>
          <w:lang w:val="fr-FR"/>
        </w:rPr>
        <w:t xml:space="preserve">, </w:t>
      </w:r>
      <w:r w:rsidRPr="005C5A26">
        <w:rPr>
          <w:rFonts w:ascii="Times New Roman" w:hAnsi="Times New Roman" w:cs="Times New Roman"/>
          <w:sz w:val="24"/>
          <w:szCs w:val="24"/>
        </w:rPr>
        <w:t xml:space="preserve">75 (3,4), pp. 151-163, [google scholar]. Available at: </w:t>
      </w:r>
      <w:hyperlink r:id="rId22" w:history="1">
        <w:r w:rsidRPr="005C5A26">
          <w:rPr>
            <w:rStyle w:val="Hyperlink0"/>
            <w:rFonts w:ascii="Times New Roman" w:hAnsi="Times New Roman" w:cs="Times New Roman"/>
            <w:sz w:val="24"/>
            <w:szCs w:val="24"/>
          </w:rPr>
          <w:t>https://scholar.google.co.uk/scholar?cluster=3123766766061169990&amp;hl=en&amp;as_sdt=0,5</w:t>
        </w:r>
      </w:hyperlink>
      <w:r w:rsidRPr="005C5A26">
        <w:rPr>
          <w:rFonts w:ascii="Times New Roman" w:hAnsi="Times New Roman" w:cs="Times New Roman"/>
          <w:sz w:val="24"/>
          <w:szCs w:val="24"/>
        </w:rPr>
        <w:t xml:space="preserve"> (Accessed: 06 February 2020).</w:t>
      </w:r>
    </w:p>
    <w:p w14:paraId="6C64507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Gordon, A. R., and Meyer, I. H. (2007) ‘Gender nonconformity as a target of prejudice, discrimination, and violence against LGB individuals’, </w:t>
      </w:r>
      <w:r w:rsidRPr="005C5A26">
        <w:rPr>
          <w:rFonts w:ascii="Times New Roman" w:hAnsi="Times New Roman" w:cs="Times New Roman"/>
          <w:i/>
          <w:iCs/>
          <w:sz w:val="24"/>
          <w:szCs w:val="24"/>
        </w:rPr>
        <w:t>Journal of LGBT Health Research</w:t>
      </w:r>
      <w:r w:rsidRPr="005C5A26">
        <w:rPr>
          <w:rFonts w:ascii="Times New Roman" w:hAnsi="Times New Roman" w:cs="Times New Roman"/>
          <w:sz w:val="24"/>
          <w:szCs w:val="24"/>
        </w:rPr>
        <w:t>, 3(3), pp. 55–</w:t>
      </w:r>
      <w:r w:rsidRPr="005C5A26">
        <w:rPr>
          <w:rFonts w:ascii="Times New Roman" w:hAnsi="Times New Roman" w:cs="Times New Roman"/>
          <w:sz w:val="24"/>
          <w:szCs w:val="24"/>
          <w:lang w:val="pt-PT"/>
        </w:rPr>
        <w:t xml:space="preserve">71. doi:10.1080.15574090802093562. </w:t>
      </w:r>
    </w:p>
    <w:p w14:paraId="5F70B2CF"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it-IT"/>
        </w:rPr>
        <w:t xml:space="preserve">Glascock, J. (2001) </w:t>
      </w:r>
      <w:r w:rsidRPr="005C5A26">
        <w:rPr>
          <w:rFonts w:ascii="Times New Roman" w:hAnsi="Times New Roman" w:cs="Times New Roman"/>
          <w:sz w:val="24"/>
          <w:szCs w:val="24"/>
        </w:rPr>
        <w:t xml:space="preserve">‘Gender roles on prime-time network television: Demographics and behaviors’, </w:t>
      </w:r>
      <w:r w:rsidRPr="005C5A26">
        <w:rPr>
          <w:rFonts w:ascii="Times New Roman" w:hAnsi="Times New Roman" w:cs="Times New Roman"/>
          <w:i/>
          <w:iCs/>
          <w:sz w:val="24"/>
          <w:szCs w:val="24"/>
        </w:rPr>
        <w:t>Journal of Broadcasting &amp; Electronic Media</w:t>
      </w:r>
      <w:r w:rsidRPr="005C5A26">
        <w:rPr>
          <w:rFonts w:ascii="Times New Roman" w:hAnsi="Times New Roman" w:cs="Times New Roman"/>
          <w:sz w:val="24"/>
          <w:szCs w:val="24"/>
        </w:rPr>
        <w:t>, 45, pp.  656-669.</w:t>
      </w:r>
    </w:p>
    <w:p w14:paraId="0188A285"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Gramsci, A. (1971) </w:t>
      </w:r>
      <w:proofErr w:type="spellStart"/>
      <w:r w:rsidRPr="005C5A26">
        <w:rPr>
          <w:rFonts w:ascii="Times New Roman" w:hAnsi="Times New Roman" w:cs="Times New Roman"/>
          <w:i/>
          <w:iCs/>
          <w:sz w:val="24"/>
          <w:szCs w:val="24"/>
        </w:rPr>
        <w:t>Selectíons</w:t>
      </w:r>
      <w:proofErr w:type="spellEnd"/>
      <w:r w:rsidRPr="005C5A26">
        <w:rPr>
          <w:rFonts w:ascii="Times New Roman" w:hAnsi="Times New Roman" w:cs="Times New Roman"/>
          <w:i/>
          <w:iCs/>
          <w:sz w:val="24"/>
          <w:szCs w:val="24"/>
        </w:rPr>
        <w:t xml:space="preserve"> from the Prison Notebooks</w:t>
      </w:r>
      <w:r w:rsidRPr="005C5A26">
        <w:rPr>
          <w:rFonts w:ascii="Times New Roman" w:hAnsi="Times New Roman" w:cs="Times New Roman"/>
          <w:sz w:val="24"/>
          <w:szCs w:val="24"/>
        </w:rPr>
        <w:t>. Hoare, Q., and Nowell Smith, G. (Eds.) London: Lawrence &amp; Wishart.</w:t>
      </w:r>
    </w:p>
    <w:p w14:paraId="71CF6A55"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Harding, C. (2008) ‘The Influence of the 'Decadent West': Discourses of the Mass Media on Youth Sexuality in Indonesia’, </w:t>
      </w:r>
      <w:r w:rsidRPr="005C5A26">
        <w:rPr>
          <w:rFonts w:ascii="Times New Roman" w:hAnsi="Times New Roman" w:cs="Times New Roman"/>
          <w:i/>
          <w:iCs/>
          <w:sz w:val="24"/>
          <w:szCs w:val="24"/>
        </w:rPr>
        <w:t xml:space="preserve">Intersections: Gender and Sexuality in Asia and the Pacific, 18 </w:t>
      </w:r>
      <w:r w:rsidRPr="005C5A26">
        <w:rPr>
          <w:rFonts w:ascii="Times New Roman" w:hAnsi="Times New Roman" w:cs="Times New Roman"/>
          <w:sz w:val="24"/>
          <w:szCs w:val="24"/>
        </w:rPr>
        <w:t xml:space="preserve">[google scholar]. Available at: </w:t>
      </w:r>
      <w:hyperlink r:id="rId23" w:history="1">
        <w:r w:rsidRPr="005C5A26">
          <w:rPr>
            <w:rStyle w:val="Hyperlink0"/>
            <w:rFonts w:ascii="Times New Roman" w:hAnsi="Times New Roman" w:cs="Times New Roman"/>
            <w:sz w:val="24"/>
            <w:szCs w:val="24"/>
          </w:rPr>
          <w:t>https://scholar.google.co.uk/scholar?cluster=1895949073457389279&amp;hl=en&amp;as_sdt=0,5</w:t>
        </w:r>
      </w:hyperlink>
      <w:r w:rsidRPr="005C5A26">
        <w:rPr>
          <w:rFonts w:ascii="Times New Roman" w:hAnsi="Times New Roman" w:cs="Times New Roman"/>
          <w:sz w:val="24"/>
          <w:szCs w:val="24"/>
        </w:rPr>
        <w:t xml:space="preserve"> (Accessed: 06 February 2020).</w:t>
      </w:r>
    </w:p>
    <w:p w14:paraId="3D2F2A8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Horne, A., and </w:t>
      </w:r>
      <w:proofErr w:type="spellStart"/>
      <w:r w:rsidRPr="005C5A26">
        <w:rPr>
          <w:rFonts w:ascii="Times New Roman" w:hAnsi="Times New Roman" w:cs="Times New Roman"/>
          <w:sz w:val="24"/>
          <w:szCs w:val="24"/>
        </w:rPr>
        <w:t>Maer</w:t>
      </w:r>
      <w:proofErr w:type="spellEnd"/>
      <w:r w:rsidRPr="005C5A26">
        <w:rPr>
          <w:rFonts w:ascii="Times New Roman" w:hAnsi="Times New Roman" w:cs="Times New Roman"/>
          <w:sz w:val="24"/>
          <w:szCs w:val="24"/>
        </w:rPr>
        <w:t xml:space="preserve">, L. (2010) </w:t>
      </w:r>
      <w:r w:rsidRPr="005C5A26">
        <w:rPr>
          <w:rFonts w:ascii="Times New Roman" w:hAnsi="Times New Roman" w:cs="Times New Roman"/>
          <w:i/>
          <w:iCs/>
          <w:sz w:val="24"/>
          <w:szCs w:val="24"/>
        </w:rPr>
        <w:t>Key Issues for the New Parliament 2010: From the Human Rights Act to a Bill of Rights?</w:t>
      </w:r>
      <w:r w:rsidRPr="005C5A26">
        <w:rPr>
          <w:rFonts w:ascii="Times New Roman" w:hAnsi="Times New Roman" w:cs="Times New Roman"/>
          <w:sz w:val="24"/>
          <w:szCs w:val="24"/>
        </w:rPr>
        <w:t xml:space="preserve"> Available at: </w:t>
      </w:r>
      <w:hyperlink r:id="rId24" w:history="1">
        <w:r w:rsidRPr="005C5A26">
          <w:rPr>
            <w:rStyle w:val="Hyperlink0"/>
            <w:rFonts w:ascii="Times New Roman" w:hAnsi="Times New Roman" w:cs="Times New Roman"/>
            <w:sz w:val="24"/>
            <w:szCs w:val="24"/>
          </w:rPr>
          <w:t>https://www.parliament.uk/documents/commons/lib/research/key_issues/Key-Issues-From-the-Human-Rights-Act-to-a-Bill-of-Rights.pdf</w:t>
        </w:r>
      </w:hyperlink>
      <w:r w:rsidRPr="005C5A26">
        <w:rPr>
          <w:rFonts w:ascii="Times New Roman" w:hAnsi="Times New Roman" w:cs="Times New Roman"/>
          <w:sz w:val="24"/>
          <w:szCs w:val="24"/>
        </w:rPr>
        <w:t xml:space="preserve"> (Accessed 09 February 2020).</w:t>
      </w:r>
    </w:p>
    <w:p w14:paraId="55804959" w14:textId="117BDBAE"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Jhally</w:t>
      </w:r>
      <w:proofErr w:type="spellEnd"/>
      <w:r w:rsidRPr="005C5A26">
        <w:rPr>
          <w:rFonts w:ascii="Times New Roman" w:hAnsi="Times New Roman" w:cs="Times New Roman"/>
          <w:sz w:val="24"/>
          <w:szCs w:val="24"/>
        </w:rPr>
        <w:t xml:space="preserve">, S. (2006) </w:t>
      </w:r>
      <w:r w:rsidRPr="005C5A26">
        <w:rPr>
          <w:rFonts w:ascii="Times New Roman" w:hAnsi="Times New Roman" w:cs="Times New Roman"/>
          <w:i/>
          <w:iCs/>
          <w:sz w:val="24"/>
          <w:szCs w:val="24"/>
        </w:rPr>
        <w:t>Advertising, cultural criticism, and pedagogy. The Spectacle of Accumulation: Essays in Culture, Media, and Politics</w:t>
      </w:r>
      <w:r w:rsidRPr="005C5A26">
        <w:rPr>
          <w:rFonts w:ascii="Times New Roman" w:hAnsi="Times New Roman" w:cs="Times New Roman"/>
          <w:sz w:val="24"/>
          <w:szCs w:val="24"/>
        </w:rPr>
        <w:t>. Peter Lang: New York.</w:t>
      </w:r>
    </w:p>
    <w:p w14:paraId="358ACB47" w14:textId="7777777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Kareithi</w:t>
      </w:r>
      <w:proofErr w:type="spellEnd"/>
      <w:r w:rsidRPr="005C5A26">
        <w:rPr>
          <w:rFonts w:ascii="Times New Roman" w:hAnsi="Times New Roman" w:cs="Times New Roman"/>
          <w:sz w:val="24"/>
          <w:szCs w:val="24"/>
        </w:rPr>
        <w:t xml:space="preserve">, P. J. (2014) ‘Hegemonic masculinity in media’, in </w:t>
      </w:r>
      <w:r w:rsidRPr="0081088F">
        <w:rPr>
          <w:rFonts w:ascii="Times New Roman" w:hAnsi="Times New Roman" w:cs="Times New Roman"/>
          <w:i/>
          <w:iCs/>
          <w:sz w:val="24"/>
          <w:szCs w:val="24"/>
        </w:rPr>
        <w:t>Media and gender</w:t>
      </w:r>
      <w:r w:rsidRPr="005C5A26">
        <w:rPr>
          <w:rFonts w:ascii="Times New Roman" w:hAnsi="Times New Roman" w:cs="Times New Roman"/>
          <w:sz w:val="24"/>
          <w:szCs w:val="24"/>
        </w:rPr>
        <w:t xml:space="preserve">: </w:t>
      </w:r>
      <w:r w:rsidRPr="0081088F">
        <w:rPr>
          <w:rFonts w:ascii="Times New Roman" w:hAnsi="Times New Roman" w:cs="Times New Roman"/>
          <w:i/>
          <w:iCs/>
          <w:sz w:val="24"/>
          <w:szCs w:val="24"/>
        </w:rPr>
        <w:t>a scholarly agenda for the Global Alliance on Media and Gender</w:t>
      </w:r>
      <w:r w:rsidRPr="005C5A26">
        <w:rPr>
          <w:rFonts w:ascii="Times New Roman" w:hAnsi="Times New Roman" w:cs="Times New Roman"/>
          <w:sz w:val="24"/>
          <w:szCs w:val="24"/>
        </w:rPr>
        <w:t xml:space="preserve">. Paris: United Nations Educational, Scientific and Cultural Organization. Available at: </w:t>
      </w:r>
      <w:hyperlink r:id="rId25" w:history="1">
        <w:r w:rsidRPr="005C5A26">
          <w:rPr>
            <w:rStyle w:val="Hyperlink0"/>
            <w:rFonts w:ascii="Times New Roman" w:hAnsi="Times New Roman" w:cs="Times New Roman"/>
            <w:sz w:val="24"/>
            <w:szCs w:val="24"/>
          </w:rPr>
          <w:t>https:://scholar.google.com/scholar?hl=en&amp;as_sdt=0%2C5&amp;q=Hyper-masculinity+in+the+media&amp;btnG=</w:t>
        </w:r>
      </w:hyperlink>
      <w:r w:rsidRPr="005C5A26">
        <w:rPr>
          <w:rFonts w:ascii="Times New Roman" w:hAnsi="Times New Roman" w:cs="Times New Roman"/>
          <w:sz w:val="24"/>
          <w:szCs w:val="24"/>
        </w:rPr>
        <w:t xml:space="preserve"> (Accessed: 28 January 2020).</w:t>
      </w:r>
    </w:p>
    <w:p w14:paraId="28A52482" w14:textId="2F39E526"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Lorber, J., and Farrell, S. A. (1990) </w:t>
      </w:r>
      <w:r w:rsidRPr="005C5A26">
        <w:rPr>
          <w:rFonts w:ascii="Times New Roman" w:hAnsi="Times New Roman" w:cs="Times New Roman"/>
          <w:i/>
          <w:iCs/>
          <w:sz w:val="24"/>
          <w:szCs w:val="24"/>
        </w:rPr>
        <w:t xml:space="preserve">The Social construction of gender. </w:t>
      </w:r>
      <w:r w:rsidRPr="005C5A26">
        <w:rPr>
          <w:rFonts w:ascii="Times New Roman" w:hAnsi="Times New Roman" w:cs="Times New Roman"/>
          <w:sz w:val="24"/>
          <w:szCs w:val="24"/>
        </w:rPr>
        <w:t>Sage Publications.</w:t>
      </w:r>
      <w:r w:rsidRPr="005C5A26">
        <w:rPr>
          <w:rFonts w:ascii="Times New Roman" w:hAnsi="Times New Roman" w:cs="Times New Roman"/>
          <w:i/>
          <w:iCs/>
          <w:sz w:val="24"/>
          <w:szCs w:val="24"/>
        </w:rPr>
        <w:t xml:space="preserve"> </w:t>
      </w:r>
    </w:p>
    <w:p w14:paraId="62764E2A"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Lorber, J. (1994). ‘Night to His Day: The Social Construction of Gender.’ In. </w:t>
      </w:r>
      <w:r w:rsidRPr="005C5A26">
        <w:rPr>
          <w:rFonts w:ascii="Times New Roman" w:hAnsi="Times New Roman" w:cs="Times New Roman"/>
          <w:i/>
          <w:iCs/>
          <w:sz w:val="24"/>
          <w:szCs w:val="24"/>
        </w:rPr>
        <w:t xml:space="preserve">Paradoxes of Gender. </w:t>
      </w:r>
      <w:r w:rsidRPr="005C5A26">
        <w:rPr>
          <w:rFonts w:ascii="Times New Roman" w:hAnsi="Times New Roman" w:cs="Times New Roman"/>
          <w:sz w:val="24"/>
          <w:szCs w:val="24"/>
        </w:rPr>
        <w:t>Yale University Press.</w:t>
      </w:r>
    </w:p>
    <w:p w14:paraId="6FA19146" w14:textId="7777777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McQuail</w:t>
      </w:r>
      <w:proofErr w:type="spellEnd"/>
      <w:r w:rsidRPr="005C5A26">
        <w:rPr>
          <w:rFonts w:ascii="Times New Roman" w:hAnsi="Times New Roman" w:cs="Times New Roman"/>
          <w:sz w:val="24"/>
          <w:szCs w:val="24"/>
        </w:rPr>
        <w:t xml:space="preserve">, D. (2010) </w:t>
      </w:r>
      <w:r w:rsidRPr="005C5A26">
        <w:rPr>
          <w:rFonts w:ascii="Times New Roman" w:hAnsi="Times New Roman" w:cs="Times New Roman"/>
          <w:i/>
          <w:iCs/>
          <w:sz w:val="24"/>
          <w:szCs w:val="24"/>
          <w:lang w:val="pt-PT"/>
        </w:rPr>
        <w:t>McQuail</w:t>
      </w:r>
      <w:r w:rsidRPr="005C5A26">
        <w:rPr>
          <w:rFonts w:ascii="Times New Roman" w:hAnsi="Times New Roman" w:cs="Times New Roman"/>
          <w:i/>
          <w:iCs/>
          <w:sz w:val="24"/>
          <w:szCs w:val="24"/>
        </w:rPr>
        <w:t xml:space="preserve">’s Mass Communication Theory. </w:t>
      </w:r>
      <w:r w:rsidRPr="005C5A26">
        <w:rPr>
          <w:rFonts w:ascii="Times New Roman" w:hAnsi="Times New Roman" w:cs="Times New Roman"/>
          <w:sz w:val="24"/>
          <w:szCs w:val="24"/>
        </w:rPr>
        <w:t>6</w:t>
      </w:r>
      <w:r w:rsidRPr="005C5A26">
        <w:rPr>
          <w:rFonts w:ascii="Times New Roman" w:hAnsi="Times New Roman" w:cs="Times New Roman"/>
          <w:sz w:val="24"/>
          <w:szCs w:val="24"/>
          <w:vertAlign w:val="superscript"/>
        </w:rPr>
        <w:t>th</w:t>
      </w:r>
      <w:r w:rsidRPr="005C5A26">
        <w:rPr>
          <w:rFonts w:ascii="Times New Roman" w:hAnsi="Times New Roman" w:cs="Times New Roman"/>
          <w:sz w:val="24"/>
          <w:szCs w:val="24"/>
        </w:rPr>
        <w:t xml:space="preserve"> edition. Los Angeles. London. New Delhi. Singapore. Washington DC: Sage Publications. Available at: </w:t>
      </w:r>
      <w:hyperlink r:id="rId26" w:history="1">
        <w:r w:rsidRPr="005C5A26">
          <w:rPr>
            <w:rStyle w:val="Hyperlink0"/>
            <w:rFonts w:ascii="Times New Roman" w:hAnsi="Times New Roman" w:cs="Times New Roman"/>
            <w:sz w:val="24"/>
            <w:szCs w:val="24"/>
          </w:rPr>
          <w:t>http://www.bou.ac.ir/portal/file/?171392/Mass.Communication.Theory.6th.Edition-(McQuails)-.pdf</w:t>
        </w:r>
      </w:hyperlink>
      <w:r w:rsidRPr="005C5A26">
        <w:rPr>
          <w:rFonts w:ascii="Times New Roman" w:hAnsi="Times New Roman" w:cs="Times New Roman"/>
          <w:sz w:val="24"/>
          <w:szCs w:val="24"/>
        </w:rPr>
        <w:t xml:space="preserve"> (Accessed: 03 February 2020). </w:t>
      </w:r>
    </w:p>
    <w:p w14:paraId="244F197A" w14:textId="789ACEB2"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Mikkola</w:t>
      </w:r>
      <w:proofErr w:type="spellEnd"/>
      <w:r w:rsidRPr="005C5A26">
        <w:rPr>
          <w:rFonts w:ascii="Times New Roman" w:hAnsi="Times New Roman" w:cs="Times New Roman"/>
          <w:sz w:val="24"/>
          <w:szCs w:val="24"/>
        </w:rPr>
        <w:t xml:space="preserve">, M. (2019) ‘Feminist Perspectives on Sex and Gender’, </w:t>
      </w:r>
      <w:r w:rsidRPr="00CB12E7">
        <w:rPr>
          <w:rFonts w:ascii="Times New Roman" w:hAnsi="Times New Roman" w:cs="Times New Roman"/>
          <w:i/>
          <w:iCs/>
          <w:sz w:val="24"/>
          <w:szCs w:val="24"/>
        </w:rPr>
        <w:t>The Stanford Encyclopedia of Philosophy</w:t>
      </w:r>
      <w:r w:rsidRPr="005C5A26">
        <w:rPr>
          <w:rFonts w:ascii="Times New Roman" w:hAnsi="Times New Roman" w:cs="Times New Roman"/>
          <w:sz w:val="24"/>
          <w:szCs w:val="24"/>
        </w:rPr>
        <w:t xml:space="preserve"> (Fall 2019 Edition), Edward N. </w:t>
      </w:r>
      <w:proofErr w:type="spellStart"/>
      <w:r w:rsidRPr="005C5A26">
        <w:rPr>
          <w:rFonts w:ascii="Times New Roman" w:hAnsi="Times New Roman" w:cs="Times New Roman"/>
          <w:sz w:val="24"/>
          <w:szCs w:val="24"/>
        </w:rPr>
        <w:t>Zalta</w:t>
      </w:r>
      <w:proofErr w:type="spellEnd"/>
      <w:r w:rsidRPr="005C5A26">
        <w:rPr>
          <w:rFonts w:ascii="Times New Roman" w:hAnsi="Times New Roman" w:cs="Times New Roman"/>
          <w:sz w:val="24"/>
          <w:szCs w:val="24"/>
        </w:rPr>
        <w:t xml:space="preserve"> (ed.), URL = </w:t>
      </w:r>
      <w:hyperlink r:id="rId27" w:history="1">
        <w:r w:rsidRPr="005C5A26">
          <w:rPr>
            <w:rStyle w:val="Hyperlink0"/>
            <w:rFonts w:ascii="Times New Roman" w:hAnsi="Times New Roman" w:cs="Times New Roman"/>
            <w:sz w:val="24"/>
            <w:szCs w:val="24"/>
          </w:rPr>
          <w:t>https://plato.stanford.edu/archives/fall2019/entries/feminism-gender/</w:t>
        </w:r>
      </w:hyperlink>
      <w:r w:rsidRPr="005C5A26">
        <w:rPr>
          <w:rFonts w:ascii="Times New Roman" w:hAnsi="Times New Roman" w:cs="Times New Roman"/>
          <w:sz w:val="24"/>
          <w:szCs w:val="24"/>
        </w:rPr>
        <w:t xml:space="preserve"> (Accessed: 16 November 2019).</w:t>
      </w:r>
    </w:p>
    <w:p w14:paraId="65F88663" w14:textId="3BBEB235" w:rsidR="00C8007F" w:rsidRPr="005C5A26" w:rsidRDefault="00C8007F">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Moore, H. (2013) ‘Divided we Stand': Sex, Gender and Sexual Difference’, </w:t>
      </w:r>
      <w:r w:rsidRPr="005C5A26">
        <w:rPr>
          <w:rFonts w:ascii="Times New Roman" w:hAnsi="Times New Roman" w:cs="Times New Roman"/>
          <w:i/>
          <w:iCs/>
          <w:sz w:val="24"/>
          <w:szCs w:val="24"/>
        </w:rPr>
        <w:t>Feminist Review</w:t>
      </w:r>
      <w:r w:rsidRPr="005C5A26">
        <w:rPr>
          <w:rFonts w:ascii="Times New Roman" w:hAnsi="Times New Roman" w:cs="Times New Roman"/>
          <w:sz w:val="24"/>
          <w:szCs w:val="24"/>
        </w:rPr>
        <w:t>,</w:t>
      </w:r>
      <w:r w:rsidR="0069373C" w:rsidRPr="005C5A26">
        <w:rPr>
          <w:rFonts w:ascii="Times New Roman" w:hAnsi="Times New Roman" w:cs="Times New Roman"/>
          <w:sz w:val="24"/>
          <w:szCs w:val="24"/>
        </w:rPr>
        <w:t xml:space="preserve"> </w:t>
      </w:r>
      <w:r w:rsidRPr="005C5A26">
        <w:rPr>
          <w:rFonts w:ascii="Times New Roman" w:hAnsi="Times New Roman" w:cs="Times New Roman"/>
          <w:sz w:val="24"/>
          <w:szCs w:val="24"/>
        </w:rPr>
        <w:t>47, pp. 78-95</w:t>
      </w:r>
      <w:r w:rsidR="0069373C" w:rsidRPr="005C5A26">
        <w:rPr>
          <w:rFonts w:ascii="Times New Roman" w:hAnsi="Times New Roman" w:cs="Times New Roman"/>
          <w:sz w:val="24"/>
          <w:szCs w:val="24"/>
        </w:rPr>
        <w:t xml:space="preserve"> [</w:t>
      </w:r>
      <w:proofErr w:type="spellStart"/>
      <w:r w:rsidR="0069373C" w:rsidRPr="005C5A26">
        <w:rPr>
          <w:rFonts w:ascii="Times New Roman" w:hAnsi="Times New Roman" w:cs="Times New Roman"/>
          <w:sz w:val="24"/>
          <w:szCs w:val="24"/>
        </w:rPr>
        <w:t>jstor</w:t>
      </w:r>
      <w:proofErr w:type="spellEnd"/>
      <w:r w:rsidR="0069373C" w:rsidRPr="005C5A26">
        <w:rPr>
          <w:rFonts w:ascii="Times New Roman" w:hAnsi="Times New Roman" w:cs="Times New Roman"/>
          <w:sz w:val="24"/>
          <w:szCs w:val="24"/>
        </w:rPr>
        <w:t xml:space="preserve">]. Available at: </w:t>
      </w:r>
      <w:hyperlink r:id="rId28" w:history="1">
        <w:r w:rsidR="0069373C" w:rsidRPr="005C5A26">
          <w:rPr>
            <w:rStyle w:val="Hyperlink"/>
            <w:rFonts w:ascii="Times New Roman" w:hAnsi="Times New Roman" w:cs="Times New Roman"/>
            <w:sz w:val="24"/>
            <w:szCs w:val="24"/>
          </w:rPr>
          <w:t>http://www.jstor.org/stable/1395255</w:t>
        </w:r>
      </w:hyperlink>
      <w:r w:rsidR="0069373C" w:rsidRPr="005C5A26">
        <w:rPr>
          <w:rFonts w:ascii="Times New Roman" w:hAnsi="Times New Roman" w:cs="Times New Roman"/>
          <w:sz w:val="24"/>
          <w:szCs w:val="24"/>
        </w:rPr>
        <w:t xml:space="preserve"> (Accessed 11 February 2020).</w:t>
      </w:r>
    </w:p>
    <w:p w14:paraId="0991184B" w14:textId="79FA6E3F"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Mosher, D. L. and Tomkins, S. S. (1988) </w:t>
      </w:r>
      <w:r w:rsidR="004052F6">
        <w:rPr>
          <w:rFonts w:ascii="Times New Roman" w:hAnsi="Times New Roman" w:cs="Times New Roman"/>
          <w:sz w:val="24"/>
          <w:szCs w:val="24"/>
        </w:rPr>
        <w:t>‘</w:t>
      </w:r>
      <w:r w:rsidRPr="005C5A26">
        <w:rPr>
          <w:rFonts w:ascii="Times New Roman" w:hAnsi="Times New Roman" w:cs="Times New Roman"/>
          <w:sz w:val="24"/>
          <w:szCs w:val="24"/>
        </w:rPr>
        <w:t>Scripting the Macho Man: Hypermasculine socialisation and Enculturation</w:t>
      </w:r>
      <w:r w:rsidR="004052F6">
        <w:rPr>
          <w:rFonts w:ascii="Times New Roman" w:hAnsi="Times New Roman" w:cs="Times New Roman"/>
          <w:sz w:val="24"/>
          <w:szCs w:val="24"/>
        </w:rPr>
        <w:t>’</w:t>
      </w:r>
      <w:r w:rsidRPr="005C5A26">
        <w:rPr>
          <w:rFonts w:ascii="Times New Roman" w:hAnsi="Times New Roman" w:cs="Times New Roman"/>
          <w:sz w:val="24"/>
          <w:szCs w:val="24"/>
        </w:rPr>
        <w:t xml:space="preserve">, </w:t>
      </w:r>
      <w:r w:rsidRPr="005C5A26">
        <w:rPr>
          <w:rFonts w:ascii="Times New Roman" w:hAnsi="Times New Roman" w:cs="Times New Roman"/>
          <w:i/>
          <w:iCs/>
          <w:sz w:val="24"/>
          <w:szCs w:val="24"/>
        </w:rPr>
        <w:t>The Journal of Sex Research</w:t>
      </w:r>
      <w:r w:rsidRPr="005C5A26">
        <w:rPr>
          <w:rFonts w:ascii="Times New Roman" w:hAnsi="Times New Roman" w:cs="Times New Roman"/>
          <w:sz w:val="24"/>
          <w:szCs w:val="24"/>
        </w:rPr>
        <w:t xml:space="preserve">, 25(1), pp. 60-84.  Available at: </w:t>
      </w:r>
      <w:hyperlink r:id="rId29" w:history="1">
        <w:r w:rsidRPr="005C5A26">
          <w:rPr>
            <w:rStyle w:val="Hyperlink0"/>
            <w:rFonts w:ascii="Times New Roman" w:hAnsi="Times New Roman" w:cs="Times New Roman"/>
            <w:sz w:val="24"/>
            <w:szCs w:val="24"/>
          </w:rPr>
          <w:t>http://beyondutopia.net/leadership-lectures/tomkins-1.pdf</w:t>
        </w:r>
      </w:hyperlink>
      <w:r w:rsidRPr="005C5A26">
        <w:rPr>
          <w:rFonts w:ascii="Times New Roman" w:hAnsi="Times New Roman" w:cs="Times New Roman"/>
          <w:sz w:val="24"/>
          <w:szCs w:val="24"/>
        </w:rPr>
        <w:t xml:space="preserve"> (Accessed: 03 February 2020).</w:t>
      </w:r>
    </w:p>
    <w:p w14:paraId="1E5DA6DA" w14:textId="7777777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O'shaugnessy</w:t>
      </w:r>
      <w:proofErr w:type="spellEnd"/>
      <w:r w:rsidRPr="005C5A26">
        <w:rPr>
          <w:rFonts w:ascii="Times New Roman" w:hAnsi="Times New Roman" w:cs="Times New Roman"/>
          <w:sz w:val="24"/>
          <w:szCs w:val="24"/>
        </w:rPr>
        <w:t xml:space="preserve">, M., and </w:t>
      </w:r>
      <w:proofErr w:type="spellStart"/>
      <w:r w:rsidRPr="005C5A26">
        <w:rPr>
          <w:rFonts w:ascii="Times New Roman" w:hAnsi="Times New Roman" w:cs="Times New Roman"/>
          <w:sz w:val="24"/>
          <w:szCs w:val="24"/>
        </w:rPr>
        <w:t>Stader</w:t>
      </w:r>
      <w:proofErr w:type="spellEnd"/>
      <w:r w:rsidRPr="005C5A26">
        <w:rPr>
          <w:rFonts w:ascii="Times New Roman" w:hAnsi="Times New Roman" w:cs="Times New Roman"/>
          <w:sz w:val="24"/>
          <w:szCs w:val="24"/>
        </w:rPr>
        <w:t xml:space="preserve">, J. (2005) </w:t>
      </w:r>
      <w:r w:rsidRPr="005C5A26">
        <w:rPr>
          <w:rFonts w:ascii="Times New Roman" w:hAnsi="Times New Roman" w:cs="Times New Roman"/>
          <w:i/>
          <w:iCs/>
          <w:sz w:val="24"/>
          <w:szCs w:val="24"/>
        </w:rPr>
        <w:t>Media and Society: An Introduction</w:t>
      </w:r>
      <w:r w:rsidRPr="005C5A26">
        <w:rPr>
          <w:rFonts w:ascii="Times New Roman" w:hAnsi="Times New Roman" w:cs="Times New Roman"/>
          <w:sz w:val="24"/>
          <w:szCs w:val="24"/>
        </w:rPr>
        <w:t xml:space="preserve"> (3rd. Ed). Oxford University Press.</w:t>
      </w:r>
    </w:p>
    <w:p w14:paraId="09D6B61E"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Patterson, M., and Elliott, R. (2002) ‘Negotiating Masculinities: Advertising and the Inversion of the Male </w:t>
      </w:r>
      <w:r w:rsidRPr="005C5A26">
        <w:rPr>
          <w:rFonts w:ascii="Times New Roman" w:hAnsi="Times New Roman" w:cs="Times New Roman"/>
          <w:i/>
          <w:iCs/>
          <w:sz w:val="24"/>
          <w:szCs w:val="24"/>
        </w:rPr>
        <w:t>Gaze’</w:t>
      </w:r>
      <w:r w:rsidRPr="005C5A26">
        <w:rPr>
          <w:rFonts w:ascii="Times New Roman" w:hAnsi="Times New Roman" w:cs="Times New Roman"/>
          <w:sz w:val="24"/>
          <w:szCs w:val="24"/>
        </w:rPr>
        <w:t xml:space="preserve">, </w:t>
      </w:r>
      <w:r w:rsidRPr="005C5A26">
        <w:rPr>
          <w:rFonts w:ascii="Times New Roman" w:hAnsi="Times New Roman" w:cs="Times New Roman"/>
          <w:i/>
          <w:iCs/>
          <w:sz w:val="24"/>
          <w:szCs w:val="24"/>
        </w:rPr>
        <w:t>Consumption, Markets and Culture</w:t>
      </w:r>
      <w:r w:rsidRPr="005C5A26">
        <w:rPr>
          <w:rFonts w:ascii="Times New Roman" w:hAnsi="Times New Roman" w:cs="Times New Roman"/>
          <w:sz w:val="24"/>
          <w:szCs w:val="24"/>
        </w:rPr>
        <w:t xml:space="preserve">, 5(3), pp. 231-249. [google scholar]. Available at: </w:t>
      </w:r>
      <w:hyperlink r:id="rId30" w:history="1">
        <w:r w:rsidRPr="005C5A26">
          <w:rPr>
            <w:rStyle w:val="Hyperlink0"/>
            <w:rFonts w:ascii="Times New Roman" w:hAnsi="Times New Roman" w:cs="Times New Roman"/>
            <w:sz w:val="24"/>
            <w:szCs w:val="24"/>
          </w:rPr>
          <w:t>https://scholar.google.co.uk/scholar?cluster=17149651993763682065&amp;hl=en&amp;as_sdt=0,5</w:t>
        </w:r>
      </w:hyperlink>
      <w:r w:rsidRPr="005C5A26">
        <w:rPr>
          <w:rFonts w:ascii="Times New Roman" w:hAnsi="Times New Roman" w:cs="Times New Roman"/>
          <w:sz w:val="24"/>
          <w:szCs w:val="24"/>
        </w:rPr>
        <w:t xml:space="preserve"> (Accessed: 30 January 2020).</w:t>
      </w:r>
    </w:p>
    <w:p w14:paraId="0D1543D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pt-PT"/>
        </w:rPr>
        <w:t xml:space="preserve">Papadopoulos, L. (2010) </w:t>
      </w:r>
      <w:proofErr w:type="spellStart"/>
      <w:r w:rsidRPr="005C5A26">
        <w:rPr>
          <w:rFonts w:ascii="Times New Roman" w:hAnsi="Times New Roman" w:cs="Times New Roman"/>
          <w:i/>
          <w:iCs/>
          <w:sz w:val="24"/>
          <w:szCs w:val="24"/>
        </w:rPr>
        <w:t>Sexualisation</w:t>
      </w:r>
      <w:proofErr w:type="spellEnd"/>
      <w:r w:rsidRPr="005C5A26">
        <w:rPr>
          <w:rFonts w:ascii="Times New Roman" w:hAnsi="Times New Roman" w:cs="Times New Roman"/>
          <w:i/>
          <w:iCs/>
          <w:sz w:val="24"/>
          <w:szCs w:val="24"/>
        </w:rPr>
        <w:t xml:space="preserve"> of Young People Review: Review</w:t>
      </w:r>
      <w:r w:rsidRPr="005C5A26">
        <w:rPr>
          <w:rFonts w:ascii="Times New Roman" w:hAnsi="Times New Roman" w:cs="Times New Roman"/>
          <w:sz w:val="24"/>
          <w:szCs w:val="24"/>
        </w:rPr>
        <w:t xml:space="preserve"> [google scholar]. Available at: </w:t>
      </w:r>
      <w:hyperlink r:id="rId31" w:history="1">
        <w:r w:rsidRPr="005C5A26">
          <w:rPr>
            <w:rStyle w:val="Hyperlink0"/>
            <w:rFonts w:ascii="Times New Roman" w:hAnsi="Times New Roman" w:cs="Times New Roman"/>
            <w:sz w:val="24"/>
            <w:szCs w:val="24"/>
          </w:rPr>
          <w:t>https://scholar.google.co.uk/scholar?cluster=4686484028901259957&amp;hl=en&amp;as_sdt=0,5</w:t>
        </w:r>
      </w:hyperlink>
      <w:r w:rsidRPr="005C5A26">
        <w:rPr>
          <w:rFonts w:ascii="Times New Roman" w:hAnsi="Times New Roman" w:cs="Times New Roman"/>
          <w:sz w:val="24"/>
          <w:szCs w:val="24"/>
        </w:rPr>
        <w:t xml:space="preserve"> (Accessed: 05 February 2020).</w:t>
      </w:r>
    </w:p>
    <w:p w14:paraId="03D93A26"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Oakley, A. (1972) </w:t>
      </w:r>
      <w:r w:rsidRPr="005C5A26">
        <w:rPr>
          <w:rFonts w:ascii="Times New Roman" w:hAnsi="Times New Roman" w:cs="Times New Roman"/>
          <w:i/>
          <w:iCs/>
          <w:sz w:val="24"/>
          <w:szCs w:val="24"/>
        </w:rPr>
        <w:t>Sex, Gender and Society</w:t>
      </w:r>
      <w:r w:rsidRPr="005C5A26">
        <w:rPr>
          <w:rFonts w:ascii="Times New Roman" w:hAnsi="Times New Roman" w:cs="Times New Roman"/>
          <w:sz w:val="24"/>
          <w:szCs w:val="24"/>
        </w:rPr>
        <w:t>. London: Temple Smith.</w:t>
      </w:r>
    </w:p>
    <w:p w14:paraId="3F987482"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Office for National Statistics (2018) </w:t>
      </w:r>
      <w:r w:rsidRPr="005C5A26">
        <w:rPr>
          <w:rFonts w:ascii="Times New Roman" w:hAnsi="Times New Roman" w:cs="Times New Roman"/>
          <w:i/>
          <w:iCs/>
          <w:sz w:val="24"/>
          <w:szCs w:val="24"/>
        </w:rPr>
        <w:t>Domestic Abuse: Findings from the Crime Survey for England and Wales: Year Ending March 2018</w:t>
      </w:r>
      <w:r w:rsidRPr="005C5A26">
        <w:rPr>
          <w:rFonts w:ascii="Times New Roman" w:hAnsi="Times New Roman" w:cs="Times New Roman"/>
          <w:sz w:val="24"/>
          <w:szCs w:val="24"/>
        </w:rPr>
        <w:t xml:space="preserve">. Available at. </w:t>
      </w:r>
      <w:hyperlink r:id="rId32" w:history="1">
        <w:r w:rsidRPr="005C5A26">
          <w:rPr>
            <w:rStyle w:val="Hyperlink0"/>
            <w:rFonts w:ascii="Times New Roman" w:hAnsi="Times New Roman" w:cs="Times New Roman"/>
            <w:sz w:val="24"/>
            <w:szCs w:val="24"/>
          </w:rPr>
          <w:t>https://www.ons.gov.uk/peoplepopulationandcommunity/crimeandjustice/articles/domesticabusefindingsfromthecrimesurveyforenglandandwales/yearendingmarch2018</w:t>
        </w:r>
      </w:hyperlink>
      <w:r w:rsidRPr="005C5A26">
        <w:rPr>
          <w:rFonts w:ascii="Times New Roman" w:hAnsi="Times New Roman" w:cs="Times New Roman"/>
          <w:sz w:val="24"/>
          <w:szCs w:val="24"/>
        </w:rPr>
        <w:t xml:space="preserve">  (Accessed on 10th February 2020).</w:t>
      </w:r>
    </w:p>
    <w:p w14:paraId="56BA7B9D"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Office for National Statistics (2019) </w:t>
      </w:r>
      <w:r w:rsidRPr="005C5A26">
        <w:rPr>
          <w:rFonts w:ascii="Times New Roman" w:hAnsi="Times New Roman" w:cs="Times New Roman"/>
          <w:i/>
          <w:iCs/>
          <w:sz w:val="24"/>
          <w:szCs w:val="24"/>
        </w:rPr>
        <w:t>Child sexual abuse in England and Wales: year ending March 2019</w:t>
      </w:r>
      <w:r w:rsidRPr="005C5A26">
        <w:rPr>
          <w:rFonts w:ascii="Times New Roman" w:hAnsi="Times New Roman" w:cs="Times New Roman"/>
          <w:sz w:val="24"/>
          <w:szCs w:val="24"/>
        </w:rPr>
        <w:t xml:space="preserve">. Available at: </w:t>
      </w:r>
      <w:hyperlink r:id="rId33" w:history="1">
        <w:r w:rsidRPr="005C5A26">
          <w:rPr>
            <w:rStyle w:val="Hyperlink0"/>
            <w:rFonts w:ascii="Times New Roman" w:hAnsi="Times New Roman" w:cs="Times New Roman"/>
            <w:sz w:val="24"/>
            <w:szCs w:val="24"/>
          </w:rPr>
          <w:t>https://www.ons.gov.uk/peoplepopulationandcommunity/crimeandjustice/articles/childsexualabuseinenglandandwales/yearendingmarch2019</w:t>
        </w:r>
      </w:hyperlink>
      <w:r w:rsidRPr="005C5A26">
        <w:rPr>
          <w:rFonts w:ascii="Times New Roman" w:hAnsi="Times New Roman" w:cs="Times New Roman"/>
          <w:sz w:val="24"/>
          <w:szCs w:val="24"/>
        </w:rPr>
        <w:t xml:space="preserve"> (Accessed:10 February 2020).</w:t>
      </w:r>
    </w:p>
    <w:p w14:paraId="4B250E73"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Pyke, K.D. (1996) ‘Class-based masculinities. The interdependence of gender, class, and interpersonal power’, </w:t>
      </w:r>
      <w:r w:rsidRPr="005C5A26">
        <w:rPr>
          <w:rFonts w:ascii="Times New Roman" w:hAnsi="Times New Roman" w:cs="Times New Roman"/>
          <w:i/>
          <w:iCs/>
          <w:sz w:val="24"/>
          <w:szCs w:val="24"/>
        </w:rPr>
        <w:t>Gender and Society</w:t>
      </w:r>
      <w:r w:rsidRPr="005C5A26">
        <w:rPr>
          <w:rFonts w:ascii="Times New Roman" w:hAnsi="Times New Roman" w:cs="Times New Roman"/>
          <w:sz w:val="24"/>
          <w:szCs w:val="24"/>
        </w:rPr>
        <w:t>, 10, pp. 527-549.</w:t>
      </w:r>
    </w:p>
    <w:p w14:paraId="67A83880" w14:textId="4AE46AD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Rouner</w:t>
      </w:r>
      <w:proofErr w:type="spellEnd"/>
      <w:r w:rsidRPr="005C5A26">
        <w:rPr>
          <w:rFonts w:ascii="Times New Roman" w:hAnsi="Times New Roman" w:cs="Times New Roman"/>
          <w:sz w:val="24"/>
          <w:szCs w:val="24"/>
        </w:rPr>
        <w:t xml:space="preserve">, D., Slater, M. D., and Domenech-Rodriguez, M. (2003) </w:t>
      </w:r>
      <w:r w:rsidR="00186A55" w:rsidRPr="005C5A26">
        <w:rPr>
          <w:rFonts w:ascii="Times New Roman" w:hAnsi="Times New Roman" w:cs="Times New Roman"/>
          <w:sz w:val="24"/>
          <w:szCs w:val="24"/>
        </w:rPr>
        <w:t>‘</w:t>
      </w:r>
      <w:r w:rsidRPr="005C5A26">
        <w:rPr>
          <w:rFonts w:ascii="Times New Roman" w:hAnsi="Times New Roman" w:cs="Times New Roman"/>
          <w:sz w:val="24"/>
          <w:szCs w:val="24"/>
        </w:rPr>
        <w:t>Adolescent evaluation of gender role and sexual imagery in television advertisements</w:t>
      </w:r>
      <w:r w:rsidR="00186A55" w:rsidRPr="005C5A26">
        <w:rPr>
          <w:rFonts w:ascii="Times New Roman" w:hAnsi="Times New Roman" w:cs="Times New Roman"/>
          <w:sz w:val="24"/>
          <w:szCs w:val="24"/>
        </w:rPr>
        <w:t>’</w:t>
      </w:r>
      <w:r w:rsidRPr="005C5A26">
        <w:rPr>
          <w:rFonts w:ascii="Times New Roman" w:hAnsi="Times New Roman" w:cs="Times New Roman"/>
          <w:sz w:val="24"/>
          <w:szCs w:val="24"/>
        </w:rPr>
        <w:t xml:space="preserve">, </w:t>
      </w:r>
      <w:r w:rsidRPr="005C5A26">
        <w:rPr>
          <w:rFonts w:ascii="Times New Roman" w:hAnsi="Times New Roman" w:cs="Times New Roman"/>
          <w:i/>
          <w:iCs/>
          <w:sz w:val="24"/>
          <w:szCs w:val="24"/>
        </w:rPr>
        <w:t>Journal of Broadcasting &amp; Electronic Media</w:t>
      </w:r>
      <w:r w:rsidRPr="005C5A26">
        <w:rPr>
          <w:rFonts w:ascii="Times New Roman" w:hAnsi="Times New Roman" w:cs="Times New Roman"/>
          <w:sz w:val="24"/>
          <w:szCs w:val="24"/>
        </w:rPr>
        <w:t>, 47, pp, 435–454.</w:t>
      </w:r>
    </w:p>
    <w:p w14:paraId="3B8C87D4"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Russell S. T., and Joyner K. (2001), ‘Adolescent sexual orientation and suicide risk: evidence from a national study’, </w:t>
      </w:r>
      <w:r w:rsidRPr="005C5A26">
        <w:rPr>
          <w:rFonts w:ascii="Times New Roman" w:hAnsi="Times New Roman" w:cs="Times New Roman"/>
          <w:i/>
          <w:iCs/>
          <w:sz w:val="24"/>
          <w:szCs w:val="24"/>
        </w:rPr>
        <w:t>American Journal of Public Health</w:t>
      </w:r>
      <w:r w:rsidRPr="005C5A26">
        <w:rPr>
          <w:rFonts w:ascii="Times New Roman" w:hAnsi="Times New Roman" w:cs="Times New Roman"/>
          <w:sz w:val="24"/>
          <w:szCs w:val="24"/>
        </w:rPr>
        <w:t>, 91(8), pp. 1276–</w:t>
      </w:r>
      <w:r w:rsidRPr="005C5A26">
        <w:rPr>
          <w:rFonts w:ascii="Times New Roman" w:hAnsi="Times New Roman" w:cs="Times New Roman"/>
          <w:sz w:val="24"/>
          <w:szCs w:val="24"/>
          <w:lang w:val="pt-PT"/>
        </w:rPr>
        <w:t>1281. [PubMed: 11499118].</w:t>
      </w:r>
    </w:p>
    <w:p w14:paraId="19439720" w14:textId="77777777"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Shaikh, M., </w:t>
      </w:r>
      <w:proofErr w:type="spellStart"/>
      <w:r w:rsidRPr="005C5A26">
        <w:rPr>
          <w:rFonts w:ascii="Times New Roman" w:hAnsi="Times New Roman" w:cs="Times New Roman"/>
          <w:sz w:val="24"/>
          <w:szCs w:val="24"/>
        </w:rPr>
        <w:t>Bughio</w:t>
      </w:r>
      <w:proofErr w:type="spellEnd"/>
      <w:r w:rsidRPr="005C5A26">
        <w:rPr>
          <w:rFonts w:ascii="Times New Roman" w:hAnsi="Times New Roman" w:cs="Times New Roman"/>
          <w:sz w:val="24"/>
          <w:szCs w:val="24"/>
        </w:rPr>
        <w:t xml:space="preserve">, F. A., and Kadri, S. A. (2015) ‘The representation of men and women in advertisements: A critical discourse analysis’, </w:t>
      </w:r>
      <w:r w:rsidRPr="005C5A26">
        <w:rPr>
          <w:rFonts w:ascii="Times New Roman" w:hAnsi="Times New Roman" w:cs="Times New Roman"/>
          <w:i/>
          <w:iCs/>
          <w:sz w:val="24"/>
          <w:szCs w:val="24"/>
        </w:rPr>
        <w:t>The Women-Annual Research Journal</w:t>
      </w:r>
      <w:r w:rsidRPr="005C5A26">
        <w:rPr>
          <w:rFonts w:ascii="Times New Roman" w:hAnsi="Times New Roman" w:cs="Times New Roman"/>
          <w:sz w:val="24"/>
          <w:szCs w:val="24"/>
        </w:rPr>
        <w:t xml:space="preserve">, 7, pp. 108-141. [google scholar]. Available at: </w:t>
      </w:r>
    </w:p>
    <w:p w14:paraId="51096890" w14:textId="77777777" w:rsidR="004B57A0" w:rsidRPr="005C5A26" w:rsidRDefault="00645296">
      <w:pPr>
        <w:pStyle w:val="Body"/>
        <w:spacing w:after="0" w:line="240" w:lineRule="auto"/>
        <w:jc w:val="both"/>
        <w:rPr>
          <w:rFonts w:ascii="Times New Roman" w:hAnsi="Times New Roman" w:cs="Times New Roman"/>
          <w:sz w:val="24"/>
          <w:szCs w:val="24"/>
        </w:rPr>
      </w:pPr>
      <w:hyperlink r:id="rId34" w:history="1">
        <w:r w:rsidR="009C15E1" w:rsidRPr="005C5A26">
          <w:rPr>
            <w:rStyle w:val="Hyperlink0"/>
            <w:rFonts w:ascii="Times New Roman" w:hAnsi="Times New Roman" w:cs="Times New Roman"/>
            <w:sz w:val="24"/>
            <w:szCs w:val="24"/>
          </w:rPr>
          <w:t>https://scholar.google.co.uk/scholar?cluster=5143086137243766872&amp;hl=en&amp;as_sdt=0,5</w:t>
        </w:r>
      </w:hyperlink>
      <w:r w:rsidR="009C15E1" w:rsidRPr="005C5A26">
        <w:rPr>
          <w:rFonts w:ascii="Times New Roman" w:hAnsi="Times New Roman" w:cs="Times New Roman"/>
          <w:sz w:val="24"/>
          <w:szCs w:val="24"/>
        </w:rPr>
        <w:t xml:space="preserve"> (</w:t>
      </w:r>
      <w:proofErr w:type="spellStart"/>
      <w:r w:rsidR="009C15E1" w:rsidRPr="005C5A26">
        <w:rPr>
          <w:rFonts w:ascii="Times New Roman" w:hAnsi="Times New Roman" w:cs="Times New Roman"/>
          <w:sz w:val="24"/>
          <w:szCs w:val="24"/>
        </w:rPr>
        <w:t>Accesssed</w:t>
      </w:r>
      <w:proofErr w:type="spellEnd"/>
      <w:r w:rsidR="009C15E1" w:rsidRPr="005C5A26">
        <w:rPr>
          <w:rFonts w:ascii="Times New Roman" w:hAnsi="Times New Roman" w:cs="Times New Roman"/>
          <w:sz w:val="24"/>
          <w:szCs w:val="24"/>
        </w:rPr>
        <w:t xml:space="preserve">: 30 January 2020). </w:t>
      </w:r>
    </w:p>
    <w:p w14:paraId="70FD3028" w14:textId="77777777" w:rsidR="004B57A0" w:rsidRPr="005C5A26" w:rsidRDefault="004B57A0">
      <w:pPr>
        <w:pStyle w:val="Body"/>
        <w:spacing w:after="0" w:line="240" w:lineRule="auto"/>
        <w:jc w:val="both"/>
        <w:rPr>
          <w:rFonts w:ascii="Times New Roman" w:hAnsi="Times New Roman" w:cs="Times New Roman"/>
          <w:sz w:val="24"/>
          <w:szCs w:val="24"/>
        </w:rPr>
      </w:pPr>
    </w:p>
    <w:p w14:paraId="3C2D5230" w14:textId="77777777"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rPr>
        <w:lastRenderedPageBreak/>
        <w:t xml:space="preserve">Slater, D. (1997) </w:t>
      </w:r>
      <w:r w:rsidRPr="005C5A26">
        <w:rPr>
          <w:rFonts w:ascii="Times New Roman" w:hAnsi="Times New Roman" w:cs="Times New Roman"/>
          <w:i/>
          <w:iCs/>
          <w:sz w:val="24"/>
          <w:szCs w:val="24"/>
        </w:rPr>
        <w:t>Consumer Culture and Modernity</w:t>
      </w:r>
      <w:r w:rsidRPr="005C5A26">
        <w:rPr>
          <w:rFonts w:ascii="Times New Roman" w:hAnsi="Times New Roman" w:cs="Times New Roman"/>
          <w:sz w:val="24"/>
          <w:szCs w:val="24"/>
        </w:rPr>
        <w:t>. Cambridge: Polity Press.</w:t>
      </w:r>
    </w:p>
    <w:p w14:paraId="31B6C565" w14:textId="77777777" w:rsidR="004B57A0" w:rsidRPr="005C5A26" w:rsidRDefault="004B57A0">
      <w:pPr>
        <w:pStyle w:val="Body"/>
        <w:spacing w:after="0" w:line="240" w:lineRule="auto"/>
        <w:jc w:val="both"/>
        <w:rPr>
          <w:rFonts w:ascii="Times New Roman" w:hAnsi="Times New Roman" w:cs="Times New Roman"/>
          <w:sz w:val="24"/>
          <w:szCs w:val="24"/>
        </w:rPr>
      </w:pPr>
    </w:p>
    <w:p w14:paraId="4BBF71E2" w14:textId="79046872"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lang w:val="de-DE"/>
        </w:rPr>
        <w:t xml:space="preserve">Smith, S. L., Wilson, B. J., Kunkel, D., Linz, D., Potter, W. J., Colvin, C. M., and Donnerstein, E. (1998) </w:t>
      </w:r>
      <w:r w:rsidRPr="005C5A26">
        <w:rPr>
          <w:rFonts w:ascii="Times New Roman" w:hAnsi="Times New Roman" w:cs="Times New Roman"/>
          <w:sz w:val="24"/>
          <w:szCs w:val="24"/>
        </w:rPr>
        <w:t>‘Violence in television programming overall’: University of California Santa Barbara study (</w:t>
      </w:r>
      <w:r w:rsidRPr="005C5A26">
        <w:rPr>
          <w:rFonts w:ascii="Times New Roman" w:hAnsi="Times New Roman" w:cs="Times New Roman"/>
          <w:i/>
          <w:iCs/>
          <w:sz w:val="24"/>
          <w:szCs w:val="24"/>
        </w:rPr>
        <w:t>National Television Violence Study</w:t>
      </w:r>
      <w:r w:rsidRPr="005C5A26">
        <w:rPr>
          <w:rFonts w:ascii="Times New Roman" w:hAnsi="Times New Roman" w:cs="Times New Roman"/>
          <w:sz w:val="24"/>
          <w:szCs w:val="24"/>
        </w:rPr>
        <w:t xml:space="preserve">, </w:t>
      </w:r>
      <w:r w:rsidRPr="00161D32">
        <w:rPr>
          <w:rFonts w:ascii="Times New Roman" w:hAnsi="Times New Roman" w:cs="Times New Roman"/>
          <w:i/>
          <w:iCs/>
          <w:sz w:val="24"/>
          <w:szCs w:val="24"/>
        </w:rPr>
        <w:t>3</w:t>
      </w:r>
      <w:r w:rsidRPr="005C5A26">
        <w:rPr>
          <w:rFonts w:ascii="Times New Roman" w:hAnsi="Times New Roman" w:cs="Times New Roman"/>
          <w:sz w:val="24"/>
          <w:szCs w:val="24"/>
        </w:rPr>
        <w:t>). Newbury Park, CA: SAGE.</w:t>
      </w:r>
    </w:p>
    <w:p w14:paraId="0A80BBCE" w14:textId="77777777" w:rsidR="004B57A0" w:rsidRPr="005C5A26" w:rsidRDefault="004B57A0">
      <w:pPr>
        <w:pStyle w:val="Body"/>
        <w:spacing w:after="0" w:line="240" w:lineRule="auto"/>
        <w:jc w:val="both"/>
        <w:rPr>
          <w:rFonts w:ascii="Times New Roman" w:hAnsi="Times New Roman" w:cs="Times New Roman"/>
          <w:sz w:val="24"/>
          <w:szCs w:val="24"/>
        </w:rPr>
      </w:pPr>
    </w:p>
    <w:p w14:paraId="07B17301" w14:textId="77777777"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lang w:val="de-DE"/>
        </w:rPr>
        <w:t xml:space="preserve">Thompson, C. J. and Hirschman, E. (1995) </w:t>
      </w:r>
      <w:r w:rsidRPr="005C5A26">
        <w:rPr>
          <w:rFonts w:ascii="Times New Roman" w:hAnsi="Times New Roman" w:cs="Times New Roman"/>
          <w:sz w:val="24"/>
          <w:szCs w:val="24"/>
        </w:rPr>
        <w:t xml:space="preserve">‘Understanding the Socialized Body: A Poststructuralist Analysis of Consumers’ Self-Conceptions, Body Images and Self-Care Practices,’ </w:t>
      </w:r>
      <w:r w:rsidRPr="005C5A26">
        <w:rPr>
          <w:rFonts w:ascii="Times New Roman" w:hAnsi="Times New Roman" w:cs="Times New Roman"/>
          <w:i/>
          <w:iCs/>
          <w:sz w:val="24"/>
          <w:szCs w:val="24"/>
        </w:rPr>
        <w:t>Journal of Consumer Research</w:t>
      </w:r>
      <w:r w:rsidRPr="005C5A26">
        <w:rPr>
          <w:rFonts w:ascii="Times New Roman" w:hAnsi="Times New Roman" w:cs="Times New Roman"/>
          <w:sz w:val="24"/>
          <w:szCs w:val="24"/>
        </w:rPr>
        <w:t>, 22, pp. 139-153.</w:t>
      </w:r>
    </w:p>
    <w:p w14:paraId="3D95A470" w14:textId="77777777" w:rsidR="004B57A0" w:rsidRPr="005C5A26" w:rsidRDefault="004B57A0">
      <w:pPr>
        <w:pStyle w:val="Body"/>
        <w:spacing w:after="0" w:line="240" w:lineRule="auto"/>
        <w:jc w:val="both"/>
        <w:rPr>
          <w:rFonts w:ascii="Times New Roman" w:hAnsi="Times New Roman" w:cs="Times New Roman"/>
          <w:sz w:val="24"/>
          <w:szCs w:val="24"/>
        </w:rPr>
      </w:pPr>
    </w:p>
    <w:p w14:paraId="30D22392" w14:textId="4CAD3994"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Ueno K. (2005) ‘Sexual orientation and psychological distress in adolescence: examining interpersonal stressors and social support processes’, </w:t>
      </w:r>
      <w:r w:rsidRPr="005C5A26">
        <w:rPr>
          <w:rFonts w:ascii="Times New Roman" w:hAnsi="Times New Roman" w:cs="Times New Roman"/>
          <w:i/>
          <w:iCs/>
          <w:sz w:val="24"/>
          <w:szCs w:val="24"/>
        </w:rPr>
        <w:t>Social Psychology Quarterly</w:t>
      </w:r>
      <w:r w:rsidRPr="005C5A26">
        <w:rPr>
          <w:rFonts w:ascii="Times New Roman" w:hAnsi="Times New Roman" w:cs="Times New Roman"/>
          <w:sz w:val="24"/>
          <w:szCs w:val="24"/>
        </w:rPr>
        <w:t>, 68, pp. 258–277.</w:t>
      </w:r>
    </w:p>
    <w:p w14:paraId="08AB6B70" w14:textId="77777777" w:rsidR="004B57A0" w:rsidRPr="005C5A26" w:rsidRDefault="004B57A0">
      <w:pPr>
        <w:pStyle w:val="Body"/>
        <w:spacing w:after="0" w:line="240" w:lineRule="auto"/>
        <w:jc w:val="both"/>
        <w:rPr>
          <w:rFonts w:ascii="Times New Roman" w:hAnsi="Times New Roman" w:cs="Times New Roman"/>
          <w:sz w:val="24"/>
          <w:szCs w:val="24"/>
        </w:rPr>
      </w:pPr>
    </w:p>
    <w:p w14:paraId="33456189" w14:textId="77777777" w:rsidR="004B57A0" w:rsidRPr="005C5A26" w:rsidRDefault="009C15E1">
      <w:pPr>
        <w:pStyle w:val="Body"/>
        <w:spacing w:after="0"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Ward, L. M., </w:t>
      </w:r>
      <w:proofErr w:type="spellStart"/>
      <w:r w:rsidRPr="005C5A26">
        <w:rPr>
          <w:rFonts w:ascii="Times New Roman" w:hAnsi="Times New Roman" w:cs="Times New Roman"/>
          <w:sz w:val="24"/>
          <w:szCs w:val="24"/>
        </w:rPr>
        <w:t>Merriwether</w:t>
      </w:r>
      <w:proofErr w:type="spellEnd"/>
      <w:r w:rsidRPr="005C5A26">
        <w:rPr>
          <w:rFonts w:ascii="Times New Roman" w:hAnsi="Times New Roman" w:cs="Times New Roman"/>
          <w:sz w:val="24"/>
          <w:szCs w:val="24"/>
        </w:rPr>
        <w:t>, A., and Caruthers, A. (2006) ‘Breasts Are for Men: Media, Masculinity Ideologies, and Men’s Beliefs About Women’</w:t>
      </w:r>
      <w:r w:rsidRPr="005C5A26">
        <w:rPr>
          <w:rFonts w:ascii="Times New Roman" w:hAnsi="Times New Roman" w:cs="Times New Roman"/>
          <w:sz w:val="24"/>
          <w:szCs w:val="24"/>
          <w:lang w:val="da-DK"/>
        </w:rPr>
        <w:t>s Bodies</w:t>
      </w:r>
      <w:r w:rsidRPr="005C5A26">
        <w:rPr>
          <w:rFonts w:ascii="Times New Roman" w:hAnsi="Times New Roman" w:cs="Times New Roman"/>
          <w:sz w:val="24"/>
          <w:szCs w:val="24"/>
        </w:rPr>
        <w:t xml:space="preserve">’, </w:t>
      </w:r>
      <w:proofErr w:type="spellStart"/>
      <w:r w:rsidRPr="005C5A26">
        <w:rPr>
          <w:rFonts w:ascii="Times New Roman" w:hAnsi="Times New Roman" w:cs="Times New Roman"/>
          <w:i/>
          <w:iCs/>
          <w:sz w:val="24"/>
          <w:szCs w:val="24"/>
          <w:lang w:val="fr-FR"/>
        </w:rPr>
        <w:t>Sex</w:t>
      </w:r>
      <w:proofErr w:type="spellEnd"/>
      <w:r w:rsidRPr="005C5A26">
        <w:rPr>
          <w:rFonts w:ascii="Times New Roman" w:hAnsi="Times New Roman" w:cs="Times New Roman"/>
          <w:i/>
          <w:iCs/>
          <w:sz w:val="24"/>
          <w:szCs w:val="24"/>
          <w:lang w:val="fr-FR"/>
        </w:rPr>
        <w:t xml:space="preserve"> </w:t>
      </w:r>
      <w:proofErr w:type="spellStart"/>
      <w:r w:rsidRPr="005C5A26">
        <w:rPr>
          <w:rFonts w:ascii="Times New Roman" w:hAnsi="Times New Roman" w:cs="Times New Roman"/>
          <w:i/>
          <w:iCs/>
          <w:sz w:val="24"/>
          <w:szCs w:val="24"/>
          <w:lang w:val="fr-FR"/>
        </w:rPr>
        <w:t>Roles</w:t>
      </w:r>
      <w:proofErr w:type="spellEnd"/>
      <w:r w:rsidRPr="005C5A26">
        <w:rPr>
          <w:rFonts w:ascii="Times New Roman" w:hAnsi="Times New Roman" w:cs="Times New Roman"/>
          <w:sz w:val="24"/>
          <w:szCs w:val="24"/>
        </w:rPr>
        <w:t xml:space="preserve">, 55, pp. 703–714 [google scholar]. Available at: </w:t>
      </w:r>
      <w:hyperlink r:id="rId35" w:history="1">
        <w:r w:rsidRPr="005C5A26">
          <w:rPr>
            <w:rStyle w:val="Hyperlink0"/>
            <w:rFonts w:ascii="Times New Roman" w:hAnsi="Times New Roman" w:cs="Times New Roman"/>
            <w:sz w:val="24"/>
            <w:szCs w:val="24"/>
          </w:rPr>
          <w:t>https://scholar.google.co.uk/scholar?cluster=10195652847955626312&amp;hl=en&amp;as_sdt=0,5</w:t>
        </w:r>
      </w:hyperlink>
      <w:r w:rsidRPr="005C5A26">
        <w:rPr>
          <w:rFonts w:ascii="Times New Roman" w:hAnsi="Times New Roman" w:cs="Times New Roman"/>
          <w:sz w:val="24"/>
          <w:szCs w:val="24"/>
        </w:rPr>
        <w:t xml:space="preserve"> (Accessed: 06 February 2020).</w:t>
      </w:r>
    </w:p>
    <w:p w14:paraId="07BB80F1" w14:textId="77777777" w:rsidR="004B57A0" w:rsidRPr="005C5A26" w:rsidRDefault="004B57A0">
      <w:pPr>
        <w:pStyle w:val="Body"/>
        <w:spacing w:after="0" w:line="240" w:lineRule="auto"/>
        <w:jc w:val="both"/>
        <w:rPr>
          <w:rFonts w:ascii="Times New Roman" w:hAnsi="Times New Roman" w:cs="Times New Roman"/>
          <w:sz w:val="24"/>
          <w:szCs w:val="24"/>
        </w:rPr>
      </w:pPr>
    </w:p>
    <w:p w14:paraId="3F4E4B8F"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West, C, and Zimmerman, D. (1987) ‘Doing Gender’, </w:t>
      </w:r>
      <w:r w:rsidRPr="005C5A26">
        <w:rPr>
          <w:rFonts w:ascii="Times New Roman" w:hAnsi="Times New Roman" w:cs="Times New Roman"/>
          <w:i/>
          <w:iCs/>
          <w:sz w:val="24"/>
          <w:szCs w:val="24"/>
        </w:rPr>
        <w:t>Gender and Society</w:t>
      </w:r>
      <w:r w:rsidRPr="005C5A26">
        <w:rPr>
          <w:rFonts w:ascii="Times New Roman" w:hAnsi="Times New Roman" w:cs="Times New Roman"/>
          <w:sz w:val="24"/>
          <w:szCs w:val="24"/>
        </w:rPr>
        <w:t xml:space="preserve"> 1(2), pp. 125-51 [</w:t>
      </w:r>
      <w:proofErr w:type="spellStart"/>
      <w:r w:rsidRPr="005C5A26">
        <w:rPr>
          <w:rFonts w:ascii="Times New Roman" w:hAnsi="Times New Roman" w:cs="Times New Roman"/>
          <w:sz w:val="24"/>
          <w:szCs w:val="24"/>
        </w:rPr>
        <w:t>jstor</w:t>
      </w:r>
      <w:proofErr w:type="spellEnd"/>
      <w:r w:rsidRPr="005C5A26">
        <w:rPr>
          <w:rFonts w:ascii="Times New Roman" w:hAnsi="Times New Roman" w:cs="Times New Roman"/>
          <w:sz w:val="24"/>
          <w:szCs w:val="24"/>
        </w:rPr>
        <w:t xml:space="preserve">]. Available at: </w:t>
      </w:r>
      <w:hyperlink r:id="rId36" w:history="1">
        <w:r w:rsidRPr="005C5A26">
          <w:rPr>
            <w:rStyle w:val="Hyperlink0"/>
            <w:rFonts w:ascii="Times New Roman" w:hAnsi="Times New Roman" w:cs="Times New Roman"/>
            <w:sz w:val="24"/>
            <w:szCs w:val="24"/>
          </w:rPr>
          <w:t>http://links.jstor.org/sici?sici=0891-2432%28198706%291%3A2%3C125%3ADG%3E2.0.CO%3B2-W</w:t>
        </w:r>
      </w:hyperlink>
      <w:r w:rsidRPr="005C5A26">
        <w:rPr>
          <w:rFonts w:ascii="Times New Roman" w:hAnsi="Times New Roman" w:cs="Times New Roman"/>
          <w:sz w:val="24"/>
          <w:szCs w:val="24"/>
        </w:rPr>
        <w:t xml:space="preserve"> (Accessed: 27 January 2020).</w:t>
      </w:r>
    </w:p>
    <w:p w14:paraId="39B574A8"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Whittier, N., Taylor, V., and Rupp, L. (2011) </w:t>
      </w:r>
      <w:proofErr w:type="spellStart"/>
      <w:r w:rsidRPr="005C5A26">
        <w:rPr>
          <w:rFonts w:ascii="Times New Roman" w:hAnsi="Times New Roman" w:cs="Times New Roman"/>
          <w:i/>
          <w:iCs/>
          <w:sz w:val="24"/>
          <w:szCs w:val="24"/>
          <w:lang w:val="fr-FR"/>
        </w:rPr>
        <w:t>Feminist</w:t>
      </w:r>
      <w:proofErr w:type="spellEnd"/>
      <w:r w:rsidRPr="005C5A26">
        <w:rPr>
          <w:rFonts w:ascii="Times New Roman" w:hAnsi="Times New Roman" w:cs="Times New Roman"/>
          <w:i/>
          <w:iCs/>
          <w:sz w:val="24"/>
          <w:szCs w:val="24"/>
          <w:lang w:val="fr-FR"/>
        </w:rPr>
        <w:t xml:space="preserve"> </w:t>
      </w:r>
      <w:proofErr w:type="spellStart"/>
      <w:r w:rsidRPr="005C5A26">
        <w:rPr>
          <w:rFonts w:ascii="Times New Roman" w:hAnsi="Times New Roman" w:cs="Times New Roman"/>
          <w:i/>
          <w:iCs/>
          <w:sz w:val="24"/>
          <w:szCs w:val="24"/>
          <w:lang w:val="fr-FR"/>
        </w:rPr>
        <w:t>Frontiers</w:t>
      </w:r>
      <w:proofErr w:type="spellEnd"/>
      <w:r w:rsidRPr="005C5A26">
        <w:rPr>
          <w:rFonts w:ascii="Times New Roman" w:hAnsi="Times New Roman" w:cs="Times New Roman"/>
          <w:sz w:val="24"/>
          <w:szCs w:val="24"/>
        </w:rPr>
        <w:t>. Ninth edition. McGraw-Hill Education.</w:t>
      </w:r>
    </w:p>
    <w:p w14:paraId="0149245B"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lang w:val="de-DE"/>
        </w:rPr>
        <w:t xml:space="preserve">Wilchins, R. A. (1997) </w:t>
      </w:r>
      <w:r w:rsidRPr="005C5A26">
        <w:rPr>
          <w:rFonts w:ascii="Times New Roman" w:hAnsi="Times New Roman" w:cs="Times New Roman"/>
          <w:i/>
          <w:iCs/>
          <w:sz w:val="24"/>
          <w:szCs w:val="24"/>
        </w:rPr>
        <w:t>Read My Lips: Sexual Subversion and the End of Gender</w:t>
      </w:r>
      <w:r w:rsidRPr="005C5A26">
        <w:rPr>
          <w:rFonts w:ascii="Times New Roman" w:hAnsi="Times New Roman" w:cs="Times New Roman"/>
          <w:sz w:val="24"/>
          <w:szCs w:val="24"/>
        </w:rPr>
        <w:t xml:space="preserve">. New York: Firebrand Books. </w:t>
      </w:r>
    </w:p>
    <w:p w14:paraId="6E0469EF" w14:textId="77777777" w:rsidR="004B57A0" w:rsidRPr="005C5A26" w:rsidRDefault="009C15E1">
      <w:pPr>
        <w:pStyle w:val="Body"/>
        <w:spacing w:line="240" w:lineRule="auto"/>
        <w:jc w:val="both"/>
        <w:rPr>
          <w:rFonts w:ascii="Times New Roman" w:hAnsi="Times New Roman" w:cs="Times New Roman"/>
          <w:sz w:val="24"/>
          <w:szCs w:val="24"/>
        </w:rPr>
      </w:pPr>
      <w:proofErr w:type="spellStart"/>
      <w:r w:rsidRPr="005C5A26">
        <w:rPr>
          <w:rFonts w:ascii="Times New Roman" w:hAnsi="Times New Roman" w:cs="Times New Roman"/>
          <w:sz w:val="24"/>
          <w:szCs w:val="24"/>
        </w:rPr>
        <w:t>Wilchins</w:t>
      </w:r>
      <w:proofErr w:type="spellEnd"/>
      <w:r w:rsidRPr="005C5A26">
        <w:rPr>
          <w:rFonts w:ascii="Times New Roman" w:hAnsi="Times New Roman" w:cs="Times New Roman"/>
          <w:sz w:val="24"/>
          <w:szCs w:val="24"/>
        </w:rPr>
        <w:t>, R. A. (2002) ‘</w:t>
      </w:r>
      <w:r w:rsidRPr="005C5A26">
        <w:rPr>
          <w:rFonts w:ascii="Times New Roman" w:hAnsi="Times New Roman" w:cs="Times New Roman"/>
          <w:sz w:val="24"/>
          <w:szCs w:val="24"/>
          <w:lang w:val="da-DK"/>
        </w:rPr>
        <w:t>Queerer Bodies.</w:t>
      </w:r>
      <w:r w:rsidRPr="005C5A26">
        <w:rPr>
          <w:rFonts w:ascii="Times New Roman" w:hAnsi="Times New Roman" w:cs="Times New Roman"/>
          <w:sz w:val="24"/>
          <w:szCs w:val="24"/>
        </w:rPr>
        <w:t xml:space="preserve">’ In J. Nestle, C. Howell, and R. A. </w:t>
      </w:r>
      <w:proofErr w:type="spellStart"/>
      <w:r w:rsidRPr="005C5A26">
        <w:rPr>
          <w:rFonts w:ascii="Times New Roman" w:hAnsi="Times New Roman" w:cs="Times New Roman"/>
          <w:sz w:val="24"/>
          <w:szCs w:val="24"/>
        </w:rPr>
        <w:t>Wilchins</w:t>
      </w:r>
      <w:proofErr w:type="spellEnd"/>
      <w:r w:rsidRPr="005C5A26">
        <w:rPr>
          <w:rFonts w:ascii="Times New Roman" w:hAnsi="Times New Roman" w:cs="Times New Roman"/>
          <w:sz w:val="24"/>
          <w:szCs w:val="24"/>
        </w:rPr>
        <w:t xml:space="preserve"> (eds.), </w:t>
      </w:r>
      <w:r w:rsidRPr="005C5A26">
        <w:rPr>
          <w:rFonts w:ascii="Times New Roman" w:hAnsi="Times New Roman" w:cs="Times New Roman"/>
          <w:i/>
          <w:iCs/>
          <w:sz w:val="24"/>
          <w:szCs w:val="24"/>
        </w:rPr>
        <w:t>Genderqueer: Voices from Beyond the Sexual Binary</w:t>
      </w:r>
      <w:r w:rsidRPr="005C5A26">
        <w:rPr>
          <w:rFonts w:ascii="Times New Roman" w:hAnsi="Times New Roman" w:cs="Times New Roman"/>
          <w:sz w:val="24"/>
          <w:szCs w:val="24"/>
          <w:lang w:val="es-ES_tradnl"/>
        </w:rPr>
        <w:t xml:space="preserve">. Los </w:t>
      </w:r>
      <w:proofErr w:type="spellStart"/>
      <w:r w:rsidRPr="005C5A26">
        <w:rPr>
          <w:rFonts w:ascii="Times New Roman" w:hAnsi="Times New Roman" w:cs="Times New Roman"/>
          <w:sz w:val="24"/>
          <w:szCs w:val="24"/>
          <w:lang w:val="es-ES_tradnl"/>
        </w:rPr>
        <w:t>Angeles</w:t>
      </w:r>
      <w:proofErr w:type="spellEnd"/>
      <w:r w:rsidRPr="005C5A26">
        <w:rPr>
          <w:rFonts w:ascii="Times New Roman" w:hAnsi="Times New Roman" w:cs="Times New Roman"/>
          <w:sz w:val="24"/>
          <w:szCs w:val="24"/>
          <w:lang w:val="es-ES_tradnl"/>
        </w:rPr>
        <w:t xml:space="preserve">: </w:t>
      </w:r>
      <w:proofErr w:type="spellStart"/>
      <w:r w:rsidRPr="005C5A26">
        <w:rPr>
          <w:rFonts w:ascii="Times New Roman" w:hAnsi="Times New Roman" w:cs="Times New Roman"/>
          <w:sz w:val="24"/>
          <w:szCs w:val="24"/>
          <w:lang w:val="es-ES_tradnl"/>
        </w:rPr>
        <w:t>Alyson</w:t>
      </w:r>
      <w:proofErr w:type="spellEnd"/>
      <w:r w:rsidRPr="005C5A26">
        <w:rPr>
          <w:rFonts w:ascii="Times New Roman" w:hAnsi="Times New Roman" w:cs="Times New Roman"/>
          <w:sz w:val="24"/>
          <w:szCs w:val="24"/>
          <w:lang w:val="es-ES_tradnl"/>
        </w:rPr>
        <w:t>.</w:t>
      </w:r>
    </w:p>
    <w:p w14:paraId="3A60DC7A"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 xml:space="preserve">Wilson, E.  O. (1978) </w:t>
      </w:r>
      <w:r w:rsidRPr="005C5A26">
        <w:rPr>
          <w:rFonts w:ascii="Times New Roman" w:hAnsi="Times New Roman" w:cs="Times New Roman"/>
          <w:i/>
          <w:iCs/>
          <w:sz w:val="24"/>
          <w:szCs w:val="24"/>
          <w:lang w:val="fr-FR"/>
        </w:rPr>
        <w:t>On Human Nature</w:t>
      </w:r>
      <w:r w:rsidRPr="005C5A26">
        <w:rPr>
          <w:rFonts w:ascii="Times New Roman" w:hAnsi="Times New Roman" w:cs="Times New Roman"/>
          <w:sz w:val="24"/>
          <w:szCs w:val="24"/>
        </w:rPr>
        <w:t>. Cambridge, Mass: Harvard University Press.</w:t>
      </w:r>
    </w:p>
    <w:p w14:paraId="30F713DB" w14:textId="77777777" w:rsidR="004B57A0" w:rsidRPr="005C5A26" w:rsidRDefault="009C15E1">
      <w:pPr>
        <w:pStyle w:val="Body"/>
        <w:spacing w:line="240" w:lineRule="auto"/>
        <w:jc w:val="both"/>
        <w:rPr>
          <w:rFonts w:ascii="Times New Roman" w:hAnsi="Times New Roman" w:cs="Times New Roman"/>
          <w:sz w:val="24"/>
          <w:szCs w:val="24"/>
        </w:rPr>
      </w:pPr>
      <w:r w:rsidRPr="005C5A26">
        <w:rPr>
          <w:rFonts w:ascii="Times New Roman" w:hAnsi="Times New Roman" w:cs="Times New Roman"/>
          <w:sz w:val="24"/>
          <w:szCs w:val="24"/>
        </w:rPr>
        <w:t>World Health Organisation (2020</w:t>
      </w:r>
      <w:r w:rsidRPr="005C5A26">
        <w:rPr>
          <w:rFonts w:ascii="Times New Roman" w:hAnsi="Times New Roman" w:cs="Times New Roman"/>
          <w:i/>
          <w:iCs/>
          <w:sz w:val="24"/>
          <w:szCs w:val="24"/>
        </w:rPr>
        <w:t>) Gender and human rights: sexual and reproductive health</w:t>
      </w:r>
      <w:r w:rsidRPr="005C5A26">
        <w:rPr>
          <w:rFonts w:ascii="Times New Roman" w:hAnsi="Times New Roman" w:cs="Times New Roman"/>
          <w:sz w:val="24"/>
          <w:szCs w:val="24"/>
        </w:rPr>
        <w:t xml:space="preserve">. Available at: </w:t>
      </w:r>
      <w:hyperlink r:id="rId37" w:history="1">
        <w:r w:rsidRPr="005C5A26">
          <w:rPr>
            <w:rStyle w:val="Hyperlink0"/>
            <w:rFonts w:ascii="Times New Roman" w:hAnsi="Times New Roman" w:cs="Times New Roman"/>
            <w:sz w:val="24"/>
            <w:szCs w:val="24"/>
          </w:rPr>
          <w:t>https://www.who.int/reproductivehealth/topics/gender_rights/sexual_health/en/</w:t>
        </w:r>
      </w:hyperlink>
      <w:r w:rsidRPr="005C5A26">
        <w:rPr>
          <w:rFonts w:ascii="Times New Roman" w:hAnsi="Times New Roman" w:cs="Times New Roman"/>
          <w:sz w:val="24"/>
          <w:szCs w:val="24"/>
        </w:rPr>
        <w:t xml:space="preserve"> (Accessed: 09 February 2020).</w:t>
      </w:r>
    </w:p>
    <w:p w14:paraId="11C182BE" w14:textId="77777777" w:rsidR="004B57A0" w:rsidRPr="005C5A26" w:rsidRDefault="004B57A0">
      <w:pPr>
        <w:pStyle w:val="Body"/>
        <w:spacing w:line="360" w:lineRule="auto"/>
        <w:jc w:val="both"/>
        <w:rPr>
          <w:rFonts w:ascii="Times New Roman" w:hAnsi="Times New Roman" w:cs="Times New Roman"/>
          <w:sz w:val="24"/>
          <w:szCs w:val="24"/>
        </w:rPr>
      </w:pPr>
    </w:p>
    <w:p w14:paraId="47C15FC1" w14:textId="77777777" w:rsidR="004B57A0" w:rsidRPr="005C5A26" w:rsidRDefault="004B57A0">
      <w:pPr>
        <w:pStyle w:val="Body"/>
        <w:spacing w:line="360" w:lineRule="auto"/>
        <w:jc w:val="both"/>
        <w:rPr>
          <w:rFonts w:ascii="Times New Roman" w:hAnsi="Times New Roman" w:cs="Times New Roman"/>
          <w:sz w:val="24"/>
          <w:szCs w:val="24"/>
        </w:rPr>
      </w:pPr>
    </w:p>
    <w:p w14:paraId="608359CF" w14:textId="77777777" w:rsidR="004B57A0" w:rsidRPr="005C5A26" w:rsidRDefault="004B57A0">
      <w:pPr>
        <w:pStyle w:val="Body"/>
        <w:spacing w:line="360" w:lineRule="auto"/>
        <w:jc w:val="both"/>
        <w:rPr>
          <w:rFonts w:ascii="Times New Roman" w:hAnsi="Times New Roman" w:cs="Times New Roman"/>
          <w:sz w:val="24"/>
          <w:szCs w:val="24"/>
        </w:rPr>
      </w:pPr>
    </w:p>
    <w:p w14:paraId="2A194D37" w14:textId="77777777" w:rsidR="004B57A0" w:rsidRPr="005C5A26" w:rsidRDefault="004B57A0">
      <w:pPr>
        <w:pStyle w:val="Body"/>
        <w:spacing w:line="360" w:lineRule="auto"/>
        <w:jc w:val="both"/>
        <w:rPr>
          <w:rFonts w:ascii="Times New Roman" w:hAnsi="Times New Roman" w:cs="Times New Roman"/>
          <w:sz w:val="24"/>
          <w:szCs w:val="24"/>
        </w:rPr>
      </w:pPr>
    </w:p>
    <w:p w14:paraId="27B409DA" w14:textId="77777777" w:rsidR="004B57A0" w:rsidRDefault="004B57A0">
      <w:pPr>
        <w:pStyle w:val="Body"/>
        <w:spacing w:line="360" w:lineRule="auto"/>
        <w:jc w:val="both"/>
      </w:pPr>
    </w:p>
    <w:p w14:paraId="40EAC5FD" w14:textId="77777777" w:rsidR="004B57A0" w:rsidRDefault="004B57A0">
      <w:pPr>
        <w:pStyle w:val="Body"/>
        <w:spacing w:line="360" w:lineRule="auto"/>
        <w:jc w:val="both"/>
      </w:pPr>
    </w:p>
    <w:p w14:paraId="404198E3" w14:textId="0234358C" w:rsidR="00C70338" w:rsidRDefault="001F4BA8">
      <w:pPr>
        <w:pStyle w:val="Body"/>
        <w:spacing w:line="240" w:lineRule="auto"/>
        <w:jc w:val="both"/>
        <w:rPr>
          <w:u w:val="single"/>
          <w:lang w:val="da-DK"/>
        </w:rPr>
      </w:pPr>
      <w:r>
        <w:rPr>
          <w:noProof/>
          <w:u w:val="single"/>
        </w:rPr>
        <w:lastRenderedPageBreak/>
        <mc:AlternateContent>
          <mc:Choice Requires="wps">
            <w:drawing>
              <wp:anchor distT="0" distB="0" distL="0" distR="0" simplePos="0" relativeHeight="251661312" behindDoc="0" locked="0" layoutInCell="1" allowOverlap="1" wp14:anchorId="220A218F" wp14:editId="48B474A3">
                <wp:simplePos x="0" y="0"/>
                <wp:positionH relativeFrom="page">
                  <wp:posOffset>14630</wp:posOffset>
                </wp:positionH>
                <wp:positionV relativeFrom="line">
                  <wp:posOffset>36576</wp:posOffset>
                </wp:positionV>
                <wp:extent cx="7637018" cy="716890"/>
                <wp:effectExtent l="0" t="0" r="21590" b="26670"/>
                <wp:wrapNone/>
                <wp:docPr id="1073741826" name="officeArt object" descr="Rectangle 2"/>
                <wp:cNvGraphicFramePr/>
                <a:graphic xmlns:a="http://schemas.openxmlformats.org/drawingml/2006/main">
                  <a:graphicData uri="http://schemas.microsoft.com/office/word/2010/wordprocessingShape">
                    <wps:wsp>
                      <wps:cNvSpPr/>
                      <wps:spPr>
                        <a:xfrm>
                          <a:off x="0" y="0"/>
                          <a:ext cx="7637018" cy="716890"/>
                        </a:xfrm>
                        <a:prstGeom prst="rect">
                          <a:avLst/>
                        </a:prstGeom>
                        <a:solidFill>
                          <a:schemeClr val="accent1"/>
                        </a:solidFill>
                        <a:ln w="12700" cap="flat">
                          <a:solidFill>
                            <a:srgbClr val="32538F"/>
                          </a:solidFill>
                          <a:prstDash val="solid"/>
                          <a:miter lim="800000"/>
                        </a:ln>
                        <a:effectLst/>
                      </wps:spPr>
                      <wps:txbx>
                        <w:txbxContent>
                          <w:p w14:paraId="10AC80E0" w14:textId="77777777" w:rsidR="004B57A0" w:rsidRDefault="009C15E1">
                            <w:pPr>
                              <w:pStyle w:val="Body"/>
                              <w:jc w:val="center"/>
                            </w:pPr>
                            <w:r>
                              <w:rPr>
                                <w:sz w:val="32"/>
                                <w:szCs w:val="32"/>
                              </w:rPr>
                              <w:t>This first map demonstrates sexual orientation laws in the world as an overview (page 190)</w:t>
                            </w:r>
                          </w:p>
                        </w:txbxContent>
                      </wps:txbx>
                      <wps:bodyPr wrap="square" lIns="45719" tIns="45719" rIns="45719" bIns="45719" numCol="1" anchor="ctr">
                        <a:noAutofit/>
                      </wps:bodyPr>
                    </wps:wsp>
                  </a:graphicData>
                </a:graphic>
                <wp14:sizeRelH relativeFrom="margin">
                  <wp14:pctWidth>0</wp14:pctWidth>
                </wp14:sizeRelH>
                <wp14:sizeRelV relativeFrom="margin">
                  <wp14:pctHeight>0</wp14:pctHeight>
                </wp14:sizeRelV>
              </wp:anchor>
            </w:drawing>
          </mc:Choice>
          <mc:Fallback>
            <w:pict>
              <v:rect w14:anchorId="220A218F" id="officeArt object" o:spid="_x0000_s1026" alt="Rectangle 2" style="position:absolute;left:0;text-align:left;margin-left:1.15pt;margin-top:2.9pt;width:601.35pt;height:56.4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" fillcolor="#4472c4 [3204]" strokecolor="#32538f" strokeweight="1pt">
                <v:textbox inset="1.27mm,1.27mm,1.27mm,1.27mm">
                  <w:txbxContent>
                    <w:p w14:paraId="10AC80E0" w14:textId="77777777" w:rsidR="004B57A0" w:rsidRDefault="009C15E1">
                      <w:pPr>
                        <w:pStyle w:val="Body"/>
                        <w:jc w:val="center"/>
                      </w:pPr>
                      <w:r>
                        <w:rPr>
                          <w:sz w:val="32"/>
                          <w:szCs w:val="32"/>
                        </w:rPr>
                        <w:t>This first map demonstrates sexual orientation laws in the world as an overview (page 190)</w:t>
                      </w:r>
                    </w:p>
                  </w:txbxContent>
                </v:textbox>
                <w10:wrap anchorx="page" anchory="line"/>
              </v:rect>
            </w:pict>
          </mc:Fallback>
        </mc:AlternateContent>
      </w:r>
    </w:p>
    <w:p w14:paraId="3886831D" w14:textId="2113731F" w:rsidR="00C70338" w:rsidRDefault="00C70338">
      <w:pPr>
        <w:pStyle w:val="Body"/>
        <w:spacing w:line="240" w:lineRule="auto"/>
        <w:jc w:val="both"/>
        <w:rPr>
          <w:u w:val="single"/>
          <w:lang w:val="da-DK"/>
        </w:rPr>
      </w:pPr>
    </w:p>
    <w:p w14:paraId="5909D053" w14:textId="34575EE2" w:rsidR="00C47640" w:rsidRDefault="00C47640">
      <w:pPr>
        <w:pStyle w:val="Body"/>
        <w:spacing w:line="240" w:lineRule="auto"/>
        <w:jc w:val="both"/>
        <w:rPr>
          <w:noProof/>
          <w:u w:val="single"/>
        </w:rPr>
      </w:pPr>
    </w:p>
    <w:p w14:paraId="323000BE" w14:textId="596D5D31" w:rsidR="004B57A0" w:rsidRDefault="00192127">
      <w:pPr>
        <w:pStyle w:val="Body"/>
        <w:spacing w:line="240" w:lineRule="auto"/>
        <w:jc w:val="both"/>
        <w:rPr>
          <w:u w:val="single"/>
        </w:rPr>
      </w:pPr>
      <w:r>
        <w:rPr>
          <w:noProof/>
          <w:u w:val="single"/>
        </w:rPr>
        <w:drawing>
          <wp:anchor distT="0" distB="0" distL="0" distR="0" simplePos="0" relativeHeight="251660288" behindDoc="0" locked="0" layoutInCell="1" allowOverlap="1" wp14:anchorId="118ECC6B" wp14:editId="5E313125">
            <wp:simplePos x="0" y="0"/>
            <wp:positionH relativeFrom="page">
              <wp:align>left</wp:align>
            </wp:positionH>
            <wp:positionV relativeFrom="line">
              <wp:posOffset>-780236</wp:posOffset>
            </wp:positionV>
            <wp:extent cx="7745730" cy="4354830"/>
            <wp:effectExtent l="0" t="0" r="7620" b="762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38"/>
                    <a:stretch>
                      <a:fillRect/>
                    </a:stretch>
                  </pic:blipFill>
                  <pic:spPr>
                    <a:xfrm>
                      <a:off x="0" y="0"/>
                      <a:ext cx="7745730" cy="4354830"/>
                    </a:xfrm>
                    <a:prstGeom prst="rect">
                      <a:avLst/>
                    </a:prstGeom>
                    <a:ln w="12700" cap="flat">
                      <a:noFill/>
                      <a:miter lim="400000"/>
                    </a:ln>
                    <a:effectLst/>
                  </pic:spPr>
                </pic:pic>
              </a:graphicData>
            </a:graphic>
          </wp:anchor>
        </w:drawing>
      </w:r>
      <w:r w:rsidR="009C15E1">
        <w:rPr>
          <w:u w:val="single"/>
          <w:lang w:val="da-DK"/>
        </w:rPr>
        <w:t xml:space="preserve">Appendix, a, </w:t>
      </w:r>
      <w:r w:rsidR="009C15E1">
        <w:rPr>
          <w:u w:val="single"/>
        </w:rPr>
        <w:t xml:space="preserve">‘State-sponsored Homophobia, World Survey of Sexual Orientation Laws: </w:t>
      </w:r>
      <w:proofErr w:type="spellStart"/>
      <w:r w:rsidR="009C15E1">
        <w:rPr>
          <w:u w:val="single"/>
        </w:rPr>
        <w:t>Criminalisation</w:t>
      </w:r>
      <w:proofErr w:type="spellEnd"/>
      <w:r w:rsidR="009C15E1">
        <w:rPr>
          <w:u w:val="single"/>
        </w:rPr>
        <w:t>, Protection and Recognition’ pp. 189 -191</w:t>
      </w:r>
      <w:r w:rsidR="00C255FC">
        <w:rPr>
          <w:u w:val="single"/>
        </w:rPr>
        <w:t xml:space="preserve">. </w:t>
      </w:r>
      <w:r w:rsidR="00C255FC" w:rsidRPr="00C255FC">
        <w:rPr>
          <w:u w:val="single"/>
        </w:rPr>
        <w:t xml:space="preserve">Carroll, A., and Ramón </w:t>
      </w:r>
      <w:proofErr w:type="spellStart"/>
      <w:r w:rsidR="00C255FC" w:rsidRPr="00C255FC">
        <w:rPr>
          <w:u w:val="single"/>
        </w:rPr>
        <w:t>Mendos</w:t>
      </w:r>
      <w:proofErr w:type="spellEnd"/>
      <w:r w:rsidR="00C255FC" w:rsidRPr="00C255FC">
        <w:rPr>
          <w:u w:val="single"/>
        </w:rPr>
        <w:t>, L. (2016).</w:t>
      </w:r>
    </w:p>
    <w:p w14:paraId="7FEDD85F" w14:textId="5402C1F9" w:rsidR="004B57A0" w:rsidRDefault="004B57A0">
      <w:pPr>
        <w:pStyle w:val="Body"/>
        <w:spacing w:line="360" w:lineRule="auto"/>
        <w:jc w:val="both"/>
      </w:pPr>
    </w:p>
    <w:p w14:paraId="6292C067" w14:textId="77777777" w:rsidR="004B57A0" w:rsidRDefault="004B57A0">
      <w:pPr>
        <w:pStyle w:val="Body"/>
        <w:spacing w:line="360" w:lineRule="auto"/>
        <w:jc w:val="both"/>
      </w:pPr>
    </w:p>
    <w:p w14:paraId="32EC0E0E" w14:textId="77777777" w:rsidR="004B57A0" w:rsidRDefault="004B57A0">
      <w:pPr>
        <w:pStyle w:val="Body"/>
        <w:spacing w:line="360" w:lineRule="auto"/>
        <w:jc w:val="both"/>
      </w:pPr>
    </w:p>
    <w:p w14:paraId="24E3F260" w14:textId="77777777" w:rsidR="004B57A0" w:rsidRDefault="004B57A0">
      <w:pPr>
        <w:pStyle w:val="Body"/>
        <w:spacing w:line="360" w:lineRule="auto"/>
        <w:jc w:val="both"/>
      </w:pPr>
    </w:p>
    <w:p w14:paraId="57D604B2" w14:textId="77777777" w:rsidR="004B57A0" w:rsidRDefault="004B57A0">
      <w:pPr>
        <w:pStyle w:val="Body"/>
        <w:spacing w:line="360" w:lineRule="auto"/>
        <w:jc w:val="both"/>
      </w:pPr>
    </w:p>
    <w:p w14:paraId="487F06DE" w14:textId="77777777" w:rsidR="004B57A0" w:rsidRDefault="004B57A0">
      <w:pPr>
        <w:pStyle w:val="Body"/>
        <w:spacing w:line="360" w:lineRule="auto"/>
        <w:jc w:val="both"/>
      </w:pPr>
    </w:p>
    <w:p w14:paraId="4C374332" w14:textId="30BF5785" w:rsidR="004B57A0" w:rsidRDefault="004B57A0">
      <w:pPr>
        <w:pStyle w:val="Body"/>
        <w:spacing w:line="360" w:lineRule="auto"/>
        <w:jc w:val="both"/>
      </w:pPr>
    </w:p>
    <w:p w14:paraId="7F19B91D" w14:textId="41A17B8B" w:rsidR="004B57A0" w:rsidRDefault="00192127">
      <w:pPr>
        <w:pStyle w:val="Body"/>
        <w:spacing w:line="360" w:lineRule="auto"/>
        <w:jc w:val="both"/>
      </w:pPr>
      <w:r>
        <w:rPr>
          <w:noProof/>
        </w:rPr>
        <mc:AlternateContent>
          <mc:Choice Requires="wps">
            <w:drawing>
              <wp:anchor distT="0" distB="0" distL="0" distR="0" simplePos="0" relativeHeight="251662336" behindDoc="0" locked="0" layoutInCell="1" allowOverlap="1" wp14:anchorId="5C523AE7" wp14:editId="0C7B2F9B">
                <wp:simplePos x="0" y="0"/>
                <wp:positionH relativeFrom="page">
                  <wp:posOffset>-7315</wp:posOffset>
                </wp:positionH>
                <wp:positionV relativeFrom="line">
                  <wp:posOffset>320777</wp:posOffset>
                </wp:positionV>
                <wp:extent cx="7527341" cy="393405"/>
                <wp:effectExtent l="0" t="0" r="16510" b="26035"/>
                <wp:wrapNone/>
                <wp:docPr id="1073741827" name="officeArt object" descr="Rectangle 3"/>
                <wp:cNvGraphicFramePr/>
                <a:graphic xmlns:a="http://schemas.openxmlformats.org/drawingml/2006/main">
                  <a:graphicData uri="http://schemas.microsoft.com/office/word/2010/wordprocessingShape">
                    <wps:wsp>
                      <wps:cNvSpPr/>
                      <wps:spPr>
                        <a:xfrm>
                          <a:off x="0" y="0"/>
                          <a:ext cx="7527341" cy="393405"/>
                        </a:xfrm>
                        <a:prstGeom prst="rect">
                          <a:avLst/>
                        </a:prstGeom>
                        <a:solidFill>
                          <a:schemeClr val="accent1"/>
                        </a:solidFill>
                        <a:ln w="12700" cap="flat">
                          <a:solidFill>
                            <a:srgbClr val="32538F"/>
                          </a:solidFill>
                          <a:prstDash val="solid"/>
                          <a:miter lim="800000"/>
                        </a:ln>
                        <a:effectLst/>
                      </wps:spPr>
                      <wps:bodyPr/>
                    </wps:wsp>
                  </a:graphicData>
                </a:graphic>
                <wp14:sizeRelH relativeFrom="margin">
                  <wp14:pctWidth>0</wp14:pctWidth>
                </wp14:sizeRelH>
              </wp:anchor>
            </w:drawing>
          </mc:Choice>
          <mc:Fallback>
            <w:pict>
              <v:rect w14:anchorId="05157CC0" id="officeArt object" o:spid="_x0000_s1026" alt="Rectangle 3" style="position:absolute;margin-left:-.6pt;margin-top:25.25pt;width:592.7pt;height:31pt;z-index:251662336;visibility:visible;mso-wrap-style:square;mso-width-percent:0;mso-wrap-distance-left:0;mso-wrap-distance-top:0;mso-wrap-distance-right:0;mso-wrap-distance-bottom:0;mso-position-horizontal:absolute;mso-position-horizontal-relative:page;mso-position-vertical:absolute;mso-position-vertical-relative:lin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" fillcolor="#4472c4 [3204]" strokecolor="#32538f" strokeweight="1pt">
                <w10:wrap anchorx="page" anchory="line"/>
              </v:rect>
            </w:pict>
          </mc:Fallback>
        </mc:AlternateContent>
      </w:r>
    </w:p>
    <w:p w14:paraId="18DF9994" w14:textId="45AD5D41" w:rsidR="004B57A0" w:rsidRDefault="004B57A0">
      <w:pPr>
        <w:pStyle w:val="Body"/>
        <w:spacing w:line="240" w:lineRule="auto"/>
        <w:jc w:val="both"/>
      </w:pPr>
    </w:p>
    <w:p w14:paraId="2EFEFA20" w14:textId="77777777" w:rsidR="000A2561" w:rsidRDefault="000A2561">
      <w:pPr>
        <w:pStyle w:val="Body"/>
        <w:spacing w:line="240" w:lineRule="auto"/>
        <w:jc w:val="both"/>
      </w:pPr>
    </w:p>
    <w:p w14:paraId="551388F9" w14:textId="27EFA0F7" w:rsidR="004B57A0" w:rsidRDefault="009C15E1">
      <w:pPr>
        <w:pStyle w:val="Body"/>
        <w:spacing w:line="240" w:lineRule="auto"/>
        <w:jc w:val="both"/>
      </w:pPr>
      <w:r>
        <w:t xml:space="preserve">This is an Overview map that looks (from a red to green spectrum) at laws that </w:t>
      </w:r>
      <w:proofErr w:type="spellStart"/>
      <w:r>
        <w:t>criminalise</w:t>
      </w:r>
      <w:proofErr w:type="spellEnd"/>
      <w:r>
        <w:t xml:space="preserve"> same-sex sexual relations, laws that include the protection of sexual minorities, and laws that recognize our relationships and families.</w:t>
      </w:r>
    </w:p>
    <w:p w14:paraId="697A99DD" w14:textId="51B5AC58" w:rsidR="004B57A0" w:rsidRDefault="009C15E1">
      <w:pPr>
        <w:pStyle w:val="Body"/>
        <w:spacing w:line="240" w:lineRule="auto"/>
        <w:jc w:val="both"/>
      </w:pPr>
      <w:r>
        <w:t xml:space="preserve"> 1.  As explained on the map’s legend in more detail, in the </w:t>
      </w:r>
      <w:proofErr w:type="spellStart"/>
      <w:r>
        <w:t>criminalising</w:t>
      </w:r>
      <w:proofErr w:type="spellEnd"/>
      <w:r>
        <w:t xml:space="preserve"> countries different punishments are indicated in shades of red: for example, death is deep red, and ‘propaganda laws are orange.  </w:t>
      </w:r>
    </w:p>
    <w:p w14:paraId="1F6D9239" w14:textId="77777777" w:rsidR="004B57A0" w:rsidRDefault="009C15E1">
      <w:pPr>
        <w:pStyle w:val="Body"/>
        <w:spacing w:line="240" w:lineRule="auto"/>
        <w:jc w:val="both"/>
      </w:pPr>
      <w:r>
        <w:t xml:space="preserve">2.  Countries that have </w:t>
      </w:r>
      <w:proofErr w:type="spellStart"/>
      <w:r>
        <w:t>decriminalised</w:t>
      </w:r>
      <w:proofErr w:type="spellEnd"/>
      <w:r>
        <w:t xml:space="preserve">, or where same sex relations were never </w:t>
      </w:r>
      <w:proofErr w:type="spellStart"/>
      <w:r>
        <w:t>penalised</w:t>
      </w:r>
      <w:proofErr w:type="spellEnd"/>
      <w:r>
        <w:t xml:space="preserve">, are </w:t>
      </w:r>
      <w:proofErr w:type="spellStart"/>
      <w:r>
        <w:t>coloured</w:t>
      </w:r>
      <w:proofErr w:type="spellEnd"/>
      <w:r>
        <w:t xml:space="preserve"> yellow.  </w:t>
      </w:r>
    </w:p>
    <w:p w14:paraId="498F4D81" w14:textId="77777777" w:rsidR="004B57A0" w:rsidRDefault="009C15E1">
      <w:pPr>
        <w:pStyle w:val="Body"/>
        <w:spacing w:line="240" w:lineRule="auto"/>
        <w:jc w:val="both"/>
      </w:pPr>
      <w:r>
        <w:t xml:space="preserve">3.  There are small blue shields across this map that indicate there is some form of protection in law, for example, from hate crime or non-discrimination in employment. </w:t>
      </w:r>
    </w:p>
    <w:p w14:paraId="199D1B91" w14:textId="77777777" w:rsidR="004B57A0" w:rsidRDefault="009C15E1">
      <w:pPr>
        <w:pStyle w:val="Body"/>
        <w:spacing w:line="240" w:lineRule="auto"/>
        <w:jc w:val="both"/>
      </w:pPr>
      <w:r>
        <w:t xml:space="preserve">4.  The countries in shades of green represent those where marriage or civil unions of some form are </w:t>
      </w:r>
      <w:proofErr w:type="spellStart"/>
      <w:r>
        <w:t>recognised</w:t>
      </w:r>
      <w:proofErr w:type="spellEnd"/>
      <w:r>
        <w:t>. On a number of these, small icons represent the presence of joint adoption or second parent adoption that do not discriminate against same sex couples.</w:t>
      </w:r>
    </w:p>
    <w:p w14:paraId="3B374B04" w14:textId="77777777" w:rsidR="004B57A0" w:rsidRDefault="009C15E1">
      <w:pPr>
        <w:pStyle w:val="Body"/>
        <w:spacing w:line="360" w:lineRule="auto"/>
        <w:jc w:val="both"/>
      </w:pPr>
      <w:r>
        <w:t xml:space="preserve">Reading this Overview map and looking at the Seychelles – the coding reads that it is a </w:t>
      </w:r>
      <w:proofErr w:type="spellStart"/>
      <w:r>
        <w:t>criminalising</w:t>
      </w:r>
      <w:proofErr w:type="spellEnd"/>
      <w:r>
        <w:t xml:space="preserve"> country, with a penalty of under 14 years, but it also has some non-discrimination provisions that are inclusive of sexual orientation.</w:t>
      </w:r>
    </w:p>
    <w:p w14:paraId="2A3CEE82" w14:textId="4B448396" w:rsidR="00192127" w:rsidRDefault="00192127">
      <w:pPr>
        <w:pStyle w:val="Body"/>
        <w:spacing w:line="360" w:lineRule="auto"/>
        <w:jc w:val="both"/>
      </w:pPr>
    </w:p>
    <w:p w14:paraId="62F1E4FF" w14:textId="77777777" w:rsidR="00003F68" w:rsidRDefault="00003F68">
      <w:pPr>
        <w:pStyle w:val="Body"/>
        <w:spacing w:line="360" w:lineRule="auto"/>
        <w:jc w:val="both"/>
      </w:pPr>
      <w:bookmarkStart w:id="0" w:name="_GoBack"/>
      <w:bookmarkEnd w:id="0"/>
    </w:p>
    <w:p w14:paraId="4352DAE0" w14:textId="552033DE" w:rsidR="004B57A0" w:rsidRDefault="009C15E1">
      <w:pPr>
        <w:pStyle w:val="Body"/>
        <w:spacing w:line="360" w:lineRule="auto"/>
        <w:jc w:val="both"/>
      </w:pPr>
      <w:r>
        <w:lastRenderedPageBreak/>
        <w:t xml:space="preserve">The second map in this series focuses on </w:t>
      </w:r>
      <w:proofErr w:type="spellStart"/>
      <w:r w:rsidR="00D2228C">
        <w:t>c</w:t>
      </w:r>
      <w:r>
        <w:t>riminalisation</w:t>
      </w:r>
      <w:proofErr w:type="spellEnd"/>
      <w:r>
        <w:t xml:space="preserve">. Having indicated the categories in the first map, this delves deeper into the nature of the </w:t>
      </w:r>
      <w:proofErr w:type="spellStart"/>
      <w:r>
        <w:t>criminalisation</w:t>
      </w:r>
      <w:proofErr w:type="spellEnd"/>
      <w:r>
        <w:t>:</w:t>
      </w:r>
    </w:p>
    <w:p w14:paraId="5CA38FCD" w14:textId="77777777" w:rsidR="004B57A0" w:rsidRDefault="009C15E1">
      <w:pPr>
        <w:pStyle w:val="Body"/>
        <w:spacing w:line="360" w:lineRule="auto"/>
        <w:jc w:val="both"/>
      </w:pPr>
      <w:r>
        <w:t xml:space="preserve"> 1.  The base </w:t>
      </w:r>
      <w:proofErr w:type="spellStart"/>
      <w:r>
        <w:t>colour</w:t>
      </w:r>
      <w:proofErr w:type="spellEnd"/>
      <w:r>
        <w:t xml:space="preserve"> of a country indicates the nature of the actual crime – sodomy, acts against nature, buggery, etc. This is explained in the legend in more depth. </w:t>
      </w:r>
    </w:p>
    <w:p w14:paraId="09D08FCE" w14:textId="34FED746" w:rsidR="004B57A0" w:rsidRDefault="009C15E1">
      <w:pPr>
        <w:pStyle w:val="Body"/>
        <w:spacing w:line="360" w:lineRule="auto"/>
        <w:jc w:val="both"/>
      </w:pPr>
      <w:r>
        <w:t>2. The second element - maximum sentences - is indicated by a capital letter A through E – ranging from death (A) to 1 month in jail or a fine (E).</w:t>
      </w:r>
    </w:p>
    <w:p w14:paraId="21298DA2" w14:textId="77777777" w:rsidR="004B57A0" w:rsidRDefault="009C15E1">
      <w:pPr>
        <w:pStyle w:val="Body"/>
        <w:spacing w:line="360" w:lineRule="auto"/>
        <w:jc w:val="both"/>
      </w:pPr>
      <w:r>
        <w:t xml:space="preserve"> 3.  There are male/female icons for men and for women to indicate which of the binary genders (or those perceived to be in one category or the other by law) is included within the scope of that law.</w:t>
      </w:r>
    </w:p>
    <w:p w14:paraId="522B3161" w14:textId="5B34E0C4" w:rsidR="004B57A0" w:rsidRDefault="009C15E1">
      <w:pPr>
        <w:pStyle w:val="Body"/>
        <w:spacing w:line="360" w:lineRule="auto"/>
        <w:jc w:val="both"/>
      </w:pPr>
      <w:r>
        <w:t xml:space="preserve"> 4.  The final element – represented by handcuffs – indicates whether there have been arrests in the past three years (as found in our research).</w:t>
      </w:r>
    </w:p>
    <w:p w14:paraId="5E12328C" w14:textId="77777777" w:rsidR="004B57A0" w:rsidRDefault="009C15E1">
      <w:pPr>
        <w:pStyle w:val="Body"/>
        <w:spacing w:line="360" w:lineRule="auto"/>
        <w:jc w:val="both"/>
      </w:pPr>
      <w:r>
        <w:t xml:space="preserve">Reading this </w:t>
      </w:r>
      <w:proofErr w:type="spellStart"/>
      <w:r>
        <w:t>Criminalisation</w:t>
      </w:r>
      <w:proofErr w:type="spellEnd"/>
      <w:r>
        <w:t xml:space="preserve"> map, and looking at Tanzania, one sees the charge is ‘against nature’, with a sentence of between 15 years and life, where the law only applies to men, and where there have been arrests in the past there years.</w:t>
      </w:r>
    </w:p>
    <w:p w14:paraId="7B2A1CAB" w14:textId="77777777" w:rsidR="004B57A0" w:rsidRDefault="009C15E1">
      <w:pPr>
        <w:pStyle w:val="Body"/>
        <w:spacing w:line="360" w:lineRule="auto"/>
        <w:jc w:val="both"/>
      </w:pPr>
      <w:r>
        <w:rPr>
          <w:noProof/>
        </w:rPr>
        <w:drawing>
          <wp:anchor distT="0" distB="0" distL="0" distR="0" simplePos="0" relativeHeight="251656192" behindDoc="1" locked="0" layoutInCell="1" allowOverlap="1" wp14:anchorId="02AC7887" wp14:editId="2D987716">
            <wp:simplePos x="0" y="0"/>
            <wp:positionH relativeFrom="page">
              <wp:posOffset>-438945</wp:posOffset>
            </wp:positionH>
            <wp:positionV relativeFrom="line">
              <wp:posOffset>509314</wp:posOffset>
            </wp:positionV>
            <wp:extent cx="7999256" cy="4129116"/>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2.png"/>
                    <pic:cNvPicPr>
                      <a:picLocks noChangeAspect="1"/>
                    </pic:cNvPicPr>
                  </pic:nvPicPr>
                  <pic:blipFill>
                    <a:blip r:embed="rId39"/>
                    <a:stretch>
                      <a:fillRect/>
                    </a:stretch>
                  </pic:blipFill>
                  <pic:spPr>
                    <a:xfrm>
                      <a:off x="0" y="0"/>
                      <a:ext cx="7999256" cy="4129116"/>
                    </a:xfrm>
                    <a:prstGeom prst="rect">
                      <a:avLst/>
                    </a:prstGeom>
                    <a:ln w="12700" cap="flat">
                      <a:noFill/>
                      <a:miter lim="400000"/>
                    </a:ln>
                    <a:effectLst/>
                  </pic:spPr>
                </pic:pic>
              </a:graphicData>
            </a:graphic>
          </wp:anchor>
        </w:drawing>
      </w:r>
      <w:r>
        <w:rPr>
          <w:noProof/>
        </w:rPr>
        <mc:AlternateContent>
          <mc:Choice Requires="wps">
            <w:drawing>
              <wp:anchor distT="0" distB="0" distL="0" distR="0" simplePos="0" relativeHeight="251663360" behindDoc="0" locked="0" layoutInCell="1" allowOverlap="1" wp14:anchorId="4D1D48A2" wp14:editId="77783DD3">
                <wp:simplePos x="0" y="0"/>
                <wp:positionH relativeFrom="page">
                  <wp:posOffset>0</wp:posOffset>
                </wp:positionH>
                <wp:positionV relativeFrom="line">
                  <wp:posOffset>326530</wp:posOffset>
                </wp:positionV>
                <wp:extent cx="7552690" cy="856225"/>
                <wp:effectExtent l="0" t="0" r="0" b="0"/>
                <wp:wrapNone/>
                <wp:docPr id="1073741829" name="officeArt object" descr="Rectangle 5"/>
                <wp:cNvGraphicFramePr/>
                <a:graphic xmlns:a="http://schemas.openxmlformats.org/drawingml/2006/main">
                  <a:graphicData uri="http://schemas.microsoft.com/office/word/2010/wordprocessingShape">
                    <wps:wsp>
                      <wps:cNvSpPr/>
                      <wps:spPr>
                        <a:xfrm>
                          <a:off x="0" y="0"/>
                          <a:ext cx="7552690" cy="856225"/>
                        </a:xfrm>
                        <a:prstGeom prst="rect">
                          <a:avLst/>
                        </a:prstGeom>
                        <a:solidFill>
                          <a:schemeClr val="accent1"/>
                        </a:solidFill>
                        <a:ln w="12700" cap="flat">
                          <a:solidFill>
                            <a:srgbClr val="32538F"/>
                          </a:solidFill>
                          <a:prstDash val="solid"/>
                          <a:miter lim="800000"/>
                        </a:ln>
                        <a:effectLst/>
                      </wps:spPr>
                      <wps:txbx>
                        <w:txbxContent>
                          <w:p w14:paraId="4B6F0C15" w14:textId="77777777" w:rsidR="004B57A0" w:rsidRDefault="009C15E1">
                            <w:pPr>
                              <w:pStyle w:val="Body"/>
                              <w:jc w:val="center"/>
                            </w:pPr>
                            <w:r>
                              <w:rPr>
                                <w:sz w:val="32"/>
                                <w:szCs w:val="32"/>
                                <w:lang w:val="fr-FR"/>
                              </w:rPr>
                              <w:t>Page. 191 Criminalisation</w:t>
                            </w:r>
                          </w:p>
                        </w:txbxContent>
                      </wps:txbx>
                      <wps:bodyPr wrap="square" lIns="45719" tIns="45719" rIns="45719" bIns="45719" numCol="1" anchor="ctr">
                        <a:noAutofit/>
                      </wps:bodyPr>
                    </wps:wsp>
                  </a:graphicData>
                </a:graphic>
              </wp:anchor>
            </w:drawing>
          </mc:Choice>
          <mc:Fallback>
            <w:pict>
              <v:rect w14:anchorId="4D1D48A2" id="_x0000_s1027" alt="Rectangle 5" style="position:absolute;left:0;text-align:left;margin-left:0;margin-top:25.7pt;width:594.7pt;height:67.4pt;z-index:251663360;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" fillcolor="#4472c4 [3204]" strokecolor="#32538f" strokeweight="1pt">
                <v:textbox inset="1.27mm,1.27mm,1.27mm,1.27mm">
                  <w:txbxContent>
                    <w:p w14:paraId="4B6F0C15" w14:textId="77777777" w:rsidR="004B57A0" w:rsidRDefault="009C15E1">
                      <w:pPr>
                        <w:pStyle w:val="Body"/>
                        <w:jc w:val="center"/>
                      </w:pPr>
                      <w:r>
                        <w:rPr>
                          <w:sz w:val="32"/>
                          <w:szCs w:val="32"/>
                          <w:lang w:val="fr-FR"/>
                        </w:rPr>
                        <w:t>Page. 191 Criminalisation</w:t>
                      </w:r>
                    </w:p>
                  </w:txbxContent>
                </v:textbox>
                <w10:wrap anchorx="page" anchory="line"/>
              </v:rect>
            </w:pict>
          </mc:Fallback>
        </mc:AlternateContent>
      </w:r>
    </w:p>
    <w:p w14:paraId="199AB6F9" w14:textId="77777777" w:rsidR="004B57A0" w:rsidRDefault="004B57A0">
      <w:pPr>
        <w:pStyle w:val="Body"/>
        <w:spacing w:line="360" w:lineRule="auto"/>
        <w:jc w:val="both"/>
      </w:pPr>
    </w:p>
    <w:p w14:paraId="5F6A22D5" w14:textId="77777777" w:rsidR="004B57A0" w:rsidRDefault="004B57A0">
      <w:pPr>
        <w:pStyle w:val="Body"/>
        <w:spacing w:line="360" w:lineRule="auto"/>
        <w:jc w:val="both"/>
      </w:pPr>
    </w:p>
    <w:p w14:paraId="05C71DF3" w14:textId="77777777" w:rsidR="004B57A0" w:rsidRDefault="004B57A0">
      <w:pPr>
        <w:pStyle w:val="Body"/>
        <w:spacing w:line="360" w:lineRule="auto"/>
        <w:jc w:val="both"/>
      </w:pPr>
    </w:p>
    <w:p w14:paraId="42D49B37" w14:textId="77777777" w:rsidR="004B57A0" w:rsidRDefault="004B57A0">
      <w:pPr>
        <w:pStyle w:val="Body"/>
        <w:spacing w:line="360" w:lineRule="auto"/>
        <w:jc w:val="both"/>
      </w:pPr>
    </w:p>
    <w:p w14:paraId="71535FB3" w14:textId="77777777" w:rsidR="004B57A0" w:rsidRDefault="004B57A0">
      <w:pPr>
        <w:pStyle w:val="Body"/>
        <w:spacing w:line="360" w:lineRule="auto"/>
        <w:jc w:val="both"/>
      </w:pPr>
    </w:p>
    <w:p w14:paraId="268B4440" w14:textId="77777777" w:rsidR="004B57A0" w:rsidRDefault="004B57A0">
      <w:pPr>
        <w:pStyle w:val="Body"/>
        <w:spacing w:line="360" w:lineRule="auto"/>
        <w:jc w:val="both"/>
      </w:pPr>
    </w:p>
    <w:p w14:paraId="47C60638" w14:textId="77777777" w:rsidR="004B57A0" w:rsidRDefault="004B57A0">
      <w:pPr>
        <w:pStyle w:val="Body"/>
        <w:spacing w:line="360" w:lineRule="auto"/>
        <w:jc w:val="both"/>
      </w:pPr>
    </w:p>
    <w:p w14:paraId="12E96A50" w14:textId="77777777" w:rsidR="004B57A0" w:rsidRDefault="004B57A0">
      <w:pPr>
        <w:pStyle w:val="Body"/>
        <w:spacing w:line="360" w:lineRule="auto"/>
        <w:jc w:val="both"/>
      </w:pPr>
    </w:p>
    <w:p w14:paraId="1FA03BFB" w14:textId="77777777" w:rsidR="004B57A0" w:rsidRDefault="004B57A0">
      <w:pPr>
        <w:pStyle w:val="Body"/>
        <w:spacing w:line="360" w:lineRule="auto"/>
        <w:jc w:val="both"/>
      </w:pPr>
    </w:p>
    <w:p w14:paraId="6129D982" w14:textId="77777777" w:rsidR="004B57A0" w:rsidRDefault="004B57A0">
      <w:pPr>
        <w:pStyle w:val="Body"/>
        <w:spacing w:line="360" w:lineRule="auto"/>
        <w:jc w:val="both"/>
      </w:pPr>
    </w:p>
    <w:p w14:paraId="1D8A3B74" w14:textId="77777777" w:rsidR="004B57A0" w:rsidRDefault="009C15E1">
      <w:pPr>
        <w:pStyle w:val="Body"/>
        <w:spacing w:line="360" w:lineRule="auto"/>
        <w:jc w:val="both"/>
      </w:pPr>
      <w:r>
        <w:rPr>
          <w:noProof/>
        </w:rPr>
        <mc:AlternateContent>
          <mc:Choice Requires="wps">
            <w:drawing>
              <wp:anchor distT="0" distB="0" distL="0" distR="0" simplePos="0" relativeHeight="251664384" behindDoc="0" locked="0" layoutInCell="1" allowOverlap="1" wp14:anchorId="5AE8B2B9" wp14:editId="2C1D52C7">
                <wp:simplePos x="0" y="0"/>
                <wp:positionH relativeFrom="page">
                  <wp:posOffset>-48895</wp:posOffset>
                </wp:positionH>
                <wp:positionV relativeFrom="line">
                  <wp:posOffset>450701</wp:posOffset>
                </wp:positionV>
                <wp:extent cx="7635241" cy="308611"/>
                <wp:effectExtent l="0" t="0" r="0" b="0"/>
                <wp:wrapNone/>
                <wp:docPr id="1073741830" name="officeArt object" descr="Rectangle 7"/>
                <wp:cNvGraphicFramePr/>
                <a:graphic xmlns:a="http://schemas.openxmlformats.org/drawingml/2006/main">
                  <a:graphicData uri="http://schemas.microsoft.com/office/word/2010/wordprocessingShape">
                    <wps:wsp>
                      <wps:cNvSpPr/>
                      <wps:spPr>
                        <a:xfrm>
                          <a:off x="0" y="0"/>
                          <a:ext cx="7635241" cy="308611"/>
                        </a:xfrm>
                        <a:prstGeom prst="rect">
                          <a:avLst/>
                        </a:prstGeom>
                        <a:solidFill>
                          <a:schemeClr val="accent1"/>
                        </a:solidFill>
                        <a:ln w="12700" cap="flat">
                          <a:solidFill>
                            <a:srgbClr val="32538F"/>
                          </a:solidFill>
                          <a:prstDash val="solid"/>
                          <a:miter lim="800000"/>
                        </a:ln>
                        <a:effectLst/>
                      </wps:spPr>
                      <wps:txbx>
                        <w:txbxContent>
                          <w:p w14:paraId="79E8FB5B" w14:textId="6091D8AA" w:rsidR="004B57A0" w:rsidRDefault="004B57A0">
                            <w:pPr>
                              <w:pStyle w:val="Body"/>
                              <w:jc w:val="center"/>
                            </w:pPr>
                          </w:p>
                          <w:p w14:paraId="79FFDB66" w14:textId="77777777" w:rsidR="004B57A0" w:rsidRDefault="009C15E1">
                            <w:pPr>
                              <w:pStyle w:val="Body"/>
                              <w:jc w:val="center"/>
                            </w:pPr>
                            <w:r>
                              <w:t xml:space="preserve"> 1. </w:t>
                            </w:r>
                          </w:p>
                          <w:p w14:paraId="6790D64F" w14:textId="77777777" w:rsidR="004B57A0" w:rsidRDefault="009C15E1">
                            <w:pPr>
                              <w:pStyle w:val="Body"/>
                              <w:jc w:val="center"/>
                            </w:pPr>
                            <w:r>
                              <w:t xml:space="preserve"> Where a country is </w:t>
                            </w:r>
                            <w:proofErr w:type="spellStart"/>
                            <w:r>
                              <w:t>coloured</w:t>
                            </w:r>
                            <w:proofErr w:type="spellEnd"/>
                            <w:r>
                              <w:t xml:space="preserve"> blue, it has employment law that protects against discrimination on grounds of sexual orientation.  2.  A pink dot </w:t>
                            </w:r>
                            <w:proofErr w:type="spellStart"/>
                            <w:r>
                              <w:t>signifi</w:t>
                            </w:r>
                            <w:proofErr w:type="spellEnd"/>
                            <w:r>
                              <w:t xml:space="preserve"> es Constitutional protection, and an orange dot means there are other protections (health, education, housing, </w:t>
                            </w:r>
                            <w:proofErr w:type="spellStart"/>
                            <w:r>
                              <w:t>etc</w:t>
                            </w:r>
                            <w:proofErr w:type="spellEnd"/>
                            <w:r>
                              <w:t xml:space="preserve">) that include sexual orientation in their texts. 3.  The letter A indicates hate crime legislation inclusive of sexual orientation. 4.  B means laws that protect from incitement to hatred (hate speech). 5. </w:t>
                            </w:r>
                          </w:p>
                          <w:p w14:paraId="3A7A7116" w14:textId="77777777" w:rsidR="004B57A0" w:rsidRDefault="009C15E1">
                            <w:pPr>
                              <w:pStyle w:val="Body"/>
                              <w:jc w:val="center"/>
                            </w:pPr>
                            <w:r>
                              <w:t xml:space="preserve"> C indicates that there is a national human rights institution active. These are often important sites for the early development of what will become laws and policies in States. </w:t>
                            </w:r>
                          </w:p>
                          <w:p w14:paraId="06513169" w14:textId="77777777" w:rsidR="004B57A0" w:rsidRDefault="009C15E1">
                            <w:pPr>
                              <w:pStyle w:val="Body"/>
                              <w:jc w:val="center"/>
                            </w:pPr>
                            <w:r>
                              <w:t>Reading this Protection map, and looking at Germany, one sees that it has protective employment law (blue), some other nondiscrimination law (orange dot), but no hate crime or incitement to hatred laws (absence of A and B), while it does have a human rights institution inclusive of sexual orientation (C). Luxembourg on the other hand has the same, but has both hate laws (A and B).</w:t>
                            </w:r>
                          </w:p>
                          <w:p w14:paraId="73E14981" w14:textId="77777777" w:rsidR="004B57A0" w:rsidRDefault="009C15E1">
                            <w:pPr>
                              <w:pStyle w:val="Body"/>
                              <w:jc w:val="center"/>
                            </w:pPr>
                            <w:r>
                              <w:t xml:space="preserve">The fi </w:t>
                            </w:r>
                            <w:proofErr w:type="spellStart"/>
                            <w:r>
                              <w:t>nal</w:t>
                            </w:r>
                            <w:proofErr w:type="spellEnd"/>
                            <w:r>
                              <w:t xml:space="preserve"> map is on Recognition. Much as the Overview map, this </w:t>
                            </w:r>
                            <w:proofErr w:type="spellStart"/>
                            <w:r>
                              <w:t>specifi</w:t>
                            </w:r>
                            <w:proofErr w:type="spellEnd"/>
                            <w:r>
                              <w:t xml:space="preserve"> es </w:t>
                            </w:r>
                          </w:p>
                          <w:p w14:paraId="24CDDB31" w14:textId="77777777" w:rsidR="004B57A0" w:rsidRDefault="009C15E1">
                            <w:pPr>
                              <w:pStyle w:val="Body"/>
                              <w:jc w:val="center"/>
                            </w:pPr>
                            <w:r>
                              <w:t xml:space="preserve"> 1.  The status of relationship recognition: marriage, strong or weak civil partnership. 2.  Where joint adoption and second parent adoption exist in Europe (the most dense area).</w:t>
                            </w:r>
                          </w:p>
                          <w:p w14:paraId="085EAE10" w14:textId="77777777" w:rsidR="004B57A0" w:rsidRDefault="009C15E1">
                            <w:pPr>
                              <w:pStyle w:val="Body"/>
                              <w:jc w:val="center"/>
                            </w:pPr>
                            <w:r>
                              <w:t>Reading this Recognition map, and looking at Iceland, one sees there is marriage equality in that State, and both joint adoption and second parent adoption are available to same sex couples.</w:t>
                            </w:r>
                          </w:p>
                        </w:txbxContent>
                      </wps:txbx>
                      <wps:bodyPr wrap="square" lIns="45719" tIns="45719" rIns="45719" bIns="45719" numCol="1" anchor="ctr">
                        <a:noAutofit/>
                      </wps:bodyPr>
                    </wps:wsp>
                  </a:graphicData>
                </a:graphic>
              </wp:anchor>
            </w:drawing>
          </mc:Choice>
          <mc:Fallback>
            <w:pict>
              <v:rect w14:anchorId="5AE8B2B9" id="_x0000_s1028" alt="Rectangle 7" style="position:absolute;left:0;text-align:left;margin-left:-3.85pt;margin-top:35.5pt;width:601.2pt;height:24.3pt;z-index:25166438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" fillcolor="#4472c4 [3204]" strokecolor="#32538f" strokeweight="1pt">
                <v:textbox inset="1.27mm,1.27mm,1.27mm,1.27mm">
                  <w:txbxContent>
                    <w:p w14:paraId="79E8FB5B" w14:textId="6091D8AA" w:rsidR="004B57A0" w:rsidRDefault="004B57A0">
                      <w:pPr>
                        <w:pStyle w:val="Body"/>
                        <w:jc w:val="center"/>
                      </w:pPr>
                    </w:p>
                    <w:p w14:paraId="79FFDB66" w14:textId="77777777" w:rsidR="004B57A0" w:rsidRDefault="009C15E1">
                      <w:pPr>
                        <w:pStyle w:val="Body"/>
                        <w:jc w:val="center"/>
                      </w:pPr>
                      <w:r>
                        <w:t xml:space="preserve"> 1. </w:t>
                      </w:r>
                    </w:p>
                    <w:p w14:paraId="6790D64F" w14:textId="77777777" w:rsidR="004B57A0" w:rsidRDefault="009C15E1">
                      <w:pPr>
                        <w:pStyle w:val="Body"/>
                        <w:jc w:val="center"/>
                      </w:pPr>
                      <w:r>
                        <w:t xml:space="preserve"> Where a country is </w:t>
                      </w:r>
                      <w:proofErr w:type="spellStart"/>
                      <w:r>
                        <w:t>coloured</w:t>
                      </w:r>
                      <w:proofErr w:type="spellEnd"/>
                      <w:r>
                        <w:t xml:space="preserve"> blue, it has employment law that protects against discrimination on grounds of sexual orientation.  2.  A pink dot </w:t>
                      </w:r>
                      <w:proofErr w:type="spellStart"/>
                      <w:r>
                        <w:t>signifi</w:t>
                      </w:r>
                      <w:proofErr w:type="spellEnd"/>
                      <w:r>
                        <w:t xml:space="preserve"> es Constitutional protection, and an orange dot means there are other protections (health, education, housing, </w:t>
                      </w:r>
                      <w:proofErr w:type="spellStart"/>
                      <w:r>
                        <w:t>etc</w:t>
                      </w:r>
                      <w:proofErr w:type="spellEnd"/>
                      <w:r>
                        <w:t xml:space="preserve">) that include sexual orientation in their texts. 3.  The letter A indicates hate crime legislation inclusive of sexual orientation. 4.  B means laws that protect from incitement to hatred (hate speech). 5. </w:t>
                      </w:r>
                    </w:p>
                    <w:p w14:paraId="3A7A7116" w14:textId="77777777" w:rsidR="004B57A0" w:rsidRDefault="009C15E1">
                      <w:pPr>
                        <w:pStyle w:val="Body"/>
                        <w:jc w:val="center"/>
                      </w:pPr>
                      <w:r>
                        <w:t xml:space="preserve"> C indicates that there is a national human rights institution active. These are often important sites for the early development of what will become laws and policies in States. </w:t>
                      </w:r>
                    </w:p>
                    <w:p w14:paraId="06513169" w14:textId="77777777" w:rsidR="004B57A0" w:rsidRDefault="009C15E1">
                      <w:pPr>
                        <w:pStyle w:val="Body"/>
                        <w:jc w:val="center"/>
                      </w:pPr>
                      <w:r>
                        <w:t>Reading this Protection map, and looking at Germany, one sees that it has protective employment law (blue), some other nondiscrimination law (orange dot), but no hate crime or incitement to hatred laws (absence of A and B), while it does have a human rights institution inclusive of sexual orientation (C). Luxembourg on the other hand has the same, but has both hate laws (A and B).</w:t>
                      </w:r>
                    </w:p>
                    <w:p w14:paraId="73E14981" w14:textId="77777777" w:rsidR="004B57A0" w:rsidRDefault="009C15E1">
                      <w:pPr>
                        <w:pStyle w:val="Body"/>
                        <w:jc w:val="center"/>
                      </w:pPr>
                      <w:r>
                        <w:t xml:space="preserve">The fi </w:t>
                      </w:r>
                      <w:proofErr w:type="spellStart"/>
                      <w:r>
                        <w:t>nal</w:t>
                      </w:r>
                      <w:proofErr w:type="spellEnd"/>
                      <w:r>
                        <w:t xml:space="preserve"> map is on Recognition. Much as the Overview map, this </w:t>
                      </w:r>
                      <w:proofErr w:type="spellStart"/>
                      <w:r>
                        <w:t>specifi</w:t>
                      </w:r>
                      <w:proofErr w:type="spellEnd"/>
                      <w:r>
                        <w:t xml:space="preserve"> es </w:t>
                      </w:r>
                    </w:p>
                    <w:p w14:paraId="24CDDB31" w14:textId="77777777" w:rsidR="004B57A0" w:rsidRDefault="009C15E1">
                      <w:pPr>
                        <w:pStyle w:val="Body"/>
                        <w:jc w:val="center"/>
                      </w:pPr>
                      <w:r>
                        <w:t xml:space="preserve"> 1.  The status of relationship recognition: marriage, strong or weak civil partnership. 2.  Where joint adoption and second parent adoption exist in Europe (the most dense area).</w:t>
                      </w:r>
                    </w:p>
                    <w:p w14:paraId="085EAE10" w14:textId="77777777" w:rsidR="004B57A0" w:rsidRDefault="009C15E1">
                      <w:pPr>
                        <w:pStyle w:val="Body"/>
                        <w:jc w:val="center"/>
                      </w:pPr>
                      <w:r>
                        <w:t>Reading this Recognition map, and looking at Iceland, one sees there is marriage equality in that State, and both joint adoption and second parent adoption are available to same sex couples.</w:t>
                      </w:r>
                    </w:p>
                  </w:txbxContent>
                </v:textbox>
                <w10:wrap anchorx="page" anchory="line"/>
              </v:rect>
            </w:pict>
          </mc:Fallback>
        </mc:AlternateContent>
      </w:r>
    </w:p>
    <w:p w14:paraId="5B85806F" w14:textId="77777777" w:rsidR="00192127" w:rsidRDefault="00192127">
      <w:pPr>
        <w:pStyle w:val="Body"/>
        <w:spacing w:line="360" w:lineRule="auto"/>
        <w:jc w:val="both"/>
      </w:pPr>
    </w:p>
    <w:p w14:paraId="2FDD17DB" w14:textId="2F25E316" w:rsidR="004B57A0" w:rsidRDefault="009C15E1">
      <w:pPr>
        <w:pStyle w:val="Body"/>
        <w:spacing w:line="360" w:lineRule="auto"/>
        <w:jc w:val="both"/>
      </w:pPr>
      <w:r>
        <w:lastRenderedPageBreak/>
        <w:t>The third map (blue) concerns Protection. The Overview map indicated protection with a shield – this map explains the nature of those protections in detail.</w:t>
      </w:r>
    </w:p>
    <w:p w14:paraId="4FE904F9" w14:textId="77777777" w:rsidR="004B57A0" w:rsidRDefault="009C15E1">
      <w:pPr>
        <w:pStyle w:val="Body"/>
        <w:spacing w:line="360" w:lineRule="auto"/>
        <w:jc w:val="both"/>
      </w:pPr>
      <w:r>
        <w:t xml:space="preserve"> 1.  Where a country is </w:t>
      </w:r>
      <w:proofErr w:type="spellStart"/>
      <w:r>
        <w:t>coloured</w:t>
      </w:r>
      <w:proofErr w:type="spellEnd"/>
      <w:r>
        <w:t xml:space="preserve"> blue, it has employment law that protects against discrimination on grounds of sexual orientation. </w:t>
      </w:r>
    </w:p>
    <w:p w14:paraId="3970AB2F" w14:textId="77777777" w:rsidR="004B57A0" w:rsidRDefault="009C15E1">
      <w:pPr>
        <w:pStyle w:val="Body"/>
        <w:spacing w:line="360" w:lineRule="auto"/>
        <w:jc w:val="both"/>
      </w:pPr>
      <w:r>
        <w:t xml:space="preserve"> 2.  A pink dot signifies Constitutional protection, and an orange dot means there are other protections (health, education, housing, </w:t>
      </w:r>
      <w:proofErr w:type="spellStart"/>
      <w:r>
        <w:t>etc</w:t>
      </w:r>
      <w:proofErr w:type="spellEnd"/>
      <w:r>
        <w:t>) that include sexual orientation in their texts.</w:t>
      </w:r>
    </w:p>
    <w:p w14:paraId="3264050A" w14:textId="77777777" w:rsidR="004B57A0" w:rsidRDefault="009C15E1">
      <w:pPr>
        <w:pStyle w:val="Body"/>
        <w:spacing w:line="360" w:lineRule="auto"/>
        <w:jc w:val="both"/>
      </w:pPr>
      <w:r>
        <w:t xml:space="preserve"> 3.  The letter A indicates hate crime legislation inclusive of sexual orientation.</w:t>
      </w:r>
    </w:p>
    <w:p w14:paraId="422217BD" w14:textId="77777777" w:rsidR="004B57A0" w:rsidRDefault="009C15E1">
      <w:pPr>
        <w:pStyle w:val="Body"/>
        <w:spacing w:line="360" w:lineRule="auto"/>
        <w:jc w:val="both"/>
      </w:pPr>
      <w:r>
        <w:t xml:space="preserve"> 4.  B means laws that protect from incitement to hatred (hate speech).</w:t>
      </w:r>
    </w:p>
    <w:p w14:paraId="30F595F6" w14:textId="77777777" w:rsidR="004B57A0" w:rsidRDefault="009C15E1">
      <w:pPr>
        <w:pStyle w:val="Body"/>
        <w:spacing w:line="360" w:lineRule="auto"/>
        <w:jc w:val="both"/>
      </w:pPr>
      <w:r>
        <w:t xml:space="preserve"> 5. C indicates that there is a national human rights institution active. These are often important sites for the early development of what will become laws and policies in States. </w:t>
      </w:r>
    </w:p>
    <w:p w14:paraId="5886D236" w14:textId="77777777" w:rsidR="004B57A0" w:rsidRDefault="009C15E1">
      <w:pPr>
        <w:pStyle w:val="Body"/>
        <w:spacing w:line="360" w:lineRule="auto"/>
        <w:jc w:val="both"/>
      </w:pPr>
      <w:r>
        <w:t>Reading this Protection map, and looking at Germany, one sees that it has protective employment law (blue), some other non-discrimination law (orange dot), but no hate crime or incitement to hatred laws (absence of A and B), while it does have a human rights institution inclusive of sexual orientation (C). Luxembourg on the other hand has the same but has both hate laws (A and B).</w:t>
      </w:r>
    </w:p>
    <w:p w14:paraId="473B4546" w14:textId="7CAC37E7" w:rsidR="004B57A0" w:rsidRDefault="009C15E1">
      <w:pPr>
        <w:pStyle w:val="Body"/>
        <w:spacing w:line="360" w:lineRule="auto"/>
        <w:jc w:val="both"/>
      </w:pPr>
      <w:r>
        <w:rPr>
          <w:noProof/>
        </w:rPr>
        <mc:AlternateContent>
          <mc:Choice Requires="wps">
            <w:drawing>
              <wp:anchor distT="0" distB="0" distL="0" distR="0" simplePos="0" relativeHeight="251665408" behindDoc="0" locked="0" layoutInCell="1" allowOverlap="1" wp14:anchorId="7BFD6186" wp14:editId="103C10A6">
                <wp:simplePos x="0" y="0"/>
                <wp:positionH relativeFrom="page">
                  <wp:posOffset>21825</wp:posOffset>
                </wp:positionH>
                <wp:positionV relativeFrom="line">
                  <wp:posOffset>364459</wp:posOffset>
                </wp:positionV>
                <wp:extent cx="7538485" cy="712383"/>
                <wp:effectExtent l="0" t="0" r="0" b="0"/>
                <wp:wrapNone/>
                <wp:docPr id="1073741831" name="officeArt object" descr="Rectangle 9"/>
                <wp:cNvGraphicFramePr/>
                <a:graphic xmlns:a="http://schemas.openxmlformats.org/drawingml/2006/main">
                  <a:graphicData uri="http://schemas.microsoft.com/office/word/2010/wordprocessingShape">
                    <wps:wsp>
                      <wps:cNvSpPr/>
                      <wps:spPr>
                        <a:xfrm>
                          <a:off x="0" y="0"/>
                          <a:ext cx="7538485" cy="712383"/>
                        </a:xfrm>
                        <a:prstGeom prst="rect">
                          <a:avLst/>
                        </a:prstGeom>
                        <a:solidFill>
                          <a:schemeClr val="accent1"/>
                        </a:solidFill>
                        <a:ln w="12700" cap="flat">
                          <a:solidFill>
                            <a:srgbClr val="32538F"/>
                          </a:solidFill>
                          <a:prstDash val="solid"/>
                          <a:miter lim="800000"/>
                        </a:ln>
                        <a:effectLst/>
                      </wps:spPr>
                      <wps:txbx>
                        <w:txbxContent>
                          <w:p w14:paraId="76984CC1" w14:textId="77777777" w:rsidR="004B57A0" w:rsidRDefault="009C15E1">
                            <w:pPr>
                              <w:pStyle w:val="Body"/>
                              <w:jc w:val="center"/>
                            </w:pPr>
                            <w:r>
                              <w:rPr>
                                <w:sz w:val="32"/>
                                <w:szCs w:val="32"/>
                              </w:rPr>
                              <w:t>Page 192 Protection</w:t>
                            </w:r>
                          </w:p>
                        </w:txbxContent>
                      </wps:txbx>
                      <wps:bodyPr wrap="square" lIns="45719" tIns="45719" rIns="45719" bIns="45719" numCol="1" anchor="ctr">
                        <a:noAutofit/>
                      </wps:bodyPr>
                    </wps:wsp>
                  </a:graphicData>
                </a:graphic>
              </wp:anchor>
            </w:drawing>
          </mc:Choice>
          <mc:Fallback>
            <w:pict>
              <v:rect w14:anchorId="7BFD6186" id="_x0000_s1029" alt="Rectangle 9" style="position:absolute;left:0;text-align:left;margin-left:1.7pt;margin-top:28.7pt;width:593.6pt;height:56.1pt;z-index:251665408;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" fillcolor="#4472c4 [3204]" strokecolor="#32538f" strokeweight="1pt">
                <v:textbox inset="1.27mm,1.27mm,1.27mm,1.27mm">
                  <w:txbxContent>
                    <w:p w14:paraId="76984CC1" w14:textId="77777777" w:rsidR="004B57A0" w:rsidRDefault="009C15E1">
                      <w:pPr>
                        <w:pStyle w:val="Body"/>
                        <w:jc w:val="center"/>
                      </w:pPr>
                      <w:r>
                        <w:rPr>
                          <w:sz w:val="32"/>
                          <w:szCs w:val="32"/>
                        </w:rPr>
                        <w:t>Page 192 Protection</w:t>
                      </w:r>
                    </w:p>
                  </w:txbxContent>
                </v:textbox>
                <w10:wrap anchorx="page" anchory="line"/>
              </v:rect>
            </w:pict>
          </mc:Fallback>
        </mc:AlternateContent>
      </w:r>
      <w:r>
        <w:rPr>
          <w:noProof/>
        </w:rPr>
        <w:drawing>
          <wp:anchor distT="0" distB="0" distL="0" distR="0" simplePos="0" relativeHeight="251657216" behindDoc="1" locked="0" layoutInCell="1" allowOverlap="1" wp14:anchorId="27C7A7B7" wp14:editId="6840D2D3">
            <wp:simplePos x="0" y="0"/>
            <wp:positionH relativeFrom="page">
              <wp:posOffset>21265</wp:posOffset>
            </wp:positionH>
            <wp:positionV relativeFrom="line">
              <wp:posOffset>375092</wp:posOffset>
            </wp:positionV>
            <wp:extent cx="7540485" cy="4166295"/>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3.png"/>
                    <pic:cNvPicPr>
                      <a:picLocks noChangeAspect="1"/>
                    </pic:cNvPicPr>
                  </pic:nvPicPr>
                  <pic:blipFill>
                    <a:blip r:embed="rId40"/>
                    <a:stretch>
                      <a:fillRect/>
                    </a:stretch>
                  </pic:blipFill>
                  <pic:spPr>
                    <a:xfrm>
                      <a:off x="0" y="0"/>
                      <a:ext cx="7540485" cy="4166295"/>
                    </a:xfrm>
                    <a:prstGeom prst="rect">
                      <a:avLst/>
                    </a:prstGeom>
                    <a:ln w="12700" cap="flat">
                      <a:noFill/>
                      <a:miter lim="400000"/>
                    </a:ln>
                    <a:effectLst/>
                  </pic:spPr>
                </pic:pic>
              </a:graphicData>
            </a:graphic>
          </wp:anchor>
        </w:drawing>
      </w:r>
    </w:p>
    <w:p w14:paraId="75E98689" w14:textId="77777777" w:rsidR="00192127" w:rsidRDefault="00192127">
      <w:pPr>
        <w:pStyle w:val="Body"/>
        <w:spacing w:line="360" w:lineRule="auto"/>
        <w:jc w:val="both"/>
      </w:pPr>
    </w:p>
    <w:p w14:paraId="47DD583C" w14:textId="070848F1" w:rsidR="004B57A0" w:rsidRDefault="009C15E1">
      <w:pPr>
        <w:pStyle w:val="Body"/>
        <w:spacing w:line="360" w:lineRule="auto"/>
        <w:jc w:val="both"/>
      </w:pPr>
      <w:r>
        <w:rPr>
          <w:noProof/>
        </w:rPr>
        <mc:AlternateContent>
          <mc:Choice Requires="wps">
            <w:drawing>
              <wp:anchor distT="57150" distB="57150" distL="57150" distR="57150" simplePos="0" relativeHeight="251659264" behindDoc="0" locked="0" layoutInCell="1" allowOverlap="1" wp14:anchorId="29887DE0" wp14:editId="0173A4BB">
                <wp:simplePos x="0" y="0"/>
                <wp:positionH relativeFrom="page">
                  <wp:posOffset>0</wp:posOffset>
                </wp:positionH>
                <wp:positionV relativeFrom="line">
                  <wp:posOffset>3963050</wp:posOffset>
                </wp:positionV>
                <wp:extent cx="7732758" cy="221614"/>
                <wp:effectExtent l="0" t="0" r="0" b="0"/>
                <wp:wrapThrough wrapText="bothSides" distL="57150" distR="57150">
                  <wp:wrapPolygon edited="1">
                    <wp:start x="-18" y="-619"/>
                    <wp:lineTo x="-18" y="0"/>
                    <wp:lineTo x="-18" y="21585"/>
                    <wp:lineTo x="-18" y="22204"/>
                    <wp:lineTo x="0" y="22204"/>
                    <wp:lineTo x="21600" y="22204"/>
                    <wp:lineTo x="21618" y="22204"/>
                    <wp:lineTo x="21618" y="21585"/>
                    <wp:lineTo x="21618" y="0"/>
                    <wp:lineTo x="21618" y="-619"/>
                    <wp:lineTo x="21600" y="-619"/>
                    <wp:lineTo x="0" y="-619"/>
                    <wp:lineTo x="-18" y="-619"/>
                  </wp:wrapPolygon>
                </wp:wrapThrough>
                <wp:docPr id="1073741833" name="officeArt object" descr="Rectangle 6"/>
                <wp:cNvGraphicFramePr/>
                <a:graphic xmlns:a="http://schemas.openxmlformats.org/drawingml/2006/main">
                  <a:graphicData uri="http://schemas.microsoft.com/office/word/2010/wordprocessingShape">
                    <wps:wsp>
                      <wps:cNvSpPr/>
                      <wps:spPr>
                        <a:xfrm>
                          <a:off x="0" y="0"/>
                          <a:ext cx="7732758" cy="221614"/>
                        </a:xfrm>
                        <a:prstGeom prst="rect">
                          <a:avLst/>
                        </a:prstGeom>
                        <a:solidFill>
                          <a:schemeClr val="accent1"/>
                        </a:solidFill>
                        <a:ln w="12700" cap="flat">
                          <a:solidFill>
                            <a:srgbClr val="32538F"/>
                          </a:solidFill>
                          <a:prstDash val="solid"/>
                          <a:miter lim="800000"/>
                        </a:ln>
                        <a:effectLst/>
                      </wps:spPr>
                      <wps:bodyPr/>
                    </wps:wsp>
                  </a:graphicData>
                </a:graphic>
              </wp:anchor>
            </w:drawing>
          </mc:Choice>
          <mc:Fallback>
            <w:pict>
              <v:rect w14:anchorId="76EFBBB7" id="officeArt object" o:spid="_x0000_s1026" alt="Rectangle 6" style="position:absolute;margin-left:0;margin-top:312.05pt;width:608.9pt;height:17.45pt;z-index:251659264;visibility:visible;mso-wrap-style:square;mso-wrap-distance-left:4.5pt;mso-wrap-distance-top:4.5pt;mso-wrap-distance-right:4.5pt;mso-wrap-distance-bottom:4.5pt;mso-position-horizontal:absolute;mso-position-horizontal-relative:page;mso-position-vertical:absolute;mso-position-vertical-relative:line;v-text-anchor:top" wrapcoords="-18 -617 -18 0 -18 21523 -18 22140 0 22140 21598 22140 21616 22140 21616 21523 21616 0 21616 -617 21598 -617 0 -617 -18 -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" fillcolor="#4472c4 [3204]" strokecolor="#32538f" strokeweight="1pt">
                <w10:wrap type="through" anchorx="page" anchory="line"/>
              </v:rect>
            </w:pict>
          </mc:Fallback>
        </mc:AlternateContent>
      </w:r>
    </w:p>
    <w:sectPr w:rsidR="004B57A0">
      <w:headerReference w:type="default" r:id="rId41"/>
      <w:footerReference w:type="default" r:id="rId42"/>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FEC9C" w14:textId="77777777" w:rsidR="00645296" w:rsidRDefault="00645296">
      <w:r>
        <w:separator/>
      </w:r>
    </w:p>
  </w:endnote>
  <w:endnote w:type="continuationSeparator" w:id="0">
    <w:p w14:paraId="60F16FD6" w14:textId="77777777" w:rsidR="00645296" w:rsidRDefault="00645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333D" w14:textId="77777777" w:rsidR="004B57A0" w:rsidRDefault="009C15E1">
    <w:pPr>
      <w:pStyle w:val="Footer"/>
      <w:tabs>
        <w:tab w:val="clear" w:pos="9026"/>
        <w:tab w:val="right" w:pos="9000"/>
      </w:tabs>
      <w:jc w:val="right"/>
    </w:pPr>
    <w:r>
      <w:fldChar w:fldCharType="begin"/>
    </w:r>
    <w:r>
      <w:instrText xml:space="preserve"> PAGE </w:instrText>
    </w:r>
    <w:r>
      <w:fldChar w:fldCharType="separate"/>
    </w:r>
    <w:r w:rsidR="00B8663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016CC" w14:textId="77777777" w:rsidR="00645296" w:rsidRDefault="00645296">
      <w:r>
        <w:separator/>
      </w:r>
    </w:p>
  </w:footnote>
  <w:footnote w:type="continuationSeparator" w:id="0">
    <w:p w14:paraId="6CFD5997" w14:textId="77777777" w:rsidR="00645296" w:rsidRDefault="00645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EC56C" w14:textId="77777777" w:rsidR="004B57A0" w:rsidRDefault="009C15E1">
    <w:pPr>
      <w:pStyle w:val="Header"/>
      <w:tabs>
        <w:tab w:val="clear" w:pos="9026"/>
        <w:tab w:val="right" w:pos="9000"/>
      </w:tabs>
    </w:pPr>
    <w:r>
      <w:t>ECED7003</w:t>
    </w:r>
  </w:p>
  <w:p w14:paraId="08388C11" w14:textId="77777777" w:rsidR="004B57A0" w:rsidRDefault="009C15E1">
    <w:pPr>
      <w:pStyle w:val="Header"/>
      <w:tabs>
        <w:tab w:val="clear" w:pos="9026"/>
        <w:tab w:val="right" w:pos="9000"/>
      </w:tabs>
    </w:pPr>
    <w:r>
      <w:t>Ass 1</w:t>
    </w:r>
    <w:r>
      <w:tab/>
      <w:t>1601787</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7A0"/>
    <w:rsid w:val="00003F68"/>
    <w:rsid w:val="00023D5F"/>
    <w:rsid w:val="00042170"/>
    <w:rsid w:val="000452BE"/>
    <w:rsid w:val="00062818"/>
    <w:rsid w:val="00065C56"/>
    <w:rsid w:val="000815AD"/>
    <w:rsid w:val="00081FE0"/>
    <w:rsid w:val="0008499E"/>
    <w:rsid w:val="000962C1"/>
    <w:rsid w:val="000A2561"/>
    <w:rsid w:val="000B7D98"/>
    <w:rsid w:val="000D299E"/>
    <w:rsid w:val="000E5122"/>
    <w:rsid w:val="00102DFF"/>
    <w:rsid w:val="001113A6"/>
    <w:rsid w:val="00156DC9"/>
    <w:rsid w:val="00161D32"/>
    <w:rsid w:val="001810BB"/>
    <w:rsid w:val="001834FD"/>
    <w:rsid w:val="00186A55"/>
    <w:rsid w:val="00192127"/>
    <w:rsid w:val="0019472D"/>
    <w:rsid w:val="0019506D"/>
    <w:rsid w:val="00196FE5"/>
    <w:rsid w:val="001A3991"/>
    <w:rsid w:val="001D32A0"/>
    <w:rsid w:val="001D5BC4"/>
    <w:rsid w:val="001E3956"/>
    <w:rsid w:val="001E3A8C"/>
    <w:rsid w:val="001F2220"/>
    <w:rsid w:val="001F4BA8"/>
    <w:rsid w:val="00213001"/>
    <w:rsid w:val="0021603E"/>
    <w:rsid w:val="002254E4"/>
    <w:rsid w:val="00244001"/>
    <w:rsid w:val="002631D0"/>
    <w:rsid w:val="00266F2A"/>
    <w:rsid w:val="0028108E"/>
    <w:rsid w:val="002865BD"/>
    <w:rsid w:val="002A0CF7"/>
    <w:rsid w:val="002D6396"/>
    <w:rsid w:val="002D7EEE"/>
    <w:rsid w:val="002E6C20"/>
    <w:rsid w:val="002F3E24"/>
    <w:rsid w:val="002F6CEF"/>
    <w:rsid w:val="003200FE"/>
    <w:rsid w:val="00322208"/>
    <w:rsid w:val="00332EEC"/>
    <w:rsid w:val="00334359"/>
    <w:rsid w:val="003343B7"/>
    <w:rsid w:val="0034571C"/>
    <w:rsid w:val="00356962"/>
    <w:rsid w:val="003570A6"/>
    <w:rsid w:val="00394870"/>
    <w:rsid w:val="003C7395"/>
    <w:rsid w:val="003F05E2"/>
    <w:rsid w:val="003F3615"/>
    <w:rsid w:val="004052F6"/>
    <w:rsid w:val="00407F4E"/>
    <w:rsid w:val="0042615C"/>
    <w:rsid w:val="00450815"/>
    <w:rsid w:val="00490C13"/>
    <w:rsid w:val="00496FC7"/>
    <w:rsid w:val="004B29C4"/>
    <w:rsid w:val="004B57A0"/>
    <w:rsid w:val="004C4159"/>
    <w:rsid w:val="00514DCB"/>
    <w:rsid w:val="00580914"/>
    <w:rsid w:val="00583727"/>
    <w:rsid w:val="0058534A"/>
    <w:rsid w:val="005A459A"/>
    <w:rsid w:val="005B3E0F"/>
    <w:rsid w:val="005B745D"/>
    <w:rsid w:val="005C5A26"/>
    <w:rsid w:val="005D55AD"/>
    <w:rsid w:val="005E4764"/>
    <w:rsid w:val="005F1755"/>
    <w:rsid w:val="00601BDA"/>
    <w:rsid w:val="006202B5"/>
    <w:rsid w:val="00634627"/>
    <w:rsid w:val="00642FEC"/>
    <w:rsid w:val="00645296"/>
    <w:rsid w:val="00646144"/>
    <w:rsid w:val="00692B10"/>
    <w:rsid w:val="0069373C"/>
    <w:rsid w:val="006A478F"/>
    <w:rsid w:val="006D4D3D"/>
    <w:rsid w:val="007062EF"/>
    <w:rsid w:val="00734E56"/>
    <w:rsid w:val="00763FCA"/>
    <w:rsid w:val="0079014C"/>
    <w:rsid w:val="00791FEB"/>
    <w:rsid w:val="007963E6"/>
    <w:rsid w:val="007978EC"/>
    <w:rsid w:val="007B13B6"/>
    <w:rsid w:val="007B1688"/>
    <w:rsid w:val="007D2299"/>
    <w:rsid w:val="007E51FC"/>
    <w:rsid w:val="0080781F"/>
    <w:rsid w:val="0081088F"/>
    <w:rsid w:val="0081305C"/>
    <w:rsid w:val="00815D28"/>
    <w:rsid w:val="00817CC8"/>
    <w:rsid w:val="00854DF3"/>
    <w:rsid w:val="00857E12"/>
    <w:rsid w:val="00893C39"/>
    <w:rsid w:val="008A6F84"/>
    <w:rsid w:val="008B53C3"/>
    <w:rsid w:val="008B6BD4"/>
    <w:rsid w:val="008E6875"/>
    <w:rsid w:val="008F7BA2"/>
    <w:rsid w:val="00951E05"/>
    <w:rsid w:val="00956D2F"/>
    <w:rsid w:val="00960D7C"/>
    <w:rsid w:val="00967F56"/>
    <w:rsid w:val="00984FEF"/>
    <w:rsid w:val="009A029E"/>
    <w:rsid w:val="009C0239"/>
    <w:rsid w:val="009C15E1"/>
    <w:rsid w:val="009D5BF2"/>
    <w:rsid w:val="009F1C32"/>
    <w:rsid w:val="00A05BFC"/>
    <w:rsid w:val="00A162F4"/>
    <w:rsid w:val="00A27E10"/>
    <w:rsid w:val="00A72966"/>
    <w:rsid w:val="00AA24D4"/>
    <w:rsid w:val="00AA7805"/>
    <w:rsid w:val="00AC27A1"/>
    <w:rsid w:val="00AF63A6"/>
    <w:rsid w:val="00B07561"/>
    <w:rsid w:val="00B120B1"/>
    <w:rsid w:val="00B168DC"/>
    <w:rsid w:val="00B334AF"/>
    <w:rsid w:val="00B62CF9"/>
    <w:rsid w:val="00B67B1C"/>
    <w:rsid w:val="00B80641"/>
    <w:rsid w:val="00B86632"/>
    <w:rsid w:val="00B92C67"/>
    <w:rsid w:val="00BA5E8B"/>
    <w:rsid w:val="00BB6CFD"/>
    <w:rsid w:val="00BC2DA5"/>
    <w:rsid w:val="00BC3288"/>
    <w:rsid w:val="00BE5E7E"/>
    <w:rsid w:val="00C1514D"/>
    <w:rsid w:val="00C255FC"/>
    <w:rsid w:val="00C26918"/>
    <w:rsid w:val="00C41757"/>
    <w:rsid w:val="00C47640"/>
    <w:rsid w:val="00C63DB0"/>
    <w:rsid w:val="00C64B52"/>
    <w:rsid w:val="00C651FF"/>
    <w:rsid w:val="00C65D59"/>
    <w:rsid w:val="00C70338"/>
    <w:rsid w:val="00C8007F"/>
    <w:rsid w:val="00CB00FA"/>
    <w:rsid w:val="00CB12E7"/>
    <w:rsid w:val="00CD2561"/>
    <w:rsid w:val="00CF233A"/>
    <w:rsid w:val="00D07311"/>
    <w:rsid w:val="00D13F81"/>
    <w:rsid w:val="00D2228C"/>
    <w:rsid w:val="00D27A14"/>
    <w:rsid w:val="00D407C0"/>
    <w:rsid w:val="00D42502"/>
    <w:rsid w:val="00D71843"/>
    <w:rsid w:val="00D73CC8"/>
    <w:rsid w:val="00DB112A"/>
    <w:rsid w:val="00DC7BCF"/>
    <w:rsid w:val="00DD4E5A"/>
    <w:rsid w:val="00DD673B"/>
    <w:rsid w:val="00DE188B"/>
    <w:rsid w:val="00E053DC"/>
    <w:rsid w:val="00E22364"/>
    <w:rsid w:val="00E24F06"/>
    <w:rsid w:val="00E274D2"/>
    <w:rsid w:val="00E37D01"/>
    <w:rsid w:val="00E776AE"/>
    <w:rsid w:val="00EB21EC"/>
    <w:rsid w:val="00ED3F30"/>
    <w:rsid w:val="00ED6A02"/>
    <w:rsid w:val="00EE3025"/>
    <w:rsid w:val="00F02B83"/>
    <w:rsid w:val="00F1464B"/>
    <w:rsid w:val="00F20046"/>
    <w:rsid w:val="00F50523"/>
    <w:rsid w:val="00F575A9"/>
    <w:rsid w:val="00F70E83"/>
    <w:rsid w:val="00F84D1B"/>
    <w:rsid w:val="00FA4497"/>
    <w:rsid w:val="00FB2B81"/>
    <w:rsid w:val="00FB69CF"/>
    <w:rsid w:val="00FD5C38"/>
    <w:rsid w:val="00FE2FDA"/>
    <w:rsid w:val="00FE4E3F"/>
    <w:rsid w:val="00FF5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F99DC"/>
  <w15:docId w15:val="{30AE823A-748F-4061-BECB-61D224371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
    <w:name w:val="Body"/>
    <w:pPr>
      <w:spacing w:after="160" w:line="259"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outline w:val="0"/>
      <w:color w:val="0563C1"/>
      <w:u w:val="single" w:color="0563C1"/>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866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632"/>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693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jstor.org/stable/2075528?seq=1" TargetMode="External"/><Relationship Id="rId13" Type="http://schemas.openxmlformats.org/officeDocument/2006/relationships/hyperlink" Target="https://scholar.google.co.uk/scholar?cluster=12188375147885035642&amp;hl=en&amp;as_sdt=0,5" TargetMode="External"/><Relationship Id="rId18" Type="http://schemas.openxmlformats.org/officeDocument/2006/relationships/hyperlink" Target="https://www.jstor.org/stable/657965?origin=JSTOR-pdf&amp;seq=1" TargetMode="External"/><Relationship Id="rId26" Type="http://schemas.openxmlformats.org/officeDocument/2006/relationships/hyperlink" Target="http://www.bou.ac.ir/portal/file/?171392/Mass.Communication.Theory.6th.Edition-(McQuails)-.pdf" TargetMode="External"/><Relationship Id="rId39"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equalityhumanrights.com/en/human-rights/what-are-human-rights" TargetMode="External"/><Relationship Id="rId34" Type="http://schemas.openxmlformats.org/officeDocument/2006/relationships/hyperlink" Target="https://scholar.google.co.uk/scholar?cluster=5143086137243766872&amp;hl=en&amp;as_sdt=0,5" TargetMode="External"/><Relationship Id="rId42" Type="http://schemas.openxmlformats.org/officeDocument/2006/relationships/footer" Target="footer1.xml"/><Relationship Id="rId7" Type="http://schemas.openxmlformats.org/officeDocument/2006/relationships/hyperlink" Target="https://scholar.google.co.uk/scholar?cluster=6550510291311809133&amp;hl=en&amp;as_sdt=0,5" TargetMode="External"/><Relationship Id="rId12" Type="http://schemas.openxmlformats.org/officeDocument/2006/relationships/hyperlink" Target="https://www.researchgate.net/publication/324861896_State_Sponsored_Homophobia_2017_A_world_survey_of_sexual_orientation_laws_criminalisation_protection_and_recognition" TargetMode="External"/><Relationship Id="rId17" Type="http://schemas.openxmlformats.org/officeDocument/2006/relationships/hyperlink" Target="http://philsci-archive.pitt.edu/id/eprint/1062" TargetMode="External"/><Relationship Id="rId25" Type="http://schemas.openxmlformats.org/officeDocument/2006/relationships/hyperlink" Target="https://scholar.google.com/scholar?hl=en&amp;as_sdt=0%252C5&amp;q=Hyper-masculinity+in+the+media&amp;btnG=" TargetMode="External"/><Relationship Id="rId33" Type="http://schemas.openxmlformats.org/officeDocument/2006/relationships/hyperlink" Target="https://www.ons.gov.uk/peoplepopulationandcommunity/crimeandjustice/articles/childsexualabuseinenglandandwales/yearendingmarch2019" TargetMode="External"/><Relationship Id="rId38"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journals.sagepub.com/doi/pdf/10.1177/2056305118786727(Accessed" TargetMode="External"/><Relationship Id="rId20" Type="http://schemas.openxmlformats.org/officeDocument/2006/relationships/hyperlink" Target="https://www.equalityhumanrights.com/en/legal-responses/ensuring-strong-equalities-legislation-after-eu-exit-inquiry-our-response-women-and" TargetMode="External"/><Relationship Id="rId29" Type="http://schemas.openxmlformats.org/officeDocument/2006/relationships/hyperlink" Target="http://beyondutopia.net/leadership-lectures/tomkins-1.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11/j.1467-954X.2006.00603.x" TargetMode="External"/><Relationship Id="rId24" Type="http://schemas.openxmlformats.org/officeDocument/2006/relationships/hyperlink" Target="https://www.parliament.uk/documents/commons/lib/research/key_issues/Key-Issues-From-the-Human-Rights-Act-to-a-Bill-of-Rights.pdf" TargetMode="External"/><Relationship Id="rId32" Type="http://schemas.openxmlformats.org/officeDocument/2006/relationships/hyperlink" Target="https://www.ons.gov.uk/peoplepopulationandcommunity/crimeandjustice/articles/domesticabusefindingsfromthecrimesurveyforenglandandwales/yearendingmarch2018" TargetMode="External"/><Relationship Id="rId37" Type="http://schemas.openxmlformats.org/officeDocument/2006/relationships/hyperlink" Target="https://www.who.int/reproductivehealth/topics/gender_rights/sexual_health/en/" TargetMode="External"/><Relationship Id="rId40"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onlinelibrary.wiley.com/doi/pdf/10.1002/j.2161-1912.2002.tb00522.x" TargetMode="External"/><Relationship Id="rId23" Type="http://schemas.openxmlformats.org/officeDocument/2006/relationships/hyperlink" Target="https://scholar.google.co.uk/scholar?cluster=1895949073457389279&amp;hl=en&amp;as_sdt=0,5" TargetMode="External"/><Relationship Id="rId28" Type="http://schemas.openxmlformats.org/officeDocument/2006/relationships/hyperlink" Target="http://www.jstor.org/stable/1395255" TargetMode="External"/><Relationship Id="rId36" Type="http://schemas.openxmlformats.org/officeDocument/2006/relationships/hyperlink" Target="http://links.jstor.org/sici?sici=0891-2432%2528198706%25291%253A2%253C125%253ADG%253E2.0.CO%253B2-W" TargetMode="External"/><Relationship Id="rId10" Type="http://schemas.openxmlformats.org/officeDocument/2006/relationships/hyperlink" Target="https://scholar.google.co.uk/scholar?cluster=10824320848510499074&amp;hl=en&amp;as_sdt=0,5" TargetMode="External"/><Relationship Id="rId19" Type="http://schemas.openxmlformats.org/officeDocument/2006/relationships/hyperlink" Target="https://ro.uow.edu.au/cgi/viewcontent.cgi?article=1149&amp;context=artspapers" TargetMode="External"/><Relationship Id="rId31" Type="http://schemas.openxmlformats.org/officeDocument/2006/relationships/hyperlink" Target="https://scholar.google.co.uk/scholar?cluster=4686484028901259957&amp;hl=en&amp;as_sdt=0,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nlinelibrary.wiley.com/doi/pdf/10.1111/j.1746-8361.2002.tb00239.x" TargetMode="External"/><Relationship Id="rId14" Type="http://schemas.openxmlformats.org/officeDocument/2006/relationships/hyperlink" Target="https://scholar.google.co.uk/scholar?cluster=15603422084882134456&amp;hl=en&amp;as_sdt=0,5" TargetMode="External"/><Relationship Id="rId22" Type="http://schemas.openxmlformats.org/officeDocument/2006/relationships/hyperlink" Target="https://scholar.google.co.uk/scholar?cluster=3123766766061169990&amp;hl=en&amp;as_sdt=0,5" TargetMode="External"/><Relationship Id="rId27" Type="http://schemas.openxmlformats.org/officeDocument/2006/relationships/hyperlink" Target="https://plato.stanford.edu/archives/fall2019/entries/feminism-gender/" TargetMode="External"/><Relationship Id="rId30" Type="http://schemas.openxmlformats.org/officeDocument/2006/relationships/hyperlink" Target="https://scholar.google.co.uk/scholar?cluster=17149651993763682065&amp;hl=en&amp;as_sdt=0,5" TargetMode="External"/><Relationship Id="rId35" Type="http://schemas.openxmlformats.org/officeDocument/2006/relationships/hyperlink" Target="https://scholar.google.co.uk/scholar?cluster=10195652847955626312&amp;hl=en&amp;as_sdt=0,5"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F92A5-E12C-416F-8EE8-D03237F12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16</Pages>
  <Words>6262</Words>
  <Characters>35694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Gale</dc:creator>
  <cp:lastModifiedBy>Polly Gale</cp:lastModifiedBy>
  <cp:revision>99</cp:revision>
  <dcterms:created xsi:type="dcterms:W3CDTF">2020-02-11T22:38:00Z</dcterms:created>
  <dcterms:modified xsi:type="dcterms:W3CDTF">2020-02-13T18:02:00Z</dcterms:modified>
</cp:coreProperties>
</file>