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6721C4E" w14:textId="77777777" w:rsidR="00D0403F" w:rsidRDefault="00D0403F" w:rsidP="003369C4">
      <w:pPr>
        <w:jc w:val="both"/>
        <w:rPr>
          <w:b/>
          <w:bCs/>
          <w:noProof/>
          <w:sz w:val="28"/>
          <w:szCs w:val="28"/>
        </w:rPr>
      </w:pPr>
    </w:p>
    <w:p w14:paraId="1FC5EEF6" w14:textId="77777777" w:rsidR="00D0403F" w:rsidRDefault="00D0403F" w:rsidP="003369C4">
      <w:pPr>
        <w:jc w:val="both"/>
        <w:rPr>
          <w:b/>
          <w:bCs/>
          <w:sz w:val="28"/>
          <w:szCs w:val="28"/>
        </w:rPr>
      </w:pPr>
      <w:r>
        <w:rPr>
          <w:b/>
          <w:bCs/>
          <w:noProof/>
          <w:sz w:val="28"/>
          <w:szCs w:val="28"/>
        </w:rPr>
        <w:drawing>
          <wp:inline distT="0" distB="0" distL="0" distR="0" wp14:anchorId="2A3DF79B" wp14:editId="341DCD9D">
            <wp:extent cx="4848447" cy="1243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8761" cy="1267020"/>
                    </a:xfrm>
                    <a:prstGeom prst="rect">
                      <a:avLst/>
                    </a:prstGeom>
                    <a:noFill/>
                  </pic:spPr>
                </pic:pic>
              </a:graphicData>
            </a:graphic>
          </wp:inline>
        </w:drawing>
      </w:r>
    </w:p>
    <w:p w14:paraId="6E11B23B" w14:textId="0F9344E0" w:rsidR="003369C4" w:rsidRPr="003A1FB4" w:rsidRDefault="003369C4" w:rsidP="003369C4">
      <w:pPr>
        <w:jc w:val="both"/>
        <w:rPr>
          <w:b/>
          <w:bCs/>
          <w:sz w:val="28"/>
          <w:szCs w:val="28"/>
        </w:rPr>
      </w:pPr>
      <w:r w:rsidRPr="003A1FB4">
        <w:rPr>
          <w:b/>
          <w:bCs/>
          <w:sz w:val="28"/>
          <w:szCs w:val="28"/>
        </w:rPr>
        <w:t xml:space="preserve">Title: Quality Assurance and Patient Safety in NHS Maternity Services  </w:t>
      </w:r>
    </w:p>
    <w:p w14:paraId="37EF7CFE" w14:textId="3C4E7808" w:rsidR="003369C4" w:rsidRPr="003A1FB4" w:rsidRDefault="003369C4" w:rsidP="003369C4">
      <w:pPr>
        <w:jc w:val="both"/>
        <w:rPr>
          <w:b/>
          <w:bCs/>
          <w:sz w:val="28"/>
          <w:szCs w:val="28"/>
        </w:rPr>
      </w:pPr>
      <w:r>
        <w:rPr>
          <w:b/>
          <w:bCs/>
          <w:sz w:val="28"/>
          <w:szCs w:val="28"/>
        </w:rPr>
        <w:t xml:space="preserve">           </w:t>
      </w:r>
      <w:r w:rsidR="00E9782E">
        <w:rPr>
          <w:b/>
          <w:bCs/>
          <w:sz w:val="28"/>
          <w:szCs w:val="28"/>
        </w:rPr>
        <w:t xml:space="preserve">           </w:t>
      </w:r>
      <w:r w:rsidRPr="003A1FB4">
        <w:rPr>
          <w:b/>
          <w:bCs/>
          <w:sz w:val="28"/>
          <w:szCs w:val="28"/>
        </w:rPr>
        <w:t xml:space="preserve">A Critical Analysis of East Kent Failures  </w:t>
      </w:r>
    </w:p>
    <w:p w14:paraId="2A063FD0" w14:textId="77777777" w:rsidR="003A1FB4" w:rsidRPr="003A1FB4" w:rsidRDefault="003A1FB4" w:rsidP="003A1FB4">
      <w:pPr>
        <w:jc w:val="both"/>
        <w:rPr>
          <w:b/>
          <w:bCs/>
          <w:sz w:val="28"/>
          <w:szCs w:val="28"/>
        </w:rPr>
      </w:pPr>
    </w:p>
    <w:p w14:paraId="4CCAC928" w14:textId="77777777" w:rsidR="003A1FB4" w:rsidRPr="003A1FB4" w:rsidRDefault="003A1FB4" w:rsidP="003A1FB4">
      <w:pPr>
        <w:jc w:val="both"/>
        <w:rPr>
          <w:b/>
          <w:bCs/>
          <w:sz w:val="28"/>
          <w:szCs w:val="28"/>
        </w:rPr>
      </w:pPr>
      <w:r w:rsidRPr="003A1FB4">
        <w:rPr>
          <w:b/>
          <w:bCs/>
          <w:sz w:val="28"/>
          <w:szCs w:val="28"/>
        </w:rPr>
        <w:t xml:space="preserve">Name: Arpita Chaudhary  </w:t>
      </w:r>
    </w:p>
    <w:p w14:paraId="1A93DF05" w14:textId="21A996E3" w:rsidR="003A1FB4" w:rsidRDefault="003A1FB4" w:rsidP="003A1FB4">
      <w:pPr>
        <w:jc w:val="both"/>
        <w:rPr>
          <w:b/>
          <w:bCs/>
          <w:sz w:val="28"/>
          <w:szCs w:val="28"/>
        </w:rPr>
      </w:pPr>
      <w:r w:rsidRPr="003A1FB4">
        <w:rPr>
          <w:b/>
          <w:bCs/>
          <w:sz w:val="28"/>
          <w:szCs w:val="28"/>
        </w:rPr>
        <w:t xml:space="preserve">Student ID: </w:t>
      </w:r>
      <w:r w:rsidR="00E2762B">
        <w:rPr>
          <w:b/>
          <w:bCs/>
          <w:sz w:val="28"/>
          <w:szCs w:val="28"/>
        </w:rPr>
        <w:t>2432245</w:t>
      </w:r>
    </w:p>
    <w:p w14:paraId="3E666145" w14:textId="20BAD13A" w:rsidR="003369C4" w:rsidRPr="003A1FB4" w:rsidRDefault="003369C4" w:rsidP="003A1FB4">
      <w:pPr>
        <w:jc w:val="both"/>
        <w:rPr>
          <w:b/>
          <w:bCs/>
          <w:sz w:val="28"/>
          <w:szCs w:val="28"/>
        </w:rPr>
      </w:pPr>
      <w:r>
        <w:rPr>
          <w:b/>
          <w:bCs/>
          <w:sz w:val="28"/>
          <w:szCs w:val="28"/>
        </w:rPr>
        <w:t xml:space="preserve">Subject </w:t>
      </w:r>
      <w:r w:rsidR="00E9782E">
        <w:rPr>
          <w:b/>
          <w:bCs/>
          <w:sz w:val="28"/>
          <w:szCs w:val="28"/>
        </w:rPr>
        <w:t>name:</w:t>
      </w:r>
      <w:r>
        <w:rPr>
          <w:b/>
          <w:bCs/>
          <w:sz w:val="28"/>
          <w:szCs w:val="28"/>
        </w:rPr>
        <w:t xml:space="preserve"> </w:t>
      </w:r>
      <w:r w:rsidR="00B9559B">
        <w:rPr>
          <w:b/>
          <w:bCs/>
          <w:sz w:val="28"/>
          <w:szCs w:val="28"/>
        </w:rPr>
        <w:t>Q</w:t>
      </w:r>
      <w:r>
        <w:rPr>
          <w:b/>
          <w:bCs/>
          <w:sz w:val="28"/>
          <w:szCs w:val="28"/>
        </w:rPr>
        <w:t xml:space="preserve">uality assurance </w:t>
      </w:r>
      <w:r w:rsidR="00B9559B">
        <w:rPr>
          <w:b/>
          <w:bCs/>
          <w:sz w:val="28"/>
          <w:szCs w:val="28"/>
        </w:rPr>
        <w:t xml:space="preserve">and service improvement </w:t>
      </w:r>
      <w:r>
        <w:rPr>
          <w:b/>
          <w:bCs/>
          <w:sz w:val="28"/>
          <w:szCs w:val="28"/>
        </w:rPr>
        <w:t xml:space="preserve"> </w:t>
      </w:r>
    </w:p>
    <w:p w14:paraId="35DF9457" w14:textId="77777777" w:rsidR="003A1FB4" w:rsidRPr="003A1FB4" w:rsidRDefault="003A1FB4" w:rsidP="003A1FB4">
      <w:pPr>
        <w:jc w:val="both"/>
        <w:rPr>
          <w:b/>
          <w:bCs/>
          <w:sz w:val="28"/>
          <w:szCs w:val="28"/>
        </w:rPr>
      </w:pPr>
      <w:r w:rsidRPr="003A1FB4">
        <w:rPr>
          <w:b/>
          <w:bCs/>
          <w:sz w:val="28"/>
          <w:szCs w:val="28"/>
        </w:rPr>
        <w:t xml:space="preserve">Course: MSc Public Health and Social Care in Practice  </w:t>
      </w:r>
    </w:p>
    <w:p w14:paraId="5D4A990F" w14:textId="77777777" w:rsidR="003A1FB4" w:rsidRPr="003A1FB4" w:rsidRDefault="003A1FB4" w:rsidP="003A1FB4">
      <w:pPr>
        <w:jc w:val="both"/>
        <w:rPr>
          <w:b/>
          <w:bCs/>
          <w:sz w:val="28"/>
          <w:szCs w:val="28"/>
        </w:rPr>
      </w:pPr>
      <w:r w:rsidRPr="003A1FB4">
        <w:rPr>
          <w:b/>
          <w:bCs/>
          <w:sz w:val="28"/>
          <w:szCs w:val="28"/>
        </w:rPr>
        <w:t xml:space="preserve">University: University of Wales Trinity Saint David  </w:t>
      </w:r>
    </w:p>
    <w:p w14:paraId="27334303" w14:textId="059F46A6" w:rsidR="00E2762B" w:rsidRDefault="003A1FB4" w:rsidP="003A1FB4">
      <w:pPr>
        <w:jc w:val="both"/>
        <w:rPr>
          <w:b/>
          <w:bCs/>
          <w:sz w:val="28"/>
          <w:szCs w:val="28"/>
        </w:rPr>
      </w:pPr>
      <w:r w:rsidRPr="003A1FB4">
        <w:rPr>
          <w:b/>
          <w:bCs/>
          <w:sz w:val="28"/>
          <w:szCs w:val="28"/>
        </w:rPr>
        <w:t xml:space="preserve">Module: </w:t>
      </w:r>
      <w:r w:rsidR="00D90FEC">
        <w:rPr>
          <w:b/>
          <w:bCs/>
          <w:sz w:val="28"/>
          <w:szCs w:val="28"/>
        </w:rPr>
        <w:t>LCH</w:t>
      </w:r>
      <w:r w:rsidR="003369C4">
        <w:rPr>
          <w:b/>
          <w:bCs/>
          <w:sz w:val="28"/>
          <w:szCs w:val="28"/>
        </w:rPr>
        <w:t>S7006</w:t>
      </w:r>
    </w:p>
    <w:p w14:paraId="042C1CD6" w14:textId="77777777" w:rsidR="00E2762B" w:rsidRDefault="00E2762B" w:rsidP="003A1FB4">
      <w:pPr>
        <w:jc w:val="both"/>
        <w:rPr>
          <w:b/>
          <w:bCs/>
          <w:sz w:val="28"/>
          <w:szCs w:val="28"/>
        </w:rPr>
      </w:pPr>
    </w:p>
    <w:p w14:paraId="0AAD6763" w14:textId="77777777" w:rsidR="003369C4" w:rsidRDefault="003369C4" w:rsidP="00FE6A01">
      <w:pPr>
        <w:jc w:val="both"/>
        <w:rPr>
          <w:b/>
          <w:bCs/>
          <w:sz w:val="28"/>
          <w:szCs w:val="28"/>
        </w:rPr>
      </w:pPr>
    </w:p>
    <w:p w14:paraId="49BF6F12" w14:textId="77777777" w:rsidR="003369C4" w:rsidRDefault="003369C4" w:rsidP="00FE6A01">
      <w:pPr>
        <w:jc w:val="both"/>
        <w:rPr>
          <w:b/>
          <w:bCs/>
          <w:sz w:val="28"/>
          <w:szCs w:val="28"/>
        </w:rPr>
      </w:pPr>
    </w:p>
    <w:p w14:paraId="49633996" w14:textId="77777777" w:rsidR="003369C4" w:rsidRDefault="003369C4" w:rsidP="00FE6A01">
      <w:pPr>
        <w:jc w:val="both"/>
        <w:rPr>
          <w:b/>
          <w:bCs/>
          <w:sz w:val="28"/>
          <w:szCs w:val="28"/>
        </w:rPr>
      </w:pPr>
    </w:p>
    <w:p w14:paraId="1C41551B" w14:textId="77777777" w:rsidR="003369C4" w:rsidRDefault="003369C4" w:rsidP="00FE6A01">
      <w:pPr>
        <w:jc w:val="both"/>
        <w:rPr>
          <w:b/>
          <w:bCs/>
          <w:sz w:val="28"/>
          <w:szCs w:val="28"/>
        </w:rPr>
      </w:pPr>
    </w:p>
    <w:p w14:paraId="4431CF92" w14:textId="77777777" w:rsidR="003369C4" w:rsidRDefault="003369C4" w:rsidP="00FE6A01">
      <w:pPr>
        <w:jc w:val="both"/>
        <w:rPr>
          <w:b/>
          <w:bCs/>
          <w:sz w:val="28"/>
          <w:szCs w:val="28"/>
        </w:rPr>
      </w:pPr>
    </w:p>
    <w:p w14:paraId="5D938239" w14:textId="77777777" w:rsidR="003369C4" w:rsidRDefault="003369C4" w:rsidP="00FE6A01">
      <w:pPr>
        <w:jc w:val="both"/>
        <w:rPr>
          <w:b/>
          <w:bCs/>
          <w:sz w:val="28"/>
          <w:szCs w:val="28"/>
        </w:rPr>
      </w:pPr>
    </w:p>
    <w:p w14:paraId="7EEB971C" w14:textId="77777777" w:rsidR="003369C4" w:rsidRDefault="003369C4" w:rsidP="00FE6A01">
      <w:pPr>
        <w:jc w:val="both"/>
        <w:rPr>
          <w:b/>
          <w:bCs/>
          <w:sz w:val="28"/>
          <w:szCs w:val="28"/>
        </w:rPr>
      </w:pPr>
    </w:p>
    <w:p w14:paraId="3D7CDF23" w14:textId="77777777" w:rsidR="003369C4" w:rsidRDefault="003369C4" w:rsidP="00FE6A01">
      <w:pPr>
        <w:jc w:val="both"/>
        <w:rPr>
          <w:b/>
          <w:bCs/>
          <w:sz w:val="28"/>
          <w:szCs w:val="28"/>
        </w:rPr>
      </w:pPr>
    </w:p>
    <w:p w14:paraId="79BEFF13" w14:textId="77777777" w:rsidR="003369C4" w:rsidRDefault="003369C4" w:rsidP="00FE6A01">
      <w:pPr>
        <w:jc w:val="both"/>
        <w:rPr>
          <w:b/>
          <w:bCs/>
          <w:sz w:val="28"/>
          <w:szCs w:val="28"/>
        </w:rPr>
      </w:pPr>
    </w:p>
    <w:p w14:paraId="2098D3B8" w14:textId="77777777" w:rsidR="003369C4" w:rsidRDefault="003369C4" w:rsidP="00FE6A01">
      <w:pPr>
        <w:jc w:val="both"/>
        <w:rPr>
          <w:b/>
          <w:bCs/>
          <w:sz w:val="28"/>
          <w:szCs w:val="28"/>
        </w:rPr>
      </w:pPr>
    </w:p>
    <w:p w14:paraId="1894E4EB" w14:textId="77777777" w:rsidR="001862A8" w:rsidRDefault="001862A8" w:rsidP="00FE6A01">
      <w:pPr>
        <w:jc w:val="both"/>
        <w:rPr>
          <w:b/>
          <w:bCs/>
          <w:sz w:val="28"/>
          <w:szCs w:val="28"/>
        </w:rPr>
      </w:pPr>
    </w:p>
    <w:p w14:paraId="639C80BD" w14:textId="77777777" w:rsidR="00EB4BC9" w:rsidRDefault="000439F8" w:rsidP="00FE6A01">
      <w:pPr>
        <w:jc w:val="both"/>
        <w:rPr>
          <w:b/>
          <w:bCs/>
          <w:sz w:val="28"/>
          <w:szCs w:val="28"/>
        </w:rPr>
      </w:pPr>
      <w:r>
        <w:rPr>
          <w:b/>
          <w:bCs/>
          <w:sz w:val="28"/>
          <w:szCs w:val="28"/>
        </w:rPr>
        <w:lastRenderedPageBreak/>
        <w:t xml:space="preserve">Index </w:t>
      </w:r>
    </w:p>
    <w:tbl>
      <w:tblPr>
        <w:tblStyle w:val="ListTable2-Accent6"/>
        <w:tblW w:w="0" w:type="auto"/>
        <w:tblLook w:val="04A0" w:firstRow="1" w:lastRow="0" w:firstColumn="1" w:lastColumn="0" w:noHBand="0" w:noVBand="1"/>
      </w:tblPr>
      <w:tblGrid>
        <w:gridCol w:w="7225"/>
        <w:gridCol w:w="1791"/>
      </w:tblGrid>
      <w:tr w:rsidR="00EB4BC9" w14:paraId="77D172D5" w14:textId="77777777" w:rsidTr="00DE2F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89FAE38" w14:textId="05D128EA" w:rsidR="00EB4BC9" w:rsidRDefault="00EB4BC9" w:rsidP="00FE6A01">
            <w:pPr>
              <w:jc w:val="both"/>
              <w:rPr>
                <w:b w:val="0"/>
                <w:bCs w:val="0"/>
                <w:sz w:val="28"/>
                <w:szCs w:val="28"/>
              </w:rPr>
            </w:pPr>
          </w:p>
        </w:tc>
        <w:tc>
          <w:tcPr>
            <w:tcW w:w="1791" w:type="dxa"/>
          </w:tcPr>
          <w:p w14:paraId="50EB8EC8" w14:textId="46162624" w:rsidR="00EB4BC9" w:rsidRPr="00140175" w:rsidRDefault="00140175" w:rsidP="00FE6A01">
            <w:pPr>
              <w:jc w:val="both"/>
              <w:cnfStyle w:val="100000000000" w:firstRow="1" w:lastRow="0" w:firstColumn="0" w:lastColumn="0" w:oddVBand="0" w:evenVBand="0" w:oddHBand="0" w:evenHBand="0" w:firstRowFirstColumn="0" w:firstRowLastColumn="0" w:lastRowFirstColumn="0" w:lastRowLastColumn="0"/>
              <w:rPr>
                <w:b w:val="0"/>
                <w:bCs w:val="0"/>
              </w:rPr>
            </w:pPr>
            <w:r w:rsidRPr="00140175">
              <w:rPr>
                <w:b w:val="0"/>
                <w:bCs w:val="0"/>
              </w:rPr>
              <w:t xml:space="preserve">Page number </w:t>
            </w:r>
          </w:p>
        </w:tc>
      </w:tr>
      <w:tr w:rsidR="00EB4BC9" w14:paraId="22B7BA11"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92F4FF6" w14:textId="46C06D1F" w:rsidR="00EB4BC9" w:rsidRPr="00140175" w:rsidRDefault="00140175" w:rsidP="00140175">
            <w:pPr>
              <w:pStyle w:val="ListParagraph"/>
              <w:numPr>
                <w:ilvl w:val="0"/>
                <w:numId w:val="7"/>
              </w:numPr>
              <w:jc w:val="both"/>
              <w:rPr>
                <w:sz w:val="28"/>
                <w:szCs w:val="28"/>
              </w:rPr>
            </w:pPr>
            <w:r w:rsidRPr="00140175">
              <w:rPr>
                <w:sz w:val="28"/>
                <w:szCs w:val="28"/>
              </w:rPr>
              <w:t xml:space="preserve">Introduction </w:t>
            </w:r>
          </w:p>
        </w:tc>
        <w:tc>
          <w:tcPr>
            <w:tcW w:w="1791" w:type="dxa"/>
          </w:tcPr>
          <w:p w14:paraId="671B7080" w14:textId="4AFA9CAE" w:rsidR="00EB4BC9" w:rsidRDefault="009714F9"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3</w:t>
            </w:r>
          </w:p>
        </w:tc>
      </w:tr>
      <w:tr w:rsidR="00EB4BC9" w14:paraId="5B5801F6"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7D69D04D" w14:textId="669DB70F" w:rsidR="00EB4BC9" w:rsidRPr="00B26192" w:rsidRDefault="008C3B65" w:rsidP="00140175">
            <w:pPr>
              <w:pStyle w:val="ListParagraph"/>
              <w:numPr>
                <w:ilvl w:val="0"/>
                <w:numId w:val="7"/>
              </w:numPr>
              <w:jc w:val="both"/>
              <w:rPr>
                <w:sz w:val="28"/>
                <w:szCs w:val="28"/>
              </w:rPr>
            </w:pPr>
            <w:r w:rsidRPr="00B26192">
              <w:rPr>
                <w:sz w:val="28"/>
                <w:szCs w:val="28"/>
              </w:rPr>
              <w:t xml:space="preserve">Main body </w:t>
            </w:r>
          </w:p>
        </w:tc>
        <w:tc>
          <w:tcPr>
            <w:tcW w:w="1791" w:type="dxa"/>
          </w:tcPr>
          <w:p w14:paraId="5F6907AB" w14:textId="0B599B87" w:rsidR="00EB4BC9" w:rsidRDefault="009714F9"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4</w:t>
            </w:r>
          </w:p>
        </w:tc>
      </w:tr>
      <w:tr w:rsidR="00EB4BC9" w14:paraId="7D9AFC4A"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5A502836" w14:textId="77296311" w:rsidR="00F75115" w:rsidRPr="004210B8" w:rsidRDefault="00531688" w:rsidP="004210B8">
            <w:pPr>
              <w:pStyle w:val="ListParagraph"/>
              <w:numPr>
                <w:ilvl w:val="1"/>
                <w:numId w:val="7"/>
              </w:numPr>
              <w:jc w:val="both"/>
              <w:rPr>
                <w:sz w:val="28"/>
                <w:szCs w:val="28"/>
              </w:rPr>
            </w:pPr>
            <w:r w:rsidRPr="00F75115">
              <w:rPr>
                <w:sz w:val="28"/>
                <w:szCs w:val="28"/>
              </w:rPr>
              <w:t xml:space="preserve">application </w:t>
            </w:r>
            <w:r w:rsidR="003F6D29" w:rsidRPr="00F75115">
              <w:rPr>
                <w:sz w:val="28"/>
                <w:szCs w:val="28"/>
              </w:rPr>
              <w:t>of the Dona</w:t>
            </w:r>
            <w:r w:rsidR="00F75115" w:rsidRPr="00F75115">
              <w:rPr>
                <w:sz w:val="28"/>
                <w:szCs w:val="28"/>
              </w:rPr>
              <w:t xml:space="preserve">bedian model </w:t>
            </w:r>
          </w:p>
        </w:tc>
        <w:tc>
          <w:tcPr>
            <w:tcW w:w="1791" w:type="dxa"/>
          </w:tcPr>
          <w:p w14:paraId="50238465" w14:textId="07B03521" w:rsidR="00EB4BC9" w:rsidRDefault="009714F9"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4</w:t>
            </w:r>
          </w:p>
        </w:tc>
      </w:tr>
      <w:tr w:rsidR="00EB4BC9" w14:paraId="7C063DF5"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3DCDAEC6" w14:textId="34548D49" w:rsidR="00EB4BC9" w:rsidRDefault="004210B8" w:rsidP="00FE6A01">
            <w:pPr>
              <w:jc w:val="both"/>
              <w:rPr>
                <w:b w:val="0"/>
                <w:bCs w:val="0"/>
                <w:sz w:val="28"/>
                <w:szCs w:val="28"/>
              </w:rPr>
            </w:pPr>
            <w:r>
              <w:rPr>
                <w:b w:val="0"/>
                <w:bCs w:val="0"/>
                <w:sz w:val="28"/>
                <w:szCs w:val="28"/>
              </w:rPr>
              <w:t xml:space="preserve">         </w:t>
            </w:r>
            <w:r w:rsidR="00EC3C52">
              <w:rPr>
                <w:b w:val="0"/>
                <w:bCs w:val="0"/>
                <w:sz w:val="28"/>
                <w:szCs w:val="28"/>
              </w:rPr>
              <w:t>2.2 Fishbone</w:t>
            </w:r>
            <w:r>
              <w:rPr>
                <w:b w:val="0"/>
                <w:bCs w:val="0"/>
                <w:sz w:val="28"/>
                <w:szCs w:val="28"/>
              </w:rPr>
              <w:t xml:space="preserve"> (cause and effects analysis)</w:t>
            </w:r>
          </w:p>
        </w:tc>
        <w:tc>
          <w:tcPr>
            <w:tcW w:w="1791" w:type="dxa"/>
          </w:tcPr>
          <w:p w14:paraId="16B6C091" w14:textId="0DF2F77A" w:rsidR="00EB4BC9" w:rsidRDefault="009714F9"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5</w:t>
            </w:r>
          </w:p>
        </w:tc>
      </w:tr>
      <w:tr w:rsidR="00EB4BC9" w14:paraId="2C689505"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1683E48E" w14:textId="09CA7C30" w:rsidR="00EB4BC9" w:rsidRDefault="00430FE3" w:rsidP="00FE6A01">
            <w:pPr>
              <w:jc w:val="both"/>
              <w:rPr>
                <w:b w:val="0"/>
                <w:bCs w:val="0"/>
                <w:sz w:val="28"/>
                <w:szCs w:val="28"/>
              </w:rPr>
            </w:pPr>
            <w:r>
              <w:rPr>
                <w:b w:val="0"/>
                <w:bCs w:val="0"/>
                <w:sz w:val="28"/>
                <w:szCs w:val="28"/>
              </w:rPr>
              <w:t xml:space="preserve">         2.3 5 whys root cause analysis </w:t>
            </w:r>
          </w:p>
        </w:tc>
        <w:tc>
          <w:tcPr>
            <w:tcW w:w="1791" w:type="dxa"/>
          </w:tcPr>
          <w:p w14:paraId="5CE3DB80" w14:textId="3D0CB78C" w:rsidR="00EB4BC9" w:rsidRDefault="009714F9"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6</w:t>
            </w:r>
          </w:p>
        </w:tc>
      </w:tr>
      <w:tr w:rsidR="00EB4BC9" w14:paraId="54EB7203"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43299A49" w14:textId="2D6252AF" w:rsidR="00EB4BC9" w:rsidRDefault="00131CDE" w:rsidP="00FE6A01">
            <w:pPr>
              <w:jc w:val="both"/>
              <w:rPr>
                <w:b w:val="0"/>
                <w:bCs w:val="0"/>
                <w:sz w:val="28"/>
                <w:szCs w:val="28"/>
              </w:rPr>
            </w:pPr>
            <w:r>
              <w:rPr>
                <w:b w:val="0"/>
                <w:bCs w:val="0"/>
                <w:sz w:val="28"/>
                <w:szCs w:val="28"/>
              </w:rPr>
              <w:t xml:space="preserve">         2.4 </w:t>
            </w:r>
            <w:r w:rsidR="00B723BD">
              <w:rPr>
                <w:b w:val="0"/>
                <w:bCs w:val="0"/>
                <w:sz w:val="28"/>
                <w:szCs w:val="28"/>
              </w:rPr>
              <w:t xml:space="preserve">SWOT analysis of east Kent hospitals NHS trust </w:t>
            </w:r>
          </w:p>
        </w:tc>
        <w:tc>
          <w:tcPr>
            <w:tcW w:w="1791" w:type="dxa"/>
          </w:tcPr>
          <w:p w14:paraId="2E10C893" w14:textId="2E002F8D" w:rsidR="00EB4BC9" w:rsidRDefault="00D45013"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6</w:t>
            </w:r>
          </w:p>
        </w:tc>
      </w:tr>
      <w:tr w:rsidR="00EB4BC9" w14:paraId="09B03AF5"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781C949" w14:textId="42E44C26" w:rsidR="00EB4BC9" w:rsidRDefault="00D17530" w:rsidP="00BA3E4D">
            <w:pPr>
              <w:jc w:val="center"/>
              <w:rPr>
                <w:b w:val="0"/>
                <w:bCs w:val="0"/>
                <w:sz w:val="28"/>
                <w:szCs w:val="28"/>
              </w:rPr>
            </w:pPr>
            <w:r>
              <w:rPr>
                <w:b w:val="0"/>
                <w:bCs w:val="0"/>
                <w:sz w:val="28"/>
                <w:szCs w:val="28"/>
              </w:rPr>
              <w:t>2.5</w:t>
            </w:r>
            <w:r w:rsidR="007D6D87">
              <w:rPr>
                <w:b w:val="0"/>
                <w:bCs w:val="0"/>
                <w:sz w:val="28"/>
                <w:szCs w:val="28"/>
              </w:rPr>
              <w:t xml:space="preserve"> critical </w:t>
            </w:r>
            <w:r w:rsidR="00C91896">
              <w:rPr>
                <w:b w:val="0"/>
                <w:bCs w:val="0"/>
                <w:sz w:val="28"/>
                <w:szCs w:val="28"/>
              </w:rPr>
              <w:t xml:space="preserve">evaluations </w:t>
            </w:r>
            <w:r w:rsidR="007D6D87">
              <w:rPr>
                <w:b w:val="0"/>
                <w:bCs w:val="0"/>
                <w:sz w:val="28"/>
                <w:szCs w:val="28"/>
              </w:rPr>
              <w:t xml:space="preserve">of </w:t>
            </w:r>
            <w:r w:rsidR="00C91896">
              <w:rPr>
                <w:b w:val="0"/>
                <w:bCs w:val="0"/>
                <w:sz w:val="28"/>
                <w:szCs w:val="28"/>
              </w:rPr>
              <w:t>organisational culture and       leadership</w:t>
            </w:r>
          </w:p>
        </w:tc>
        <w:tc>
          <w:tcPr>
            <w:tcW w:w="1791" w:type="dxa"/>
          </w:tcPr>
          <w:p w14:paraId="7913DA72" w14:textId="582CEDC4" w:rsidR="00EB4BC9" w:rsidRDefault="00D45013"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7</w:t>
            </w:r>
          </w:p>
        </w:tc>
      </w:tr>
      <w:tr w:rsidR="00945D4F" w14:paraId="567A2559"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39F39500" w14:textId="59CCECC8" w:rsidR="00945D4F" w:rsidRPr="00B26192" w:rsidRDefault="008333CE" w:rsidP="008333CE">
            <w:pPr>
              <w:pStyle w:val="ListParagraph"/>
              <w:numPr>
                <w:ilvl w:val="0"/>
                <w:numId w:val="7"/>
              </w:numPr>
              <w:jc w:val="both"/>
              <w:rPr>
                <w:sz w:val="28"/>
                <w:szCs w:val="28"/>
              </w:rPr>
            </w:pPr>
            <w:r w:rsidRPr="00B26192">
              <w:rPr>
                <w:sz w:val="28"/>
                <w:szCs w:val="28"/>
              </w:rPr>
              <w:t xml:space="preserve">Recommendations and implementation </w:t>
            </w:r>
            <w:r w:rsidR="0014611F" w:rsidRPr="00B26192">
              <w:rPr>
                <w:sz w:val="28"/>
                <w:szCs w:val="28"/>
              </w:rPr>
              <w:t xml:space="preserve">strategy </w:t>
            </w:r>
          </w:p>
        </w:tc>
        <w:tc>
          <w:tcPr>
            <w:tcW w:w="1791" w:type="dxa"/>
          </w:tcPr>
          <w:p w14:paraId="50A7F54B" w14:textId="4EAA6539" w:rsidR="00945D4F" w:rsidRDefault="00D45013"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7</w:t>
            </w:r>
          </w:p>
        </w:tc>
      </w:tr>
      <w:tr w:rsidR="00945D4F" w14:paraId="19BCABD1"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134657EC" w14:textId="1F667571" w:rsidR="00945D4F" w:rsidRDefault="0009491C" w:rsidP="00FE6A01">
            <w:pPr>
              <w:jc w:val="both"/>
              <w:rPr>
                <w:b w:val="0"/>
                <w:bCs w:val="0"/>
                <w:sz w:val="28"/>
                <w:szCs w:val="28"/>
              </w:rPr>
            </w:pPr>
            <w:r>
              <w:rPr>
                <w:b w:val="0"/>
                <w:bCs w:val="0"/>
                <w:sz w:val="28"/>
                <w:szCs w:val="28"/>
              </w:rPr>
              <w:t xml:space="preserve">          3.1 </w:t>
            </w:r>
            <w:r w:rsidR="003D4DAE">
              <w:rPr>
                <w:b w:val="0"/>
                <w:bCs w:val="0"/>
                <w:sz w:val="28"/>
                <w:szCs w:val="28"/>
              </w:rPr>
              <w:t>P</w:t>
            </w:r>
            <w:r>
              <w:rPr>
                <w:b w:val="0"/>
                <w:bCs w:val="0"/>
                <w:sz w:val="28"/>
                <w:szCs w:val="28"/>
              </w:rPr>
              <w:t xml:space="preserve">lan- Do </w:t>
            </w:r>
            <w:r w:rsidR="003D4DAE">
              <w:rPr>
                <w:b w:val="0"/>
                <w:bCs w:val="0"/>
                <w:sz w:val="28"/>
                <w:szCs w:val="28"/>
              </w:rPr>
              <w:t>– Study -Act (PDSA)</w:t>
            </w:r>
          </w:p>
        </w:tc>
        <w:tc>
          <w:tcPr>
            <w:tcW w:w="1791" w:type="dxa"/>
          </w:tcPr>
          <w:p w14:paraId="0CA7BAF9" w14:textId="79FA208F" w:rsidR="00945D4F" w:rsidRDefault="00D45013"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8</w:t>
            </w:r>
          </w:p>
        </w:tc>
      </w:tr>
      <w:tr w:rsidR="004077F4" w14:paraId="24760B66"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4EDC7B25" w14:textId="14D3E180" w:rsidR="004077F4" w:rsidRDefault="003D4DAE" w:rsidP="00FE6A01">
            <w:pPr>
              <w:jc w:val="both"/>
              <w:rPr>
                <w:b w:val="0"/>
                <w:bCs w:val="0"/>
                <w:sz w:val="28"/>
                <w:szCs w:val="28"/>
              </w:rPr>
            </w:pPr>
            <w:r>
              <w:rPr>
                <w:b w:val="0"/>
                <w:bCs w:val="0"/>
                <w:sz w:val="28"/>
                <w:szCs w:val="28"/>
              </w:rPr>
              <w:t xml:space="preserve">          3.2 </w:t>
            </w:r>
            <w:r w:rsidR="00831AA9">
              <w:rPr>
                <w:b w:val="0"/>
                <w:bCs w:val="0"/>
                <w:sz w:val="28"/>
                <w:szCs w:val="28"/>
              </w:rPr>
              <w:t xml:space="preserve">Lean </w:t>
            </w:r>
          </w:p>
        </w:tc>
        <w:tc>
          <w:tcPr>
            <w:tcW w:w="1791" w:type="dxa"/>
          </w:tcPr>
          <w:p w14:paraId="7B6D201E" w14:textId="0BBFFA86" w:rsidR="004077F4" w:rsidRDefault="00D45013"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9</w:t>
            </w:r>
          </w:p>
        </w:tc>
      </w:tr>
      <w:tr w:rsidR="004077F4" w14:paraId="3A2B1BAF"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BCFC1C8" w14:textId="34DC22F8" w:rsidR="00E86D75" w:rsidRDefault="00831AA9" w:rsidP="00FE6A01">
            <w:pPr>
              <w:jc w:val="both"/>
              <w:rPr>
                <w:b w:val="0"/>
                <w:bCs w:val="0"/>
                <w:sz w:val="28"/>
                <w:szCs w:val="28"/>
              </w:rPr>
            </w:pPr>
            <w:r>
              <w:rPr>
                <w:b w:val="0"/>
                <w:bCs w:val="0"/>
                <w:sz w:val="28"/>
                <w:szCs w:val="28"/>
              </w:rPr>
              <w:t xml:space="preserve">          3.3 six sigma </w:t>
            </w:r>
            <w:r w:rsidR="00E86D75">
              <w:rPr>
                <w:b w:val="0"/>
                <w:bCs w:val="0"/>
                <w:sz w:val="28"/>
                <w:szCs w:val="28"/>
              </w:rPr>
              <w:t xml:space="preserve">methodologies </w:t>
            </w:r>
          </w:p>
        </w:tc>
        <w:tc>
          <w:tcPr>
            <w:tcW w:w="1791" w:type="dxa"/>
          </w:tcPr>
          <w:p w14:paraId="7C49E6E0" w14:textId="5EFAA1CC" w:rsidR="004077F4" w:rsidRDefault="00D45013"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9</w:t>
            </w:r>
          </w:p>
        </w:tc>
      </w:tr>
      <w:tr w:rsidR="004077F4" w14:paraId="3EEC2141" w14:textId="77777777" w:rsidTr="00DE2F3B">
        <w:tc>
          <w:tcPr>
            <w:cnfStyle w:val="001000000000" w:firstRow="0" w:lastRow="0" w:firstColumn="1" w:lastColumn="0" w:oddVBand="0" w:evenVBand="0" w:oddHBand="0" w:evenHBand="0" w:firstRowFirstColumn="0" w:firstRowLastColumn="0" w:lastRowFirstColumn="0" w:lastRowLastColumn="0"/>
            <w:tcW w:w="7225" w:type="dxa"/>
          </w:tcPr>
          <w:p w14:paraId="637298D6" w14:textId="24EDE715" w:rsidR="004077F4" w:rsidRPr="00ED3957" w:rsidRDefault="00E86D75" w:rsidP="00E86D75">
            <w:pPr>
              <w:pStyle w:val="ListParagraph"/>
              <w:numPr>
                <w:ilvl w:val="0"/>
                <w:numId w:val="7"/>
              </w:numPr>
              <w:jc w:val="both"/>
              <w:rPr>
                <w:sz w:val="28"/>
                <w:szCs w:val="28"/>
              </w:rPr>
            </w:pPr>
            <w:r w:rsidRPr="00ED3957">
              <w:rPr>
                <w:sz w:val="28"/>
                <w:szCs w:val="28"/>
              </w:rPr>
              <w:t xml:space="preserve">Conclusion </w:t>
            </w:r>
          </w:p>
        </w:tc>
        <w:tc>
          <w:tcPr>
            <w:tcW w:w="1791" w:type="dxa"/>
          </w:tcPr>
          <w:p w14:paraId="3E5E338B" w14:textId="501DF503" w:rsidR="004077F4" w:rsidRDefault="00D45013" w:rsidP="00FE6A01">
            <w:pPr>
              <w:jc w:val="both"/>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9</w:t>
            </w:r>
          </w:p>
        </w:tc>
      </w:tr>
      <w:tr w:rsidR="004077F4" w14:paraId="609A72B2" w14:textId="77777777" w:rsidTr="00DE2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4737FF1" w14:textId="5D01EA3F" w:rsidR="004077F4" w:rsidRPr="00ED3957" w:rsidRDefault="004C7F2F" w:rsidP="004C7F2F">
            <w:pPr>
              <w:pStyle w:val="ListParagraph"/>
              <w:numPr>
                <w:ilvl w:val="0"/>
                <w:numId w:val="7"/>
              </w:numPr>
              <w:jc w:val="both"/>
              <w:rPr>
                <w:sz w:val="28"/>
                <w:szCs w:val="28"/>
              </w:rPr>
            </w:pPr>
            <w:r w:rsidRPr="00ED3957">
              <w:rPr>
                <w:sz w:val="28"/>
                <w:szCs w:val="28"/>
              </w:rPr>
              <w:t xml:space="preserve">Refence list </w:t>
            </w:r>
          </w:p>
        </w:tc>
        <w:tc>
          <w:tcPr>
            <w:tcW w:w="1791" w:type="dxa"/>
          </w:tcPr>
          <w:p w14:paraId="7DFFFD04" w14:textId="0FA2D5A6" w:rsidR="004077F4" w:rsidRDefault="00C543A4" w:rsidP="00FE6A01">
            <w:pPr>
              <w:jc w:val="both"/>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11</w:t>
            </w:r>
          </w:p>
        </w:tc>
      </w:tr>
    </w:tbl>
    <w:p w14:paraId="507D05CA" w14:textId="3246DD17" w:rsidR="000439F8" w:rsidRDefault="000439F8" w:rsidP="00FE6A01">
      <w:pPr>
        <w:jc w:val="both"/>
        <w:rPr>
          <w:b/>
          <w:bCs/>
          <w:sz w:val="28"/>
          <w:szCs w:val="28"/>
        </w:rPr>
      </w:pPr>
    </w:p>
    <w:p w14:paraId="188CFF64" w14:textId="77777777" w:rsidR="000439F8" w:rsidRDefault="000439F8">
      <w:pPr>
        <w:rPr>
          <w:b/>
          <w:bCs/>
          <w:sz w:val="28"/>
          <w:szCs w:val="28"/>
        </w:rPr>
      </w:pPr>
      <w:r>
        <w:rPr>
          <w:b/>
          <w:bCs/>
          <w:sz w:val="28"/>
          <w:szCs w:val="28"/>
        </w:rPr>
        <w:br w:type="page"/>
      </w:r>
    </w:p>
    <w:p w14:paraId="49E55E57" w14:textId="6753E535" w:rsidR="00FE6A01" w:rsidRPr="00CD48C2" w:rsidRDefault="00FC7753" w:rsidP="00FE6A01">
      <w:pPr>
        <w:jc w:val="both"/>
        <w:rPr>
          <w:sz w:val="28"/>
          <w:szCs w:val="28"/>
        </w:rPr>
      </w:pPr>
      <w:r w:rsidRPr="00CD48C2">
        <w:rPr>
          <w:b/>
          <w:bCs/>
          <w:sz w:val="28"/>
          <w:szCs w:val="28"/>
        </w:rPr>
        <w:lastRenderedPageBreak/>
        <w:t>1</w:t>
      </w:r>
      <w:r w:rsidR="00FE6A01" w:rsidRPr="00CD48C2">
        <w:rPr>
          <w:b/>
          <w:bCs/>
          <w:sz w:val="28"/>
          <w:szCs w:val="28"/>
        </w:rPr>
        <w:t>. Introduction</w:t>
      </w:r>
    </w:p>
    <w:p w14:paraId="7F60FE80" w14:textId="10D0746F" w:rsidR="00FE6A01" w:rsidRPr="00FE6A01" w:rsidRDefault="00FE6A01" w:rsidP="00FE6A01">
      <w:pPr>
        <w:jc w:val="both"/>
      </w:pPr>
      <w:r w:rsidRPr="00FE6A01">
        <w:t>Quality and patient safety are fundamental principles underpinning the delivery of healthcare services within the National Health Service (NHS). In maternity services, where both maternal and neonatal lives are at risk, ensuring high standards of care is particularly critical (NHS England, 2023). Despite national policies such as the Better Births Strategy and the Three-Year Delivery Plan for Maternity and Neonatal Services, serious safety failures continue to occur across the NHS (NHS England, 2023</w:t>
      </w:r>
      <w:r w:rsidR="00085A86">
        <w:t>, NHS</w:t>
      </w:r>
      <w:r w:rsidR="00952193">
        <w:t xml:space="preserve"> England 2025</w:t>
      </w:r>
      <w:r w:rsidRPr="00FE6A01">
        <w:t>). One of the most severe examples of systemic failure emerged at East Kent Hospitals University NHS Foundation Trust (EKHUFT), where prolonged deficiencies in maternity care resulted in multiple avoidable maternal and neonatal deaths</w:t>
      </w:r>
      <w:r w:rsidR="00952193">
        <w:t xml:space="preserve"> (BMJ, 2022</w:t>
      </w:r>
      <w:r w:rsidR="00D1682C">
        <w:t>; Patient safety learning, 2022).</w:t>
      </w:r>
    </w:p>
    <w:p w14:paraId="47107EF8" w14:textId="77777777" w:rsidR="00FE6A01" w:rsidRPr="00FE6A01" w:rsidRDefault="00FE6A01" w:rsidP="00FE6A01">
      <w:pPr>
        <w:jc w:val="both"/>
      </w:pPr>
      <w:r w:rsidRPr="00FE6A01">
        <w:t>The independent investigation led by Kirkup (2022) identified that between 2009 and 2020, at least 45 baby deaths and 14 maternal deaths at East Kent could have been avoided. The report exposed widespread unsafe clinical practice, poor leadership, ineffective governance, and a toxic organisational culture where staff concerns were ignored and families were repeatedly dismissed. These findings were not isolated incidents of professional error but instead reflected deep-rooted organisational failure across multiple levels of the health system. Similar patterns of failure have been observed in earlier NHS scandals, including Mid Staffordshire, where neglect, poor leadership, and a culture of fear contributed to widespread patient harm (Francis, 2013). These recurring failures raise critical questions about the resilience of NHS governance structures and the extent to which lessons from previous inquiries have truly been embedded into practice.</w:t>
      </w:r>
    </w:p>
    <w:p w14:paraId="5EE3BD58" w14:textId="77777777" w:rsidR="00FE6A01" w:rsidRPr="00FE6A01" w:rsidRDefault="00FE6A01" w:rsidP="00FE6A01">
      <w:pPr>
        <w:jc w:val="both"/>
      </w:pPr>
      <w:r w:rsidRPr="00FE6A01">
        <w:t>From a public health perspective, maternity safety is a major determinant of population health outcomes. Maternal and neonatal mortality not only cause profound individual and family suffering but also contribute to long-term social, psychological, and economic consequences for communities and healthcare systems (Knight et al., 2023). The UK already experiences persistent inequalities in maternity outcomes, particularly among women from deprived areas and ethnic minority backgrounds (Knight et al., 2023). The East Kent failures therefore represent not only a local service breakdown but also a significant public health protection failure, highlighting the urgent need for stronger oversight, improved workforce capability, and more equitable access to safe maternity care.</w:t>
      </w:r>
    </w:p>
    <w:p w14:paraId="61E3BD39" w14:textId="06057035" w:rsidR="00FE6A01" w:rsidRPr="00FE6A01" w:rsidRDefault="00FE6A01" w:rsidP="00FE6A01">
      <w:pPr>
        <w:jc w:val="both"/>
      </w:pPr>
      <w:r w:rsidRPr="00FE6A01">
        <w:t>Healthcare quality is commonly evaluated using structured theoretical frameworks that enable systematic analysis of service failure. The Donabedian Model provides a foundation for assessing quality across three domains: structure, process, and outcomes (Donabedian, 1988</w:t>
      </w:r>
      <w:r w:rsidR="00D1682C">
        <w:t>, Donabedian model, 2023</w:t>
      </w:r>
      <w:r w:rsidRPr="00FE6A01">
        <w:t>). Root cause analysis tools such as the Fishbone Diagram and the 5 Whys support deeper exploration of underlying organisational and human factors contributing to adverse events (Ishikawa, 1985</w:t>
      </w:r>
      <w:r w:rsidR="00353CD5">
        <w:t>;</w:t>
      </w:r>
      <w:r w:rsidR="00846CEF">
        <w:t xml:space="preserve"> Mindtools, n.d.</w:t>
      </w:r>
      <w:r w:rsidRPr="00FE6A01">
        <w:t>). Strategic organisational weaknesses can be examined using SWOT analysis, while quality improvement tools such as the Plan–Do–Study–Act (PDSA) cycle support the implementation and evaluation of service change (Taylor et al., 2014</w:t>
      </w:r>
      <w:r w:rsidR="003B00D0">
        <w:t xml:space="preserve">; institution for healthcare </w:t>
      </w:r>
      <w:r w:rsidR="00BE4615">
        <w:t>improvement, n.d.</w:t>
      </w:r>
      <w:r w:rsidRPr="00FE6A01">
        <w:t>).</w:t>
      </w:r>
    </w:p>
    <w:p w14:paraId="78DF0EE4" w14:textId="77777777" w:rsidR="00FE6A01" w:rsidRPr="00FE6A01" w:rsidRDefault="00FE6A01" w:rsidP="00FE6A01">
      <w:pPr>
        <w:jc w:val="both"/>
      </w:pPr>
      <w:r w:rsidRPr="00FE6A01">
        <w:t>This report critically analyses the maternity safety failures at East Kent Hospitals NHS Trust using established quality improvement and governance frameworks. It explores the structural, procedural, and cultural causes of the crisis and applies systematic analytical tools to identify root causes. Evidence-based recommendations are then proposed to support sustainable service improvement, patient safety restoration, and public trust recovery.</w:t>
      </w:r>
    </w:p>
    <w:p w14:paraId="1ABD5C84" w14:textId="77777777" w:rsidR="00974815" w:rsidRDefault="00974815" w:rsidP="00974815">
      <w:pPr>
        <w:jc w:val="both"/>
      </w:pPr>
    </w:p>
    <w:p w14:paraId="6A958601" w14:textId="77777777" w:rsidR="00974815" w:rsidRDefault="00974815" w:rsidP="00974815">
      <w:pPr>
        <w:jc w:val="both"/>
      </w:pPr>
    </w:p>
    <w:p w14:paraId="68C2C71B" w14:textId="77777777" w:rsidR="00974815" w:rsidRDefault="00974815" w:rsidP="00974815">
      <w:pPr>
        <w:jc w:val="both"/>
      </w:pPr>
    </w:p>
    <w:p w14:paraId="2BD6B6C9" w14:textId="406E22C2" w:rsidR="00FE6A01" w:rsidRPr="00C07132" w:rsidRDefault="00FC7753" w:rsidP="00FC7753">
      <w:r w:rsidRPr="00FC7753">
        <w:rPr>
          <w:b/>
          <w:bCs/>
          <w:sz w:val="28"/>
          <w:szCs w:val="28"/>
        </w:rPr>
        <w:t>2.</w:t>
      </w:r>
      <w:r w:rsidR="00FE6A01" w:rsidRPr="00FC7753">
        <w:rPr>
          <w:b/>
          <w:bCs/>
          <w:sz w:val="28"/>
          <w:szCs w:val="28"/>
        </w:rPr>
        <w:t>Main</w:t>
      </w:r>
      <w:r w:rsidRPr="00FC7753">
        <w:rPr>
          <w:b/>
          <w:bCs/>
          <w:sz w:val="28"/>
          <w:szCs w:val="28"/>
        </w:rPr>
        <w:t xml:space="preserve"> </w:t>
      </w:r>
      <w:r w:rsidR="00FE6A01" w:rsidRPr="00FC7753">
        <w:rPr>
          <w:b/>
          <w:bCs/>
          <w:sz w:val="28"/>
          <w:szCs w:val="28"/>
        </w:rPr>
        <w:t>Body – Critical Analysis</w:t>
      </w:r>
      <w:r w:rsidR="00FE6A01" w:rsidRPr="00FC7753">
        <w:br/>
      </w:r>
      <w:r w:rsidR="00FE6A01" w:rsidRPr="00FC7753">
        <w:rPr>
          <w:b/>
          <w:bCs/>
          <w:sz w:val="24"/>
          <w:szCs w:val="24"/>
          <w:u w:val="single"/>
        </w:rPr>
        <w:t>2.1 Application of the Donabedian Model</w:t>
      </w:r>
    </w:p>
    <w:p w14:paraId="672F0B78" w14:textId="77777777" w:rsidR="00FE6A01" w:rsidRPr="00FC7753" w:rsidRDefault="00FE6A01" w:rsidP="00FE6A01">
      <w:pPr>
        <w:jc w:val="both"/>
      </w:pPr>
      <w:r w:rsidRPr="00FC7753">
        <w:t>The Donabedian Model remains one of the most influential frameworks for evaluating healthcare quality, proposing that service effectiveness should be assessed through three interconnected components: structure, process, and outcomes (Donabedian, 1988). In the case of East Kent Hospitals NHS Trust, failures across all three domains were evident and mutually reinforcing.</w:t>
      </w:r>
    </w:p>
    <w:p w14:paraId="12D7DB41" w14:textId="60BD9756" w:rsidR="00FE6A01" w:rsidRPr="00FC7753" w:rsidRDefault="005F3752" w:rsidP="00FE6A01">
      <w:pPr>
        <w:jc w:val="both"/>
      </w:pPr>
      <w:r>
        <w:rPr>
          <w:noProof/>
        </w:rPr>
        <mc:AlternateContent>
          <mc:Choice Requires="wps">
            <w:drawing>
              <wp:anchor distT="0" distB="0" distL="114300" distR="114300" simplePos="0" relativeHeight="251664384" behindDoc="0" locked="0" layoutInCell="1" allowOverlap="1" wp14:anchorId="1E843C08" wp14:editId="64639ADA">
                <wp:simplePos x="0" y="0"/>
                <wp:positionH relativeFrom="margin">
                  <wp:align>center</wp:align>
                </wp:positionH>
                <wp:positionV relativeFrom="paragraph">
                  <wp:posOffset>3371554</wp:posOffset>
                </wp:positionV>
                <wp:extent cx="1371600" cy="276447"/>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1371600" cy="276447"/>
                        </a:xfrm>
                        <a:prstGeom prst="rect">
                          <a:avLst/>
                        </a:prstGeom>
                        <a:solidFill>
                          <a:schemeClr val="lt1"/>
                        </a:solidFill>
                        <a:ln w="6350">
                          <a:solidFill>
                            <a:prstClr val="black"/>
                          </a:solidFill>
                        </a:ln>
                      </wps:spPr>
                      <wps:txbx>
                        <w:txbxContent>
                          <w:p w14:paraId="2096E6A8" w14:textId="5DEB4D75" w:rsidR="00EC0796" w:rsidRDefault="00C07132">
                            <w:r>
                              <w:t>(Donabedian,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E843C08" id="_x0000_t202" coordsize="21600,21600" o:spt="202" path="m,l,21600r21600,l21600,xe">
                <v:stroke joinstyle="miter"/>
                <v:path gradientshapeok="t" o:connecttype="rect"/>
              </v:shapetype>
              <v:shape id="Text Box 12" o:spid="_x0000_s1026" type="#_x0000_t202" style="position:absolute;left:0;text-align:left;margin-left:0;margin-top:265.5pt;width:108pt;height:21.7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" fillcolor="white [3201]" strokeweight=".5pt">
                <v:textbox>
                  <w:txbxContent>
                    <w:p w14:paraId="2096E6A8" w14:textId="5DEB4D75" w:rsidR="00EC0796" w:rsidRDefault="00C07132">
                      <w:r>
                        <w:t>(Donabedian, 1988)</w:t>
                      </w:r>
                    </w:p>
                  </w:txbxContent>
                </v:textbox>
                <w10:wrap anchorx="margin"/>
              </v:shape>
            </w:pict>
          </mc:Fallback>
        </mc:AlternateContent>
      </w:r>
      <w:r w:rsidR="005C63EB">
        <w:rPr>
          <w:noProof/>
        </w:rPr>
        <w:drawing>
          <wp:anchor distT="0" distB="0" distL="114300" distR="114300" simplePos="0" relativeHeight="251658240" behindDoc="0" locked="0" layoutInCell="1" allowOverlap="1" wp14:anchorId="3BBF0227" wp14:editId="07E64315">
            <wp:simplePos x="0" y="0"/>
            <wp:positionH relativeFrom="margin">
              <wp:posOffset>1933575</wp:posOffset>
            </wp:positionH>
            <wp:positionV relativeFrom="margin">
              <wp:posOffset>2962275</wp:posOffset>
            </wp:positionV>
            <wp:extent cx="3781425" cy="2352675"/>
            <wp:effectExtent l="76200" t="76200" r="142875" b="1428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81425" cy="2352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E6A01" w:rsidRPr="00FC7753">
        <w:t>Structural deficiencies within East Kent played a central role in the deterioration of maternity safety. The Kirkup Report (2022) identified chronic workforce shortages, particularly in midwifery and obstetrics, alongside an over-reliance on temporary staff and insufficient senior clinical presence during high-risk periods. Research consistently shows that low staffing levels and high workforce turnover significantly increase the risk of adverse patient outcomes, including mortality (Griffiths et al., 2019</w:t>
      </w:r>
      <w:r w:rsidR="00CF3E2A">
        <w:t>; Aiken et al</w:t>
      </w:r>
      <w:r>
        <w:t>., 2021</w:t>
      </w:r>
      <w:r w:rsidR="00FE6A01" w:rsidRPr="00FC7753">
        <w:t>). Additionally, inadequate investment in clinical infrastructure and poorly maintained monitoring equipment further weakened the Trust’s ability to deliver safe maternity care. A lack of embedded training programmes, particularly in areas such as CTG interpretation and emergency obstetric response, compounded these structural weaknesses and created an environment where staff were ill-equipped to manage complex cases confidently.</w:t>
      </w:r>
    </w:p>
    <w:p w14:paraId="7E030C39" w14:textId="0D4665D7" w:rsidR="00FE6A01" w:rsidRPr="00FC7753" w:rsidRDefault="00FE6A01" w:rsidP="00FE6A01">
      <w:pPr>
        <w:jc w:val="both"/>
      </w:pPr>
      <w:r w:rsidRPr="00FC7753">
        <w:t xml:space="preserve">Process failures further compounded these structural weaknesses. Clinical processes such as </w:t>
      </w:r>
      <w:proofErr w:type="spellStart"/>
      <w:r w:rsidRPr="00FC7753">
        <w:t>fetal</w:t>
      </w:r>
      <w:proofErr w:type="spellEnd"/>
      <w:r w:rsidRPr="00FC7753">
        <w:t xml:space="preserve"> monitoring, escalation of deteriorating patients, multidisciplinary decision-making, and emergency response protocols were inconsistently followed at East Kent (Kirkup, 2022). There was widespread misinterpretation of cardiotocography (CTG) traces, delays in responding to </w:t>
      </w:r>
      <w:proofErr w:type="spellStart"/>
      <w:r w:rsidRPr="00FC7753">
        <w:t>fetal</w:t>
      </w:r>
      <w:proofErr w:type="spellEnd"/>
      <w:r w:rsidRPr="00FC7753">
        <w:t xml:space="preserve"> distress, and inappropriate vaginal deliveries where caesarean sections were clinically indicated. National maternity safety guidelines clearly outline escalation thresholds and response pathways, yet these were repeatedly ignored (NHS England, 2023). Furthermore, siloed working between midwives and obstetricians, combined with ineffective documentation practices, created fragmentation in care and contributed to unsafe clinical decisions. Weak internal audit mechanisms meant deviations from best practice were neither identified nor addressed in a timely manner.</w:t>
      </w:r>
    </w:p>
    <w:p w14:paraId="2965BC64" w14:textId="77777777" w:rsidR="00C07132" w:rsidRDefault="00FE6A01" w:rsidP="00FE6A01">
      <w:pPr>
        <w:jc w:val="both"/>
      </w:pPr>
      <w:r w:rsidRPr="00FC7753">
        <w:t>The outcomes of these structural and process failures were catastrophic. Avoidable stillbirths, neonatal brain injuries, and maternal deaths occurred over an extended period without adequate organisational learning or corrective action (Kirkup, 2022). Beyond the immediate clinical consequences, the Trust experienced significant reputational damage, loss of public confidence, and increased regulatory scrutiny. These outcomes illustrate what Donabedian (1988) describes as the inevitable consequences of flawed structures and unsafe clinical processes. The East Kent case demonstrates how persistent quality failures across all three domains can lead to systemic collapse in patient safety, highlighting the need for integrated structural reform, process standardisation, and continuous quality assurance.</w:t>
      </w:r>
    </w:p>
    <w:p w14:paraId="5682DC15" w14:textId="20459B5B" w:rsidR="00FE6A01" w:rsidRPr="00C07132" w:rsidRDefault="00FE6A01" w:rsidP="00FE6A01">
      <w:pPr>
        <w:jc w:val="both"/>
      </w:pPr>
      <w:r w:rsidRPr="00FC7753">
        <w:rPr>
          <w:b/>
          <w:bCs/>
          <w:sz w:val="24"/>
          <w:szCs w:val="24"/>
          <w:u w:val="single"/>
        </w:rPr>
        <w:t>2.2 Fishbone (Cause-and-Effect) Analysis</w:t>
      </w:r>
    </w:p>
    <w:p w14:paraId="7541EA44" w14:textId="503BCCD3" w:rsidR="00FE6A01" w:rsidRPr="00FC7753" w:rsidRDefault="00FE6A01" w:rsidP="00FE6A01">
      <w:pPr>
        <w:jc w:val="both"/>
      </w:pPr>
      <w:r w:rsidRPr="00FC7753">
        <w:t>The Fishbone Diagram, developed by Ishikawa (1985), is a widely used tool for identifying multifactorial causes of organisational failure</w:t>
      </w:r>
      <w:r w:rsidR="005F3752">
        <w:t xml:space="preserve"> ( Mind</w:t>
      </w:r>
      <w:r w:rsidR="00265518">
        <w:t xml:space="preserve">tools, </w:t>
      </w:r>
      <w:proofErr w:type="spellStart"/>
      <w:r w:rsidR="00265518">
        <w:t>n.d</w:t>
      </w:r>
      <w:proofErr w:type="spellEnd"/>
      <w:r w:rsidR="00265518">
        <w:t>)</w:t>
      </w:r>
      <w:r w:rsidRPr="00FC7753">
        <w:t>. When applied to East Kent’s maternity crisis, the model highlights that patient harm did not arise from a single factor but from interconnected failures across people, processes, leadership, environment, equipment, and policy.</w:t>
      </w:r>
    </w:p>
    <w:p w14:paraId="7CC52E55" w14:textId="69BDB5A4" w:rsidR="00FE6A01" w:rsidRPr="00FC7753" w:rsidRDefault="00FE6A01" w:rsidP="00FE6A01">
      <w:pPr>
        <w:jc w:val="both"/>
      </w:pPr>
      <w:r w:rsidRPr="00FC7753">
        <w:t xml:space="preserve">Human factors played a significant role in the failures observed at East Kent. Staff competency gaps, inconsistent supervision of junior staff, and inadequate training in </w:t>
      </w:r>
      <w:proofErr w:type="spellStart"/>
      <w:r w:rsidRPr="00FC7753">
        <w:t>fetal</w:t>
      </w:r>
      <w:proofErr w:type="spellEnd"/>
      <w:r w:rsidRPr="00FC7753">
        <w:t xml:space="preserve"> monitoring were widely documented (Kirkup, 2022). These shortcomings were further intensified by excessive workload and fatigue, which are well-established contributors to clinical error (West et al., 2020). Additionally, fragmented teamwork and communication barriers between midwives, obstetricians, and neonatologists further undermined coordinated care and created opportunities for critical information to be missed. In addition, processes such as incident reporting, clinical audit, and risk escalation were either weak or actively discouraged, preventing early detection of unsafe practice. Crucially, the absence of regular multidisciplinary training and simulation exercises meant teams lacked shared mental models and struggled to function effectively in emergencies—an issue repeatedly highlighted in national maternity reviews.</w:t>
      </w:r>
      <w:r w:rsidR="00120BD3" w:rsidRPr="00120BD3">
        <w:t xml:space="preserve"> </w:t>
      </w:r>
      <w:r w:rsidR="00120BD3">
        <w:rPr>
          <w:noProof/>
        </w:rPr>
        <w:drawing>
          <wp:anchor distT="0" distB="0" distL="114300" distR="114300" simplePos="0" relativeHeight="251659264" behindDoc="0" locked="0" layoutInCell="1" allowOverlap="1" wp14:anchorId="199241A4" wp14:editId="388AE183">
            <wp:simplePos x="914400" y="5972175"/>
            <wp:positionH relativeFrom="margin">
              <wp:align>left</wp:align>
            </wp:positionH>
            <wp:positionV relativeFrom="margin">
              <wp:align>center</wp:align>
            </wp:positionV>
            <wp:extent cx="3514725" cy="2105025"/>
            <wp:effectExtent l="76200" t="76200" r="142875" b="142875"/>
            <wp:wrapSquare wrapText="bothSides"/>
            <wp:docPr id="6" name="Picture 6" descr="Fishbone Diagram Cause And Effect Template Vector Illustr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shbone Diagram Cause And Effect Template Vector Illustratio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4725" cy="2105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38F67FE" w14:textId="191A0662" w:rsidR="00FE6A01" w:rsidRPr="00FC7753" w:rsidRDefault="002B63FC" w:rsidP="00FE6A01">
      <w:pPr>
        <w:jc w:val="both"/>
      </w:pPr>
      <w:r>
        <w:rPr>
          <w:noProof/>
        </w:rPr>
        <mc:AlternateContent>
          <mc:Choice Requires="wps">
            <w:drawing>
              <wp:anchor distT="0" distB="0" distL="114300" distR="114300" simplePos="0" relativeHeight="251665408" behindDoc="0" locked="0" layoutInCell="1" allowOverlap="1" wp14:anchorId="167398F3" wp14:editId="56A146E6">
                <wp:simplePos x="0" y="0"/>
                <wp:positionH relativeFrom="column">
                  <wp:posOffset>350874</wp:posOffset>
                </wp:positionH>
                <wp:positionV relativeFrom="paragraph">
                  <wp:posOffset>1145717</wp:posOffset>
                </wp:positionV>
                <wp:extent cx="1244009" cy="318977"/>
                <wp:effectExtent l="0" t="0" r="13335" b="24130"/>
                <wp:wrapNone/>
                <wp:docPr id="13" name="Text Box 13"/>
                <wp:cNvGraphicFramePr/>
                <a:graphic xmlns:a="http://schemas.openxmlformats.org/drawingml/2006/main">
                  <a:graphicData uri="http://schemas.microsoft.com/office/word/2010/wordprocessingShape">
                    <wps:wsp>
                      <wps:cNvSpPr txBox="1"/>
                      <wps:spPr>
                        <a:xfrm>
                          <a:off x="0" y="0"/>
                          <a:ext cx="1244009" cy="318977"/>
                        </a:xfrm>
                        <a:prstGeom prst="rect">
                          <a:avLst/>
                        </a:prstGeom>
                        <a:solidFill>
                          <a:schemeClr val="lt1"/>
                        </a:solidFill>
                        <a:ln w="6350">
                          <a:solidFill>
                            <a:prstClr val="black"/>
                          </a:solidFill>
                        </a:ln>
                      </wps:spPr>
                      <wps:txbx>
                        <w:txbxContent>
                          <w:p w14:paraId="6D8F966E" w14:textId="31EF3AEE" w:rsidR="002B63FC" w:rsidRDefault="002B63FC">
                            <w:r>
                              <w:t>(MindTools,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7398F3" id="Text Box 13" o:spid="_x0000_s1027" type="#_x0000_t202" style="position:absolute;left:0;text-align:left;margin-left:27.65pt;margin-top:90.2pt;width:97.95pt;height:25.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" fillcolor="white [3201]" strokeweight=".5pt">
                <v:textbox>
                  <w:txbxContent>
                    <w:p w14:paraId="6D8F966E" w14:textId="31EF3AEE" w:rsidR="002B63FC" w:rsidRDefault="002B63FC">
                      <w:r>
                        <w:t>(MindTools, n.d.)</w:t>
                      </w:r>
                    </w:p>
                  </w:txbxContent>
                </v:textbox>
              </v:shape>
            </w:pict>
          </mc:Fallback>
        </mc:AlternateContent>
      </w:r>
      <w:r w:rsidR="00FE6A01" w:rsidRPr="00FC7753">
        <w:t>Leadership and culture emerge as some of the most damaging causal factors. The Kirkup Report (2022) identified a defensive, bullying leadership culture in which staff who raised concerns were silenced or marginalised. This mirrors findings from broader patient safety research, which consistently demonstrates that poor leadership and lack of psychological safety significantly increase the risk of patient harm (Edmondson, 2018; Dixon-Woods, 2019). At East Kent, a preference for normal vaginal birth at all costs created a culture of “professional tribalism,” where midwifery and obstetric teams operated in opposition rather than collaboration. This adversarial dynamic not only damaged communication but also shaped unsafe clinical decision-making.</w:t>
      </w:r>
    </w:p>
    <w:p w14:paraId="1F955185" w14:textId="77777777" w:rsidR="00FE6A01" w:rsidRPr="00FC7753" w:rsidRDefault="00FE6A01" w:rsidP="00FE6A01">
      <w:pPr>
        <w:jc w:val="both"/>
      </w:pPr>
      <w:r w:rsidRPr="00FC7753">
        <w:t>Environmental factors such as high bed occupancy, overcrowding, and resource constraints further increased operational pressure on maternity staff. Outdated monitoring equipment and insufficient access to emergency theatre facilities added further layers of risk. Poor physical layout, including inadequate triage spaces and limited neonatal resuscitation facilities, also impeded timely escalation and safe patient flow.</w:t>
      </w:r>
    </w:p>
    <w:p w14:paraId="3E65116A" w14:textId="77777777" w:rsidR="00FE6A01" w:rsidRPr="00FC7753" w:rsidRDefault="00FE6A01" w:rsidP="00FE6A01">
      <w:pPr>
        <w:jc w:val="both"/>
      </w:pPr>
      <w:r w:rsidRPr="00FC7753">
        <w:t>From a policy perspective, the failure to effectively implement national maternity safety standards represents a serious governance breakdown. Despite the availability of evidence-based national guidance, there was insufficient accountability for compliance at East Kent (NHS England, 2023). Weak oversight, poorly functioning risk committees, and limited external challenge meant unsafe practices became normalised over time. The Fishbone analysis therefore confirms that the East Kent crisis was the result of complex system-wide vulnerabilities rather than isolated professional misconduct.</w:t>
      </w:r>
    </w:p>
    <w:p w14:paraId="430B7190" w14:textId="77777777" w:rsidR="00FE6A01" w:rsidRPr="00FC7753" w:rsidRDefault="00FE6A01" w:rsidP="00FE6A01">
      <w:pPr>
        <w:jc w:val="both"/>
        <w:rPr>
          <w:b/>
          <w:bCs/>
          <w:sz w:val="24"/>
          <w:szCs w:val="24"/>
          <w:u w:val="single"/>
        </w:rPr>
      </w:pPr>
      <w:r w:rsidRPr="00FC7753">
        <w:rPr>
          <w:b/>
          <w:bCs/>
          <w:sz w:val="24"/>
          <w:szCs w:val="24"/>
          <w:u w:val="single"/>
        </w:rPr>
        <w:t>2.3 5 Whys Root Cause Analysis</w:t>
      </w:r>
    </w:p>
    <w:p w14:paraId="291076F5" w14:textId="191EE381" w:rsidR="00FE6A01" w:rsidRPr="00FC7753" w:rsidRDefault="000C38A4" w:rsidP="00FE6A01">
      <w:pPr>
        <w:jc w:val="both"/>
      </w:pPr>
      <w:r>
        <w:rPr>
          <w:noProof/>
        </w:rPr>
        <mc:AlternateContent>
          <mc:Choice Requires="wps">
            <w:drawing>
              <wp:anchor distT="0" distB="0" distL="114300" distR="114300" simplePos="0" relativeHeight="251666432" behindDoc="0" locked="0" layoutInCell="1" allowOverlap="1" wp14:anchorId="146C30A8" wp14:editId="477FE4A2">
                <wp:simplePos x="0" y="0"/>
                <wp:positionH relativeFrom="column">
                  <wp:posOffset>3455331</wp:posOffset>
                </wp:positionH>
                <wp:positionV relativeFrom="paragraph">
                  <wp:posOffset>399194</wp:posOffset>
                </wp:positionV>
                <wp:extent cx="1371600" cy="287582"/>
                <wp:effectExtent l="0" t="0" r="19050" b="17780"/>
                <wp:wrapNone/>
                <wp:docPr id="14" name="Text Box 14"/>
                <wp:cNvGraphicFramePr/>
                <a:graphic xmlns:a="http://schemas.openxmlformats.org/drawingml/2006/main">
                  <a:graphicData uri="http://schemas.microsoft.com/office/word/2010/wordprocessingShape">
                    <wps:wsp>
                      <wps:cNvSpPr txBox="1"/>
                      <wps:spPr>
                        <a:xfrm>
                          <a:off x="0" y="0"/>
                          <a:ext cx="1371600" cy="287582"/>
                        </a:xfrm>
                        <a:prstGeom prst="rect">
                          <a:avLst/>
                        </a:prstGeom>
                        <a:solidFill>
                          <a:schemeClr val="lt1"/>
                        </a:solidFill>
                        <a:ln w="6350">
                          <a:solidFill>
                            <a:prstClr val="black"/>
                          </a:solidFill>
                        </a:ln>
                      </wps:spPr>
                      <wps:txbx>
                        <w:txbxContent>
                          <w:p w14:paraId="1A2C0E6A" w14:textId="691B042A" w:rsidR="00CA1D91" w:rsidRDefault="00CA1D91">
                            <w:r>
                              <w:t>(MindTools,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C30A8" id="Text Box 14" o:spid="_x0000_s1028" type="#_x0000_t202" style="position:absolute;left:0;text-align:left;margin-left:272.05pt;margin-top:31.45pt;width:108pt;height:2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" fillcolor="white [3201]" strokeweight=".5pt">
                <v:textbox>
                  <w:txbxContent>
                    <w:p w14:paraId="1A2C0E6A" w14:textId="691B042A" w:rsidR="00CA1D91" w:rsidRDefault="00CA1D91">
                      <w:r>
                        <w:t>(MindTools, n.d.)</w:t>
                      </w:r>
                    </w:p>
                  </w:txbxContent>
                </v:textbox>
              </v:shape>
            </w:pict>
          </mc:Fallback>
        </mc:AlternateContent>
      </w:r>
      <w:r w:rsidR="00FE6A01" w:rsidRPr="00FC7753">
        <w:t xml:space="preserve">The 5 Whys technique enables deeper exploration of causation by repeatedly questioning why adverse events occur (Ishikawa, 1985). Applying this method to East </w:t>
      </w:r>
      <w:r w:rsidR="00127945">
        <w:t xml:space="preserve"> </w:t>
      </w:r>
      <w:r w:rsidR="00FE6A01" w:rsidRPr="00FC7753">
        <w:t>Kent’s avoidable maternity deaths reveals how surface-level clinical errors were symptoms of deeper organisational dysfunction.</w:t>
      </w:r>
    </w:p>
    <w:p w14:paraId="77B06014" w14:textId="57D4EE07" w:rsidR="00FE6A01" w:rsidRPr="00FC7753" w:rsidRDefault="00617128" w:rsidP="00FE6A01">
      <w:pPr>
        <w:jc w:val="both"/>
      </w:pPr>
      <w:r>
        <w:rPr>
          <w:noProof/>
        </w:rPr>
        <mc:AlternateContent>
          <mc:Choice Requires="wps">
            <w:drawing>
              <wp:anchor distT="0" distB="0" distL="114300" distR="114300" simplePos="0" relativeHeight="251663360" behindDoc="0" locked="0" layoutInCell="1" allowOverlap="1" wp14:anchorId="14B2128A" wp14:editId="333D3F89">
                <wp:simplePos x="0" y="0"/>
                <wp:positionH relativeFrom="column">
                  <wp:posOffset>1296345</wp:posOffset>
                </wp:positionH>
                <wp:positionV relativeFrom="paragraph">
                  <wp:posOffset>3523822</wp:posOffset>
                </wp:positionV>
                <wp:extent cx="1329070" cy="233917"/>
                <wp:effectExtent l="0" t="0" r="23495" b="13970"/>
                <wp:wrapNone/>
                <wp:docPr id="11" name="Text Box 11"/>
                <wp:cNvGraphicFramePr/>
                <a:graphic xmlns:a="http://schemas.openxmlformats.org/drawingml/2006/main">
                  <a:graphicData uri="http://schemas.microsoft.com/office/word/2010/wordprocessingShape">
                    <wps:wsp>
                      <wps:cNvSpPr txBox="1"/>
                      <wps:spPr>
                        <a:xfrm>
                          <a:off x="0" y="0"/>
                          <a:ext cx="1329070" cy="233917"/>
                        </a:xfrm>
                        <a:prstGeom prst="rect">
                          <a:avLst/>
                        </a:prstGeom>
                        <a:solidFill>
                          <a:schemeClr val="lt1"/>
                        </a:solidFill>
                        <a:ln w="6350">
                          <a:solidFill>
                            <a:prstClr val="black"/>
                          </a:solidFill>
                        </a:ln>
                      </wps:spPr>
                      <wps:txbx>
                        <w:txbxContent>
                          <w:p w14:paraId="0B994EBD" w14:textId="580CCBF8" w:rsidR="00617128" w:rsidRDefault="00BD4488">
                            <w:r>
                              <w:t>(Ishikawa, 1985)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B2128A" id="Text Box 11" o:spid="_x0000_s1029" type="#_x0000_t202" style="position:absolute;left:0;text-align:left;margin-left:102.05pt;margin-top:277.45pt;width:104.65pt;height:18.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" fillcolor="white [3201]" strokeweight=".5pt">
                <v:textbox>
                  <w:txbxContent>
                    <w:p w14:paraId="0B994EBD" w14:textId="580CCBF8" w:rsidR="00617128" w:rsidRDefault="00BD4488">
                      <w:r>
                        <w:t>(Ishikawa, 1985)</w:t>
                      </w:r>
                    </w:p>
                  </w:txbxContent>
                </v:textbox>
              </v:shape>
            </w:pict>
          </mc:Fallback>
        </mc:AlternateContent>
      </w:r>
      <w:r w:rsidR="00FE6A01" w:rsidRPr="00FC7753">
        <w:t xml:space="preserve">At the most immediate level, babies and mothers died because clinical deterioration was not recognised or escalated in a timely manner. When examined further, this failure to escalate was linked to staff fear of criticism and disciplinary action. This fear existed because a long-standing culture of blame and intimidation was embedded within maternity services at East Kent (Kirkup, 2022). Staff reported that raising concerns often resulted in hostility or professional repercussions, creating a situation where unsafe decisions went unchallenged. This </w:t>
      </w:r>
      <w:r w:rsidR="00540621">
        <w:t xml:space="preserve"> </w:t>
      </w:r>
      <w:r w:rsidR="00FE6A01" w:rsidRPr="00FC7753">
        <w:t>developed as a result of ineffective leadership, poor governance oversight, and failure of the Trust Board to act on repeated safety warnings. Ultimately, the root cause of the crisis lay in systemic governance failure that allowed unsafe cultures and practices to persist unchecked.</w:t>
      </w:r>
      <w:r w:rsidR="00D46629">
        <w:rPr>
          <w:noProof/>
        </w:rPr>
        <w:drawing>
          <wp:anchor distT="0" distB="0" distL="114300" distR="114300" simplePos="0" relativeHeight="251660288" behindDoc="0" locked="0" layoutInCell="1" allowOverlap="1" wp14:anchorId="2AD05CFC" wp14:editId="66AEADEF">
            <wp:simplePos x="914400" y="5381625"/>
            <wp:positionH relativeFrom="margin">
              <wp:align>center</wp:align>
            </wp:positionH>
            <wp:positionV relativeFrom="margin">
              <wp:align>center</wp:align>
            </wp:positionV>
            <wp:extent cx="2981325" cy="2981325"/>
            <wp:effectExtent l="190500" t="190500" r="200025" b="2000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81325" cy="2981325"/>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anchor>
        </w:drawing>
      </w:r>
    </w:p>
    <w:p w14:paraId="206EF77D" w14:textId="64DB902C" w:rsidR="006C5BCD" w:rsidRDefault="00FE6A01" w:rsidP="00182F98">
      <w:pPr>
        <w:jc w:val="both"/>
      </w:pPr>
      <w:r w:rsidRPr="00FC7753">
        <w:t>This root cause chain aligns strongly with international patient safety literature, which emphasises that unsafe care environments are produced through organisational failures rather than individual incompetence (Reason, 2000; Edmondson, 2018). The 5 Whys analysis therefore confirms that the East Kent disaster was primarily a failure of systems, leadership, and governance rather than frontline staff alone.</w:t>
      </w:r>
    </w:p>
    <w:p w14:paraId="11206603" w14:textId="77777777" w:rsidR="005C175C" w:rsidRPr="005C175C" w:rsidRDefault="005C175C" w:rsidP="00182F98">
      <w:pPr>
        <w:jc w:val="both"/>
      </w:pPr>
    </w:p>
    <w:p w14:paraId="771CD3D2" w14:textId="1743B84B" w:rsidR="00182F98" w:rsidRPr="00FC7753" w:rsidRDefault="006C5BCD" w:rsidP="00182F98">
      <w:pPr>
        <w:jc w:val="both"/>
        <w:rPr>
          <w:b/>
          <w:bCs/>
          <w:sz w:val="24"/>
          <w:szCs w:val="24"/>
          <w:u w:val="single"/>
        </w:rPr>
      </w:pPr>
      <w:r>
        <w:rPr>
          <w:noProof/>
        </w:rPr>
        <w:drawing>
          <wp:anchor distT="0" distB="0" distL="114300" distR="114300" simplePos="0" relativeHeight="251661312" behindDoc="0" locked="0" layoutInCell="1" allowOverlap="1" wp14:anchorId="5E9CAB16" wp14:editId="6D5F9BBB">
            <wp:simplePos x="0" y="0"/>
            <wp:positionH relativeFrom="margin">
              <wp:align>right</wp:align>
            </wp:positionH>
            <wp:positionV relativeFrom="margin">
              <wp:posOffset>-180975</wp:posOffset>
            </wp:positionV>
            <wp:extent cx="2426970" cy="1903730"/>
            <wp:effectExtent l="0" t="0" r="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6970" cy="1903730"/>
                    </a:xfrm>
                    <a:prstGeom prst="rect">
                      <a:avLst/>
                    </a:prstGeom>
                  </pic:spPr>
                </pic:pic>
              </a:graphicData>
            </a:graphic>
            <wp14:sizeRelH relativeFrom="margin">
              <wp14:pctWidth>0</wp14:pctWidth>
            </wp14:sizeRelH>
            <wp14:sizeRelV relativeFrom="margin">
              <wp14:pctHeight>0</wp14:pctHeight>
            </wp14:sizeRelV>
          </wp:anchor>
        </w:drawing>
      </w:r>
      <w:r w:rsidR="00182F98" w:rsidRPr="00FC7753">
        <w:rPr>
          <w:b/>
          <w:bCs/>
          <w:sz w:val="24"/>
          <w:szCs w:val="24"/>
          <w:u w:val="single"/>
        </w:rPr>
        <w:t>2.4 SWOT Analysis of East Kent Hospitals NHS Trust</w:t>
      </w:r>
    </w:p>
    <w:p w14:paraId="27F71B13" w14:textId="1A936F64" w:rsidR="00182F98" w:rsidRPr="00FC7753" w:rsidRDefault="00182F98" w:rsidP="00182F98">
      <w:pPr>
        <w:jc w:val="both"/>
      </w:pPr>
      <w:r w:rsidRPr="00FC7753">
        <w:t>SWOT analysis provides a strategic overview of organisational strengths, weaknesses, opportunities, and threats</w:t>
      </w:r>
      <w:r w:rsidR="004134A4">
        <w:t xml:space="preserve">( Mindtools, </w:t>
      </w:r>
      <w:proofErr w:type="spellStart"/>
      <w:r w:rsidR="004134A4">
        <w:t>n</w:t>
      </w:r>
      <w:r w:rsidR="008D0E9E">
        <w:t>.d</w:t>
      </w:r>
      <w:proofErr w:type="spellEnd"/>
      <w:r w:rsidR="008D0E9E">
        <w:t>; Sequence health, 2025;</w:t>
      </w:r>
      <w:r w:rsidR="00525BBE">
        <w:t xml:space="preserve"> </w:t>
      </w:r>
      <w:proofErr w:type="spellStart"/>
      <w:r w:rsidR="00525BBE">
        <w:t>venngage</w:t>
      </w:r>
      <w:proofErr w:type="spellEnd"/>
      <w:r w:rsidR="00525BBE">
        <w:t>, 2025</w:t>
      </w:r>
      <w:r w:rsidR="008D0E9E">
        <w:t>)</w:t>
      </w:r>
      <w:r w:rsidRPr="00FC7753">
        <w:t>, enabling targeted service improvement planning. Despite its severe failings, East Kent benefits from being part of a nationally funded NHS system with access to central maternity safety initiatives, workforce development funding, and digital transformation support (NHS England, 2023). These structural strengths provide a platform for potential recovery. In addition, the Trust retains a group of highly committed clinicians and midwives who, when supported appropriately, can contribute significantly to rebuilding safe and effective maternity services.</w:t>
      </w:r>
    </w:p>
    <w:p w14:paraId="4DD65E13" w14:textId="77777777" w:rsidR="00182F98" w:rsidRPr="00FC7753" w:rsidRDefault="00182F98" w:rsidP="00182F98">
      <w:pPr>
        <w:jc w:val="both"/>
      </w:pPr>
      <w:r w:rsidRPr="00FC7753">
        <w:t>However, internal weaknesses remain profound. Persistent staffing shortages, poor staff morale, ineffective safety reporting mechanisms, and deeply damaged public trust represent significant organisational liabilities (Kirkup, 2022). The reputational damage experienced by the Trust has implications for recruitment, litigation costs, and regulatory scrutiny. Furthermore, fragmented teamworking and inconsistent leadership oversight continue to impede cohesive operational functioning, making it difficult to implement standardised clinical pathways or embed learning from audits and investigations.</w:t>
      </w:r>
    </w:p>
    <w:p w14:paraId="33E3E541" w14:textId="77777777" w:rsidR="00182F98" w:rsidRPr="00FC7753" w:rsidRDefault="00182F98" w:rsidP="00182F98">
      <w:pPr>
        <w:jc w:val="both"/>
      </w:pPr>
      <w:r w:rsidRPr="00FC7753">
        <w:t>Externally, East Kent faces both opportunities and threats. National maternity reform programmes, patient safety collaboratives, and digital escalation systems represent major opportunities for improvement. At the same time, the Trust faces threats including legal compensation claims, Care Quality Commission enforcement action, and ongoing public confidence erosion. Without effective service improvement intervention, these threats risk further undermining organisational stability and delaying long-term recovery.</w:t>
      </w:r>
    </w:p>
    <w:p w14:paraId="5BF395B0" w14:textId="77777777" w:rsidR="00182F98" w:rsidRPr="00FC7753" w:rsidRDefault="00182F98" w:rsidP="00182F98">
      <w:pPr>
        <w:jc w:val="both"/>
        <w:rPr>
          <w:b/>
          <w:bCs/>
          <w:sz w:val="24"/>
          <w:szCs w:val="24"/>
          <w:u w:val="single"/>
        </w:rPr>
      </w:pPr>
      <w:r w:rsidRPr="00FC7753">
        <w:rPr>
          <w:b/>
          <w:bCs/>
          <w:sz w:val="24"/>
          <w:szCs w:val="24"/>
          <w:u w:val="single"/>
        </w:rPr>
        <w:t>2.5 Critical Evaluation of Organisational Culture and Leadership</w:t>
      </w:r>
    </w:p>
    <w:p w14:paraId="2AC2680A" w14:textId="77777777" w:rsidR="00182F98" w:rsidRPr="00FC7753" w:rsidRDefault="00182F98" w:rsidP="00182F98">
      <w:pPr>
        <w:jc w:val="both"/>
      </w:pPr>
      <w:r w:rsidRPr="00FC7753">
        <w:t>Organisational culture has been recognised as one of the most powerful determinants of patient safety. Westrum (2004) categorises safety cultures into pathological, bureaucratic, and generative types. The culture at East Kent clearly reflected a pathological model, in which staff were discouraged from speaking up, mistakes were concealed, and organisational reputation was prioritised over patient safety (Kirkup, 2022). This culture fostered professional silos, defensive behaviours, and a reluctance to escalate concerns — all of which are incompatible with safe maternity care.</w:t>
      </w:r>
    </w:p>
    <w:p w14:paraId="7F1E1F12" w14:textId="77777777" w:rsidR="00182F98" w:rsidRPr="00FC7753" w:rsidRDefault="00182F98" w:rsidP="00182F98">
      <w:pPr>
        <w:jc w:val="both"/>
      </w:pPr>
      <w:r w:rsidRPr="00FC7753">
        <w:t>Patient safety research consistently demonstrates that psychological safety—the ability to raise concerns without fear of retribution—is essential for safe healthcare systems (Edmondson, 2018). At East Kent, the absence of psychological safety directly contributed to unreported errors, unresolved risks, and persistent unsafe practice. Leadership failure further compounded these risks, as senior managers repeatedly ignored warning signals from clinicians, families, and regulators. The Trust’s leadership also failed to model compassionate and inclusive behaviours, which are shown to strengthen team cohesion and improve safety outcomes (West et al., 2014).</w:t>
      </w:r>
    </w:p>
    <w:p w14:paraId="419AF4C4" w14:textId="77777777" w:rsidR="00182F98" w:rsidRPr="00FC7753" w:rsidRDefault="00182F98" w:rsidP="00182F98">
      <w:pPr>
        <w:jc w:val="both"/>
      </w:pPr>
      <w:r w:rsidRPr="00FC7753">
        <w:t>Comparisons with the Mid Staffordshire scandal demonstrate that failure to embed open safety culture, transparent leadership, and responsive governance continues to pose one of the greatest threats to NHS quality improvement (Francis, 2013; Dixon-Woods, 2019). The East Kent case therefore reinforces national evidence that sustainable patient safety depends far more on leadership behaviour and organisational culture than on technical competence alone.</w:t>
      </w:r>
    </w:p>
    <w:p w14:paraId="70BAE2CE" w14:textId="307D28E4" w:rsidR="00242EA4" w:rsidRPr="00FC7753" w:rsidRDefault="00242EA4" w:rsidP="00974815">
      <w:pPr>
        <w:jc w:val="both"/>
      </w:pPr>
    </w:p>
    <w:p w14:paraId="2F07ACB7" w14:textId="77777777" w:rsidR="00FE6A01" w:rsidRPr="00FC7753" w:rsidRDefault="00FE6A01" w:rsidP="00FC7753">
      <w:pPr>
        <w:jc w:val="both"/>
        <w:rPr>
          <w:b/>
          <w:bCs/>
          <w:sz w:val="24"/>
          <w:szCs w:val="24"/>
          <w:u w:val="single"/>
        </w:rPr>
      </w:pPr>
      <w:r w:rsidRPr="00FC7753">
        <w:rPr>
          <w:b/>
          <w:bCs/>
          <w:sz w:val="24"/>
          <w:szCs w:val="24"/>
          <w:u w:val="single"/>
        </w:rPr>
        <w:t>3. Recommendations and Implementation Strategy</w:t>
      </w:r>
    </w:p>
    <w:p w14:paraId="5479A8FE" w14:textId="77777777" w:rsidR="00FE6A01" w:rsidRPr="00FC7753" w:rsidRDefault="00FE6A01" w:rsidP="00FC7753">
      <w:pPr>
        <w:jc w:val="both"/>
      </w:pPr>
      <w:r w:rsidRPr="00FC7753">
        <w:t>The analysis of the East Kent maternity scandal clearly demonstrates that unsafe outcomes were driven by failures in leadership, governance, workforce capacity, safety culture, and quality monitoring systems. Therefore, service improvement must be comprehensive, system-wide, and sustained. The recommendations proposed in this section are based on national evidence, quality improvement theory, and patient safety research, and they are structured around governance reform, workforce development, cultural transformation, and robust implementation using recognised quality improvement tools.</w:t>
      </w:r>
    </w:p>
    <w:p w14:paraId="5A55012C" w14:textId="35AE7FED" w:rsidR="00FE6A01" w:rsidRPr="00FC7753" w:rsidRDefault="00FE6A01" w:rsidP="00FC7753">
      <w:pPr>
        <w:jc w:val="both"/>
      </w:pPr>
      <w:r w:rsidRPr="00FC7753">
        <w:t>A primary recommendation is the strengthening of clinical leadership and governance accountability at East Kent Hospitals NHS Trust. The Kirkup Report (2022) highlighted repeated failures of senior leadership to act upon serious safety warnings. To address this, the Trust must establish an independent maternity safety oversight board, reporting directly to NHS England and the Care Quality Commission. This board should include external obstetric experts, patient representatives, and governance specialists to ensure objective scrutiny and transparency. Evidence from high-performing NHS organisations demonstrates that strong, visible, and accountable leadership is directly associated with reduced patient mortality and improved care outcomes (West et al., 2014; Dixon-Woods, 2019). Regular public reporting of safety indicators such as stillbirth rates, emergency caesarean response times, and serious incident investigations should also be mandated to rebuild public trust. Ensuring that these indicators are benchmarked against national standards will support continuous monitoring and allow early detection of deterioration in safety performance.</w:t>
      </w:r>
    </w:p>
    <w:p w14:paraId="0A1ADA37" w14:textId="0E7CCF51" w:rsidR="00FE6A01" w:rsidRPr="00FC7753" w:rsidRDefault="00FE6A01" w:rsidP="00FC7753">
      <w:pPr>
        <w:jc w:val="both"/>
      </w:pPr>
      <w:r w:rsidRPr="00FC7753">
        <w:t>A second critical recommendation involves long-term workforce stabilisation and clinical competency assurance. Chronic understaffing and high turnover at East Kent significantly increased operational pressure and error risk (</w:t>
      </w:r>
      <w:proofErr w:type="spellStart"/>
      <w:r w:rsidRPr="00FC7753">
        <w:t>Kirkup</w:t>
      </w:r>
      <w:proofErr w:type="spellEnd"/>
      <w:r w:rsidRPr="00FC7753">
        <w:t>, 2022</w:t>
      </w:r>
      <w:r w:rsidR="001A5ADD">
        <w:t>; Aiken et al., 2021</w:t>
      </w:r>
      <w:r w:rsidRPr="00FC7753">
        <w:t xml:space="preserve">). The Trust should implement minimum safe staffing ratios in line with Royal College of Midwives guidance and introduce targeted recruitment incentives for obstetricians and senior midwives. Additional measures such as protected training time, mentorship schemes for junior staff, and rotational specialist placements would help strengthen clinical capability and resilience. Mandatory annual competency revalidation in </w:t>
      </w:r>
      <w:proofErr w:type="spellStart"/>
      <w:r w:rsidRPr="00FC7753">
        <w:t>fetal</w:t>
      </w:r>
      <w:proofErr w:type="spellEnd"/>
      <w:r w:rsidRPr="00FC7753">
        <w:t xml:space="preserve"> monitoring, emergency obstetrics, and multidisciplinary emergency response must be embedded into governance systems. Research confirms that adequate nurse-to-patient ratios and clinical competence validation are directly associated with improved safety and reduced mortality (Griffiths et al., 2019; Aiken et al., 2021).</w:t>
      </w:r>
    </w:p>
    <w:p w14:paraId="433232AB" w14:textId="1FDCF877" w:rsidR="00FE6A01" w:rsidRPr="00FE6A01" w:rsidRDefault="00FE6A01" w:rsidP="00FC7753">
      <w:pPr>
        <w:jc w:val="both"/>
        <w:rPr>
          <w:b/>
          <w:bCs/>
          <w:u w:val="single"/>
        </w:rPr>
      </w:pPr>
      <w:r w:rsidRPr="00FC7753">
        <w:t>Transforming the organisation’s safety culture is essential for sustainable quality improvement. East Kent demonstrated a deep culture of fear and blame where staff concerns were suppressed (Kirkup, 2022). The Trust must formally adopt a Just Culture framework, where human error is distinguished from reckless behaviour and learning rather than punishment is prioritised (Dekker, 2016). Staff must have access to confidential whistleblowing systems, legal protections, and psychological safety programmes. Additionally, regular multidisciplinary safety huddles, open disclosure practices, and patient involvement in incident reviews can reinforce collective responsibility for safety. Evidence shows that psychologically safe environments improve error reporting, reduce harm, and increase workforce wellbeing (Edmondson, 2018; Weaver et al</w:t>
      </w:r>
      <w:r w:rsidRPr="00FC7753">
        <w:rPr>
          <w:b/>
          <w:bCs/>
        </w:rPr>
        <w:t xml:space="preserve">., </w:t>
      </w:r>
      <w:r w:rsidRPr="00FC7753">
        <w:t>2013).</w:t>
      </w:r>
    </w:p>
    <w:p w14:paraId="6E1D8523" w14:textId="23A63325" w:rsidR="00A05414" w:rsidRDefault="00A05414" w:rsidP="00FC7753">
      <w:pPr>
        <w:jc w:val="both"/>
        <w:rPr>
          <w:b/>
          <w:bCs/>
          <w:sz w:val="24"/>
          <w:szCs w:val="24"/>
          <w:u w:val="single"/>
        </w:rPr>
      </w:pPr>
    </w:p>
    <w:p w14:paraId="32AA1E6F" w14:textId="6498F001" w:rsidR="00242EA4" w:rsidRPr="00FC7753" w:rsidRDefault="005401B2" w:rsidP="00FC7753">
      <w:pPr>
        <w:jc w:val="both"/>
        <w:rPr>
          <w:b/>
          <w:bCs/>
          <w:sz w:val="24"/>
          <w:szCs w:val="24"/>
          <w:u w:val="single"/>
        </w:rPr>
      </w:pPr>
      <w:r>
        <w:rPr>
          <w:b/>
          <w:bCs/>
          <w:sz w:val="24"/>
          <w:szCs w:val="24"/>
          <w:u w:val="single"/>
        </w:rPr>
        <w:t>3.1</w:t>
      </w:r>
      <w:r w:rsidR="00242EA4" w:rsidRPr="00FC7753">
        <w:rPr>
          <w:b/>
          <w:bCs/>
          <w:sz w:val="24"/>
          <w:szCs w:val="24"/>
          <w:u w:val="single"/>
        </w:rPr>
        <w:t>Plan–Do–Study–Act (PDSA)</w:t>
      </w:r>
      <w:r w:rsidR="00A05414">
        <w:rPr>
          <w:b/>
          <w:bCs/>
          <w:noProof/>
          <w:sz w:val="24"/>
          <w:szCs w:val="24"/>
          <w:u w:val="single"/>
        </w:rPr>
        <w:drawing>
          <wp:anchor distT="0" distB="0" distL="114300" distR="114300" simplePos="0" relativeHeight="251662336" behindDoc="0" locked="0" layoutInCell="1" allowOverlap="1" wp14:anchorId="24B44C5A" wp14:editId="03289FEB">
            <wp:simplePos x="2636520" y="914400"/>
            <wp:positionH relativeFrom="margin">
              <wp:align>right</wp:align>
            </wp:positionH>
            <wp:positionV relativeFrom="margin">
              <wp:align>bottom</wp:align>
            </wp:positionV>
            <wp:extent cx="1514475" cy="1714500"/>
            <wp:effectExtent l="114300" t="76200" r="85725" b="9144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14475" cy="17145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p>
    <w:p w14:paraId="66E5F997" w14:textId="3FB780BC" w:rsidR="00242EA4" w:rsidRDefault="00242EA4" w:rsidP="00FC7753">
      <w:pPr>
        <w:jc w:val="both"/>
      </w:pPr>
      <w:r>
        <w:t>The implementation of these reforms should be guided by the Plan–Do–Study–Act (PDSA) quality improvement cycle, ensuring continuous monitoring, refinement, and sustainability</w:t>
      </w:r>
      <w:r w:rsidR="00BF27AA">
        <w:t xml:space="preserve"> ( </w:t>
      </w:r>
      <w:r w:rsidR="00172EC7">
        <w:t>T</w:t>
      </w:r>
      <w:r w:rsidR="00BF27AA">
        <w:t>aylor et</w:t>
      </w:r>
      <w:r w:rsidR="00FA6DF7">
        <w:t xml:space="preserve"> al., 2014; </w:t>
      </w:r>
      <w:r w:rsidR="00172EC7">
        <w:t xml:space="preserve">institute for healthcare improvement, </w:t>
      </w:r>
      <w:proofErr w:type="spellStart"/>
      <w:r w:rsidR="00172EC7">
        <w:t>n.d</w:t>
      </w:r>
      <w:proofErr w:type="spellEnd"/>
      <w:r w:rsidR="00172EC7">
        <w:t>).</w:t>
      </w:r>
    </w:p>
    <w:p w14:paraId="566495FF" w14:textId="26474EF9" w:rsidR="00242EA4" w:rsidRDefault="00C3047F" w:rsidP="00FC7753">
      <w:pPr>
        <w:pStyle w:val="ListParagraph"/>
        <w:numPr>
          <w:ilvl w:val="0"/>
          <w:numId w:val="1"/>
        </w:numPr>
        <w:jc w:val="both"/>
      </w:pPr>
      <w:r>
        <w:rPr>
          <w:noProof/>
        </w:rPr>
        <mc:AlternateContent>
          <mc:Choice Requires="wps">
            <w:drawing>
              <wp:anchor distT="0" distB="0" distL="114300" distR="114300" simplePos="0" relativeHeight="251667456" behindDoc="0" locked="0" layoutInCell="1" allowOverlap="1" wp14:anchorId="10F4C82E" wp14:editId="18AD7163">
                <wp:simplePos x="0" y="0"/>
                <wp:positionH relativeFrom="margin">
                  <wp:align>right</wp:align>
                </wp:positionH>
                <wp:positionV relativeFrom="paragraph">
                  <wp:posOffset>573538</wp:posOffset>
                </wp:positionV>
                <wp:extent cx="1616149" cy="467833"/>
                <wp:effectExtent l="0" t="0" r="22225" b="27940"/>
                <wp:wrapNone/>
                <wp:docPr id="15" name="Text Box 15"/>
                <wp:cNvGraphicFramePr/>
                <a:graphic xmlns:a="http://schemas.openxmlformats.org/drawingml/2006/main">
                  <a:graphicData uri="http://schemas.microsoft.com/office/word/2010/wordprocessingShape">
                    <wps:wsp>
                      <wps:cNvSpPr txBox="1"/>
                      <wps:spPr>
                        <a:xfrm>
                          <a:off x="0" y="0"/>
                          <a:ext cx="1616149" cy="467833"/>
                        </a:xfrm>
                        <a:prstGeom prst="rect">
                          <a:avLst/>
                        </a:prstGeom>
                        <a:solidFill>
                          <a:schemeClr val="lt1"/>
                        </a:solidFill>
                        <a:ln w="6350">
                          <a:solidFill>
                            <a:prstClr val="black"/>
                          </a:solidFill>
                        </a:ln>
                      </wps:spPr>
                      <wps:txbx>
                        <w:txbxContent>
                          <w:p w14:paraId="1209C57C" w14:textId="4D87B5F1" w:rsidR="00C3047F" w:rsidRDefault="00C3047F">
                            <w:r>
                              <w:t>(Institute for Healthcare Improvement,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F4C82E" id="Text Box 15" o:spid="_x0000_s1030" type="#_x0000_t202" style="position:absolute;left:0;text-align:left;margin-left:76.05pt;margin-top:45.15pt;width:127.25pt;height:36.85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" fillcolor="white [3201]" strokeweight=".5pt">
                <v:textbox>
                  <w:txbxContent>
                    <w:p w14:paraId="1209C57C" w14:textId="4D87B5F1" w:rsidR="00C3047F" w:rsidRDefault="00C3047F">
                      <w:r>
                        <w:t>(Institute for Healthcare Improvement, n.d.)</w:t>
                      </w:r>
                    </w:p>
                  </w:txbxContent>
                </v:textbox>
                <w10:wrap anchorx="margin"/>
              </v:shape>
            </w:pict>
          </mc:Fallback>
        </mc:AlternateContent>
      </w:r>
      <w:r w:rsidR="00242EA4">
        <w:t xml:space="preserve">In the Plan phase, the Trust should conduct a full baseline audit of maternity safety processes, including escalation response times, CTG interpretation accuracy, and incident reporting compliance. </w:t>
      </w:r>
    </w:p>
    <w:p w14:paraId="573336E2" w14:textId="18AB28D1" w:rsidR="00242EA4" w:rsidRDefault="00242EA4" w:rsidP="00FC7753">
      <w:pPr>
        <w:pStyle w:val="ListParagraph"/>
        <w:numPr>
          <w:ilvl w:val="0"/>
          <w:numId w:val="1"/>
        </w:numPr>
        <w:jc w:val="both"/>
      </w:pPr>
      <w:r>
        <w:t>During the Do phase, digital escalation tools and real-time monitoring dashboards should be piloted on selected wards.</w:t>
      </w:r>
    </w:p>
    <w:p w14:paraId="7A94CE26" w14:textId="77777777" w:rsidR="00242EA4" w:rsidRDefault="00242EA4" w:rsidP="00FC7753">
      <w:pPr>
        <w:pStyle w:val="ListParagraph"/>
        <w:numPr>
          <w:ilvl w:val="0"/>
          <w:numId w:val="1"/>
        </w:numPr>
        <w:jc w:val="both"/>
      </w:pPr>
      <w:r>
        <w:t xml:space="preserve"> In the Study phase, outcome metrics such as </w:t>
      </w:r>
      <w:proofErr w:type="spellStart"/>
      <w:r>
        <w:t>fetal</w:t>
      </w:r>
      <w:proofErr w:type="spellEnd"/>
      <w:r>
        <w:t xml:space="preserve"> compromise detection rates, emergency caesarean delays, and staff incident reporting frequency should be analysed. </w:t>
      </w:r>
    </w:p>
    <w:p w14:paraId="1D381927" w14:textId="203BC53B" w:rsidR="00242EA4" w:rsidRDefault="00242EA4" w:rsidP="00FC7753">
      <w:pPr>
        <w:pStyle w:val="ListParagraph"/>
        <w:numPr>
          <w:ilvl w:val="0"/>
          <w:numId w:val="1"/>
        </w:numPr>
        <w:jc w:val="both"/>
      </w:pPr>
      <w:r>
        <w:t>Finally, during the Act phase, successful interventions should be scaled Trust-wide, while unsuccessful strategies are revised (Taylor et al., 2014).</w:t>
      </w:r>
    </w:p>
    <w:p w14:paraId="2F42ED40" w14:textId="641B7DCA" w:rsidR="00182F98" w:rsidRPr="00FC7753" w:rsidRDefault="007D2A39" w:rsidP="00FC7753">
      <w:pPr>
        <w:pStyle w:val="NormalWeb"/>
        <w:jc w:val="both"/>
        <w:rPr>
          <w:rFonts w:asciiTheme="minorHAnsi" w:hAnsiTheme="minorHAnsi" w:cstheme="minorHAnsi"/>
          <w:u w:val="single"/>
        </w:rPr>
      </w:pPr>
      <w:r>
        <w:rPr>
          <w:rStyle w:val="Strong"/>
          <w:rFonts w:asciiTheme="minorHAnsi" w:hAnsiTheme="minorHAnsi" w:cstheme="minorHAnsi"/>
          <w:u w:val="single"/>
        </w:rPr>
        <w:t xml:space="preserve">3.2 </w:t>
      </w:r>
      <w:r w:rsidR="00182F98" w:rsidRPr="00FC7753">
        <w:rPr>
          <w:rStyle w:val="Strong"/>
          <w:rFonts w:asciiTheme="minorHAnsi" w:hAnsiTheme="minorHAnsi" w:cstheme="minorHAnsi"/>
          <w:u w:val="single"/>
        </w:rPr>
        <w:t>Lean</w:t>
      </w:r>
    </w:p>
    <w:p w14:paraId="35948FEF" w14:textId="54CFE197" w:rsidR="00182F98" w:rsidRPr="00FC7753" w:rsidRDefault="00182F98" w:rsidP="00FC7753">
      <w:pPr>
        <w:pStyle w:val="NormalWeb"/>
        <w:jc w:val="both"/>
        <w:rPr>
          <w:rFonts w:asciiTheme="minorHAnsi" w:hAnsiTheme="minorHAnsi" w:cstheme="minorHAnsi"/>
        </w:rPr>
      </w:pPr>
      <w:r w:rsidRPr="00FC7753">
        <w:rPr>
          <w:rFonts w:asciiTheme="minorHAnsi" w:hAnsiTheme="minorHAnsi" w:cstheme="minorHAnsi"/>
        </w:rPr>
        <w:t>In parallel, Lean quality improvement principles should be adopted to remove inefficiencies and improve workflow reliability. Lean methods focus on eliminating waste, improving flow, and reducing unnecessary delays in care delivery (Womack and Jones, 2003). At East Kent, Lean mapping can be applied to emergency maternity pathways to streamline patient movement from labour ward to theatre during obstetric emergencies. For instance, value-stream mapping could identify bottlenecks in triage, porter response times, theatre readiness, and documentation processes that currently slow escalation. Lean has also proven particularly effective in reducing duplication of tasks, clarifying staff roles, and improving visual communication through standardised boards and real-time dashboards. Within NHS maternity services, Lean implementation has been shown to significantly reduce treatment delays and improve patient experience by simplifying handovers, reducing unnecessary transfers, and ensuring that equipment and staffing resources are positioned where they are most needed (Radnor and Walley, 2008</w:t>
      </w:r>
      <w:r w:rsidR="000E7861">
        <w:rPr>
          <w:rFonts w:asciiTheme="minorHAnsi" w:hAnsiTheme="minorHAnsi" w:cstheme="minorHAnsi"/>
        </w:rPr>
        <w:t>;care quality commission, 2024; department of health and social care 2025</w:t>
      </w:r>
      <w:r w:rsidRPr="00FC7753">
        <w:rPr>
          <w:rFonts w:asciiTheme="minorHAnsi" w:hAnsiTheme="minorHAnsi" w:cstheme="minorHAnsi"/>
        </w:rPr>
        <w:t>). By embedding Lean thinking into day-to-day practice, East Kent can create more predictable, safer clinical pathways and reduce the operational pressures that contribute to error.</w:t>
      </w:r>
    </w:p>
    <w:p w14:paraId="1F629BF1" w14:textId="44919089" w:rsidR="00182F98" w:rsidRPr="00FC7753" w:rsidRDefault="007D2A39" w:rsidP="00FC7753">
      <w:pPr>
        <w:pStyle w:val="NormalWeb"/>
        <w:jc w:val="both"/>
        <w:rPr>
          <w:rFonts w:asciiTheme="minorHAnsi" w:hAnsiTheme="minorHAnsi" w:cstheme="minorHAnsi"/>
          <w:u w:val="single"/>
        </w:rPr>
      </w:pPr>
      <w:r>
        <w:rPr>
          <w:rStyle w:val="Strong"/>
          <w:rFonts w:asciiTheme="minorHAnsi" w:hAnsiTheme="minorHAnsi" w:cstheme="minorHAnsi"/>
          <w:u w:val="single"/>
        </w:rPr>
        <w:t xml:space="preserve">3.3 </w:t>
      </w:r>
      <w:r w:rsidR="00182F98" w:rsidRPr="00FC7753">
        <w:rPr>
          <w:rStyle w:val="Strong"/>
          <w:rFonts w:asciiTheme="minorHAnsi" w:hAnsiTheme="minorHAnsi" w:cstheme="minorHAnsi"/>
          <w:u w:val="single"/>
        </w:rPr>
        <w:t>Six Sigma methodology</w:t>
      </w:r>
    </w:p>
    <w:p w14:paraId="25053768" w14:textId="55B89571" w:rsidR="00182F98" w:rsidRDefault="00182F98" w:rsidP="00FC7753">
      <w:pPr>
        <w:pStyle w:val="NormalWeb"/>
        <w:jc w:val="both"/>
        <w:rPr>
          <w:rFonts w:asciiTheme="minorHAnsi" w:hAnsiTheme="minorHAnsi" w:cstheme="minorHAnsi"/>
        </w:rPr>
      </w:pPr>
      <w:r w:rsidRPr="00FC7753">
        <w:rPr>
          <w:rFonts w:asciiTheme="minorHAnsi" w:hAnsiTheme="minorHAnsi" w:cstheme="minorHAnsi"/>
        </w:rPr>
        <w:t>Finally, elements of Six Sigma methodology should be used to reduce variation in clinical decision-making and improve standardisation across maternity teams. Six Sigma’s focus on reducing process defects aligns closely with reducing avoidable clinical harm (Antony et al., 2019</w:t>
      </w:r>
      <w:r w:rsidR="00CF399D">
        <w:rPr>
          <w:rFonts w:asciiTheme="minorHAnsi" w:hAnsiTheme="minorHAnsi" w:cstheme="minorHAnsi"/>
        </w:rPr>
        <w:t>; Gal</w:t>
      </w:r>
      <w:r w:rsidR="00403BD7">
        <w:rPr>
          <w:rFonts w:asciiTheme="minorHAnsi" w:hAnsiTheme="minorHAnsi" w:cstheme="minorHAnsi"/>
        </w:rPr>
        <w:t>van-</w:t>
      </w:r>
      <w:proofErr w:type="spellStart"/>
      <w:r w:rsidR="00403BD7">
        <w:rPr>
          <w:rFonts w:asciiTheme="minorHAnsi" w:hAnsiTheme="minorHAnsi" w:cstheme="minorHAnsi"/>
        </w:rPr>
        <w:t>perez</w:t>
      </w:r>
      <w:proofErr w:type="spellEnd"/>
      <w:r w:rsidR="00403BD7">
        <w:rPr>
          <w:rFonts w:asciiTheme="minorHAnsi" w:hAnsiTheme="minorHAnsi" w:cstheme="minorHAnsi"/>
        </w:rPr>
        <w:t xml:space="preserve"> et</w:t>
      </w:r>
      <w:r w:rsidR="008B0153">
        <w:rPr>
          <w:rFonts w:asciiTheme="minorHAnsi" w:hAnsiTheme="minorHAnsi" w:cstheme="minorHAnsi"/>
        </w:rPr>
        <w:t xml:space="preserve"> </w:t>
      </w:r>
      <w:r w:rsidR="00403BD7">
        <w:rPr>
          <w:rFonts w:asciiTheme="minorHAnsi" w:hAnsiTheme="minorHAnsi" w:cstheme="minorHAnsi"/>
        </w:rPr>
        <w:t>al.,</w:t>
      </w:r>
      <w:r w:rsidR="008B0153">
        <w:rPr>
          <w:rFonts w:asciiTheme="minorHAnsi" w:hAnsiTheme="minorHAnsi" w:cstheme="minorHAnsi"/>
        </w:rPr>
        <w:t>2025</w:t>
      </w:r>
      <w:r w:rsidRPr="00FC7753">
        <w:rPr>
          <w:rFonts w:asciiTheme="minorHAnsi" w:hAnsiTheme="minorHAnsi" w:cstheme="minorHAnsi"/>
        </w:rPr>
        <w:t>). Its structured DMAIC (Define–Measure–Analyse–Improve–Control) framework allows for systematic examination of high-risk processes such as CTG interpretation, induction protocols, or emergency response activation times. For example, variation in CTG interpretation and escalation thresholds can be addressed through standardised digital decision-support tools supported by Six Sigma monitoring. Regular performance dashboards, statistical process control charts, and competency audits can provide real-time insight into whether improvements are being maintained. Six Sigma approaches can also strengthen multidisciplinary working by establishing shared standards and measurable expectations across obstetric, midwifery, and neonatal teams.</w:t>
      </w:r>
    </w:p>
    <w:p w14:paraId="3954825E" w14:textId="27CBC4C7" w:rsidR="00072CD0" w:rsidRPr="00315061" w:rsidRDefault="007D2A39" w:rsidP="00FC7753">
      <w:pPr>
        <w:pStyle w:val="NormalWeb"/>
        <w:jc w:val="both"/>
        <w:rPr>
          <w:rFonts w:asciiTheme="minorHAnsi" w:hAnsiTheme="minorHAnsi" w:cstheme="minorHAnsi"/>
          <w:b/>
          <w:bCs/>
          <w:u w:val="single"/>
        </w:rPr>
      </w:pPr>
      <w:r>
        <w:rPr>
          <w:rFonts w:asciiTheme="minorHAnsi" w:hAnsiTheme="minorHAnsi" w:cstheme="minorHAnsi"/>
          <w:b/>
          <w:bCs/>
          <w:u w:val="single"/>
        </w:rPr>
        <w:t xml:space="preserve">4 </w:t>
      </w:r>
      <w:r w:rsidR="00072CD0" w:rsidRPr="00315061">
        <w:rPr>
          <w:rFonts w:asciiTheme="minorHAnsi" w:hAnsiTheme="minorHAnsi" w:cstheme="minorHAnsi"/>
          <w:b/>
          <w:bCs/>
          <w:u w:val="single"/>
        </w:rPr>
        <w:t xml:space="preserve">Conclusion </w:t>
      </w:r>
    </w:p>
    <w:p w14:paraId="4F38FB2B" w14:textId="3A86B278" w:rsidR="00ED46FB" w:rsidRPr="00315061" w:rsidRDefault="00ED46FB" w:rsidP="00FC7753">
      <w:pPr>
        <w:pStyle w:val="NormalWeb"/>
        <w:jc w:val="both"/>
        <w:rPr>
          <w:rFonts w:asciiTheme="minorHAnsi" w:hAnsiTheme="minorHAnsi" w:cstheme="minorHAnsi"/>
        </w:rPr>
      </w:pPr>
      <w:r w:rsidRPr="00315061">
        <w:rPr>
          <w:rFonts w:asciiTheme="minorHAnsi" w:hAnsiTheme="minorHAnsi" w:cstheme="minorHAnsi"/>
        </w:rPr>
        <w:t>The East Kent maternity failures demonstrate how weaknesses in leadership, culture, staffing, and governance combined to create unsafe conditions for mothers and babies. Analysis using the Donabedian Model, Fishbone, 5 Whys and SWOT shows that poor structures and inconsistent processes inevitably led to preventable harm. A culture of fear, lack of accountability, and failure to learn from incidents further entrenched unsafe practice. The recommended reforms—stronger governance, workforce development, cultural change, and the use of PDSA, Lean and Six Sigma—offer a pathway to sustainable improvement. Delivering these changes consistently is essential for restoring safe, high-quality maternity care and rebuilding public trust.</w:t>
      </w:r>
    </w:p>
    <w:p w14:paraId="52E011B5" w14:textId="77777777" w:rsidR="00254777" w:rsidRDefault="00254777" w:rsidP="00FC7753">
      <w:pPr>
        <w:rPr>
          <w:b/>
          <w:bCs/>
          <w:sz w:val="28"/>
          <w:szCs w:val="28"/>
          <w:u w:val="single"/>
        </w:rPr>
      </w:pPr>
    </w:p>
    <w:p w14:paraId="1918B8DA" w14:textId="77777777" w:rsidR="00254777" w:rsidRDefault="00254777" w:rsidP="00FC7753">
      <w:pPr>
        <w:rPr>
          <w:b/>
          <w:bCs/>
          <w:sz w:val="28"/>
          <w:szCs w:val="28"/>
          <w:u w:val="single"/>
        </w:rPr>
      </w:pPr>
    </w:p>
    <w:p w14:paraId="7726047E" w14:textId="77777777" w:rsidR="00254777" w:rsidRDefault="00254777" w:rsidP="00FC7753">
      <w:pPr>
        <w:rPr>
          <w:b/>
          <w:bCs/>
          <w:sz w:val="28"/>
          <w:szCs w:val="28"/>
          <w:u w:val="single"/>
        </w:rPr>
      </w:pPr>
    </w:p>
    <w:p w14:paraId="4978FAE6" w14:textId="77777777" w:rsidR="00254777" w:rsidRDefault="00254777" w:rsidP="00FC7753">
      <w:pPr>
        <w:rPr>
          <w:b/>
          <w:bCs/>
          <w:sz w:val="28"/>
          <w:szCs w:val="28"/>
          <w:u w:val="single"/>
        </w:rPr>
      </w:pPr>
    </w:p>
    <w:p w14:paraId="055FA835" w14:textId="77777777" w:rsidR="00254777" w:rsidRDefault="00254777" w:rsidP="00FC7753">
      <w:pPr>
        <w:rPr>
          <w:b/>
          <w:bCs/>
          <w:sz w:val="28"/>
          <w:szCs w:val="28"/>
          <w:u w:val="single"/>
        </w:rPr>
      </w:pPr>
    </w:p>
    <w:p w14:paraId="30CFF75B" w14:textId="77777777" w:rsidR="00254777" w:rsidRDefault="00254777" w:rsidP="00FC7753">
      <w:pPr>
        <w:rPr>
          <w:b/>
          <w:bCs/>
          <w:sz w:val="28"/>
          <w:szCs w:val="28"/>
          <w:u w:val="single"/>
        </w:rPr>
      </w:pPr>
    </w:p>
    <w:p w14:paraId="08729D60" w14:textId="77777777" w:rsidR="00254777" w:rsidRDefault="00254777" w:rsidP="00FC7753">
      <w:pPr>
        <w:rPr>
          <w:b/>
          <w:bCs/>
          <w:sz w:val="28"/>
          <w:szCs w:val="28"/>
          <w:u w:val="single"/>
        </w:rPr>
      </w:pPr>
    </w:p>
    <w:p w14:paraId="5DCD9DD6" w14:textId="77777777" w:rsidR="00254777" w:rsidRDefault="00254777" w:rsidP="00FC7753">
      <w:pPr>
        <w:rPr>
          <w:b/>
          <w:bCs/>
          <w:sz w:val="28"/>
          <w:szCs w:val="28"/>
          <w:u w:val="single"/>
        </w:rPr>
      </w:pPr>
    </w:p>
    <w:p w14:paraId="401976FA" w14:textId="77777777" w:rsidR="00254777" w:rsidRDefault="00254777" w:rsidP="00FC7753">
      <w:pPr>
        <w:rPr>
          <w:b/>
          <w:bCs/>
          <w:sz w:val="28"/>
          <w:szCs w:val="28"/>
          <w:u w:val="single"/>
        </w:rPr>
      </w:pPr>
    </w:p>
    <w:p w14:paraId="1D188A33" w14:textId="77777777" w:rsidR="00254777" w:rsidRDefault="00254777" w:rsidP="00FC7753">
      <w:pPr>
        <w:rPr>
          <w:b/>
          <w:bCs/>
          <w:sz w:val="28"/>
          <w:szCs w:val="28"/>
          <w:u w:val="single"/>
        </w:rPr>
      </w:pPr>
    </w:p>
    <w:p w14:paraId="65DA852D" w14:textId="77777777" w:rsidR="00254777" w:rsidRDefault="00254777" w:rsidP="00FC7753">
      <w:pPr>
        <w:rPr>
          <w:b/>
          <w:bCs/>
          <w:sz w:val="28"/>
          <w:szCs w:val="28"/>
          <w:u w:val="single"/>
        </w:rPr>
      </w:pPr>
    </w:p>
    <w:p w14:paraId="63AAAF68" w14:textId="77777777" w:rsidR="00254777" w:rsidRDefault="00254777" w:rsidP="00FC7753">
      <w:pPr>
        <w:rPr>
          <w:b/>
          <w:bCs/>
          <w:sz w:val="28"/>
          <w:szCs w:val="28"/>
          <w:u w:val="single"/>
        </w:rPr>
      </w:pPr>
    </w:p>
    <w:p w14:paraId="04DE2045" w14:textId="77777777" w:rsidR="00254777" w:rsidRDefault="00254777" w:rsidP="00FC7753">
      <w:pPr>
        <w:rPr>
          <w:b/>
          <w:bCs/>
          <w:sz w:val="28"/>
          <w:szCs w:val="28"/>
          <w:u w:val="single"/>
        </w:rPr>
      </w:pPr>
    </w:p>
    <w:p w14:paraId="0E960193" w14:textId="77777777" w:rsidR="00254777" w:rsidRDefault="00254777" w:rsidP="00FC7753">
      <w:pPr>
        <w:rPr>
          <w:b/>
          <w:bCs/>
          <w:sz w:val="28"/>
          <w:szCs w:val="28"/>
          <w:u w:val="single"/>
        </w:rPr>
      </w:pPr>
    </w:p>
    <w:p w14:paraId="12DA22A9" w14:textId="77777777" w:rsidR="00254777" w:rsidRDefault="00254777" w:rsidP="00FC7753">
      <w:pPr>
        <w:rPr>
          <w:b/>
          <w:bCs/>
          <w:sz w:val="28"/>
          <w:szCs w:val="28"/>
          <w:u w:val="single"/>
        </w:rPr>
      </w:pPr>
    </w:p>
    <w:p w14:paraId="52F93FEA" w14:textId="77777777" w:rsidR="00254777" w:rsidRDefault="00254777" w:rsidP="00FC7753">
      <w:pPr>
        <w:rPr>
          <w:b/>
          <w:bCs/>
          <w:sz w:val="28"/>
          <w:szCs w:val="28"/>
          <w:u w:val="single"/>
        </w:rPr>
      </w:pPr>
    </w:p>
    <w:p w14:paraId="466682E3" w14:textId="77777777" w:rsidR="00254777" w:rsidRDefault="00254777" w:rsidP="00FC7753">
      <w:pPr>
        <w:rPr>
          <w:b/>
          <w:bCs/>
          <w:sz w:val="28"/>
          <w:szCs w:val="28"/>
          <w:u w:val="single"/>
        </w:rPr>
      </w:pPr>
    </w:p>
    <w:p w14:paraId="621EDECB" w14:textId="77777777" w:rsidR="00254777" w:rsidRDefault="00254777" w:rsidP="00FC7753">
      <w:pPr>
        <w:rPr>
          <w:b/>
          <w:bCs/>
          <w:sz w:val="28"/>
          <w:szCs w:val="28"/>
          <w:u w:val="single"/>
        </w:rPr>
      </w:pPr>
    </w:p>
    <w:p w14:paraId="5C050D9F" w14:textId="77777777" w:rsidR="00254777" w:rsidRDefault="00254777" w:rsidP="00FC7753">
      <w:pPr>
        <w:rPr>
          <w:b/>
          <w:bCs/>
          <w:sz w:val="28"/>
          <w:szCs w:val="28"/>
          <w:u w:val="single"/>
        </w:rPr>
      </w:pPr>
    </w:p>
    <w:p w14:paraId="16E011AE" w14:textId="77777777" w:rsidR="00254777" w:rsidRDefault="00254777" w:rsidP="00FC7753">
      <w:pPr>
        <w:rPr>
          <w:b/>
          <w:bCs/>
          <w:sz w:val="28"/>
          <w:szCs w:val="28"/>
          <w:u w:val="single"/>
        </w:rPr>
      </w:pPr>
    </w:p>
    <w:p w14:paraId="4D463FA6" w14:textId="77777777" w:rsidR="00254777" w:rsidRDefault="00254777" w:rsidP="00FC7753">
      <w:pPr>
        <w:rPr>
          <w:b/>
          <w:bCs/>
          <w:sz w:val="28"/>
          <w:szCs w:val="28"/>
          <w:u w:val="single"/>
        </w:rPr>
      </w:pPr>
    </w:p>
    <w:p w14:paraId="1C85F52D" w14:textId="77777777" w:rsidR="00254777" w:rsidRDefault="00254777" w:rsidP="00FC7753">
      <w:pPr>
        <w:rPr>
          <w:b/>
          <w:bCs/>
          <w:sz w:val="28"/>
          <w:szCs w:val="28"/>
          <w:u w:val="single"/>
        </w:rPr>
      </w:pPr>
    </w:p>
    <w:p w14:paraId="69953FE2" w14:textId="77777777" w:rsidR="00254777" w:rsidRDefault="00254777" w:rsidP="00FC7753">
      <w:pPr>
        <w:rPr>
          <w:b/>
          <w:bCs/>
          <w:sz w:val="28"/>
          <w:szCs w:val="28"/>
          <w:u w:val="single"/>
        </w:rPr>
      </w:pPr>
    </w:p>
    <w:p w14:paraId="0482D902" w14:textId="77777777" w:rsidR="00254777" w:rsidRDefault="00254777" w:rsidP="00FC7753">
      <w:pPr>
        <w:rPr>
          <w:b/>
          <w:bCs/>
          <w:sz w:val="28"/>
          <w:szCs w:val="28"/>
          <w:u w:val="single"/>
        </w:rPr>
      </w:pPr>
    </w:p>
    <w:p w14:paraId="42F6F940" w14:textId="77777777" w:rsidR="00494933" w:rsidRDefault="003D13EA" w:rsidP="00FC7753">
      <w:pPr>
        <w:rPr>
          <w:b/>
          <w:bCs/>
          <w:sz w:val="28"/>
          <w:szCs w:val="28"/>
          <w:u w:val="single"/>
        </w:rPr>
      </w:pPr>
      <w:r w:rsidRPr="003D13EA">
        <w:rPr>
          <w:b/>
          <w:bCs/>
          <w:sz w:val="28"/>
          <w:szCs w:val="28"/>
          <w:u w:val="single"/>
        </w:rPr>
        <w:t>Refence list</w:t>
      </w:r>
    </w:p>
    <w:p w14:paraId="74B63322" w14:textId="46644A61" w:rsidR="00577E4E" w:rsidRPr="00577E4E" w:rsidRDefault="00577E4E" w:rsidP="00577E4E">
      <w:pPr>
        <w:spacing w:after="0" w:line="240" w:lineRule="auto"/>
        <w:rPr>
          <w:rFonts w:ascii="Times New Roman" w:eastAsia="Times New Roman" w:hAnsi="Times New Roman" w:cs="Times New Roman"/>
          <w:sz w:val="24"/>
          <w:szCs w:val="24"/>
          <w:lang w:eastAsia="en-IN"/>
        </w:rPr>
      </w:pPr>
    </w:p>
    <w:p w14:paraId="537DE5F5"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Aiken, L.H., et al., 2021. </w:t>
      </w:r>
      <w:r w:rsidRPr="00577E4E">
        <w:rPr>
          <w:rFonts w:eastAsia="Times New Roman" w:cstheme="minorHAnsi"/>
          <w:i/>
          <w:iCs/>
          <w:sz w:val="24"/>
          <w:szCs w:val="24"/>
          <w:lang w:eastAsia="en-IN"/>
        </w:rPr>
        <w:t>Nursing skill mix in European hospitals: cross-sectional study of the association with mortality, patient ratings, and quality of care</w:t>
      </w:r>
      <w:r w:rsidRPr="00577E4E">
        <w:rPr>
          <w:rFonts w:eastAsia="Times New Roman" w:cstheme="minorHAnsi"/>
          <w:sz w:val="24"/>
          <w:szCs w:val="24"/>
          <w:lang w:eastAsia="en-IN"/>
        </w:rPr>
        <w:t>. BMJ Quality &amp; Safety, 30(7), pp.559–568.</w:t>
      </w:r>
    </w:p>
    <w:p w14:paraId="1FEBBEA0"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Antony, J., </w:t>
      </w:r>
      <w:proofErr w:type="spellStart"/>
      <w:r w:rsidRPr="00577E4E">
        <w:rPr>
          <w:rFonts w:eastAsia="Times New Roman" w:cstheme="minorHAnsi"/>
          <w:sz w:val="24"/>
          <w:szCs w:val="24"/>
          <w:lang w:eastAsia="en-IN"/>
        </w:rPr>
        <w:t>Snee</w:t>
      </w:r>
      <w:proofErr w:type="spellEnd"/>
      <w:r w:rsidRPr="00577E4E">
        <w:rPr>
          <w:rFonts w:eastAsia="Times New Roman" w:cstheme="minorHAnsi"/>
          <w:sz w:val="24"/>
          <w:szCs w:val="24"/>
          <w:lang w:eastAsia="en-IN"/>
        </w:rPr>
        <w:t xml:space="preserve">, R.D. and </w:t>
      </w:r>
      <w:proofErr w:type="spellStart"/>
      <w:r w:rsidRPr="00577E4E">
        <w:rPr>
          <w:rFonts w:eastAsia="Times New Roman" w:cstheme="minorHAnsi"/>
          <w:sz w:val="24"/>
          <w:szCs w:val="24"/>
          <w:lang w:eastAsia="en-IN"/>
        </w:rPr>
        <w:t>Hoerl</w:t>
      </w:r>
      <w:proofErr w:type="spellEnd"/>
      <w:r w:rsidRPr="00577E4E">
        <w:rPr>
          <w:rFonts w:eastAsia="Times New Roman" w:cstheme="minorHAnsi"/>
          <w:sz w:val="24"/>
          <w:szCs w:val="24"/>
          <w:lang w:eastAsia="en-IN"/>
        </w:rPr>
        <w:t xml:space="preserve">, R., 2019. </w:t>
      </w:r>
      <w:r w:rsidRPr="00577E4E">
        <w:rPr>
          <w:rFonts w:eastAsia="Times New Roman" w:cstheme="minorHAnsi"/>
          <w:i/>
          <w:iCs/>
          <w:sz w:val="24"/>
          <w:szCs w:val="24"/>
          <w:lang w:eastAsia="en-IN"/>
        </w:rPr>
        <w:t>Lean Six Sigma: Yesterday, Today and Tomorrow</w:t>
      </w:r>
      <w:r w:rsidRPr="00577E4E">
        <w:rPr>
          <w:rFonts w:eastAsia="Times New Roman" w:cstheme="minorHAnsi"/>
          <w:sz w:val="24"/>
          <w:szCs w:val="24"/>
          <w:lang w:eastAsia="en-IN"/>
        </w:rPr>
        <w:t>. International Journal of Quality &amp; Reliability Management, 36(8), pp.1149–1158.</w:t>
      </w:r>
    </w:p>
    <w:p w14:paraId="31FCB2B4"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Care Quality Commission, 2024. </w:t>
      </w:r>
      <w:r w:rsidRPr="00577E4E">
        <w:rPr>
          <w:rFonts w:eastAsia="Times New Roman" w:cstheme="minorHAnsi"/>
          <w:i/>
          <w:iCs/>
          <w:sz w:val="24"/>
          <w:szCs w:val="24"/>
          <w:lang w:eastAsia="en-IN"/>
        </w:rPr>
        <w:t>Maternity improvement resource</w:t>
      </w:r>
      <w:r w:rsidRPr="00577E4E">
        <w:rPr>
          <w:rFonts w:eastAsia="Times New Roman" w:cstheme="minorHAnsi"/>
          <w:sz w:val="24"/>
          <w:szCs w:val="24"/>
          <w:lang w:eastAsia="en-IN"/>
        </w:rPr>
        <w:t xml:space="preserve">. [online] Available at: </w:t>
      </w:r>
      <w:hyperlink r:id="rId14" w:history="1">
        <w:r w:rsidRPr="00577E4E">
          <w:rPr>
            <w:rFonts w:eastAsia="Times New Roman" w:cstheme="minorHAnsi"/>
            <w:sz w:val="24"/>
            <w:szCs w:val="24"/>
            <w:u w:val="single"/>
            <w:lang w:eastAsia="en-IN"/>
          </w:rPr>
          <w:t>https://www.cqc.org.uk/guidance-regulation/maternity-improvement-resource</w:t>
        </w:r>
      </w:hyperlink>
    </w:p>
    <w:p w14:paraId="46606E2B"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Dekker, S., 2016. </w:t>
      </w:r>
      <w:r w:rsidRPr="00577E4E">
        <w:rPr>
          <w:rFonts w:eastAsia="Times New Roman" w:cstheme="minorHAnsi"/>
          <w:i/>
          <w:iCs/>
          <w:sz w:val="24"/>
          <w:szCs w:val="24"/>
          <w:lang w:eastAsia="en-IN"/>
        </w:rPr>
        <w:t>Just Culture: Restoring Trust and Accountability in Your Organization</w:t>
      </w:r>
      <w:r w:rsidRPr="00577E4E">
        <w:rPr>
          <w:rFonts w:eastAsia="Times New Roman" w:cstheme="minorHAnsi"/>
          <w:sz w:val="24"/>
          <w:szCs w:val="24"/>
          <w:lang w:eastAsia="en-IN"/>
        </w:rPr>
        <w:t>. 2nd ed. Boca Raton: CRC Press.</w:t>
      </w:r>
    </w:p>
    <w:p w14:paraId="7C6F4C19"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Department of Health &amp; Social Care, 2025. </w:t>
      </w:r>
      <w:r w:rsidRPr="00577E4E">
        <w:rPr>
          <w:rFonts w:eastAsia="Times New Roman" w:cstheme="minorHAnsi"/>
          <w:i/>
          <w:iCs/>
          <w:sz w:val="24"/>
          <w:szCs w:val="24"/>
          <w:lang w:eastAsia="en-IN"/>
        </w:rPr>
        <w:t>National maternity and neonatal investigation: terms of reference</w:t>
      </w:r>
      <w:r w:rsidRPr="00577E4E">
        <w:rPr>
          <w:rFonts w:eastAsia="Times New Roman" w:cstheme="minorHAnsi"/>
          <w:sz w:val="24"/>
          <w:szCs w:val="24"/>
          <w:lang w:eastAsia="en-IN"/>
        </w:rPr>
        <w:t xml:space="preserve">. GOV.UK. [online] Available at: </w:t>
      </w:r>
      <w:hyperlink r:id="rId15" w:history="1">
        <w:r w:rsidRPr="00577E4E">
          <w:rPr>
            <w:rFonts w:eastAsia="Times New Roman" w:cstheme="minorHAnsi"/>
            <w:sz w:val="24"/>
            <w:szCs w:val="24"/>
            <w:u w:val="single"/>
            <w:lang w:eastAsia="en-IN"/>
          </w:rPr>
          <w:t>https://www.gov.uk/government/publications/independent-maternity-and-neonatal-investigation-terms-of-reference</w:t>
        </w:r>
      </w:hyperlink>
    </w:p>
    <w:p w14:paraId="54C74B2C"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Dixon-Woods, M., 2019. </w:t>
      </w:r>
      <w:r w:rsidRPr="00577E4E">
        <w:rPr>
          <w:rFonts w:eastAsia="Times New Roman" w:cstheme="minorHAnsi"/>
          <w:i/>
          <w:iCs/>
          <w:sz w:val="24"/>
          <w:szCs w:val="24"/>
          <w:lang w:eastAsia="en-IN"/>
        </w:rPr>
        <w:t>How to improve healthcare improvement—an essay by Mary Dixon-Woods</w:t>
      </w:r>
      <w:r w:rsidRPr="00577E4E">
        <w:rPr>
          <w:rFonts w:eastAsia="Times New Roman" w:cstheme="minorHAnsi"/>
          <w:sz w:val="24"/>
          <w:szCs w:val="24"/>
          <w:lang w:eastAsia="en-IN"/>
        </w:rPr>
        <w:t>. BMJ, 367, p.l5514.</w:t>
      </w:r>
    </w:p>
    <w:p w14:paraId="7C9BCCFE"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Donabedian, A., 1988. </w:t>
      </w:r>
      <w:r w:rsidRPr="00577E4E">
        <w:rPr>
          <w:rFonts w:eastAsia="Times New Roman" w:cstheme="minorHAnsi"/>
          <w:i/>
          <w:iCs/>
          <w:sz w:val="24"/>
          <w:szCs w:val="24"/>
          <w:lang w:eastAsia="en-IN"/>
        </w:rPr>
        <w:t>The quality of care: How can it be assessed?</w:t>
      </w:r>
      <w:r w:rsidRPr="00577E4E">
        <w:rPr>
          <w:rFonts w:eastAsia="Times New Roman" w:cstheme="minorHAnsi"/>
          <w:sz w:val="24"/>
          <w:szCs w:val="24"/>
          <w:lang w:eastAsia="en-IN"/>
        </w:rPr>
        <w:t xml:space="preserve"> JAMA, 260(12), pp.1743–1748.</w:t>
      </w:r>
    </w:p>
    <w:p w14:paraId="00142FB4"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Donabedian model, 2023. </w:t>
      </w:r>
      <w:r w:rsidRPr="00577E4E">
        <w:rPr>
          <w:rFonts w:eastAsia="Times New Roman" w:cstheme="minorHAnsi"/>
          <w:i/>
          <w:iCs/>
          <w:sz w:val="24"/>
          <w:szCs w:val="24"/>
          <w:lang w:eastAsia="en-IN"/>
        </w:rPr>
        <w:t>Research Starter</w:t>
      </w:r>
      <w:r w:rsidRPr="00577E4E">
        <w:rPr>
          <w:rFonts w:eastAsia="Times New Roman" w:cstheme="minorHAnsi"/>
          <w:sz w:val="24"/>
          <w:szCs w:val="24"/>
          <w:lang w:eastAsia="en-IN"/>
        </w:rPr>
        <w:t xml:space="preserve">. EBSCO. [online] Available at: </w:t>
      </w:r>
      <w:hyperlink r:id="rId16" w:history="1">
        <w:r w:rsidRPr="00577E4E">
          <w:rPr>
            <w:rFonts w:eastAsia="Times New Roman" w:cstheme="minorHAnsi"/>
            <w:sz w:val="24"/>
            <w:szCs w:val="24"/>
            <w:u w:val="single"/>
            <w:lang w:eastAsia="en-IN"/>
          </w:rPr>
          <w:t>https://www.ebsco.com/research-starters/social-sciences-and-humanities/donabedian-model</w:t>
        </w:r>
      </w:hyperlink>
    </w:p>
    <w:p w14:paraId="2176B095"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Edmondson, A.C., 2018. </w:t>
      </w:r>
      <w:r w:rsidRPr="00577E4E">
        <w:rPr>
          <w:rFonts w:eastAsia="Times New Roman" w:cstheme="minorHAnsi"/>
          <w:i/>
          <w:iCs/>
          <w:sz w:val="24"/>
          <w:szCs w:val="24"/>
          <w:lang w:eastAsia="en-IN"/>
        </w:rPr>
        <w:t>The Fearless Organization: Creating Psychological Safety in the Workplace for Learning, Innovation, and Growth</w:t>
      </w:r>
      <w:r w:rsidRPr="00577E4E">
        <w:rPr>
          <w:rFonts w:eastAsia="Times New Roman" w:cstheme="minorHAnsi"/>
          <w:sz w:val="24"/>
          <w:szCs w:val="24"/>
          <w:lang w:eastAsia="en-IN"/>
        </w:rPr>
        <w:t>. Hoboken: Wiley.</w:t>
      </w:r>
    </w:p>
    <w:p w14:paraId="616113B4"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Francis, R., 2013. </w:t>
      </w:r>
      <w:r w:rsidRPr="00577E4E">
        <w:rPr>
          <w:rFonts w:eastAsia="Times New Roman" w:cstheme="minorHAnsi"/>
          <w:i/>
          <w:iCs/>
          <w:sz w:val="24"/>
          <w:szCs w:val="24"/>
          <w:lang w:eastAsia="en-IN"/>
        </w:rPr>
        <w:t>Report of the Mid Staffordshire NHS Foundation Trust Public Inquiry</w:t>
      </w:r>
      <w:r w:rsidRPr="00577E4E">
        <w:rPr>
          <w:rFonts w:eastAsia="Times New Roman" w:cstheme="minorHAnsi"/>
          <w:sz w:val="24"/>
          <w:szCs w:val="24"/>
          <w:lang w:eastAsia="en-IN"/>
        </w:rPr>
        <w:t>. London: The Stationery Office.</w:t>
      </w:r>
    </w:p>
    <w:p w14:paraId="643DC41E"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proofErr w:type="spellStart"/>
      <w:r w:rsidRPr="00577E4E">
        <w:rPr>
          <w:rFonts w:eastAsia="Times New Roman" w:cstheme="minorHAnsi"/>
          <w:sz w:val="24"/>
          <w:szCs w:val="24"/>
          <w:lang w:eastAsia="en-IN"/>
        </w:rPr>
        <w:t>Galván</w:t>
      </w:r>
      <w:proofErr w:type="spellEnd"/>
      <w:r w:rsidRPr="00577E4E">
        <w:rPr>
          <w:rFonts w:eastAsia="Times New Roman" w:cstheme="minorHAnsi"/>
          <w:sz w:val="24"/>
          <w:szCs w:val="24"/>
          <w:lang w:eastAsia="en-IN"/>
        </w:rPr>
        <w:t xml:space="preserve">-Pérez, Y., et al., 2025. </w:t>
      </w:r>
      <w:r w:rsidRPr="00577E4E">
        <w:rPr>
          <w:rFonts w:eastAsia="Times New Roman" w:cstheme="minorHAnsi"/>
          <w:i/>
          <w:iCs/>
          <w:sz w:val="24"/>
          <w:szCs w:val="24"/>
          <w:lang w:eastAsia="en-IN"/>
        </w:rPr>
        <w:t xml:space="preserve">Six Sigma Applied to Healthcare: A Global </w:t>
      </w:r>
      <w:proofErr w:type="spellStart"/>
      <w:r w:rsidRPr="00577E4E">
        <w:rPr>
          <w:rFonts w:eastAsia="Times New Roman" w:cstheme="minorHAnsi"/>
          <w:i/>
          <w:iCs/>
          <w:sz w:val="24"/>
          <w:szCs w:val="24"/>
          <w:lang w:eastAsia="en-IN"/>
        </w:rPr>
        <w:t>Scientometrics</w:t>
      </w:r>
      <w:proofErr w:type="spellEnd"/>
      <w:r w:rsidRPr="00577E4E">
        <w:rPr>
          <w:rFonts w:eastAsia="Times New Roman" w:cstheme="minorHAnsi"/>
          <w:i/>
          <w:iCs/>
          <w:sz w:val="24"/>
          <w:szCs w:val="24"/>
          <w:lang w:eastAsia="en-IN"/>
        </w:rPr>
        <w:t xml:space="preserve"> Analysis</w:t>
      </w:r>
      <w:r w:rsidRPr="00577E4E">
        <w:rPr>
          <w:rFonts w:eastAsia="Times New Roman" w:cstheme="minorHAnsi"/>
          <w:sz w:val="24"/>
          <w:szCs w:val="24"/>
          <w:lang w:eastAsia="en-IN"/>
        </w:rPr>
        <w:t>. Health Services Insights, 18, pp.1–11.</w:t>
      </w:r>
    </w:p>
    <w:p w14:paraId="3099AA09"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Griffiths, P., et al., 2019. </w:t>
      </w:r>
      <w:r w:rsidRPr="00577E4E">
        <w:rPr>
          <w:rFonts w:eastAsia="Times New Roman" w:cstheme="minorHAnsi"/>
          <w:i/>
          <w:iCs/>
          <w:sz w:val="24"/>
          <w:szCs w:val="24"/>
          <w:lang w:eastAsia="en-IN"/>
        </w:rPr>
        <w:t>Nurse staffing levels, missed vital signs and mortality in hospitals: retrospective longitudinal observational study</w:t>
      </w:r>
      <w:r w:rsidRPr="00577E4E">
        <w:rPr>
          <w:rFonts w:eastAsia="Times New Roman" w:cstheme="minorHAnsi"/>
          <w:sz w:val="24"/>
          <w:szCs w:val="24"/>
          <w:lang w:eastAsia="en-IN"/>
        </w:rPr>
        <w:t>. Health Services Delivery Research, 7(1), pp.1–78.</w:t>
      </w:r>
    </w:p>
    <w:p w14:paraId="121CEDC5"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Institute for Healthcare Improvement (IHI), n.d. </w:t>
      </w:r>
      <w:r w:rsidRPr="00577E4E">
        <w:rPr>
          <w:rFonts w:eastAsia="Times New Roman" w:cstheme="minorHAnsi"/>
          <w:i/>
          <w:iCs/>
          <w:sz w:val="24"/>
          <w:szCs w:val="24"/>
          <w:lang w:eastAsia="en-IN"/>
        </w:rPr>
        <w:t>Science of Improvement: Testing Changes</w:t>
      </w:r>
      <w:r w:rsidRPr="00577E4E">
        <w:rPr>
          <w:rFonts w:eastAsia="Times New Roman" w:cstheme="minorHAnsi"/>
          <w:sz w:val="24"/>
          <w:szCs w:val="24"/>
          <w:lang w:eastAsia="en-IN"/>
        </w:rPr>
        <w:t xml:space="preserve">. [online] Available at: </w:t>
      </w:r>
      <w:hyperlink r:id="rId17" w:history="1">
        <w:r w:rsidRPr="00577E4E">
          <w:rPr>
            <w:rFonts w:eastAsia="Times New Roman" w:cstheme="minorHAnsi"/>
            <w:sz w:val="24"/>
            <w:szCs w:val="24"/>
            <w:u w:val="single"/>
            <w:lang w:eastAsia="en-IN"/>
          </w:rPr>
          <w:t>https://www.ihi.org/resources/Pages/HowtoImprove/ScienceofImprovementTestingChanges.aspx</w:t>
        </w:r>
      </w:hyperlink>
    </w:p>
    <w:p w14:paraId="7ADA5184"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Ishikawa, K., 1985. </w:t>
      </w:r>
      <w:r w:rsidRPr="00577E4E">
        <w:rPr>
          <w:rFonts w:eastAsia="Times New Roman" w:cstheme="minorHAnsi"/>
          <w:i/>
          <w:iCs/>
          <w:sz w:val="24"/>
          <w:szCs w:val="24"/>
          <w:lang w:eastAsia="en-IN"/>
        </w:rPr>
        <w:t>What is Total Quality Control? The Japanese Way</w:t>
      </w:r>
      <w:r w:rsidRPr="00577E4E">
        <w:rPr>
          <w:rFonts w:eastAsia="Times New Roman" w:cstheme="minorHAnsi"/>
          <w:sz w:val="24"/>
          <w:szCs w:val="24"/>
          <w:lang w:eastAsia="en-IN"/>
        </w:rPr>
        <w:t>. Englewood Cliffs: Prentice-Hall.</w:t>
      </w:r>
    </w:p>
    <w:p w14:paraId="24762293"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proofErr w:type="spellStart"/>
      <w:r w:rsidRPr="00577E4E">
        <w:rPr>
          <w:rFonts w:eastAsia="Times New Roman" w:cstheme="minorHAnsi"/>
          <w:sz w:val="24"/>
          <w:szCs w:val="24"/>
          <w:lang w:eastAsia="en-IN"/>
        </w:rPr>
        <w:t>Kirkup</w:t>
      </w:r>
      <w:proofErr w:type="spellEnd"/>
      <w:r w:rsidRPr="00577E4E">
        <w:rPr>
          <w:rFonts w:eastAsia="Times New Roman" w:cstheme="minorHAnsi"/>
          <w:sz w:val="24"/>
          <w:szCs w:val="24"/>
          <w:lang w:eastAsia="en-IN"/>
        </w:rPr>
        <w:t xml:space="preserve">, B., 2022. </w:t>
      </w:r>
      <w:r w:rsidRPr="00577E4E">
        <w:rPr>
          <w:rFonts w:eastAsia="Times New Roman" w:cstheme="minorHAnsi"/>
          <w:i/>
          <w:iCs/>
          <w:sz w:val="24"/>
          <w:szCs w:val="24"/>
          <w:lang w:eastAsia="en-IN"/>
        </w:rPr>
        <w:t>Reading the signals: Maternity and neonatal services in East Kent – the report of the independent investigation</w:t>
      </w:r>
      <w:r w:rsidRPr="00577E4E">
        <w:rPr>
          <w:rFonts w:eastAsia="Times New Roman" w:cstheme="minorHAnsi"/>
          <w:sz w:val="24"/>
          <w:szCs w:val="24"/>
          <w:lang w:eastAsia="en-IN"/>
        </w:rPr>
        <w:t>. London: The Stationery Office.</w:t>
      </w:r>
    </w:p>
    <w:p w14:paraId="63193159"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Knight, M., et al., 2023. </w:t>
      </w:r>
      <w:r w:rsidRPr="00577E4E">
        <w:rPr>
          <w:rFonts w:eastAsia="Times New Roman" w:cstheme="minorHAnsi"/>
          <w:i/>
          <w:iCs/>
          <w:sz w:val="24"/>
          <w:szCs w:val="24"/>
          <w:lang w:eastAsia="en-IN"/>
        </w:rPr>
        <w:t>Saving Lives, Improving Mothers’ Care – Lessons learned to inform maternity care from the UK and Ireland Confidential Enquiries into Maternal Deaths and Morbidity 2019–21</w:t>
      </w:r>
      <w:r w:rsidRPr="00577E4E">
        <w:rPr>
          <w:rFonts w:eastAsia="Times New Roman" w:cstheme="minorHAnsi"/>
          <w:sz w:val="24"/>
          <w:szCs w:val="24"/>
          <w:lang w:eastAsia="en-IN"/>
        </w:rPr>
        <w:t>. Oxford: National Perinatal Epidemiology Unit.</w:t>
      </w:r>
    </w:p>
    <w:p w14:paraId="58871C44"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BMJ, 2022. </w:t>
      </w:r>
      <w:r w:rsidRPr="00577E4E">
        <w:rPr>
          <w:rFonts w:eastAsia="Times New Roman" w:cstheme="minorHAnsi"/>
          <w:i/>
          <w:iCs/>
          <w:sz w:val="24"/>
          <w:szCs w:val="24"/>
          <w:lang w:eastAsia="en-IN"/>
        </w:rPr>
        <w:t>Learning from maternity service failures at East Kent Hospitals</w:t>
      </w:r>
      <w:r w:rsidRPr="00577E4E">
        <w:rPr>
          <w:rFonts w:eastAsia="Times New Roman" w:cstheme="minorHAnsi"/>
          <w:sz w:val="24"/>
          <w:szCs w:val="24"/>
          <w:lang w:eastAsia="en-IN"/>
        </w:rPr>
        <w:t>. BMJ, 379, o2755.</w:t>
      </w:r>
    </w:p>
    <w:p w14:paraId="52543CFC"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MindTools, n.d. </w:t>
      </w:r>
      <w:r w:rsidRPr="00577E4E">
        <w:rPr>
          <w:rFonts w:eastAsia="Times New Roman" w:cstheme="minorHAnsi"/>
          <w:i/>
          <w:iCs/>
          <w:sz w:val="24"/>
          <w:szCs w:val="24"/>
          <w:lang w:eastAsia="en-IN"/>
        </w:rPr>
        <w:t>Cause and Effect Analysis (Fishbone Diagram)</w:t>
      </w:r>
      <w:r w:rsidRPr="00577E4E">
        <w:rPr>
          <w:rFonts w:eastAsia="Times New Roman" w:cstheme="minorHAnsi"/>
          <w:sz w:val="24"/>
          <w:szCs w:val="24"/>
          <w:lang w:eastAsia="en-IN"/>
        </w:rPr>
        <w:t xml:space="preserve">. [online] Available at: </w:t>
      </w:r>
      <w:hyperlink r:id="rId18" w:history="1">
        <w:r w:rsidRPr="00577E4E">
          <w:rPr>
            <w:rFonts w:eastAsia="Times New Roman" w:cstheme="minorHAnsi"/>
            <w:sz w:val="24"/>
            <w:szCs w:val="24"/>
            <w:u w:val="single"/>
            <w:lang w:eastAsia="en-IN"/>
          </w:rPr>
          <w:t>https://www.mindtools.com/a4wo118/cause-and-effect-analysis</w:t>
        </w:r>
      </w:hyperlink>
    </w:p>
    <w:p w14:paraId="04B4790D"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MindTools, n.d. </w:t>
      </w:r>
      <w:r w:rsidRPr="00577E4E">
        <w:rPr>
          <w:rFonts w:eastAsia="Times New Roman" w:cstheme="minorHAnsi"/>
          <w:i/>
          <w:iCs/>
          <w:sz w:val="24"/>
          <w:szCs w:val="24"/>
          <w:lang w:eastAsia="en-IN"/>
        </w:rPr>
        <w:t>SWOT Analysis: How to develop a strategy</w:t>
      </w:r>
      <w:r w:rsidRPr="00577E4E">
        <w:rPr>
          <w:rFonts w:eastAsia="Times New Roman" w:cstheme="minorHAnsi"/>
          <w:sz w:val="24"/>
          <w:szCs w:val="24"/>
          <w:lang w:eastAsia="en-IN"/>
        </w:rPr>
        <w:t xml:space="preserve">. [online] Available at: </w:t>
      </w:r>
      <w:hyperlink r:id="rId19" w:history="1">
        <w:r w:rsidRPr="00577E4E">
          <w:rPr>
            <w:rFonts w:eastAsia="Times New Roman" w:cstheme="minorHAnsi"/>
            <w:sz w:val="24"/>
            <w:szCs w:val="24"/>
            <w:u w:val="single"/>
            <w:lang w:eastAsia="en-IN"/>
          </w:rPr>
          <w:t>https://www.mindtools.com/a4wo118/swot-analysis</w:t>
        </w:r>
      </w:hyperlink>
    </w:p>
    <w:p w14:paraId="1A94919C"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NHS England, 2023. </w:t>
      </w:r>
      <w:r w:rsidRPr="00577E4E">
        <w:rPr>
          <w:rFonts w:eastAsia="Times New Roman" w:cstheme="minorHAnsi"/>
          <w:i/>
          <w:iCs/>
          <w:sz w:val="24"/>
          <w:szCs w:val="24"/>
          <w:lang w:eastAsia="en-IN"/>
        </w:rPr>
        <w:t>Three-Year Delivery Plan for Maternity and Neonatal Services</w:t>
      </w:r>
      <w:r w:rsidRPr="00577E4E">
        <w:rPr>
          <w:rFonts w:eastAsia="Times New Roman" w:cstheme="minorHAnsi"/>
          <w:sz w:val="24"/>
          <w:szCs w:val="24"/>
          <w:lang w:eastAsia="en-IN"/>
        </w:rPr>
        <w:t xml:space="preserve">. [online] Available at: </w:t>
      </w:r>
      <w:hyperlink r:id="rId20" w:history="1">
        <w:r w:rsidRPr="00577E4E">
          <w:rPr>
            <w:rFonts w:eastAsia="Times New Roman" w:cstheme="minorHAnsi"/>
            <w:sz w:val="24"/>
            <w:szCs w:val="24"/>
            <w:u w:val="single"/>
            <w:lang w:eastAsia="en-IN"/>
          </w:rPr>
          <w:t>https://www.england.nhs.uk/publication/three-year-delivery-plan-for-maternity-and-neonatal-services/</w:t>
        </w:r>
      </w:hyperlink>
    </w:p>
    <w:p w14:paraId="50A2D5C1"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NHS England, 2025. </w:t>
      </w:r>
      <w:r w:rsidRPr="00577E4E">
        <w:rPr>
          <w:rFonts w:eastAsia="Times New Roman" w:cstheme="minorHAnsi"/>
          <w:i/>
          <w:iCs/>
          <w:sz w:val="24"/>
          <w:szCs w:val="24"/>
          <w:lang w:eastAsia="en-IN"/>
        </w:rPr>
        <w:t>Maternity and Neonatal Safety Improvement Programme</w:t>
      </w:r>
      <w:r w:rsidRPr="00577E4E">
        <w:rPr>
          <w:rFonts w:eastAsia="Times New Roman" w:cstheme="minorHAnsi"/>
          <w:sz w:val="24"/>
          <w:szCs w:val="24"/>
          <w:lang w:eastAsia="en-IN"/>
        </w:rPr>
        <w:t xml:space="preserve">. [online] Available at: </w:t>
      </w:r>
      <w:hyperlink r:id="rId21" w:history="1">
        <w:r w:rsidRPr="00577E4E">
          <w:rPr>
            <w:rFonts w:eastAsia="Times New Roman" w:cstheme="minorHAnsi"/>
            <w:sz w:val="24"/>
            <w:szCs w:val="24"/>
            <w:u w:val="single"/>
            <w:lang w:eastAsia="en-IN"/>
          </w:rPr>
          <w:t>https://www.england.nhs.uk/mat-transformation/maternal-and-neonatal-safety-collaborative/</w:t>
        </w:r>
      </w:hyperlink>
    </w:p>
    <w:p w14:paraId="11EF1CEA"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Patient Safety Learning, 2022. </w:t>
      </w:r>
      <w:r w:rsidRPr="00577E4E">
        <w:rPr>
          <w:rFonts w:eastAsia="Times New Roman" w:cstheme="minorHAnsi"/>
          <w:i/>
          <w:iCs/>
          <w:sz w:val="24"/>
          <w:szCs w:val="24"/>
          <w:lang w:eastAsia="en-IN"/>
        </w:rPr>
        <w:t>An analysis of the East Kent Maternity report</w:t>
      </w:r>
      <w:r w:rsidRPr="00577E4E">
        <w:rPr>
          <w:rFonts w:eastAsia="Times New Roman" w:cstheme="minorHAnsi"/>
          <w:sz w:val="24"/>
          <w:szCs w:val="24"/>
          <w:lang w:eastAsia="en-IN"/>
        </w:rPr>
        <w:t xml:space="preserve">. [online] Available at: </w:t>
      </w:r>
      <w:hyperlink r:id="rId22" w:history="1">
        <w:r w:rsidRPr="00577E4E">
          <w:rPr>
            <w:rFonts w:eastAsia="Times New Roman" w:cstheme="minorHAnsi"/>
            <w:sz w:val="24"/>
            <w:szCs w:val="24"/>
            <w:u w:val="single"/>
            <w:lang w:eastAsia="en-IN"/>
          </w:rPr>
          <w:t>https://www.patientsafetylearning.org/blog/will-lessons-be-learned-an-analysis-of-the-systemic-failures-in-the-east-kent-maternity-report</w:t>
        </w:r>
      </w:hyperlink>
    </w:p>
    <w:p w14:paraId="1D3501A5"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Radnor, Z. and Walley, P., 2008. </w:t>
      </w:r>
      <w:r w:rsidRPr="00577E4E">
        <w:rPr>
          <w:rFonts w:eastAsia="Times New Roman" w:cstheme="minorHAnsi"/>
          <w:i/>
          <w:iCs/>
          <w:sz w:val="24"/>
          <w:szCs w:val="24"/>
          <w:lang w:eastAsia="en-IN"/>
        </w:rPr>
        <w:t>Learning to walk before we try to run: adapting Lean for the public sector</w:t>
      </w:r>
      <w:r w:rsidRPr="00577E4E">
        <w:rPr>
          <w:rFonts w:eastAsia="Times New Roman" w:cstheme="minorHAnsi"/>
          <w:sz w:val="24"/>
          <w:szCs w:val="24"/>
          <w:lang w:eastAsia="en-IN"/>
        </w:rPr>
        <w:t>. Public Money &amp; Management, 28(1), pp.13–20.</w:t>
      </w:r>
    </w:p>
    <w:p w14:paraId="158CD91B"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Reason, J., 2000. </w:t>
      </w:r>
      <w:r w:rsidRPr="00577E4E">
        <w:rPr>
          <w:rFonts w:eastAsia="Times New Roman" w:cstheme="minorHAnsi"/>
          <w:i/>
          <w:iCs/>
          <w:sz w:val="24"/>
          <w:szCs w:val="24"/>
          <w:lang w:eastAsia="en-IN"/>
        </w:rPr>
        <w:t>Human error: models and management</w:t>
      </w:r>
      <w:r w:rsidRPr="00577E4E">
        <w:rPr>
          <w:rFonts w:eastAsia="Times New Roman" w:cstheme="minorHAnsi"/>
          <w:sz w:val="24"/>
          <w:szCs w:val="24"/>
          <w:lang w:eastAsia="en-IN"/>
        </w:rPr>
        <w:t>. BMJ, 320(7237), pp.768–770.</w:t>
      </w:r>
    </w:p>
    <w:p w14:paraId="5771A332"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Sequence Health, 2025. </w:t>
      </w:r>
      <w:r w:rsidRPr="00577E4E">
        <w:rPr>
          <w:rFonts w:eastAsia="Times New Roman" w:cstheme="minorHAnsi"/>
          <w:i/>
          <w:iCs/>
          <w:sz w:val="24"/>
          <w:szCs w:val="24"/>
          <w:lang w:eastAsia="en-IN"/>
        </w:rPr>
        <w:t>SWOT Analysis in Healthcare: Key Insights and Examples</w:t>
      </w:r>
      <w:r w:rsidRPr="00577E4E">
        <w:rPr>
          <w:rFonts w:eastAsia="Times New Roman" w:cstheme="minorHAnsi"/>
          <w:sz w:val="24"/>
          <w:szCs w:val="24"/>
          <w:lang w:eastAsia="en-IN"/>
        </w:rPr>
        <w:t xml:space="preserve">. [online] Available at: </w:t>
      </w:r>
      <w:hyperlink r:id="rId23" w:history="1">
        <w:r w:rsidRPr="00577E4E">
          <w:rPr>
            <w:rFonts w:eastAsia="Times New Roman" w:cstheme="minorHAnsi"/>
            <w:sz w:val="24"/>
            <w:szCs w:val="24"/>
            <w:u w:val="single"/>
            <w:lang w:eastAsia="en-IN"/>
          </w:rPr>
          <w:t>https://www.sequencehealth.com/blog/how-to-use-swot-analysis-in-healthcare-steps-and-strategies</w:t>
        </w:r>
      </w:hyperlink>
    </w:p>
    <w:p w14:paraId="3D8E8C75"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Taylor, M.J., et al., 2014. </w:t>
      </w:r>
      <w:r w:rsidRPr="00577E4E">
        <w:rPr>
          <w:rFonts w:eastAsia="Times New Roman" w:cstheme="minorHAnsi"/>
          <w:i/>
          <w:iCs/>
          <w:sz w:val="24"/>
          <w:szCs w:val="24"/>
          <w:lang w:eastAsia="en-IN"/>
        </w:rPr>
        <w:t>Systematic review of the application of the Plan–Do–Study–Act method to improve quality in healthcare</w:t>
      </w:r>
      <w:r w:rsidRPr="00577E4E">
        <w:rPr>
          <w:rFonts w:eastAsia="Times New Roman" w:cstheme="minorHAnsi"/>
          <w:sz w:val="24"/>
          <w:szCs w:val="24"/>
          <w:lang w:eastAsia="en-IN"/>
        </w:rPr>
        <w:t>. BMJ Quality &amp; Safety, 23(4), pp.290–298.</w:t>
      </w:r>
    </w:p>
    <w:p w14:paraId="20AF2F6F"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proofErr w:type="spellStart"/>
      <w:r w:rsidRPr="00577E4E">
        <w:rPr>
          <w:rFonts w:eastAsia="Times New Roman" w:cstheme="minorHAnsi"/>
          <w:sz w:val="24"/>
          <w:szCs w:val="24"/>
          <w:lang w:eastAsia="en-IN"/>
        </w:rPr>
        <w:t>Venngage</w:t>
      </w:r>
      <w:proofErr w:type="spellEnd"/>
      <w:r w:rsidRPr="00577E4E">
        <w:rPr>
          <w:rFonts w:eastAsia="Times New Roman" w:cstheme="minorHAnsi"/>
          <w:sz w:val="24"/>
          <w:szCs w:val="24"/>
          <w:lang w:eastAsia="en-IN"/>
        </w:rPr>
        <w:t xml:space="preserve">, 2025. </w:t>
      </w:r>
      <w:r w:rsidRPr="00577E4E">
        <w:rPr>
          <w:rFonts w:eastAsia="Times New Roman" w:cstheme="minorHAnsi"/>
          <w:i/>
          <w:iCs/>
          <w:sz w:val="24"/>
          <w:szCs w:val="24"/>
          <w:lang w:eastAsia="en-IN"/>
        </w:rPr>
        <w:t>What is a SWOT Analysis in Healthcare and Why You Need It</w:t>
      </w:r>
      <w:r w:rsidRPr="00577E4E">
        <w:rPr>
          <w:rFonts w:eastAsia="Times New Roman" w:cstheme="minorHAnsi"/>
          <w:sz w:val="24"/>
          <w:szCs w:val="24"/>
          <w:lang w:eastAsia="en-IN"/>
        </w:rPr>
        <w:t xml:space="preserve">. [online] Available at: </w:t>
      </w:r>
      <w:hyperlink r:id="rId24" w:history="1">
        <w:r w:rsidRPr="00577E4E">
          <w:rPr>
            <w:rFonts w:eastAsia="Times New Roman" w:cstheme="minorHAnsi"/>
            <w:sz w:val="24"/>
            <w:szCs w:val="24"/>
            <w:u w:val="single"/>
            <w:lang w:eastAsia="en-IN"/>
          </w:rPr>
          <w:t>https://venngage.com/blog/swot-analysis-in-healthcare</w:t>
        </w:r>
      </w:hyperlink>
    </w:p>
    <w:p w14:paraId="7BBB8160"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Weaver, S.J., et al., 2013. </w:t>
      </w:r>
      <w:r w:rsidRPr="00577E4E">
        <w:rPr>
          <w:rFonts w:eastAsia="Times New Roman" w:cstheme="minorHAnsi"/>
          <w:i/>
          <w:iCs/>
          <w:sz w:val="24"/>
          <w:szCs w:val="24"/>
          <w:lang w:eastAsia="en-IN"/>
        </w:rPr>
        <w:t>Promoting a culture of safety as a patient safety strategy: a systematic review</w:t>
      </w:r>
      <w:r w:rsidRPr="00577E4E">
        <w:rPr>
          <w:rFonts w:eastAsia="Times New Roman" w:cstheme="minorHAnsi"/>
          <w:sz w:val="24"/>
          <w:szCs w:val="24"/>
          <w:lang w:eastAsia="en-IN"/>
        </w:rPr>
        <w:t>. Annals of Internal Medicine, 158(5 Pt 2), pp.369–374.</w:t>
      </w:r>
    </w:p>
    <w:p w14:paraId="635F27B9"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r w:rsidRPr="00577E4E">
        <w:rPr>
          <w:rFonts w:eastAsia="Times New Roman" w:cstheme="minorHAnsi"/>
          <w:sz w:val="24"/>
          <w:szCs w:val="24"/>
          <w:lang w:eastAsia="en-IN"/>
        </w:rPr>
        <w:t xml:space="preserve">West, M.A., et al., 2014. </w:t>
      </w:r>
      <w:r w:rsidRPr="00577E4E">
        <w:rPr>
          <w:rFonts w:eastAsia="Times New Roman" w:cstheme="minorHAnsi"/>
          <w:i/>
          <w:iCs/>
          <w:sz w:val="24"/>
          <w:szCs w:val="24"/>
          <w:lang w:eastAsia="en-IN"/>
        </w:rPr>
        <w:t>Collective leadership for cultures of high quality health care</w:t>
      </w:r>
      <w:r w:rsidRPr="00577E4E">
        <w:rPr>
          <w:rFonts w:eastAsia="Times New Roman" w:cstheme="minorHAnsi"/>
          <w:sz w:val="24"/>
          <w:szCs w:val="24"/>
          <w:lang w:eastAsia="en-IN"/>
        </w:rPr>
        <w:t>. Journal of Organizational Effectiveness: People and Performance, 1(3), pp.240–260.</w:t>
      </w:r>
    </w:p>
    <w:p w14:paraId="5483DB1E" w14:textId="77777777" w:rsidR="00577E4E" w:rsidRPr="00577E4E" w:rsidRDefault="00577E4E" w:rsidP="00CB4661">
      <w:pPr>
        <w:numPr>
          <w:ilvl w:val="0"/>
          <w:numId w:val="4"/>
        </w:numPr>
        <w:spacing w:before="100" w:beforeAutospacing="1" w:after="100" w:afterAutospacing="1" w:line="240" w:lineRule="auto"/>
        <w:rPr>
          <w:rFonts w:eastAsia="Times New Roman" w:cstheme="minorHAnsi"/>
          <w:sz w:val="24"/>
          <w:szCs w:val="24"/>
          <w:lang w:eastAsia="en-IN"/>
        </w:rPr>
      </w:pPr>
      <w:proofErr w:type="spellStart"/>
      <w:r w:rsidRPr="00577E4E">
        <w:rPr>
          <w:rFonts w:eastAsia="Times New Roman" w:cstheme="minorHAnsi"/>
          <w:sz w:val="24"/>
          <w:szCs w:val="24"/>
          <w:lang w:eastAsia="en-IN"/>
        </w:rPr>
        <w:t>Westrum</w:t>
      </w:r>
      <w:proofErr w:type="spellEnd"/>
      <w:r w:rsidRPr="00577E4E">
        <w:rPr>
          <w:rFonts w:eastAsia="Times New Roman" w:cstheme="minorHAnsi"/>
          <w:sz w:val="24"/>
          <w:szCs w:val="24"/>
          <w:lang w:eastAsia="en-IN"/>
        </w:rPr>
        <w:t xml:space="preserve">, R., 2004. </w:t>
      </w:r>
      <w:r w:rsidRPr="00577E4E">
        <w:rPr>
          <w:rFonts w:eastAsia="Times New Roman" w:cstheme="minorHAnsi"/>
          <w:i/>
          <w:iCs/>
          <w:sz w:val="24"/>
          <w:szCs w:val="24"/>
          <w:lang w:eastAsia="en-IN"/>
        </w:rPr>
        <w:t>A typology of organisational cultures</w:t>
      </w:r>
      <w:r w:rsidRPr="00577E4E">
        <w:rPr>
          <w:rFonts w:eastAsia="Times New Roman" w:cstheme="minorHAnsi"/>
          <w:sz w:val="24"/>
          <w:szCs w:val="24"/>
          <w:lang w:eastAsia="en-IN"/>
        </w:rPr>
        <w:t>. Quality and Safety in Health Care, 13(</w:t>
      </w:r>
      <w:proofErr w:type="spellStart"/>
      <w:r w:rsidRPr="00577E4E">
        <w:rPr>
          <w:rFonts w:eastAsia="Times New Roman" w:cstheme="minorHAnsi"/>
          <w:sz w:val="24"/>
          <w:szCs w:val="24"/>
          <w:lang w:eastAsia="en-IN"/>
        </w:rPr>
        <w:t>suppl</w:t>
      </w:r>
      <w:proofErr w:type="spellEnd"/>
      <w:r w:rsidRPr="00577E4E">
        <w:rPr>
          <w:rFonts w:eastAsia="Times New Roman" w:cstheme="minorHAnsi"/>
          <w:sz w:val="24"/>
          <w:szCs w:val="24"/>
          <w:lang w:eastAsia="en-IN"/>
        </w:rPr>
        <w:t xml:space="preserve"> 2), pp.ii22–ii27.</w:t>
      </w:r>
    </w:p>
    <w:p w14:paraId="6179F1DA" w14:textId="06717A89" w:rsidR="00577E4E" w:rsidRPr="00F27248" w:rsidRDefault="00577E4E" w:rsidP="00ED2E90">
      <w:pPr>
        <w:pStyle w:val="ListParagraph"/>
        <w:spacing w:after="0" w:line="240" w:lineRule="auto"/>
        <w:rPr>
          <w:rFonts w:eastAsia="Times New Roman" w:cstheme="minorHAnsi"/>
          <w:sz w:val="24"/>
          <w:szCs w:val="24"/>
          <w:lang w:eastAsia="en-IN"/>
        </w:rPr>
      </w:pPr>
    </w:p>
    <w:p w14:paraId="11DAA9E6" w14:textId="65CF74E0" w:rsidR="00515151" w:rsidRPr="00494933" w:rsidRDefault="00515151" w:rsidP="00CB4661">
      <w:pPr>
        <w:pStyle w:val="ListParagraph"/>
        <w:spacing w:before="100" w:beforeAutospacing="1" w:after="100" w:afterAutospacing="1" w:line="240" w:lineRule="auto"/>
        <w:rPr>
          <w:rFonts w:eastAsia="Times New Roman" w:cstheme="minorHAnsi"/>
          <w:sz w:val="24"/>
          <w:szCs w:val="24"/>
          <w:lang w:eastAsia="en-IN"/>
        </w:rPr>
      </w:pPr>
    </w:p>
    <w:p w14:paraId="3A28BC07" w14:textId="07C7FFA2" w:rsidR="00C63F1C" w:rsidRPr="00F27248" w:rsidRDefault="00C63F1C" w:rsidP="006C1FC4">
      <w:pPr>
        <w:spacing w:before="100" w:beforeAutospacing="1" w:after="100" w:afterAutospacing="1" w:line="240" w:lineRule="auto"/>
        <w:rPr>
          <w:rFonts w:cstheme="minorHAnsi"/>
          <w:sz w:val="28"/>
          <w:szCs w:val="28"/>
          <w:u w:val="single"/>
        </w:rPr>
      </w:pPr>
    </w:p>
    <w:sectPr w:rsidR="00C63F1C" w:rsidRPr="00F27248" w:rsidSect="00194592">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EE190" w14:textId="77777777" w:rsidR="004407D6" w:rsidRDefault="004407D6" w:rsidP="00D02A7F">
      <w:pPr>
        <w:spacing w:after="0" w:line="240" w:lineRule="auto"/>
      </w:pPr>
      <w:r>
        <w:separator/>
      </w:r>
    </w:p>
  </w:endnote>
  <w:endnote w:type="continuationSeparator" w:id="0">
    <w:p w14:paraId="21F5A306" w14:textId="77777777" w:rsidR="004407D6" w:rsidRDefault="004407D6" w:rsidP="00D02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324BC" w14:textId="77777777" w:rsidR="006811D8" w:rsidRDefault="006811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885490"/>
      <w:docPartObj>
        <w:docPartGallery w:val="Page Numbers (Bottom of Page)"/>
        <w:docPartUnique/>
      </w:docPartObj>
    </w:sdtPr>
    <w:sdtEndPr>
      <w:rPr>
        <w:noProof/>
      </w:rPr>
    </w:sdtEndPr>
    <w:sdtContent>
      <w:p w14:paraId="1508A94B" w14:textId="033147AC" w:rsidR="001862A8" w:rsidRDefault="001862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D7B3D" w14:textId="77777777" w:rsidR="00D02A7F" w:rsidRDefault="00D02A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C74EF" w14:textId="77777777" w:rsidR="006811D8" w:rsidRDefault="00681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986C6" w14:textId="77777777" w:rsidR="004407D6" w:rsidRDefault="004407D6" w:rsidP="00D02A7F">
      <w:pPr>
        <w:spacing w:after="0" w:line="240" w:lineRule="auto"/>
      </w:pPr>
      <w:r>
        <w:separator/>
      </w:r>
    </w:p>
  </w:footnote>
  <w:footnote w:type="continuationSeparator" w:id="0">
    <w:p w14:paraId="0F0ACB90" w14:textId="77777777" w:rsidR="004407D6" w:rsidRDefault="004407D6" w:rsidP="00D02A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BB730" w14:textId="77777777" w:rsidR="006811D8" w:rsidRDefault="006811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CAB2C" w14:textId="77777777" w:rsidR="006811D8" w:rsidRDefault="006811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A0C68" w14:textId="77777777" w:rsidR="006811D8" w:rsidRDefault="00681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27005"/>
    <w:multiLevelType w:val="multilevel"/>
    <w:tmpl w:val="9C784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5E5531"/>
    <w:multiLevelType w:val="hybridMultilevel"/>
    <w:tmpl w:val="2BC2358A"/>
    <w:lvl w:ilvl="0" w:tplc="BED6CA6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11A54A2"/>
    <w:multiLevelType w:val="hybridMultilevel"/>
    <w:tmpl w:val="028627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8E50F46"/>
    <w:multiLevelType w:val="hybridMultilevel"/>
    <w:tmpl w:val="6B04F42C"/>
    <w:lvl w:ilvl="0" w:tplc="4009000B">
      <w:start w:val="1"/>
      <w:numFmt w:val="bullet"/>
      <w:lvlText w:val=""/>
      <w:lvlJc w:val="left"/>
      <w:pPr>
        <w:ind w:left="765" w:hanging="360"/>
      </w:pPr>
      <w:rPr>
        <w:rFonts w:ascii="Wingdings" w:hAnsi="Wingdings" w:hint="default"/>
      </w:rPr>
    </w:lvl>
    <w:lvl w:ilvl="1" w:tplc="40090003" w:tentative="1">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4" w15:restartNumberingAfterBreak="0">
    <w:nsid w:val="5F267B40"/>
    <w:multiLevelType w:val="multilevel"/>
    <w:tmpl w:val="5F9AFC64"/>
    <w:lvl w:ilvl="0">
      <w:start w:val="1"/>
      <w:numFmt w:val="decimal"/>
      <w:lvlText w:val="%1."/>
      <w:lvlJc w:val="left"/>
      <w:pPr>
        <w:ind w:left="720" w:hanging="360"/>
      </w:pPr>
      <w:rPr>
        <w:rFonts w:hint="default"/>
      </w:rPr>
    </w:lvl>
    <w:lvl w:ilvl="1">
      <w:start w:val="1"/>
      <w:numFmt w:val="decimal"/>
      <w:isLgl/>
      <w:lvlText w:val="%1.%2"/>
      <w:lvlJc w:val="left"/>
      <w:pPr>
        <w:ind w:left="990" w:hanging="4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2070" w:hanging="108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850" w:hanging="1440"/>
      </w:pPr>
      <w:rPr>
        <w:rFonts w:hint="default"/>
      </w:rPr>
    </w:lvl>
    <w:lvl w:ilvl="6">
      <w:start w:val="1"/>
      <w:numFmt w:val="decimal"/>
      <w:isLgl/>
      <w:lvlText w:val="%1.%2.%3.%4.%5.%6.%7"/>
      <w:lvlJc w:val="left"/>
      <w:pPr>
        <w:ind w:left="3060" w:hanging="1440"/>
      </w:pPr>
      <w:rPr>
        <w:rFonts w:hint="default"/>
      </w:rPr>
    </w:lvl>
    <w:lvl w:ilvl="7">
      <w:start w:val="1"/>
      <w:numFmt w:val="decimal"/>
      <w:isLgl/>
      <w:lvlText w:val="%1.%2.%3.%4.%5.%6.%7.%8"/>
      <w:lvlJc w:val="left"/>
      <w:pPr>
        <w:ind w:left="3630" w:hanging="1800"/>
      </w:pPr>
      <w:rPr>
        <w:rFonts w:hint="default"/>
      </w:rPr>
    </w:lvl>
    <w:lvl w:ilvl="8">
      <w:start w:val="1"/>
      <w:numFmt w:val="decimal"/>
      <w:isLgl/>
      <w:lvlText w:val="%1.%2.%3.%4.%5.%6.%7.%8.%9"/>
      <w:lvlJc w:val="left"/>
      <w:pPr>
        <w:ind w:left="4200" w:hanging="2160"/>
      </w:pPr>
      <w:rPr>
        <w:rFonts w:hint="default"/>
      </w:rPr>
    </w:lvl>
  </w:abstractNum>
  <w:abstractNum w:abstractNumId="5" w15:restartNumberingAfterBreak="0">
    <w:nsid w:val="798D6300"/>
    <w:multiLevelType w:val="multilevel"/>
    <w:tmpl w:val="9B0C9382"/>
    <w:lvl w:ilvl="0">
      <w:start w:val="1"/>
      <w:numFmt w:val="bullet"/>
      <w:lvlText w:val=""/>
      <w:lvlJc w:val="left"/>
      <w:pPr>
        <w:tabs>
          <w:tab w:val="num" w:pos="927"/>
        </w:tabs>
        <w:ind w:left="927" w:hanging="360"/>
      </w:pPr>
      <w:rPr>
        <w:rFonts w:ascii="Symbol" w:hAnsi="Symbol" w:hint="default"/>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6" w15:restartNumberingAfterBreak="0">
    <w:nsid w:val="7F0B25CC"/>
    <w:multiLevelType w:val="hybridMultilevel"/>
    <w:tmpl w:val="06AA05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2"/>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15"/>
    <w:rsid w:val="000439F8"/>
    <w:rsid w:val="00060FFF"/>
    <w:rsid w:val="00072CD0"/>
    <w:rsid w:val="00075DAE"/>
    <w:rsid w:val="00085A86"/>
    <w:rsid w:val="0009491C"/>
    <w:rsid w:val="000C38A4"/>
    <w:rsid w:val="000D7045"/>
    <w:rsid w:val="000E7861"/>
    <w:rsid w:val="00120BD3"/>
    <w:rsid w:val="00125C25"/>
    <w:rsid w:val="00127945"/>
    <w:rsid w:val="00131CDE"/>
    <w:rsid w:val="00140175"/>
    <w:rsid w:val="0014611F"/>
    <w:rsid w:val="00172EC7"/>
    <w:rsid w:val="00182F98"/>
    <w:rsid w:val="001862A8"/>
    <w:rsid w:val="00194592"/>
    <w:rsid w:val="001A5ADD"/>
    <w:rsid w:val="001B20F9"/>
    <w:rsid w:val="00242EA4"/>
    <w:rsid w:val="00254777"/>
    <w:rsid w:val="00265518"/>
    <w:rsid w:val="00266A95"/>
    <w:rsid w:val="002B63FC"/>
    <w:rsid w:val="002C62C9"/>
    <w:rsid w:val="00315061"/>
    <w:rsid w:val="003369C4"/>
    <w:rsid w:val="00353CD5"/>
    <w:rsid w:val="00372C7C"/>
    <w:rsid w:val="003A1FB4"/>
    <w:rsid w:val="003B00D0"/>
    <w:rsid w:val="003C619D"/>
    <w:rsid w:val="003D13EA"/>
    <w:rsid w:val="003D4DAE"/>
    <w:rsid w:val="003F6D29"/>
    <w:rsid w:val="00403BD7"/>
    <w:rsid w:val="004077F4"/>
    <w:rsid w:val="004134A4"/>
    <w:rsid w:val="004210B8"/>
    <w:rsid w:val="00430FE3"/>
    <w:rsid w:val="004407D6"/>
    <w:rsid w:val="00494933"/>
    <w:rsid w:val="004C7F2F"/>
    <w:rsid w:val="00515151"/>
    <w:rsid w:val="00525BBE"/>
    <w:rsid w:val="00531688"/>
    <w:rsid w:val="005401B2"/>
    <w:rsid w:val="00540621"/>
    <w:rsid w:val="005557F5"/>
    <w:rsid w:val="00577E4E"/>
    <w:rsid w:val="005C175C"/>
    <w:rsid w:val="005C63EB"/>
    <w:rsid w:val="005F3752"/>
    <w:rsid w:val="00617128"/>
    <w:rsid w:val="006453D4"/>
    <w:rsid w:val="006811D8"/>
    <w:rsid w:val="00692077"/>
    <w:rsid w:val="006C1FC4"/>
    <w:rsid w:val="006C5BCD"/>
    <w:rsid w:val="00736DAA"/>
    <w:rsid w:val="007D2A39"/>
    <w:rsid w:val="007D6D87"/>
    <w:rsid w:val="00831AA9"/>
    <w:rsid w:val="008333CE"/>
    <w:rsid w:val="00846CEF"/>
    <w:rsid w:val="00894D3F"/>
    <w:rsid w:val="008B0153"/>
    <w:rsid w:val="008B2C55"/>
    <w:rsid w:val="008C3B65"/>
    <w:rsid w:val="008D0E9E"/>
    <w:rsid w:val="00945D4F"/>
    <w:rsid w:val="00952193"/>
    <w:rsid w:val="009714F9"/>
    <w:rsid w:val="00974815"/>
    <w:rsid w:val="009B5759"/>
    <w:rsid w:val="00A05414"/>
    <w:rsid w:val="00A47C14"/>
    <w:rsid w:val="00AA13C9"/>
    <w:rsid w:val="00B26192"/>
    <w:rsid w:val="00B723BD"/>
    <w:rsid w:val="00B73231"/>
    <w:rsid w:val="00B9559B"/>
    <w:rsid w:val="00BA3E4D"/>
    <w:rsid w:val="00BD4488"/>
    <w:rsid w:val="00BE4615"/>
    <w:rsid w:val="00BF27AA"/>
    <w:rsid w:val="00C07132"/>
    <w:rsid w:val="00C3047F"/>
    <w:rsid w:val="00C543A4"/>
    <w:rsid w:val="00C63F1C"/>
    <w:rsid w:val="00C91896"/>
    <w:rsid w:val="00CA1D91"/>
    <w:rsid w:val="00CB4661"/>
    <w:rsid w:val="00CD48C2"/>
    <w:rsid w:val="00CD6E9B"/>
    <w:rsid w:val="00CF399D"/>
    <w:rsid w:val="00CF3E2A"/>
    <w:rsid w:val="00D02A7F"/>
    <w:rsid w:val="00D0403F"/>
    <w:rsid w:val="00D161F3"/>
    <w:rsid w:val="00D1682C"/>
    <w:rsid w:val="00D17530"/>
    <w:rsid w:val="00D42CAA"/>
    <w:rsid w:val="00D45013"/>
    <w:rsid w:val="00D46629"/>
    <w:rsid w:val="00D76FAC"/>
    <w:rsid w:val="00D8695C"/>
    <w:rsid w:val="00D90FEC"/>
    <w:rsid w:val="00DC7F98"/>
    <w:rsid w:val="00DE2F3B"/>
    <w:rsid w:val="00E2762B"/>
    <w:rsid w:val="00E86D75"/>
    <w:rsid w:val="00E9782E"/>
    <w:rsid w:val="00EB2C4A"/>
    <w:rsid w:val="00EB4BC9"/>
    <w:rsid w:val="00EC0796"/>
    <w:rsid w:val="00EC3C52"/>
    <w:rsid w:val="00ED2E90"/>
    <w:rsid w:val="00ED3957"/>
    <w:rsid w:val="00ED46FB"/>
    <w:rsid w:val="00EE5D1E"/>
    <w:rsid w:val="00EF688F"/>
    <w:rsid w:val="00F11E30"/>
    <w:rsid w:val="00F12503"/>
    <w:rsid w:val="00F27248"/>
    <w:rsid w:val="00F75115"/>
    <w:rsid w:val="00FA6DF7"/>
    <w:rsid w:val="00FC7753"/>
    <w:rsid w:val="00FE6A0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D210C6"/>
  <w15:chartTrackingRefBased/>
  <w15:docId w15:val="{A5A4D831-37A7-4B45-BFE4-ECAEEB21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94933"/>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EA4"/>
    <w:pPr>
      <w:ind w:left="720"/>
      <w:contextualSpacing/>
    </w:pPr>
  </w:style>
  <w:style w:type="paragraph" w:styleId="NormalWeb">
    <w:name w:val="Normal (Web)"/>
    <w:basedOn w:val="Normal"/>
    <w:uiPriority w:val="99"/>
    <w:semiHidden/>
    <w:unhideWhenUsed/>
    <w:rsid w:val="00182F98"/>
    <w:pPr>
      <w:spacing w:before="100" w:beforeAutospacing="1" w:after="100" w:afterAutospacing="1" w:line="240" w:lineRule="auto"/>
    </w:pPr>
    <w:rPr>
      <w:rFonts w:ascii="Times New Roman" w:eastAsia="Times New Roman" w:hAnsi="Times New Roman" w:cs="Times New Roman"/>
      <w:sz w:val="24"/>
      <w:szCs w:val="24"/>
      <w:lang w:eastAsia="en-IN" w:bidi="gu-IN"/>
    </w:rPr>
  </w:style>
  <w:style w:type="character" w:styleId="Strong">
    <w:name w:val="Strong"/>
    <w:basedOn w:val="DefaultParagraphFont"/>
    <w:uiPriority w:val="22"/>
    <w:qFormat/>
    <w:rsid w:val="00182F98"/>
    <w:rPr>
      <w:b/>
      <w:bCs/>
    </w:rPr>
  </w:style>
  <w:style w:type="character" w:customStyle="1" w:styleId="Heading3Char">
    <w:name w:val="Heading 3 Char"/>
    <w:basedOn w:val="DefaultParagraphFont"/>
    <w:link w:val="Heading3"/>
    <w:uiPriority w:val="9"/>
    <w:rsid w:val="00494933"/>
    <w:rPr>
      <w:rFonts w:ascii="Times New Roman" w:eastAsia="Times New Roman" w:hAnsi="Times New Roman" w:cs="Times New Roman"/>
      <w:b/>
      <w:bCs/>
      <w:sz w:val="27"/>
      <w:szCs w:val="27"/>
      <w:lang w:eastAsia="en-IN"/>
    </w:rPr>
  </w:style>
  <w:style w:type="character" w:styleId="Emphasis">
    <w:name w:val="Emphasis"/>
    <w:basedOn w:val="DefaultParagraphFont"/>
    <w:uiPriority w:val="20"/>
    <w:qFormat/>
    <w:rsid w:val="00494933"/>
    <w:rPr>
      <w:i/>
      <w:iCs/>
    </w:rPr>
  </w:style>
  <w:style w:type="character" w:styleId="Hyperlink">
    <w:name w:val="Hyperlink"/>
    <w:basedOn w:val="DefaultParagraphFont"/>
    <w:uiPriority w:val="99"/>
    <w:semiHidden/>
    <w:unhideWhenUsed/>
    <w:rsid w:val="00494933"/>
    <w:rPr>
      <w:color w:val="0000FF"/>
      <w:u w:val="single"/>
    </w:rPr>
  </w:style>
  <w:style w:type="paragraph" w:styleId="Header">
    <w:name w:val="header"/>
    <w:basedOn w:val="Normal"/>
    <w:link w:val="HeaderChar"/>
    <w:uiPriority w:val="99"/>
    <w:unhideWhenUsed/>
    <w:rsid w:val="00D02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A7F"/>
  </w:style>
  <w:style w:type="paragraph" w:styleId="Footer">
    <w:name w:val="footer"/>
    <w:basedOn w:val="Normal"/>
    <w:link w:val="FooterChar"/>
    <w:uiPriority w:val="99"/>
    <w:unhideWhenUsed/>
    <w:rsid w:val="00D02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A7F"/>
  </w:style>
  <w:style w:type="table" w:styleId="TableGrid">
    <w:name w:val="Table Grid"/>
    <w:basedOn w:val="TableNormal"/>
    <w:uiPriority w:val="39"/>
    <w:rsid w:val="00EB4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6">
    <w:name w:val="List Table 2 Accent 6"/>
    <w:basedOn w:val="TableNormal"/>
    <w:uiPriority w:val="47"/>
    <w:rsid w:val="00DE2F3B"/>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601589">
      <w:bodyDiv w:val="1"/>
      <w:marLeft w:val="0"/>
      <w:marRight w:val="0"/>
      <w:marTop w:val="0"/>
      <w:marBottom w:val="0"/>
      <w:divBdr>
        <w:top w:val="none" w:sz="0" w:space="0" w:color="auto"/>
        <w:left w:val="none" w:sz="0" w:space="0" w:color="auto"/>
        <w:bottom w:val="none" w:sz="0" w:space="0" w:color="auto"/>
        <w:right w:val="none" w:sz="0" w:space="0" w:color="auto"/>
      </w:divBdr>
    </w:div>
    <w:div w:id="2040088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indtools.com/a4wo118/cause-and-effect-analysis"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england.nhs.uk/mat-transformation/maternal-and-neonatal-safety-collaborativ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ihi.org/resources/Pages/HowtoImprove/ScienceofImprovementTestingChanges.aspx"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bsco.com/research-starters/social-sciences-and-humanities/donabedian-model" TargetMode="External"/><Relationship Id="rId20" Type="http://schemas.openxmlformats.org/officeDocument/2006/relationships/hyperlink" Target="https://www.england.nhs.uk/publication/three-year-delivery-plan-for-maternity-and-neonatal-service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venngage.com/blog/swot-analysis-in-healthcar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independent-maternity-and-neonatal-investigation-terms-of-reference" TargetMode="External"/><Relationship Id="rId23" Type="http://schemas.openxmlformats.org/officeDocument/2006/relationships/hyperlink" Target="https://www.sequencehealth.com/blog/how-to-use-swot-analysis-in-healthcare-steps-and-strategies" TargetMode="External"/><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mindtools.com/a4wo118/swot-analysi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qc.org.uk/guidance-regulation/maternity-improvement-resource" TargetMode="External"/><Relationship Id="rId22" Type="http://schemas.openxmlformats.org/officeDocument/2006/relationships/hyperlink" Target="https://www.patientsafetylearning.org/blog/will-lessons-be-learned-an-analysis-of-the-systemic-failures-in-the-east-kent-maternity-report"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13B9F-F45A-49A0-A6F3-30B5DCF48E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4479</Words>
  <Characters>25534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arpita chaudhary</dc:creator>
  <cp:keywords/>
  <dc:description/>
  <cp:lastModifiedBy>arpita chaudhary</cp:lastModifiedBy>
  <cp:revision>2</cp:revision>
  <dcterms:created xsi:type="dcterms:W3CDTF">2025-12-11T15:28:00Z</dcterms:created>
  <dcterms:modified xsi:type="dcterms:W3CDTF">2025-12-11T15:28:00Z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d9fea93f-156a-4cde-b0bf-ab446e710767</vt:lpwstr>
  </property>
</Properties>
</file>