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6A6334" w14:textId="77777777" w:rsidR="001855F5" w:rsidRPr="008B0383" w:rsidRDefault="001855F5" w:rsidP="001855F5">
      <w:pPr>
        <w:rPr>
          <w:rFonts w:ascii="Arial" w:hAnsi="Arial" w:cs="Arial"/>
          <w:sz w:val="32"/>
        </w:rPr>
      </w:pPr>
      <w:r w:rsidRPr="008B0383">
        <w:rPr>
          <w:rFonts w:ascii="Arial" w:hAnsi="Arial" w:cs="Arial"/>
          <w:sz w:val="32"/>
        </w:rPr>
        <w:t>Bethan Stroud</w:t>
      </w:r>
    </w:p>
    <w:p w14:paraId="106C9AAF" w14:textId="77777777" w:rsidR="001855F5" w:rsidRDefault="001855F5" w:rsidP="001855F5">
      <w:pPr>
        <w:rPr>
          <w:rFonts w:ascii="Arial" w:hAnsi="Arial" w:cs="Arial"/>
          <w:sz w:val="32"/>
        </w:rPr>
      </w:pPr>
      <w:r w:rsidRPr="008B0383">
        <w:rPr>
          <w:rFonts w:ascii="Arial" w:hAnsi="Arial" w:cs="Arial"/>
          <w:sz w:val="32"/>
        </w:rPr>
        <w:t>1702210</w:t>
      </w:r>
    </w:p>
    <w:p w14:paraId="3176E86B" w14:textId="77777777" w:rsidR="001855F5" w:rsidRDefault="001855F5" w:rsidP="001855F5">
      <w:pPr>
        <w:rPr>
          <w:rFonts w:ascii="Arial" w:hAnsi="Arial" w:cs="Arial"/>
          <w:sz w:val="32"/>
        </w:rPr>
      </w:pPr>
    </w:p>
    <w:p w14:paraId="39BF173B" w14:textId="77777777" w:rsidR="001855F5" w:rsidRDefault="001855F5" w:rsidP="001855F5">
      <w:pPr>
        <w:rPr>
          <w:rFonts w:ascii="Arial" w:hAnsi="Arial" w:cs="Arial"/>
          <w:sz w:val="32"/>
        </w:rPr>
      </w:pPr>
    </w:p>
    <w:p w14:paraId="72EAFB69" w14:textId="77777777" w:rsidR="001855F5" w:rsidRDefault="001855F5" w:rsidP="001855F5">
      <w:pPr>
        <w:rPr>
          <w:rFonts w:ascii="Arial" w:hAnsi="Arial" w:cs="Arial"/>
          <w:sz w:val="32"/>
        </w:rPr>
      </w:pPr>
    </w:p>
    <w:p w14:paraId="3BBBE833" w14:textId="77777777" w:rsidR="001855F5" w:rsidRDefault="001855F5" w:rsidP="001855F5">
      <w:pPr>
        <w:rPr>
          <w:rFonts w:ascii="Arial" w:hAnsi="Arial" w:cs="Arial"/>
          <w:sz w:val="32"/>
        </w:rPr>
      </w:pPr>
    </w:p>
    <w:p w14:paraId="32C7CC83" w14:textId="77777777" w:rsidR="001855F5" w:rsidRDefault="001855F5" w:rsidP="001855F5">
      <w:pPr>
        <w:rPr>
          <w:rFonts w:ascii="Arial" w:hAnsi="Arial" w:cs="Arial"/>
          <w:sz w:val="32"/>
        </w:rPr>
      </w:pPr>
    </w:p>
    <w:p w14:paraId="35FD8B37" w14:textId="77777777" w:rsidR="001855F5" w:rsidRDefault="001855F5" w:rsidP="001855F5">
      <w:pPr>
        <w:rPr>
          <w:rFonts w:ascii="Arial" w:hAnsi="Arial" w:cs="Arial"/>
          <w:sz w:val="32"/>
        </w:rPr>
      </w:pPr>
    </w:p>
    <w:p w14:paraId="5AD29DB6" w14:textId="77777777" w:rsidR="001855F5" w:rsidRDefault="001855F5" w:rsidP="001855F5">
      <w:pPr>
        <w:jc w:val="center"/>
        <w:rPr>
          <w:rFonts w:ascii="Arial" w:hAnsi="Arial" w:cs="Arial"/>
          <w:sz w:val="40"/>
        </w:rPr>
      </w:pPr>
      <w:r w:rsidRPr="008B0383">
        <w:rPr>
          <w:rFonts w:ascii="Arial" w:hAnsi="Arial" w:cs="Arial"/>
          <w:sz w:val="44"/>
        </w:rPr>
        <w:t>Legal Issues within Construction Projects</w:t>
      </w:r>
    </w:p>
    <w:p w14:paraId="5CF93C10" w14:textId="77777777" w:rsidR="001855F5" w:rsidRPr="008B0383" w:rsidRDefault="001855F5" w:rsidP="001855F5">
      <w:pPr>
        <w:jc w:val="center"/>
        <w:rPr>
          <w:rFonts w:ascii="Arial" w:hAnsi="Arial" w:cs="Arial"/>
          <w:sz w:val="28"/>
        </w:rPr>
      </w:pPr>
      <w:r w:rsidRPr="008B0383">
        <w:rPr>
          <w:rFonts w:ascii="Arial" w:hAnsi="Arial" w:cs="Arial"/>
          <w:sz w:val="28"/>
        </w:rPr>
        <w:t>Lara Hopkinson</w:t>
      </w:r>
    </w:p>
    <w:p w14:paraId="0C59625A" w14:textId="60820FB2" w:rsidR="001855F5" w:rsidRDefault="001855F5" w:rsidP="00842D76">
      <w:pPr>
        <w:jc w:val="center"/>
        <w:rPr>
          <w:rFonts w:ascii="Arial" w:hAnsi="Arial" w:cs="Arial"/>
          <w:sz w:val="24"/>
          <w:u w:val="single"/>
        </w:rPr>
      </w:pPr>
    </w:p>
    <w:p w14:paraId="78A1105A" w14:textId="55FD5417" w:rsidR="001855F5" w:rsidRDefault="001855F5" w:rsidP="00842D76">
      <w:pPr>
        <w:jc w:val="center"/>
        <w:rPr>
          <w:rFonts w:ascii="Arial" w:hAnsi="Arial" w:cs="Arial"/>
          <w:sz w:val="24"/>
          <w:u w:val="single"/>
        </w:rPr>
      </w:pPr>
    </w:p>
    <w:p w14:paraId="728FD8E2" w14:textId="138050D6" w:rsidR="001855F5" w:rsidRDefault="001855F5" w:rsidP="00842D76">
      <w:pPr>
        <w:jc w:val="center"/>
        <w:rPr>
          <w:rFonts w:ascii="Arial" w:hAnsi="Arial" w:cs="Arial"/>
          <w:sz w:val="24"/>
          <w:u w:val="single"/>
        </w:rPr>
      </w:pPr>
    </w:p>
    <w:p w14:paraId="3CA9E999" w14:textId="5D7373D6" w:rsidR="001855F5" w:rsidRDefault="001855F5" w:rsidP="00842D76">
      <w:pPr>
        <w:jc w:val="center"/>
        <w:rPr>
          <w:rFonts w:ascii="Arial" w:hAnsi="Arial" w:cs="Arial"/>
          <w:sz w:val="24"/>
          <w:u w:val="single"/>
        </w:rPr>
      </w:pPr>
    </w:p>
    <w:p w14:paraId="312FD01B" w14:textId="124F5CD9" w:rsidR="001855F5" w:rsidRDefault="001855F5" w:rsidP="00842D76">
      <w:pPr>
        <w:jc w:val="center"/>
        <w:rPr>
          <w:rFonts w:ascii="Arial" w:hAnsi="Arial" w:cs="Arial"/>
          <w:sz w:val="24"/>
          <w:u w:val="single"/>
        </w:rPr>
      </w:pPr>
    </w:p>
    <w:p w14:paraId="09A9BDC9" w14:textId="724BC232" w:rsidR="001855F5" w:rsidRDefault="001855F5" w:rsidP="00842D76">
      <w:pPr>
        <w:jc w:val="center"/>
        <w:rPr>
          <w:rFonts w:ascii="Arial" w:hAnsi="Arial" w:cs="Arial"/>
          <w:sz w:val="24"/>
          <w:u w:val="single"/>
        </w:rPr>
      </w:pPr>
      <w:r>
        <w:rPr>
          <w:rFonts w:ascii="Arial" w:hAnsi="Arial" w:cs="Arial"/>
          <w:sz w:val="24"/>
          <w:u w:val="single"/>
        </w:rPr>
        <w:t>2093 words</w:t>
      </w:r>
    </w:p>
    <w:p w14:paraId="262495CD" w14:textId="77777777" w:rsidR="001855F5" w:rsidRDefault="001855F5">
      <w:pPr>
        <w:rPr>
          <w:rFonts w:ascii="Arial" w:hAnsi="Arial" w:cs="Arial"/>
          <w:sz w:val="24"/>
          <w:u w:val="single"/>
        </w:rPr>
      </w:pPr>
      <w:r>
        <w:rPr>
          <w:rFonts w:ascii="Arial" w:hAnsi="Arial" w:cs="Arial"/>
          <w:sz w:val="24"/>
          <w:u w:val="single"/>
        </w:rPr>
        <w:br w:type="page"/>
      </w:r>
      <w:bookmarkStart w:id="0" w:name="_GoBack"/>
      <w:bookmarkEnd w:id="0"/>
    </w:p>
    <w:p w14:paraId="570C7CE2" w14:textId="5C1ED6D5" w:rsidR="00842D76" w:rsidRDefault="00842D76" w:rsidP="00842D76">
      <w:pPr>
        <w:jc w:val="center"/>
        <w:rPr>
          <w:rFonts w:ascii="Arial" w:hAnsi="Arial" w:cs="Arial"/>
          <w:sz w:val="24"/>
          <w:u w:val="single"/>
        </w:rPr>
      </w:pPr>
      <w:r>
        <w:rPr>
          <w:rFonts w:ascii="Arial" w:hAnsi="Arial" w:cs="Arial"/>
          <w:sz w:val="24"/>
          <w:u w:val="single"/>
        </w:rPr>
        <w:t>Legal Issues within Construction Projects</w:t>
      </w:r>
    </w:p>
    <w:p w14:paraId="151FD33B" w14:textId="77777777" w:rsidR="00B32A4E" w:rsidRDefault="00B32A4E" w:rsidP="00B32A4E">
      <w:pPr>
        <w:rPr>
          <w:rStyle w:val="hvr"/>
          <w:rFonts w:ascii="Arial" w:hAnsi="Arial" w:cs="Arial"/>
        </w:rPr>
      </w:pPr>
      <w:r>
        <w:rPr>
          <w:rFonts w:ascii="Arial" w:hAnsi="Arial" w:cs="Arial"/>
        </w:rPr>
        <w:t xml:space="preserve">Within the construction industry, contracts play a </w:t>
      </w:r>
      <w:r w:rsidR="00AC31EF">
        <w:rPr>
          <w:rFonts w:ascii="Arial" w:hAnsi="Arial" w:cs="Arial"/>
        </w:rPr>
        <w:t xml:space="preserve">significant </w:t>
      </w:r>
      <w:r>
        <w:rPr>
          <w:rFonts w:ascii="Arial" w:hAnsi="Arial" w:cs="Arial"/>
        </w:rPr>
        <w:t>role in binding agreements between contractors, sub-contractors and the government. A contract is “</w:t>
      </w:r>
      <w:r w:rsidRPr="00B32A4E">
        <w:rPr>
          <w:rFonts w:ascii="Arial" w:hAnsi="Arial" w:cs="Arial"/>
          <w:i/>
        </w:rPr>
        <w:t xml:space="preserve">an </w:t>
      </w:r>
      <w:r w:rsidRPr="00B32A4E">
        <w:rPr>
          <w:rStyle w:val="hvr"/>
          <w:rFonts w:ascii="Arial" w:hAnsi="Arial" w:cs="Arial"/>
          <w:i/>
        </w:rPr>
        <w:t>agreement</w:t>
      </w:r>
      <w:r w:rsidRPr="00B32A4E">
        <w:rPr>
          <w:rFonts w:ascii="Arial" w:hAnsi="Arial" w:cs="Arial"/>
          <w:i/>
        </w:rPr>
        <w:t xml:space="preserve"> </w:t>
      </w:r>
      <w:r w:rsidRPr="00B32A4E">
        <w:rPr>
          <w:rStyle w:val="hvr"/>
          <w:rFonts w:ascii="Arial" w:hAnsi="Arial" w:cs="Arial"/>
          <w:i/>
        </w:rPr>
        <w:t>with</w:t>
      </w:r>
      <w:r w:rsidRPr="00B32A4E">
        <w:rPr>
          <w:rFonts w:ascii="Arial" w:hAnsi="Arial" w:cs="Arial"/>
          <w:i/>
        </w:rPr>
        <w:t xml:space="preserve"> </w:t>
      </w:r>
      <w:r w:rsidRPr="00B32A4E">
        <w:rPr>
          <w:rStyle w:val="hvr"/>
          <w:rFonts w:ascii="Arial" w:hAnsi="Arial" w:cs="Arial"/>
          <w:i/>
        </w:rPr>
        <w:t>specific</w:t>
      </w:r>
      <w:r w:rsidRPr="00B32A4E">
        <w:rPr>
          <w:rFonts w:ascii="Arial" w:hAnsi="Arial" w:cs="Arial"/>
          <w:i/>
        </w:rPr>
        <w:t xml:space="preserve"> </w:t>
      </w:r>
      <w:r w:rsidRPr="00B32A4E">
        <w:rPr>
          <w:rStyle w:val="hvr"/>
          <w:rFonts w:ascii="Arial" w:hAnsi="Arial" w:cs="Arial"/>
          <w:i/>
        </w:rPr>
        <w:t>terms</w:t>
      </w:r>
      <w:r w:rsidRPr="00B32A4E">
        <w:rPr>
          <w:rFonts w:ascii="Arial" w:hAnsi="Arial" w:cs="Arial"/>
          <w:i/>
        </w:rPr>
        <w:t xml:space="preserve"> </w:t>
      </w:r>
      <w:r w:rsidRPr="00B32A4E">
        <w:rPr>
          <w:rStyle w:val="hvr"/>
          <w:rFonts w:ascii="Arial" w:hAnsi="Arial" w:cs="Arial"/>
          <w:i/>
        </w:rPr>
        <w:t>between</w:t>
      </w:r>
      <w:r w:rsidRPr="00B32A4E">
        <w:rPr>
          <w:rFonts w:ascii="Arial" w:hAnsi="Arial" w:cs="Arial"/>
          <w:i/>
        </w:rPr>
        <w:t xml:space="preserve"> </w:t>
      </w:r>
      <w:r w:rsidRPr="00B32A4E">
        <w:rPr>
          <w:rStyle w:val="hvr"/>
          <w:rFonts w:ascii="Arial" w:hAnsi="Arial" w:cs="Arial"/>
          <w:i/>
        </w:rPr>
        <w:t>two</w:t>
      </w:r>
      <w:r w:rsidRPr="00B32A4E">
        <w:rPr>
          <w:rFonts w:ascii="Arial" w:hAnsi="Arial" w:cs="Arial"/>
          <w:i/>
        </w:rPr>
        <w:t xml:space="preserve"> or </w:t>
      </w:r>
      <w:r w:rsidRPr="00B32A4E">
        <w:rPr>
          <w:rStyle w:val="hvr"/>
          <w:rFonts w:ascii="Arial" w:hAnsi="Arial" w:cs="Arial"/>
          <w:i/>
        </w:rPr>
        <w:t>more</w:t>
      </w:r>
      <w:r w:rsidRPr="00B32A4E">
        <w:rPr>
          <w:rFonts w:ascii="Arial" w:hAnsi="Arial" w:cs="Arial"/>
          <w:i/>
        </w:rPr>
        <w:t xml:space="preserve"> </w:t>
      </w:r>
      <w:r w:rsidRPr="00B32A4E">
        <w:rPr>
          <w:rStyle w:val="hvr"/>
          <w:rFonts w:ascii="Arial" w:hAnsi="Arial" w:cs="Arial"/>
          <w:i/>
        </w:rPr>
        <w:t>persons</w:t>
      </w:r>
      <w:r w:rsidRPr="00B32A4E">
        <w:rPr>
          <w:rFonts w:ascii="Arial" w:hAnsi="Arial" w:cs="Arial"/>
          <w:i/>
        </w:rPr>
        <w:t xml:space="preserve"> or </w:t>
      </w:r>
      <w:r w:rsidRPr="00B32A4E">
        <w:rPr>
          <w:rStyle w:val="hvr"/>
          <w:rFonts w:ascii="Arial" w:hAnsi="Arial" w:cs="Arial"/>
          <w:i/>
        </w:rPr>
        <w:t>entities</w:t>
      </w:r>
      <w:r w:rsidRPr="00B32A4E">
        <w:rPr>
          <w:rFonts w:ascii="Arial" w:hAnsi="Arial" w:cs="Arial"/>
          <w:i/>
        </w:rPr>
        <w:t xml:space="preserve"> in </w:t>
      </w:r>
      <w:r w:rsidRPr="00B32A4E">
        <w:rPr>
          <w:rStyle w:val="hvr"/>
          <w:rFonts w:ascii="Arial" w:hAnsi="Arial" w:cs="Arial"/>
          <w:i/>
        </w:rPr>
        <w:t>which</w:t>
      </w:r>
      <w:r w:rsidRPr="00B32A4E">
        <w:rPr>
          <w:rFonts w:ascii="Arial" w:hAnsi="Arial" w:cs="Arial"/>
          <w:i/>
        </w:rPr>
        <w:t xml:space="preserve"> </w:t>
      </w:r>
      <w:r w:rsidRPr="00B32A4E">
        <w:rPr>
          <w:rStyle w:val="hvr"/>
          <w:rFonts w:ascii="Arial" w:hAnsi="Arial" w:cs="Arial"/>
          <w:i/>
        </w:rPr>
        <w:t>there</w:t>
      </w:r>
      <w:r w:rsidRPr="00B32A4E">
        <w:rPr>
          <w:rFonts w:ascii="Arial" w:hAnsi="Arial" w:cs="Arial"/>
          <w:i/>
        </w:rPr>
        <w:t xml:space="preserve"> is a </w:t>
      </w:r>
      <w:r w:rsidRPr="00B32A4E">
        <w:rPr>
          <w:rStyle w:val="hvr"/>
          <w:rFonts w:ascii="Arial" w:hAnsi="Arial" w:cs="Arial"/>
          <w:i/>
        </w:rPr>
        <w:t>promise</w:t>
      </w:r>
      <w:r w:rsidRPr="00B32A4E">
        <w:rPr>
          <w:rFonts w:ascii="Arial" w:hAnsi="Arial" w:cs="Arial"/>
          <w:i/>
        </w:rPr>
        <w:t xml:space="preserve"> to do </w:t>
      </w:r>
      <w:r w:rsidRPr="00B32A4E">
        <w:rPr>
          <w:rStyle w:val="hvr"/>
          <w:rFonts w:ascii="Arial" w:hAnsi="Arial" w:cs="Arial"/>
          <w:i/>
        </w:rPr>
        <w:t>something</w:t>
      </w:r>
      <w:r w:rsidRPr="00B32A4E">
        <w:rPr>
          <w:rFonts w:ascii="Arial" w:hAnsi="Arial" w:cs="Arial"/>
          <w:i/>
        </w:rPr>
        <w:t xml:space="preserve"> in </w:t>
      </w:r>
      <w:r w:rsidRPr="00B32A4E">
        <w:rPr>
          <w:rStyle w:val="hvr"/>
          <w:rFonts w:ascii="Arial" w:hAnsi="Arial" w:cs="Arial"/>
          <w:i/>
        </w:rPr>
        <w:t>return</w:t>
      </w:r>
      <w:r w:rsidRPr="00B32A4E">
        <w:rPr>
          <w:rFonts w:ascii="Arial" w:hAnsi="Arial" w:cs="Arial"/>
          <w:i/>
        </w:rPr>
        <w:t xml:space="preserve"> </w:t>
      </w:r>
      <w:r w:rsidRPr="00B32A4E">
        <w:rPr>
          <w:rStyle w:val="hvr"/>
          <w:rFonts w:ascii="Arial" w:hAnsi="Arial" w:cs="Arial"/>
          <w:i/>
        </w:rPr>
        <w:t>for</w:t>
      </w:r>
      <w:r w:rsidRPr="00B32A4E">
        <w:rPr>
          <w:rFonts w:ascii="Arial" w:hAnsi="Arial" w:cs="Arial"/>
          <w:i/>
        </w:rPr>
        <w:t xml:space="preserve"> a </w:t>
      </w:r>
      <w:r w:rsidRPr="00B32A4E">
        <w:rPr>
          <w:rStyle w:val="hvr"/>
          <w:rFonts w:ascii="Arial" w:hAnsi="Arial" w:cs="Arial"/>
          <w:i/>
        </w:rPr>
        <w:t>valuable</w:t>
      </w:r>
      <w:r w:rsidRPr="00B32A4E">
        <w:rPr>
          <w:rFonts w:ascii="Arial" w:hAnsi="Arial" w:cs="Arial"/>
          <w:i/>
        </w:rPr>
        <w:t xml:space="preserve"> </w:t>
      </w:r>
      <w:r w:rsidRPr="00B32A4E">
        <w:rPr>
          <w:rStyle w:val="hvr"/>
          <w:rFonts w:ascii="Arial" w:hAnsi="Arial" w:cs="Arial"/>
          <w:i/>
        </w:rPr>
        <w:t>benefit</w:t>
      </w:r>
      <w:r w:rsidRPr="00B32A4E">
        <w:rPr>
          <w:rFonts w:ascii="Arial" w:hAnsi="Arial" w:cs="Arial"/>
          <w:i/>
        </w:rPr>
        <w:t xml:space="preserve"> </w:t>
      </w:r>
      <w:r w:rsidRPr="00B32A4E">
        <w:rPr>
          <w:rStyle w:val="hvr"/>
          <w:rFonts w:ascii="Arial" w:hAnsi="Arial" w:cs="Arial"/>
          <w:i/>
        </w:rPr>
        <w:t>known</w:t>
      </w:r>
      <w:r w:rsidRPr="00B32A4E">
        <w:rPr>
          <w:rFonts w:ascii="Arial" w:hAnsi="Arial" w:cs="Arial"/>
          <w:i/>
        </w:rPr>
        <w:t xml:space="preserve"> as </w:t>
      </w:r>
      <w:r w:rsidRPr="00B32A4E">
        <w:rPr>
          <w:rStyle w:val="hvr"/>
          <w:rFonts w:ascii="Arial" w:hAnsi="Arial" w:cs="Arial"/>
          <w:i/>
        </w:rPr>
        <w:t>consideration.</w:t>
      </w:r>
      <w:r w:rsidRPr="00B32A4E">
        <w:rPr>
          <w:rFonts w:ascii="Arial" w:hAnsi="Arial" w:cs="Arial"/>
          <w:i/>
        </w:rPr>
        <w:t xml:space="preserve"> </w:t>
      </w:r>
      <w:r w:rsidRPr="00B32A4E">
        <w:rPr>
          <w:rStyle w:val="hvr"/>
          <w:rFonts w:ascii="Arial" w:hAnsi="Arial" w:cs="Arial"/>
          <w:i/>
        </w:rPr>
        <w:t>Since</w:t>
      </w:r>
      <w:r w:rsidRPr="00B32A4E">
        <w:rPr>
          <w:rFonts w:ascii="Arial" w:hAnsi="Arial" w:cs="Arial"/>
          <w:i/>
        </w:rPr>
        <w:t xml:space="preserve"> </w:t>
      </w:r>
      <w:r w:rsidRPr="00B32A4E">
        <w:rPr>
          <w:rStyle w:val="hvr"/>
          <w:rFonts w:ascii="Arial" w:hAnsi="Arial" w:cs="Arial"/>
          <w:i/>
        </w:rPr>
        <w:t>the</w:t>
      </w:r>
      <w:r w:rsidRPr="00B32A4E">
        <w:rPr>
          <w:rFonts w:ascii="Arial" w:hAnsi="Arial" w:cs="Arial"/>
          <w:i/>
        </w:rPr>
        <w:t xml:space="preserve"> </w:t>
      </w:r>
      <w:r w:rsidRPr="00B32A4E">
        <w:rPr>
          <w:rStyle w:val="hvr"/>
          <w:rFonts w:ascii="Arial" w:hAnsi="Arial" w:cs="Arial"/>
          <w:i/>
        </w:rPr>
        <w:t>law</w:t>
      </w:r>
      <w:r w:rsidRPr="00B32A4E">
        <w:rPr>
          <w:rFonts w:ascii="Arial" w:hAnsi="Arial" w:cs="Arial"/>
          <w:i/>
        </w:rPr>
        <w:t xml:space="preserve"> of </w:t>
      </w:r>
      <w:r w:rsidRPr="00B32A4E">
        <w:rPr>
          <w:rStyle w:val="hvr"/>
          <w:rFonts w:ascii="Arial" w:hAnsi="Arial" w:cs="Arial"/>
          <w:i/>
        </w:rPr>
        <w:t>contracts</w:t>
      </w:r>
      <w:r w:rsidRPr="00B32A4E">
        <w:rPr>
          <w:rFonts w:ascii="Arial" w:hAnsi="Arial" w:cs="Arial"/>
          <w:i/>
        </w:rPr>
        <w:t xml:space="preserve"> is at </w:t>
      </w:r>
      <w:r w:rsidRPr="00B32A4E">
        <w:rPr>
          <w:rStyle w:val="hvr"/>
          <w:rFonts w:ascii="Arial" w:hAnsi="Arial" w:cs="Arial"/>
          <w:i/>
        </w:rPr>
        <w:t>the</w:t>
      </w:r>
      <w:r w:rsidRPr="00B32A4E">
        <w:rPr>
          <w:rFonts w:ascii="Arial" w:hAnsi="Arial" w:cs="Arial"/>
          <w:i/>
        </w:rPr>
        <w:t xml:space="preserve"> </w:t>
      </w:r>
      <w:r w:rsidRPr="00B32A4E">
        <w:rPr>
          <w:rStyle w:val="hvr"/>
          <w:rFonts w:ascii="Arial" w:hAnsi="Arial" w:cs="Arial"/>
          <w:i/>
        </w:rPr>
        <w:t>heart</w:t>
      </w:r>
      <w:r w:rsidRPr="00B32A4E">
        <w:rPr>
          <w:rFonts w:ascii="Arial" w:hAnsi="Arial" w:cs="Arial"/>
          <w:i/>
        </w:rPr>
        <w:t xml:space="preserve"> of </w:t>
      </w:r>
      <w:r w:rsidRPr="00B32A4E">
        <w:rPr>
          <w:rStyle w:val="hvr"/>
          <w:rFonts w:ascii="Arial" w:hAnsi="Arial" w:cs="Arial"/>
          <w:i/>
        </w:rPr>
        <w:t>most</w:t>
      </w:r>
      <w:r w:rsidRPr="00B32A4E">
        <w:rPr>
          <w:rFonts w:ascii="Arial" w:hAnsi="Arial" w:cs="Arial"/>
          <w:i/>
        </w:rPr>
        <w:t xml:space="preserve"> </w:t>
      </w:r>
      <w:r w:rsidRPr="00B32A4E">
        <w:rPr>
          <w:rStyle w:val="hvr"/>
          <w:rFonts w:ascii="Arial" w:hAnsi="Arial" w:cs="Arial"/>
          <w:i/>
        </w:rPr>
        <w:t>business</w:t>
      </w:r>
      <w:r w:rsidRPr="00B32A4E">
        <w:rPr>
          <w:rFonts w:ascii="Arial" w:hAnsi="Arial" w:cs="Arial"/>
          <w:i/>
        </w:rPr>
        <w:t xml:space="preserve"> </w:t>
      </w:r>
      <w:r w:rsidRPr="00B32A4E">
        <w:rPr>
          <w:rStyle w:val="hvr"/>
          <w:rFonts w:ascii="Arial" w:hAnsi="Arial" w:cs="Arial"/>
          <w:i/>
        </w:rPr>
        <w:t>dealings,</w:t>
      </w:r>
      <w:r w:rsidRPr="00B32A4E">
        <w:rPr>
          <w:rFonts w:ascii="Arial" w:hAnsi="Arial" w:cs="Arial"/>
          <w:i/>
        </w:rPr>
        <w:t xml:space="preserve"> it is </w:t>
      </w:r>
      <w:r w:rsidRPr="00B32A4E">
        <w:rPr>
          <w:rStyle w:val="hvr"/>
          <w:rFonts w:ascii="Arial" w:hAnsi="Arial" w:cs="Arial"/>
          <w:i/>
        </w:rPr>
        <w:t>one</w:t>
      </w:r>
      <w:r w:rsidRPr="00B32A4E">
        <w:rPr>
          <w:rFonts w:ascii="Arial" w:hAnsi="Arial" w:cs="Arial"/>
          <w:i/>
        </w:rPr>
        <w:t xml:space="preserve"> of </w:t>
      </w:r>
      <w:r w:rsidRPr="00B32A4E">
        <w:rPr>
          <w:rStyle w:val="hvr"/>
          <w:rFonts w:ascii="Arial" w:hAnsi="Arial" w:cs="Arial"/>
          <w:i/>
        </w:rPr>
        <w:t>the</w:t>
      </w:r>
      <w:r w:rsidRPr="00B32A4E">
        <w:rPr>
          <w:rFonts w:ascii="Arial" w:hAnsi="Arial" w:cs="Arial"/>
          <w:i/>
        </w:rPr>
        <w:t xml:space="preserve"> </w:t>
      </w:r>
      <w:r w:rsidRPr="00B32A4E">
        <w:rPr>
          <w:rStyle w:val="hvr"/>
          <w:rFonts w:ascii="Arial" w:hAnsi="Arial" w:cs="Arial"/>
          <w:i/>
        </w:rPr>
        <w:t>three</w:t>
      </w:r>
      <w:r w:rsidRPr="00B32A4E">
        <w:rPr>
          <w:rFonts w:ascii="Arial" w:hAnsi="Arial" w:cs="Arial"/>
          <w:i/>
        </w:rPr>
        <w:t xml:space="preserve"> or </w:t>
      </w:r>
      <w:r w:rsidRPr="00B32A4E">
        <w:rPr>
          <w:rStyle w:val="hvr"/>
          <w:rFonts w:ascii="Arial" w:hAnsi="Arial" w:cs="Arial"/>
          <w:i/>
        </w:rPr>
        <w:t>four</w:t>
      </w:r>
      <w:r w:rsidRPr="00B32A4E">
        <w:rPr>
          <w:rFonts w:ascii="Arial" w:hAnsi="Arial" w:cs="Arial"/>
          <w:i/>
        </w:rPr>
        <w:t xml:space="preserve"> </w:t>
      </w:r>
      <w:r w:rsidRPr="00B32A4E">
        <w:rPr>
          <w:rStyle w:val="hvr"/>
          <w:rFonts w:ascii="Arial" w:hAnsi="Arial" w:cs="Arial"/>
          <w:i/>
        </w:rPr>
        <w:t>most</w:t>
      </w:r>
      <w:r w:rsidRPr="00B32A4E">
        <w:rPr>
          <w:rFonts w:ascii="Arial" w:hAnsi="Arial" w:cs="Arial"/>
          <w:i/>
        </w:rPr>
        <w:t xml:space="preserve"> </w:t>
      </w:r>
      <w:r w:rsidRPr="00B32A4E">
        <w:rPr>
          <w:rStyle w:val="hvr"/>
          <w:rFonts w:ascii="Arial" w:hAnsi="Arial" w:cs="Arial"/>
          <w:i/>
        </w:rPr>
        <w:t>significant</w:t>
      </w:r>
      <w:r w:rsidRPr="00B32A4E">
        <w:rPr>
          <w:rFonts w:ascii="Arial" w:hAnsi="Arial" w:cs="Arial"/>
          <w:i/>
        </w:rPr>
        <w:t xml:space="preserve"> </w:t>
      </w:r>
      <w:r w:rsidRPr="00B32A4E">
        <w:rPr>
          <w:rStyle w:val="hvr"/>
          <w:rFonts w:ascii="Arial" w:hAnsi="Arial" w:cs="Arial"/>
          <w:i/>
        </w:rPr>
        <w:t>areas</w:t>
      </w:r>
      <w:r w:rsidRPr="00B32A4E">
        <w:rPr>
          <w:rFonts w:ascii="Arial" w:hAnsi="Arial" w:cs="Arial"/>
          <w:i/>
        </w:rPr>
        <w:t xml:space="preserve"> of </w:t>
      </w:r>
      <w:r w:rsidRPr="00B32A4E">
        <w:rPr>
          <w:rStyle w:val="hvr"/>
          <w:rFonts w:ascii="Arial" w:hAnsi="Arial" w:cs="Arial"/>
          <w:i/>
        </w:rPr>
        <w:t>legal</w:t>
      </w:r>
      <w:r w:rsidRPr="00B32A4E">
        <w:rPr>
          <w:rFonts w:ascii="Arial" w:hAnsi="Arial" w:cs="Arial"/>
          <w:i/>
        </w:rPr>
        <w:t xml:space="preserve"> </w:t>
      </w:r>
      <w:r w:rsidRPr="00B32A4E">
        <w:rPr>
          <w:rStyle w:val="hvr"/>
          <w:rFonts w:ascii="Arial" w:hAnsi="Arial" w:cs="Arial"/>
          <w:i/>
        </w:rPr>
        <w:t>concern</w:t>
      </w:r>
      <w:r w:rsidRPr="00B32A4E">
        <w:rPr>
          <w:rFonts w:ascii="Arial" w:hAnsi="Arial" w:cs="Arial"/>
          <w:i/>
        </w:rPr>
        <w:t xml:space="preserve"> </w:t>
      </w:r>
      <w:r w:rsidRPr="00B32A4E">
        <w:rPr>
          <w:rStyle w:val="hvr"/>
          <w:rFonts w:ascii="Arial" w:hAnsi="Arial" w:cs="Arial"/>
          <w:i/>
        </w:rPr>
        <w:t>and</w:t>
      </w:r>
      <w:r w:rsidRPr="00B32A4E">
        <w:rPr>
          <w:rFonts w:ascii="Arial" w:hAnsi="Arial" w:cs="Arial"/>
          <w:i/>
        </w:rPr>
        <w:t xml:space="preserve"> </w:t>
      </w:r>
      <w:r w:rsidRPr="00B32A4E">
        <w:rPr>
          <w:rStyle w:val="hvr"/>
          <w:rFonts w:ascii="Arial" w:hAnsi="Arial" w:cs="Arial"/>
          <w:i/>
        </w:rPr>
        <w:t>can</w:t>
      </w:r>
      <w:r w:rsidRPr="00B32A4E">
        <w:rPr>
          <w:rFonts w:ascii="Arial" w:hAnsi="Arial" w:cs="Arial"/>
          <w:i/>
        </w:rPr>
        <w:t xml:space="preserve"> </w:t>
      </w:r>
      <w:r w:rsidRPr="00B32A4E">
        <w:rPr>
          <w:rStyle w:val="hvr"/>
          <w:rFonts w:ascii="Arial" w:hAnsi="Arial" w:cs="Arial"/>
          <w:i/>
        </w:rPr>
        <w:t>involve</w:t>
      </w:r>
      <w:r w:rsidRPr="00B32A4E">
        <w:rPr>
          <w:rFonts w:ascii="Arial" w:hAnsi="Arial" w:cs="Arial"/>
          <w:i/>
        </w:rPr>
        <w:t xml:space="preserve"> </w:t>
      </w:r>
      <w:r w:rsidRPr="00B32A4E">
        <w:rPr>
          <w:rStyle w:val="hvr"/>
          <w:rFonts w:ascii="Arial" w:hAnsi="Arial" w:cs="Arial"/>
          <w:i/>
        </w:rPr>
        <w:t>variations</w:t>
      </w:r>
      <w:r w:rsidRPr="00B32A4E">
        <w:rPr>
          <w:rFonts w:ascii="Arial" w:hAnsi="Arial" w:cs="Arial"/>
          <w:i/>
        </w:rPr>
        <w:t xml:space="preserve"> on </w:t>
      </w:r>
      <w:r w:rsidRPr="00B32A4E">
        <w:rPr>
          <w:rStyle w:val="hvr"/>
          <w:rFonts w:ascii="Arial" w:hAnsi="Arial" w:cs="Arial"/>
          <w:i/>
        </w:rPr>
        <w:t>circumstances</w:t>
      </w:r>
      <w:r w:rsidRPr="00B32A4E">
        <w:rPr>
          <w:rFonts w:ascii="Arial" w:hAnsi="Arial" w:cs="Arial"/>
          <w:i/>
        </w:rPr>
        <w:t xml:space="preserve"> </w:t>
      </w:r>
      <w:r w:rsidRPr="00B32A4E">
        <w:rPr>
          <w:rStyle w:val="hvr"/>
          <w:rFonts w:ascii="Arial" w:hAnsi="Arial" w:cs="Arial"/>
          <w:i/>
        </w:rPr>
        <w:t>and</w:t>
      </w:r>
      <w:r w:rsidRPr="00B32A4E">
        <w:rPr>
          <w:rFonts w:ascii="Arial" w:hAnsi="Arial" w:cs="Arial"/>
          <w:i/>
        </w:rPr>
        <w:t xml:space="preserve"> </w:t>
      </w:r>
      <w:r w:rsidRPr="00B32A4E">
        <w:rPr>
          <w:rStyle w:val="hvr"/>
          <w:rFonts w:ascii="Arial" w:hAnsi="Arial" w:cs="Arial"/>
          <w:i/>
        </w:rPr>
        <w:t>complexities</w:t>
      </w:r>
      <w:r w:rsidR="00842D76" w:rsidRPr="00B32A4E">
        <w:rPr>
          <w:rStyle w:val="hvr"/>
          <w:rFonts w:ascii="Arial" w:hAnsi="Arial" w:cs="Arial"/>
          <w:i/>
        </w:rPr>
        <w:t>”</w:t>
      </w:r>
      <w:r w:rsidR="00842D76">
        <w:rPr>
          <w:rStyle w:val="hvr"/>
          <w:rFonts w:ascii="Arial" w:hAnsi="Arial" w:cs="Arial"/>
        </w:rPr>
        <w:t>. A breach of a contract, or disagreement can abandon a project or make circumstances difficult costing more money for postponements, court issues or demolishing a development. Making sure there is an understood contract for differing areas of a project can annihilate any forthcoming issues which may occur, for example, including employment, environment issues and time frames which a project must be completed.</w:t>
      </w:r>
      <w:r w:rsidR="00842D76">
        <w:rPr>
          <w:rStyle w:val="hvr"/>
          <w:rFonts w:ascii="Arial" w:hAnsi="Arial" w:cs="Arial"/>
          <w:i/>
        </w:rPr>
        <w:t xml:space="preserve"> </w:t>
      </w:r>
    </w:p>
    <w:p w14:paraId="00F72BD8" w14:textId="77777777" w:rsidR="00BC26E8" w:rsidRDefault="00FC1D40" w:rsidP="00B32A4E">
      <w:pPr>
        <w:rPr>
          <w:rStyle w:val="hvr"/>
          <w:rFonts w:ascii="Arial" w:hAnsi="Arial" w:cs="Arial"/>
        </w:rPr>
      </w:pPr>
      <w:r>
        <w:rPr>
          <w:rStyle w:val="hvr"/>
          <w:rFonts w:ascii="Arial" w:hAnsi="Arial" w:cs="Arial"/>
        </w:rPr>
        <w:t>Contracts are crucial</w:t>
      </w:r>
      <w:r w:rsidR="009158EF">
        <w:rPr>
          <w:rStyle w:val="hvr"/>
          <w:rFonts w:ascii="Arial" w:hAnsi="Arial" w:cs="Arial"/>
        </w:rPr>
        <w:t xml:space="preserve"> within construction projects to underline each party’s obligations, terms and to avoid any sort of dispute. </w:t>
      </w:r>
      <w:r w:rsidR="00514014">
        <w:rPr>
          <w:rStyle w:val="hvr"/>
          <w:rFonts w:ascii="Arial" w:hAnsi="Arial" w:cs="Arial"/>
        </w:rPr>
        <w:t xml:space="preserve">The contract allows the risks of a project to be shared and costs are allocated to the correct party, previously agreed while the contract was written. </w:t>
      </w:r>
      <w:r>
        <w:rPr>
          <w:rStyle w:val="hvr"/>
          <w:rFonts w:ascii="Arial" w:hAnsi="Arial" w:cs="Arial"/>
        </w:rPr>
        <w:t xml:space="preserve">The contract agreement should define </w:t>
      </w:r>
      <w:r w:rsidR="008361A8">
        <w:rPr>
          <w:rStyle w:val="hvr"/>
          <w:rFonts w:ascii="Arial" w:hAnsi="Arial" w:cs="Arial"/>
        </w:rPr>
        <w:t>numerous</w:t>
      </w:r>
      <w:r>
        <w:rPr>
          <w:rStyle w:val="hvr"/>
          <w:rFonts w:ascii="Arial" w:hAnsi="Arial" w:cs="Arial"/>
        </w:rPr>
        <w:t xml:space="preserve"> issues which will be relevant to each party, creating almost a guide and set of rules to follow while completing the required job. The contract can outline </w:t>
      </w:r>
      <w:r w:rsidR="008361A8">
        <w:rPr>
          <w:rStyle w:val="hvr"/>
          <w:rFonts w:ascii="Arial" w:hAnsi="Arial" w:cs="Arial"/>
        </w:rPr>
        <w:t>precise</w:t>
      </w:r>
      <w:r>
        <w:rPr>
          <w:rStyle w:val="hvr"/>
          <w:rFonts w:ascii="Arial" w:hAnsi="Arial" w:cs="Arial"/>
        </w:rPr>
        <w:t xml:space="preserve"> designs, government limitations to aesthetics and what limited boundaries must be abided by. </w:t>
      </w:r>
      <w:r w:rsidR="00E5108F">
        <w:rPr>
          <w:rStyle w:val="hvr"/>
          <w:rFonts w:ascii="Arial" w:hAnsi="Arial" w:cs="Arial"/>
        </w:rPr>
        <w:t xml:space="preserve">In terms of consideration, each party must receive a benefit e.g. a builder receiving money for a job, while the person receiving the </w:t>
      </w:r>
      <w:r w:rsidR="008361A8">
        <w:rPr>
          <w:rStyle w:val="hvr"/>
          <w:rFonts w:ascii="Arial" w:hAnsi="Arial" w:cs="Arial"/>
        </w:rPr>
        <w:t xml:space="preserve">job </w:t>
      </w:r>
      <w:r w:rsidR="00E5108F">
        <w:rPr>
          <w:rStyle w:val="hvr"/>
          <w:rFonts w:ascii="Arial" w:hAnsi="Arial" w:cs="Arial"/>
        </w:rPr>
        <w:t xml:space="preserve">has the work done. Consideration must be a value, not in the past and not moved from the </w:t>
      </w:r>
      <w:r w:rsidR="008361A8">
        <w:rPr>
          <w:rStyle w:val="hvr"/>
          <w:rFonts w:ascii="Arial" w:hAnsi="Arial" w:cs="Arial"/>
        </w:rPr>
        <w:t>primary</w:t>
      </w:r>
      <w:r w:rsidR="00E5108F">
        <w:rPr>
          <w:rStyle w:val="hvr"/>
          <w:rFonts w:ascii="Arial" w:hAnsi="Arial" w:cs="Arial"/>
        </w:rPr>
        <w:t xml:space="preserve"> promise. In the eyes of the construction industry, consideration will majorly be of monetary value for work done. A </w:t>
      </w:r>
      <w:r w:rsidR="008361A8">
        <w:rPr>
          <w:rStyle w:val="hvr"/>
          <w:rFonts w:ascii="Arial" w:hAnsi="Arial" w:cs="Arial"/>
        </w:rPr>
        <w:t>contract will</w:t>
      </w:r>
      <w:r w:rsidR="00E5108F">
        <w:rPr>
          <w:rStyle w:val="hvr"/>
          <w:rFonts w:ascii="Arial" w:hAnsi="Arial" w:cs="Arial"/>
        </w:rPr>
        <w:t xml:space="preserve"> specify the value of both to necessarily guarantee both will be received. </w:t>
      </w:r>
    </w:p>
    <w:p w14:paraId="2559B3CB" w14:textId="77777777" w:rsidR="00E70877" w:rsidRDefault="008361A8" w:rsidP="00B32A4E">
      <w:pPr>
        <w:rPr>
          <w:rStyle w:val="hvr"/>
          <w:rFonts w:ascii="Arial" w:hAnsi="Arial" w:cs="Arial"/>
        </w:rPr>
      </w:pPr>
      <w:r>
        <w:rPr>
          <w:rStyle w:val="hvr"/>
          <w:rFonts w:ascii="Arial" w:hAnsi="Arial" w:cs="Arial"/>
        </w:rPr>
        <w:t xml:space="preserve">Risk management is a key factor to why a contract is critical throughout a construction project, as it’s an uncertain business to deal with due to injuries, impairment and costly delays. These risks can be shared amongst the parties to give responsibilities for any probable risk e.g. who will recover the expenses of a development interruption. </w:t>
      </w:r>
      <w:r w:rsidR="007E5A29">
        <w:rPr>
          <w:rStyle w:val="hvr"/>
          <w:rFonts w:ascii="Arial" w:hAnsi="Arial" w:cs="Arial"/>
        </w:rPr>
        <w:t>It will share the risks between everyone involved in the project, such as owners, contractors and sub-contractors.</w:t>
      </w:r>
      <w:r w:rsidR="00E70877">
        <w:rPr>
          <w:rStyle w:val="hvr"/>
          <w:rFonts w:ascii="Arial" w:hAnsi="Arial" w:cs="Arial"/>
        </w:rPr>
        <w:t xml:space="preserve"> Each party should also agree in the contract who is best to take on which responsibility and risk, and whether they are able to handle the difficulties if any issues arise. </w:t>
      </w:r>
      <w:r w:rsidR="0057463A">
        <w:rPr>
          <w:rStyle w:val="hvr"/>
          <w:rFonts w:ascii="Arial" w:hAnsi="Arial" w:cs="Arial"/>
        </w:rPr>
        <w:t xml:space="preserve">This keeps control within the contract agreement, </w:t>
      </w:r>
      <w:r w:rsidR="00C253E9">
        <w:rPr>
          <w:rStyle w:val="hvr"/>
          <w:rFonts w:ascii="Arial" w:hAnsi="Arial" w:cs="Arial"/>
        </w:rPr>
        <w:t xml:space="preserve">along with the </w:t>
      </w:r>
      <w:r w:rsidR="0057463A">
        <w:rPr>
          <w:rStyle w:val="hvr"/>
          <w:rFonts w:ascii="Arial" w:hAnsi="Arial" w:cs="Arial"/>
        </w:rPr>
        <w:t xml:space="preserve">ability to keep a safe environment on the building site for all workers. </w:t>
      </w:r>
      <w:r w:rsidR="008C2D97">
        <w:rPr>
          <w:rStyle w:val="hvr"/>
          <w:rFonts w:ascii="Arial" w:hAnsi="Arial" w:cs="Arial"/>
        </w:rPr>
        <w:t>A construction</w:t>
      </w:r>
      <w:r w:rsidR="0057463A">
        <w:rPr>
          <w:rStyle w:val="hvr"/>
          <w:rFonts w:ascii="Arial" w:hAnsi="Arial" w:cs="Arial"/>
        </w:rPr>
        <w:t xml:space="preserve"> job for example could not be kept in the hands of the client </w:t>
      </w:r>
      <w:r w:rsidR="008C2D97">
        <w:rPr>
          <w:rStyle w:val="hvr"/>
          <w:rFonts w:ascii="Arial" w:hAnsi="Arial" w:cs="Arial"/>
        </w:rPr>
        <w:t xml:space="preserve">to take control of on site, </w:t>
      </w:r>
      <w:r w:rsidR="0057463A">
        <w:rPr>
          <w:rStyle w:val="hvr"/>
          <w:rFonts w:ascii="Arial" w:hAnsi="Arial" w:cs="Arial"/>
        </w:rPr>
        <w:t>as they will not be able to abide by health and safety regulations. The liability risk must also be covered in the contract for equipment, workers and employers. Insurance should also be taken out along with a contract to cover the cost of any damages</w:t>
      </w:r>
      <w:r w:rsidR="008C2D97">
        <w:rPr>
          <w:rStyle w:val="hvr"/>
          <w:rFonts w:ascii="Arial" w:hAnsi="Arial" w:cs="Arial"/>
        </w:rPr>
        <w:t xml:space="preserve"> and any other issues.</w:t>
      </w:r>
    </w:p>
    <w:p w14:paraId="7D5340AB" w14:textId="77777777" w:rsidR="008361A8" w:rsidRDefault="00E70877" w:rsidP="00B32A4E">
      <w:pPr>
        <w:rPr>
          <w:rStyle w:val="hvr"/>
          <w:rFonts w:ascii="Arial" w:hAnsi="Arial" w:cs="Arial"/>
        </w:rPr>
      </w:pPr>
      <w:r>
        <w:rPr>
          <w:rStyle w:val="hvr"/>
          <w:rFonts w:ascii="Arial" w:hAnsi="Arial" w:cs="Arial"/>
        </w:rPr>
        <w:t xml:space="preserve">If the contract is not set out for a project many issues could arise. A contractor may not complete a </w:t>
      </w:r>
      <w:r w:rsidR="008C2D97">
        <w:rPr>
          <w:rStyle w:val="hvr"/>
          <w:rFonts w:ascii="Arial" w:hAnsi="Arial" w:cs="Arial"/>
        </w:rPr>
        <w:t>development</w:t>
      </w:r>
      <w:r>
        <w:rPr>
          <w:rStyle w:val="hvr"/>
          <w:rFonts w:ascii="Arial" w:hAnsi="Arial" w:cs="Arial"/>
        </w:rPr>
        <w:t xml:space="preserve"> in time for the client as a specific date was not set to follow by, along with the client not paying the contractor on time, leaving them not able to pay employees as there was not a contract in place to outline these agreements. This is a large element of risk as it can lead to parties suing each other and expenses developed in court</w:t>
      </w:r>
      <w:r w:rsidR="008C2D97">
        <w:rPr>
          <w:rStyle w:val="hvr"/>
          <w:rFonts w:ascii="Arial" w:hAnsi="Arial" w:cs="Arial"/>
        </w:rPr>
        <w:t xml:space="preserve"> to pursue this</w:t>
      </w:r>
      <w:r>
        <w:rPr>
          <w:rStyle w:val="hvr"/>
          <w:rFonts w:ascii="Arial" w:hAnsi="Arial" w:cs="Arial"/>
        </w:rPr>
        <w:t xml:space="preserve">. Projects also involve expensive equipment to complete tasks, which if damaged and used longer than first set out can cause further dispute as a contract was not written and set out between any of the parties. </w:t>
      </w:r>
    </w:p>
    <w:p w14:paraId="7DE4E83A" w14:textId="77777777" w:rsidR="003C0263" w:rsidRDefault="003C0263" w:rsidP="00B32A4E">
      <w:pPr>
        <w:rPr>
          <w:rFonts w:ascii="Arial" w:hAnsi="Arial" w:cs="Arial"/>
          <w:lang w:val="en"/>
        </w:rPr>
      </w:pPr>
      <w:r>
        <w:rPr>
          <w:rStyle w:val="hvr"/>
          <w:rFonts w:ascii="Arial" w:hAnsi="Arial" w:cs="Arial"/>
        </w:rPr>
        <w:t xml:space="preserve">In 2011, </w:t>
      </w:r>
      <w:r w:rsidR="00646B3C">
        <w:rPr>
          <w:rStyle w:val="hvr"/>
          <w:rFonts w:ascii="Arial" w:hAnsi="Arial" w:cs="Arial"/>
        </w:rPr>
        <w:t>an</w:t>
      </w:r>
      <w:r>
        <w:rPr>
          <w:rStyle w:val="hvr"/>
          <w:rFonts w:ascii="Arial" w:hAnsi="Arial" w:cs="Arial"/>
        </w:rPr>
        <w:t xml:space="preserve"> amendment</w:t>
      </w:r>
      <w:r w:rsidR="00646B3C">
        <w:rPr>
          <w:rStyle w:val="hvr"/>
          <w:rFonts w:ascii="Arial" w:hAnsi="Arial" w:cs="Arial"/>
        </w:rPr>
        <w:t xml:space="preserve"> to The Local Democracy, Economic Development and Construction Act 2009 was made affecting construction contracts. The act specifies that contracts can be made completely written, partially written or completely verbal. The law advices </w:t>
      </w:r>
      <w:r w:rsidR="005B14DD">
        <w:rPr>
          <w:rStyle w:val="hvr"/>
          <w:rFonts w:ascii="Arial" w:hAnsi="Arial" w:cs="Arial"/>
        </w:rPr>
        <w:t xml:space="preserve">parties to </w:t>
      </w:r>
      <w:r w:rsidR="005B14DD">
        <w:rPr>
          <w:rStyle w:val="hvr"/>
          <w:rFonts w:ascii="Arial" w:hAnsi="Arial" w:cs="Arial"/>
        </w:rPr>
        <w:lastRenderedPageBreak/>
        <w:t xml:space="preserve">complete a contract written rather than orally, this is to produce a more reliable contract to work with. This avoids confusion between parties and </w:t>
      </w:r>
      <w:r w:rsidR="00691E73">
        <w:rPr>
          <w:rStyle w:val="hvr"/>
          <w:rFonts w:ascii="Arial" w:hAnsi="Arial" w:cs="Arial"/>
        </w:rPr>
        <w:t>a specification to follow. This is also encouraged by RICS, as their advice outlines that they “</w:t>
      </w:r>
      <w:r w:rsidR="00691E73" w:rsidRPr="00691E73">
        <w:rPr>
          <w:rFonts w:ascii="Arial" w:hAnsi="Arial" w:cs="Arial"/>
          <w:i/>
          <w:lang w:val="en"/>
        </w:rPr>
        <w:t>publish mandatory and advisory practice statements, codes of practice and guidance notes which embody best practice and advise our members on all niches of surveying practice. Our members must adhere to these standards many of which relate to building contracts.</w:t>
      </w:r>
      <w:r w:rsidR="00691E73">
        <w:rPr>
          <w:rFonts w:ascii="Arial" w:hAnsi="Arial" w:cs="Arial"/>
          <w:i/>
          <w:lang w:val="en"/>
        </w:rPr>
        <w:t xml:space="preserve">” </w:t>
      </w:r>
      <w:r w:rsidR="00691E73">
        <w:rPr>
          <w:rFonts w:ascii="Arial" w:hAnsi="Arial" w:cs="Arial"/>
          <w:lang w:val="en"/>
        </w:rPr>
        <w:t xml:space="preserve">(RICS). </w:t>
      </w:r>
    </w:p>
    <w:p w14:paraId="51ADE44B" w14:textId="001C0ED8" w:rsidR="00691E73" w:rsidRDefault="00B03126" w:rsidP="00B32A4E">
      <w:pPr>
        <w:rPr>
          <w:rStyle w:val="hvr"/>
          <w:rFonts w:ascii="Arial" w:hAnsi="Arial" w:cs="Arial"/>
        </w:rPr>
      </w:pPr>
      <w:r>
        <w:rPr>
          <w:rStyle w:val="hvr"/>
          <w:rFonts w:ascii="Arial" w:hAnsi="Arial" w:cs="Arial"/>
        </w:rPr>
        <w:t>A case example to where confusion between parties creating a contract to summarise an agreement is Parker V Clark 1960, as they hadn’t created a legal contract of agreement on paper but had only spoken of an arrangement. The Clarks, a married couple and aunt of Mrs Parker, had arranged that the Parker couple were to move in and sell their own home and would receive the given house as part of their inheritance. However, the Clarks were no longer happy with this arrangement and wanted them to move out. The Parkers then took this to court as they had sold their house on the conditions that they’d receive the Clark’s house. As this ‘contract’ was not meant to create a legal relation with the Parkers, in the eyes of the Clarks they denied this spoken agreement, or ‘contract’ existed. Nevertheless, the Parkers won the court battle and letters passes back and forth from both parties gave the impression that the Clarks wanted to be legally involved with the Parkers, as they’d leave the house in their possession once they passed away, but broken their promise and necessarily leaving the Parkers homeless. If a written contract had been agreed between the two couples, then the issues which had arisen would not have existed. They contract could have been amended if they were not happy with the living agreement as both parties would have to agree to the changes of the legal relation. Although there was no initial legal relation between the parties the case was not able to satisfy The Law of Property Act 1925</w:t>
      </w:r>
      <w:r w:rsidR="0007645E">
        <w:rPr>
          <w:rStyle w:val="hvr"/>
          <w:rFonts w:ascii="Arial" w:hAnsi="Arial" w:cs="Arial"/>
        </w:rPr>
        <w:t xml:space="preserve">, however the Parkers received the damages due to the circumstances of the letters. </w:t>
      </w:r>
    </w:p>
    <w:p w14:paraId="6C2220CC" w14:textId="7BFE1447" w:rsidR="004A3E9A" w:rsidRDefault="00AF68AB" w:rsidP="00B32A4E">
      <w:pPr>
        <w:rPr>
          <w:rFonts w:ascii="Arial" w:hAnsi="Arial" w:cs="Arial"/>
          <w:color w:val="000000"/>
        </w:rPr>
      </w:pPr>
      <w:r>
        <w:rPr>
          <w:rStyle w:val="hvr"/>
          <w:rFonts w:ascii="Arial" w:hAnsi="Arial" w:cs="Arial"/>
        </w:rPr>
        <w:t>During many construction projects</w:t>
      </w:r>
      <w:r w:rsidR="00A25744">
        <w:rPr>
          <w:rStyle w:val="hvr"/>
          <w:rFonts w:ascii="Arial" w:hAnsi="Arial" w:cs="Arial"/>
        </w:rPr>
        <w:t xml:space="preserve"> issues do arise, such as </w:t>
      </w:r>
      <w:r w:rsidR="00284518">
        <w:rPr>
          <w:rStyle w:val="hvr"/>
          <w:rFonts w:ascii="Arial" w:hAnsi="Arial" w:cs="Arial"/>
        </w:rPr>
        <w:t>robbery</w:t>
      </w:r>
      <w:r w:rsidR="00A25744">
        <w:rPr>
          <w:rStyle w:val="hvr"/>
          <w:rFonts w:ascii="Arial" w:hAnsi="Arial" w:cs="Arial"/>
        </w:rPr>
        <w:t>, trespassing and injuries. In this case</w:t>
      </w:r>
      <w:r w:rsidR="00284518">
        <w:rPr>
          <w:rStyle w:val="hvr"/>
          <w:rFonts w:ascii="Arial" w:hAnsi="Arial" w:cs="Arial"/>
        </w:rPr>
        <w:t xml:space="preserve">, where a person would enter a site and disturb, </w:t>
      </w:r>
      <w:r w:rsidR="002415CF">
        <w:rPr>
          <w:rStyle w:val="hvr"/>
          <w:rFonts w:ascii="Arial" w:hAnsi="Arial" w:cs="Arial"/>
        </w:rPr>
        <w:t>damage,</w:t>
      </w:r>
      <w:r w:rsidR="00284518">
        <w:rPr>
          <w:rStyle w:val="hvr"/>
          <w:rFonts w:ascii="Arial" w:hAnsi="Arial" w:cs="Arial"/>
        </w:rPr>
        <w:t xml:space="preserve"> and remove materials, </w:t>
      </w:r>
      <w:r w:rsidR="004A3E9A">
        <w:rPr>
          <w:rStyle w:val="hvr"/>
          <w:rFonts w:ascii="Arial" w:hAnsi="Arial" w:cs="Arial"/>
        </w:rPr>
        <w:t>The Criminal Damage Act 1971 can try them</w:t>
      </w:r>
      <w:r w:rsidR="00284518">
        <w:rPr>
          <w:rStyle w:val="hvr"/>
          <w:rFonts w:ascii="Arial" w:hAnsi="Arial" w:cs="Arial"/>
        </w:rPr>
        <w:t>. This “</w:t>
      </w:r>
      <w:r w:rsidR="00284518" w:rsidRPr="00284518">
        <w:rPr>
          <w:rFonts w:ascii="Arial" w:hAnsi="Arial" w:cs="Arial"/>
          <w:i/>
          <w:color w:val="000000"/>
        </w:rPr>
        <w:t>provides that a person is guilty of criminal damage if they intentionally or recklessly destroy or damage property belonging to another without lawful excuse.</w:t>
      </w:r>
      <w:r w:rsidR="00284518">
        <w:rPr>
          <w:rFonts w:ascii="Arial" w:hAnsi="Arial" w:cs="Arial"/>
          <w:i/>
          <w:color w:val="000000"/>
        </w:rPr>
        <w:t>”</w:t>
      </w:r>
      <w:r w:rsidR="00284518">
        <w:rPr>
          <w:rFonts w:ascii="Arial" w:hAnsi="Arial" w:cs="Arial"/>
          <w:color w:val="000000"/>
        </w:rPr>
        <w:t xml:space="preserve"> (E-Law). The Actus Reus </w:t>
      </w:r>
      <w:r w:rsidR="0030524F">
        <w:rPr>
          <w:rFonts w:ascii="Arial" w:hAnsi="Arial" w:cs="Arial"/>
          <w:color w:val="000000"/>
        </w:rPr>
        <w:t xml:space="preserve">of simple criminal damage </w:t>
      </w:r>
      <w:r w:rsidR="00284518">
        <w:rPr>
          <w:rFonts w:ascii="Arial" w:hAnsi="Arial" w:cs="Arial"/>
          <w:color w:val="000000"/>
        </w:rPr>
        <w:t xml:space="preserve">consist of three matters, these being destroy or damage, </w:t>
      </w:r>
      <w:r w:rsidR="0030524F">
        <w:rPr>
          <w:rFonts w:ascii="Arial" w:hAnsi="Arial" w:cs="Arial"/>
          <w:color w:val="000000"/>
        </w:rPr>
        <w:t>belonging to another and property. A liability of damage must be crea</w:t>
      </w:r>
      <w:r w:rsidR="004A3E9A">
        <w:rPr>
          <w:rFonts w:ascii="Arial" w:hAnsi="Arial" w:cs="Arial"/>
          <w:color w:val="000000"/>
        </w:rPr>
        <w:t>ted, however there is no definition of what the damage must be, likewise with destroy. Previous cases would be used to compare what the ‘definition’ of damage is if there is a loss. On a construction site they should be taking precautions to limit the risk of this happening with items such as warning signs and CCTV cameras, which can help to find out who would have caused the damage as there would need to be evidence provided to tackle someone with The Criminal Damage Act 1971. By the Actus Reus, property is included being tangible land or buildings, money</w:t>
      </w:r>
      <w:r w:rsidR="00AF6C01">
        <w:rPr>
          <w:rFonts w:ascii="Arial" w:hAnsi="Arial" w:cs="Arial"/>
          <w:color w:val="000000"/>
        </w:rPr>
        <w:t>,</w:t>
      </w:r>
      <w:r w:rsidR="004A3E9A">
        <w:rPr>
          <w:rFonts w:ascii="Arial" w:hAnsi="Arial" w:cs="Arial"/>
          <w:color w:val="000000"/>
        </w:rPr>
        <w:t xml:space="preserve"> and tamed pets. While if it belongs to another, can still try if you have custody and control over a property e.g. renting. </w:t>
      </w:r>
      <w:r w:rsidR="00AF6C01">
        <w:rPr>
          <w:rFonts w:ascii="Arial" w:hAnsi="Arial" w:cs="Arial"/>
          <w:color w:val="000000"/>
        </w:rPr>
        <w:t>There are different stages of criminal damage, depending on the extremity of the damage. If a topic like arson was apparent, then this would no longer be simple criminal damage, but now be aggravated criminal damage. This will carry a higher charge and longer prison sentences.</w:t>
      </w:r>
    </w:p>
    <w:p w14:paraId="67379755" w14:textId="33BA64A7" w:rsidR="00E80F80" w:rsidRDefault="004A3E9A" w:rsidP="00B32A4E">
      <w:pPr>
        <w:rPr>
          <w:rFonts w:ascii="Arial" w:hAnsi="Arial" w:cs="Arial"/>
          <w:color w:val="000000"/>
        </w:rPr>
      </w:pPr>
      <w:r>
        <w:rPr>
          <w:rFonts w:ascii="Arial" w:hAnsi="Arial" w:cs="Arial"/>
          <w:color w:val="000000"/>
        </w:rPr>
        <w:t xml:space="preserve">While someone could be </w:t>
      </w:r>
      <w:r w:rsidR="00E80F80">
        <w:rPr>
          <w:rFonts w:ascii="Arial" w:hAnsi="Arial" w:cs="Arial"/>
          <w:color w:val="000000"/>
        </w:rPr>
        <w:t>intruding</w:t>
      </w:r>
      <w:r>
        <w:rPr>
          <w:rFonts w:ascii="Arial" w:hAnsi="Arial" w:cs="Arial"/>
          <w:color w:val="000000"/>
        </w:rPr>
        <w:t xml:space="preserve"> and breaking laws, they can still sue for a cause of injury while they themselves have no right to be on a specific piece of land, or construction site.</w:t>
      </w:r>
      <w:r w:rsidR="00AF6C01">
        <w:rPr>
          <w:rFonts w:ascii="Arial" w:hAnsi="Arial" w:cs="Arial"/>
          <w:color w:val="000000"/>
        </w:rPr>
        <w:t xml:space="preserve"> The law of tort now becomes apparent. </w:t>
      </w:r>
      <w:r w:rsidR="00E80F80">
        <w:rPr>
          <w:rFonts w:ascii="Arial" w:hAnsi="Arial" w:cs="Arial"/>
          <w:color w:val="000000"/>
        </w:rPr>
        <w:t>A tort is a civil wrong; a misconduct against another party (plaintiff) who can they take civil action against the tortfeasor. The tortfeasor has somehow been negligent in some way, which has resulted in the plaintiff to become injured. For the tort to stand, the tortfeasor must have had a responsibility to have a duty of care, the plaintiff must be injured and prove than the tortfeasor did not act with the care that was supposed to be provided. There are torts including intentional torts, strict liability torts and negligence torts. For the case that someone would trespass and result injury, the negligence tort would be applicable to this issue. The plaintiff must prove that the tortfeasor did not act in a reasonable manner which was owed to the plaintiff which then resulted in injury. This tort was established in 1932, after the Donoghue V Stevenson (1932)</w:t>
      </w:r>
      <w:r w:rsidR="001847DE">
        <w:rPr>
          <w:rFonts w:ascii="Arial" w:hAnsi="Arial" w:cs="Arial"/>
          <w:color w:val="000000"/>
        </w:rPr>
        <w:t xml:space="preserve">. This case proved that Donoghue was expected to be given a duty of care while drinking a canned drink from the manufacturer Stevenson. Donoghue purchased a ginger beer which had been containing a decomposed snail, which later brought her to become ill. Stevenson had a duty of care owed to customers to expect not to find snails in their drinks, or to even not become ill from consuming the drink. From this case the tort of negligence was established as the tortfeasor is to uphold the duty of care and not breach this by injuring the plaintiff or becoming ill. </w:t>
      </w:r>
      <w:r w:rsidR="00005A6E">
        <w:rPr>
          <w:rFonts w:ascii="Arial" w:hAnsi="Arial" w:cs="Arial"/>
          <w:color w:val="000000"/>
        </w:rPr>
        <w:t>On the construction site, the trespasser must be warned of any dangers which they may come across while breaking in</w:t>
      </w:r>
      <w:r w:rsidR="009040B0">
        <w:rPr>
          <w:rFonts w:ascii="Arial" w:hAnsi="Arial" w:cs="Arial"/>
          <w:color w:val="000000"/>
        </w:rPr>
        <w:t>, for example electrical warnings, holes in the ground, risk of falling and equipment.</w:t>
      </w:r>
      <w:r w:rsidR="00005A6E">
        <w:rPr>
          <w:rFonts w:ascii="Arial" w:hAnsi="Arial" w:cs="Arial"/>
          <w:color w:val="000000"/>
        </w:rPr>
        <w:t xml:space="preserve"> </w:t>
      </w:r>
      <w:r w:rsidR="009040B0">
        <w:rPr>
          <w:rFonts w:ascii="Arial" w:hAnsi="Arial" w:cs="Arial"/>
          <w:color w:val="000000"/>
        </w:rPr>
        <w:t>T</w:t>
      </w:r>
      <w:r w:rsidR="00005A6E">
        <w:rPr>
          <w:rFonts w:ascii="Arial" w:hAnsi="Arial" w:cs="Arial"/>
          <w:color w:val="000000"/>
        </w:rPr>
        <w:t xml:space="preserve">he duty of care which the site holds is that it shouldn’t injure </w:t>
      </w:r>
      <w:r w:rsidR="009040B0">
        <w:rPr>
          <w:rFonts w:ascii="Arial" w:hAnsi="Arial" w:cs="Arial"/>
          <w:color w:val="000000"/>
        </w:rPr>
        <w:t xml:space="preserve">anybody, whether they’re breaking in or not. The negligence can result in a monetary compensation for the injuries caused for any person on site who was injured without warning. If the injuries are more extreme, leading to death, the defendant would no longer be paying out a compensation for this but can be paying time in prison for man slaughter. </w:t>
      </w:r>
    </w:p>
    <w:p w14:paraId="10B42F91" w14:textId="4ECDEC5A" w:rsidR="009040B0" w:rsidRDefault="009040B0" w:rsidP="00B32A4E">
      <w:pPr>
        <w:rPr>
          <w:rStyle w:val="hvr"/>
          <w:rFonts w:ascii="Arial" w:hAnsi="Arial" w:cs="Arial"/>
          <w:color w:val="000000"/>
        </w:rPr>
      </w:pPr>
      <w:r>
        <w:rPr>
          <w:rStyle w:val="hvr"/>
          <w:rFonts w:ascii="Arial" w:hAnsi="Arial" w:cs="Arial"/>
          <w:color w:val="000000"/>
        </w:rPr>
        <w:t xml:space="preserve">While constructing a project there are items which must be wasted correctly. Failure to do so can result in committing an offence, leading to fines or prosecution. Burning commercial waste is not the correct procedure to take to dispose of these items. This can contribute to pollution, </w:t>
      </w:r>
      <w:r w:rsidR="00477D1E">
        <w:rPr>
          <w:rStyle w:val="hvr"/>
          <w:rFonts w:ascii="Arial" w:hAnsi="Arial" w:cs="Arial"/>
          <w:color w:val="000000"/>
        </w:rPr>
        <w:t xml:space="preserve">damaging health effects, and complaints from the surrounding area. Burning waste can result in breaking multiple laws, such as the Environmental Protection Act 1990 and the Clean Air Act 1993. The smoke given from these fires is an offence and can incur fines of £20000 for each offence. Industrial waste such as insulation materials and plastic must be disposed of correctly. An exemption to this is burning small amounts of waste in an incinerator, including off cuts of wood, untreated wood and to only burn up to 50 kilos an hour. For the ability to burn any other type of materials you must have approval for the exemption. Most burning within the open is not allowed, however there is an exemption to this. Small amounts of tree trimmings or branches can be burnt within the open, although treated wood and other types of waste is not allowed. </w:t>
      </w:r>
      <w:r w:rsidR="00334327">
        <w:rPr>
          <w:rStyle w:val="hvr"/>
          <w:rFonts w:ascii="Arial" w:hAnsi="Arial" w:cs="Arial"/>
          <w:color w:val="000000"/>
        </w:rPr>
        <w:t>“</w:t>
      </w:r>
      <w:r w:rsidR="00334327" w:rsidRPr="00334327">
        <w:rPr>
          <w:rStyle w:val="hvr"/>
          <w:rFonts w:ascii="Arial" w:hAnsi="Arial" w:cs="Arial"/>
          <w:i/>
          <w:color w:val="000000"/>
        </w:rPr>
        <w:t xml:space="preserve">It is possible to burn certain types of material if it is properly controlled so that it does not cause a problem. These activities are controlled and regulated through permits and exemptions issued by the Environment Agency and the city council. If such material is burnt without a required permit or </w:t>
      </w:r>
      <w:proofErr w:type="gramStart"/>
      <w:r w:rsidR="00334327" w:rsidRPr="00334327">
        <w:rPr>
          <w:rStyle w:val="hvr"/>
          <w:rFonts w:ascii="Arial" w:hAnsi="Arial" w:cs="Arial"/>
          <w:i/>
          <w:color w:val="000000"/>
        </w:rPr>
        <w:t>exemption</w:t>
      </w:r>
      <w:proofErr w:type="gramEnd"/>
      <w:r w:rsidR="00334327" w:rsidRPr="00334327">
        <w:rPr>
          <w:rStyle w:val="hvr"/>
          <w:rFonts w:ascii="Arial" w:hAnsi="Arial" w:cs="Arial"/>
          <w:i/>
          <w:color w:val="000000"/>
        </w:rPr>
        <w:t xml:space="preserve"> then on conviction in the Crown Court the potential fine is unlimited and/or up to five years imprisonment</w:t>
      </w:r>
      <w:r w:rsidR="00334327">
        <w:rPr>
          <w:rStyle w:val="hvr"/>
          <w:rFonts w:ascii="Arial" w:hAnsi="Arial" w:cs="Arial"/>
          <w:i/>
          <w:color w:val="000000"/>
        </w:rPr>
        <w:t>”</w:t>
      </w:r>
      <w:r w:rsidR="00334327">
        <w:rPr>
          <w:rStyle w:val="hvr"/>
          <w:rFonts w:ascii="Arial" w:hAnsi="Arial" w:cs="Arial"/>
          <w:color w:val="000000"/>
        </w:rPr>
        <w:t xml:space="preserve"> (Lancaster Council). </w:t>
      </w:r>
      <w:r w:rsidR="00477D1E">
        <w:rPr>
          <w:rStyle w:val="hvr"/>
          <w:rFonts w:ascii="Arial" w:hAnsi="Arial" w:cs="Arial"/>
          <w:color w:val="000000"/>
        </w:rPr>
        <w:t xml:space="preserve">There is a limit of 10 tonnes within 24 hours </w:t>
      </w:r>
      <w:r w:rsidR="00334327">
        <w:rPr>
          <w:rStyle w:val="hvr"/>
          <w:rFonts w:ascii="Arial" w:hAnsi="Arial" w:cs="Arial"/>
          <w:color w:val="000000"/>
        </w:rPr>
        <w:t>which can</w:t>
      </w:r>
      <w:r w:rsidR="00477D1E">
        <w:rPr>
          <w:rStyle w:val="hvr"/>
          <w:rFonts w:ascii="Arial" w:hAnsi="Arial" w:cs="Arial"/>
          <w:color w:val="000000"/>
        </w:rPr>
        <w:t xml:space="preserve"> be burnt</w:t>
      </w:r>
      <w:r w:rsidR="00334327">
        <w:rPr>
          <w:rStyle w:val="hvr"/>
          <w:rFonts w:ascii="Arial" w:hAnsi="Arial" w:cs="Arial"/>
          <w:color w:val="000000"/>
        </w:rPr>
        <w:t xml:space="preserve">, along with the condition that it will be burnt on open land without causing a nuisance to neighbouring buildings and people. </w:t>
      </w:r>
    </w:p>
    <w:p w14:paraId="4CF122CB" w14:textId="1BA25479" w:rsidR="009D1CB2" w:rsidRDefault="00334327" w:rsidP="00B32A4E">
      <w:pPr>
        <w:rPr>
          <w:rStyle w:val="hvr"/>
          <w:rFonts w:ascii="Arial" w:hAnsi="Arial" w:cs="Arial"/>
          <w:color w:val="000000"/>
        </w:rPr>
      </w:pPr>
      <w:r>
        <w:rPr>
          <w:rStyle w:val="hvr"/>
          <w:rFonts w:ascii="Arial" w:hAnsi="Arial" w:cs="Arial"/>
          <w:color w:val="000000"/>
        </w:rPr>
        <w:t xml:space="preserve">Construction sites have a tight and strict set of laws, before, during and after a project is completed. </w:t>
      </w:r>
      <w:r w:rsidR="00501C22">
        <w:rPr>
          <w:rStyle w:val="hvr"/>
          <w:rFonts w:ascii="Arial" w:hAnsi="Arial" w:cs="Arial"/>
          <w:color w:val="000000"/>
        </w:rPr>
        <w:t xml:space="preserve">From the start of contracts, payments, and employments, each risk possible needs to be covered. </w:t>
      </w:r>
      <w:r>
        <w:rPr>
          <w:rStyle w:val="hvr"/>
          <w:rFonts w:ascii="Arial" w:hAnsi="Arial" w:cs="Arial"/>
          <w:color w:val="000000"/>
        </w:rPr>
        <w:t>It is all to keep people safe from injuries or death, the environment safe from pollution and disturbances</w:t>
      </w:r>
      <w:r w:rsidR="00501C22">
        <w:rPr>
          <w:rStyle w:val="hvr"/>
          <w:rFonts w:ascii="Arial" w:hAnsi="Arial" w:cs="Arial"/>
          <w:color w:val="000000"/>
        </w:rPr>
        <w:t xml:space="preserve"> and risk of losing money of course.</w:t>
      </w:r>
      <w:r>
        <w:rPr>
          <w:rStyle w:val="hvr"/>
          <w:rFonts w:ascii="Arial" w:hAnsi="Arial" w:cs="Arial"/>
          <w:color w:val="000000"/>
        </w:rPr>
        <w:t xml:space="preserve"> As many people break these laws and result in large fines, even imprisonment, it is a simple path to follow to keep </w:t>
      </w:r>
      <w:r w:rsidR="00501C22">
        <w:rPr>
          <w:rStyle w:val="hvr"/>
          <w:rFonts w:ascii="Arial" w:hAnsi="Arial" w:cs="Arial"/>
          <w:color w:val="000000"/>
        </w:rPr>
        <w:t>in line with laws only there to protect the mistakes which many other people make on construction sites.</w:t>
      </w:r>
    </w:p>
    <w:p w14:paraId="3D8F6040" w14:textId="77777777" w:rsidR="009D1CB2" w:rsidRDefault="009D1CB2">
      <w:pPr>
        <w:rPr>
          <w:rStyle w:val="hvr"/>
          <w:rFonts w:ascii="Arial" w:hAnsi="Arial" w:cs="Arial"/>
          <w:color w:val="000000"/>
        </w:rPr>
      </w:pPr>
      <w:r>
        <w:rPr>
          <w:rStyle w:val="hvr"/>
          <w:rFonts w:ascii="Arial" w:hAnsi="Arial" w:cs="Arial"/>
          <w:color w:val="000000"/>
        </w:rPr>
        <w:br w:type="page"/>
      </w:r>
    </w:p>
    <w:p w14:paraId="78A39528" w14:textId="77777777" w:rsidR="001855F5" w:rsidRDefault="001855F5" w:rsidP="001855F5">
      <w:pPr>
        <w:rPr>
          <w:rFonts w:ascii="Arial" w:hAnsi="Arial" w:cs="Arial"/>
          <w:u w:val="single"/>
        </w:rPr>
      </w:pPr>
      <w:r w:rsidRPr="00BB724A">
        <w:rPr>
          <w:rFonts w:ascii="Arial" w:hAnsi="Arial" w:cs="Arial"/>
          <w:u w:val="single"/>
        </w:rPr>
        <w:t>References</w:t>
      </w:r>
    </w:p>
    <w:p w14:paraId="369E286D" w14:textId="77777777" w:rsidR="001855F5" w:rsidRDefault="001855F5" w:rsidP="001855F5">
      <w:pPr>
        <w:pStyle w:val="ListParagraph"/>
        <w:numPr>
          <w:ilvl w:val="0"/>
          <w:numId w:val="1"/>
        </w:numPr>
        <w:rPr>
          <w:rFonts w:ascii="Arial" w:hAnsi="Arial" w:cs="Arial"/>
        </w:rPr>
      </w:pPr>
      <w:hyperlink r:id="rId7" w:history="1">
        <w:r w:rsidRPr="00A05E62">
          <w:rPr>
            <w:rStyle w:val="Hyperlink"/>
            <w:rFonts w:ascii="Arial" w:hAnsi="Arial" w:cs="Arial"/>
          </w:rPr>
          <w:t>www.legal-dictionary.thefreedictionary.com/contract</w:t>
        </w:r>
      </w:hyperlink>
    </w:p>
    <w:p w14:paraId="6C81B20A" w14:textId="77777777" w:rsidR="001855F5" w:rsidRDefault="001855F5" w:rsidP="001855F5">
      <w:pPr>
        <w:pStyle w:val="ListParagraph"/>
        <w:numPr>
          <w:ilvl w:val="0"/>
          <w:numId w:val="1"/>
        </w:numPr>
        <w:rPr>
          <w:rFonts w:ascii="Arial" w:hAnsi="Arial" w:cs="Arial"/>
        </w:rPr>
      </w:pPr>
      <w:hyperlink r:id="rId8" w:history="1">
        <w:r w:rsidRPr="00A05E62">
          <w:rPr>
            <w:rStyle w:val="Hyperlink"/>
            <w:rFonts w:ascii="Arial" w:hAnsi="Arial" w:cs="Arial"/>
          </w:rPr>
          <w:t>www.rics.org/uk/knowledge/glossary/building-contracts-in-the-uk/</w:t>
        </w:r>
      </w:hyperlink>
    </w:p>
    <w:p w14:paraId="46981EAC" w14:textId="77777777" w:rsidR="001855F5" w:rsidRDefault="001855F5" w:rsidP="001855F5">
      <w:pPr>
        <w:pStyle w:val="ListParagraph"/>
        <w:numPr>
          <w:ilvl w:val="0"/>
          <w:numId w:val="1"/>
        </w:numPr>
        <w:rPr>
          <w:rFonts w:ascii="Arial" w:hAnsi="Arial" w:cs="Arial"/>
        </w:rPr>
      </w:pPr>
      <w:hyperlink r:id="rId9" w:history="1">
        <w:r w:rsidRPr="00D74D0C">
          <w:rPr>
            <w:rStyle w:val="Hyperlink"/>
            <w:rFonts w:ascii="Arial" w:hAnsi="Arial" w:cs="Arial"/>
          </w:rPr>
          <w:t>http://e-lawresources.co.uk/Criminal-Damage.php</w:t>
        </w:r>
      </w:hyperlink>
    </w:p>
    <w:p w14:paraId="54DD7BD5" w14:textId="77777777" w:rsidR="001855F5" w:rsidRDefault="001855F5" w:rsidP="001855F5">
      <w:pPr>
        <w:pStyle w:val="ListParagraph"/>
        <w:numPr>
          <w:ilvl w:val="0"/>
          <w:numId w:val="1"/>
        </w:numPr>
        <w:rPr>
          <w:rFonts w:ascii="Arial" w:hAnsi="Arial" w:cs="Arial"/>
        </w:rPr>
      </w:pPr>
      <w:hyperlink r:id="rId10" w:history="1">
        <w:r w:rsidRPr="00D74D0C">
          <w:rPr>
            <w:rStyle w:val="Hyperlink"/>
            <w:rFonts w:ascii="Arial" w:hAnsi="Arial" w:cs="Arial"/>
          </w:rPr>
          <w:t>file:///C:/Users/betha/Downloads/Burning-waste-factsheet.pdf</w:t>
        </w:r>
      </w:hyperlink>
    </w:p>
    <w:p w14:paraId="0D3093CA" w14:textId="77777777" w:rsidR="00334327" w:rsidRPr="00334327" w:rsidRDefault="00334327" w:rsidP="00B32A4E">
      <w:pPr>
        <w:rPr>
          <w:rStyle w:val="hvr"/>
          <w:rFonts w:ascii="Arial" w:hAnsi="Arial" w:cs="Arial"/>
          <w:color w:val="000000"/>
        </w:rPr>
      </w:pPr>
    </w:p>
    <w:p w14:paraId="171BE864" w14:textId="77777777" w:rsidR="00437794" w:rsidRPr="00BC26E8" w:rsidRDefault="00437794" w:rsidP="00B32A4E">
      <w:pPr>
        <w:rPr>
          <w:rFonts w:ascii="Arial" w:hAnsi="Arial" w:cs="Arial"/>
        </w:rPr>
      </w:pPr>
    </w:p>
    <w:sectPr w:rsidR="00437794" w:rsidRPr="00BC26E8">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6B57D0" w14:textId="77777777" w:rsidR="00B32A4E" w:rsidRDefault="00B32A4E" w:rsidP="00B32A4E">
      <w:pPr>
        <w:spacing w:after="0" w:line="240" w:lineRule="auto"/>
      </w:pPr>
      <w:r>
        <w:separator/>
      </w:r>
    </w:p>
  </w:endnote>
  <w:endnote w:type="continuationSeparator" w:id="0">
    <w:p w14:paraId="4DD85905" w14:textId="77777777" w:rsidR="00B32A4E" w:rsidRDefault="00B32A4E" w:rsidP="00B32A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AF0152" w14:textId="77777777" w:rsidR="00B32A4E" w:rsidRDefault="00B32A4E" w:rsidP="00B32A4E">
      <w:pPr>
        <w:spacing w:after="0" w:line="240" w:lineRule="auto"/>
      </w:pPr>
      <w:r>
        <w:separator/>
      </w:r>
    </w:p>
  </w:footnote>
  <w:footnote w:type="continuationSeparator" w:id="0">
    <w:p w14:paraId="6DC8BBBA" w14:textId="77777777" w:rsidR="00B32A4E" w:rsidRDefault="00B32A4E" w:rsidP="00B32A4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0EF853" w14:textId="77777777" w:rsidR="00B32A4E" w:rsidRDefault="00B32A4E">
    <w:pPr>
      <w:pStyle w:val="Header"/>
    </w:pPr>
    <w:r>
      <w:t>Bethan Stroud 1702210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2204002"/>
    <w:multiLevelType w:val="hybridMultilevel"/>
    <w:tmpl w:val="861430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32A4E"/>
    <w:rsid w:val="00005A6E"/>
    <w:rsid w:val="0007645E"/>
    <w:rsid w:val="001847DE"/>
    <w:rsid w:val="001855F5"/>
    <w:rsid w:val="002415CF"/>
    <w:rsid w:val="00284518"/>
    <w:rsid w:val="002B527A"/>
    <w:rsid w:val="0030524F"/>
    <w:rsid w:val="00334327"/>
    <w:rsid w:val="003C0263"/>
    <w:rsid w:val="003F0248"/>
    <w:rsid w:val="00437794"/>
    <w:rsid w:val="00477D1E"/>
    <w:rsid w:val="004A3E9A"/>
    <w:rsid w:val="00501C22"/>
    <w:rsid w:val="00514014"/>
    <w:rsid w:val="00551AD5"/>
    <w:rsid w:val="0057463A"/>
    <w:rsid w:val="005B14DD"/>
    <w:rsid w:val="006136C2"/>
    <w:rsid w:val="00646B3C"/>
    <w:rsid w:val="00691E73"/>
    <w:rsid w:val="00692572"/>
    <w:rsid w:val="007E5A29"/>
    <w:rsid w:val="008361A8"/>
    <w:rsid w:val="00842D76"/>
    <w:rsid w:val="008C1BBD"/>
    <w:rsid w:val="008C2D97"/>
    <w:rsid w:val="009040B0"/>
    <w:rsid w:val="00905BCF"/>
    <w:rsid w:val="009158EF"/>
    <w:rsid w:val="009D1CB2"/>
    <w:rsid w:val="00A25744"/>
    <w:rsid w:val="00AC31EF"/>
    <w:rsid w:val="00AF68AB"/>
    <w:rsid w:val="00AF6C01"/>
    <w:rsid w:val="00B03126"/>
    <w:rsid w:val="00B32A4E"/>
    <w:rsid w:val="00BC26E8"/>
    <w:rsid w:val="00C253E9"/>
    <w:rsid w:val="00E5108F"/>
    <w:rsid w:val="00E70877"/>
    <w:rsid w:val="00E80F80"/>
    <w:rsid w:val="00FC1D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D49590"/>
  <w15:chartTrackingRefBased/>
  <w15:docId w15:val="{F44626A3-5A13-42CC-B54B-AC4DFEE4F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32A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2A4E"/>
  </w:style>
  <w:style w:type="paragraph" w:styleId="Footer">
    <w:name w:val="footer"/>
    <w:basedOn w:val="Normal"/>
    <w:link w:val="FooterChar"/>
    <w:uiPriority w:val="99"/>
    <w:unhideWhenUsed/>
    <w:rsid w:val="00B32A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2A4E"/>
  </w:style>
  <w:style w:type="character" w:customStyle="1" w:styleId="hvr">
    <w:name w:val="hvr"/>
    <w:basedOn w:val="DefaultParagraphFont"/>
    <w:rsid w:val="00B32A4E"/>
  </w:style>
  <w:style w:type="paragraph" w:styleId="ListParagraph">
    <w:name w:val="List Paragraph"/>
    <w:basedOn w:val="Normal"/>
    <w:uiPriority w:val="34"/>
    <w:qFormat/>
    <w:rsid w:val="009D1CB2"/>
    <w:pPr>
      <w:ind w:left="720"/>
      <w:contextualSpacing/>
    </w:pPr>
  </w:style>
  <w:style w:type="character" w:styleId="Hyperlink">
    <w:name w:val="Hyperlink"/>
    <w:basedOn w:val="DefaultParagraphFont"/>
    <w:uiPriority w:val="99"/>
    <w:unhideWhenUsed/>
    <w:rsid w:val="009D1CB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rics.org/uk/knowledge/glossary/building-contracts-in-the-uk/"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legal-dictionary.thefreedictionary.com/contract"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file:///C:/Users/betha/Downloads/Burning-waste-factsheet.pdf" TargetMode="External"/><Relationship Id="rId4" Type="http://schemas.openxmlformats.org/officeDocument/2006/relationships/webSettings" Target="webSettings.xml"/><Relationship Id="rId9" Type="http://schemas.openxmlformats.org/officeDocument/2006/relationships/hyperlink" Target="http://e-lawresources.co.uk/Criminal-Damage.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1945</Words>
  <Characters>11089</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Lesley Stroud</dc:creator>
  <cp:keywords/>
  <dc:description/>
  <cp:lastModifiedBy>Bethan Stroud</cp:lastModifiedBy>
  <cp:revision>2</cp:revision>
  <dcterms:created xsi:type="dcterms:W3CDTF">2018-01-11T11:12:00Z</dcterms:created>
  <dcterms:modified xsi:type="dcterms:W3CDTF">2018-01-11T11:12:00Z</dcterms:modified>
</cp:coreProperties>
</file>