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FF54E2" w14:textId="3A398D29" w:rsidR="00FF026D" w:rsidRPr="00CD6BAA" w:rsidRDefault="00FF026D" w:rsidP="00CD6BAA">
      <w:pPr>
        <w:pStyle w:val="Heading1"/>
        <w:spacing w:line="240" w:lineRule="auto"/>
        <w:rPr>
          <w:rFonts w:asciiTheme="minorBidi" w:hAnsiTheme="minorBidi" w:cstheme="minorBidi"/>
          <w:sz w:val="24"/>
          <w:szCs w:val="24"/>
        </w:rPr>
      </w:pPr>
      <w:r w:rsidRPr="00CD6BAA">
        <w:rPr>
          <w:rFonts w:asciiTheme="minorBidi" w:hAnsiTheme="minorBidi" w:cstheme="minorBidi"/>
          <w:sz w:val="24"/>
          <w:szCs w:val="24"/>
        </w:rPr>
        <w:t>Excerpts from: Duchess of Atholl MP, Col. Rt. Hon. Josiah Wedgwood MP, Miss Eleanor Rathbone MP, ‘Memorandum on Female Slavery Within the Family’, 1932. (The National Archives, Kew FO 371/16305).</w:t>
      </w:r>
    </w:p>
    <w:p w14:paraId="0DD7973A" w14:textId="77777777" w:rsidR="00CD6BAA" w:rsidRPr="00CD6BAA" w:rsidRDefault="00CD6BAA" w:rsidP="00CD6BAA">
      <w:pPr>
        <w:spacing w:line="240" w:lineRule="auto"/>
        <w:jc w:val="both"/>
        <w:rPr>
          <w:rFonts w:asciiTheme="minorBidi" w:hAnsiTheme="minorBidi"/>
        </w:rPr>
      </w:pPr>
    </w:p>
    <w:p w14:paraId="65164249" w14:textId="0111402C" w:rsidR="00FF026D" w:rsidRPr="00CD6BAA" w:rsidRDefault="00FF026D" w:rsidP="00CD6BAA">
      <w:pPr>
        <w:spacing w:line="240" w:lineRule="auto"/>
        <w:jc w:val="both"/>
        <w:rPr>
          <w:rFonts w:asciiTheme="minorBidi" w:hAnsiTheme="minorBidi"/>
        </w:rPr>
      </w:pPr>
      <w:r w:rsidRPr="00CD6BAA">
        <w:rPr>
          <w:rFonts w:asciiTheme="minorBidi" w:hAnsiTheme="minorBidi"/>
        </w:rPr>
        <w:t xml:space="preserve">It is undeniable…that [the definition of Slavery under the Slavery Convention] would cover the status of persons over whom “all or any of the powers of ownership are exercised” by their own husbands, parents, brothers, etc…but that the status of wives and widows in some coloured tribes is, in the opinion of many persons with an intimate knowledge of the facts, customarily and actually one of, or closely analogous to slavery…and further, that it is accompanied by many of the evils usually associated </w:t>
      </w:r>
      <w:r w:rsidR="00CD6BAA" w:rsidRPr="00CD6BAA">
        <w:rPr>
          <w:rFonts w:asciiTheme="minorBidi" w:hAnsiTheme="minorBidi"/>
        </w:rPr>
        <w:t>with</w:t>
      </w:r>
      <w:r w:rsidRPr="00CD6BAA">
        <w:rPr>
          <w:rFonts w:asciiTheme="minorBidi" w:hAnsiTheme="minorBidi"/>
        </w:rPr>
        <w:t xml:space="preserve"> slavery.</w:t>
      </w:r>
    </w:p>
    <w:p w14:paraId="626B7241" w14:textId="4F3A401E" w:rsidR="00FF026D" w:rsidRPr="00FF026D" w:rsidRDefault="00FF026D" w:rsidP="00CD6BAA">
      <w:pPr>
        <w:spacing w:line="240" w:lineRule="auto"/>
        <w:jc w:val="both"/>
        <w:rPr>
          <w:rFonts w:asciiTheme="minorBidi" w:hAnsiTheme="minorBidi"/>
        </w:rPr>
      </w:pPr>
      <w:r w:rsidRPr="00FF026D">
        <w:rPr>
          <w:rFonts w:asciiTheme="minorBidi" w:hAnsiTheme="minorBidi"/>
        </w:rPr>
        <w:t>We do not ignore the difficulty and delicacy of interfering with customs, however injurious, which may have their roots in religious beliefs commanding the assent of the victims as well as of the oppressors. But assuming the evil to exist, the difficulty of combating it rather strengthens than weakens the case for its being investigated by a body which, by reason of its international character, can draw upon the resources of pooled experience, and is also less likely to be suspected of prejudice than one belonging wholly to a ruling or to a subject race</w:t>
      </w:r>
      <w:r w:rsidRPr="00CD6BAA">
        <w:rPr>
          <w:rFonts w:asciiTheme="minorBidi" w:hAnsiTheme="minorBidi"/>
        </w:rPr>
        <w:t>.</w:t>
      </w:r>
    </w:p>
    <w:p w14:paraId="4F0B07E5" w14:textId="2DFFC22B" w:rsidR="00FF026D" w:rsidRPr="00FF026D" w:rsidRDefault="00FF026D" w:rsidP="00CD6BAA">
      <w:pPr>
        <w:spacing w:line="240" w:lineRule="auto"/>
        <w:jc w:val="both"/>
        <w:rPr>
          <w:rFonts w:asciiTheme="minorBidi" w:hAnsiTheme="minorBidi"/>
        </w:rPr>
      </w:pPr>
      <w:r w:rsidRPr="00FF026D">
        <w:rPr>
          <w:rFonts w:asciiTheme="minorBidi" w:hAnsiTheme="minorBidi"/>
        </w:rPr>
        <w:t>The very fact that the evil is intimate and internal makes its consequences more subtle and far-reaching. While the usually acknowledged form of slavery may be compared to a blow from without – hurting, maiming, or killing the individuals it touches – the form we are considering resembles rather a germ which impregnates and enfeebles the system and is passed on from generation to generation</w:t>
      </w:r>
      <w:r w:rsidRPr="00CD6BAA">
        <w:rPr>
          <w:rFonts w:asciiTheme="minorBidi" w:hAnsiTheme="minorBidi"/>
        </w:rPr>
        <w:t>.</w:t>
      </w:r>
    </w:p>
    <w:p w14:paraId="753AC5B0" w14:textId="4FCBCE1B" w:rsidR="00FF026D" w:rsidRPr="00FF026D" w:rsidRDefault="00FF026D" w:rsidP="00CD6BAA">
      <w:pPr>
        <w:spacing w:line="240" w:lineRule="auto"/>
        <w:jc w:val="both"/>
        <w:rPr>
          <w:rFonts w:asciiTheme="minorBidi" w:hAnsiTheme="minorBidi"/>
        </w:rPr>
      </w:pPr>
      <w:r w:rsidRPr="00FF026D">
        <w:rPr>
          <w:rFonts w:asciiTheme="minorBidi" w:hAnsiTheme="minorBidi"/>
        </w:rPr>
        <w:t xml:space="preserve">Even where the condition of  daughter, wife, or widow is by law or custom or both most closely analogous to that of a commercial slave, it is in a large proportion of cases tempered by natural affection, or overridden by the strong personality of the individual woman. But we deprecate the idea that this obvious fact should be made an excuse for neglecting the subject. Defenders of slavery in every form have always been able to point to well-fed and kindly treated slaves as an argument for doing nothing. Those fortunate women who, whether in accordance with tribal custom or despite it, are able to move about freely, to shew </w:t>
      </w:r>
      <w:r w:rsidR="00CD6BAA" w:rsidRPr="00CD6BAA">
        <w:rPr>
          <w:rFonts w:asciiTheme="minorBidi" w:hAnsiTheme="minorBidi"/>
        </w:rPr>
        <w:t xml:space="preserve">[sic] </w:t>
      </w:r>
      <w:r w:rsidRPr="00FF026D">
        <w:rPr>
          <w:rFonts w:asciiTheme="minorBidi" w:hAnsiTheme="minorBidi"/>
        </w:rPr>
        <w:t xml:space="preserve">themselves to the passer-by as gay, happy and healthy, to take advantage of such medical and educational </w:t>
      </w:r>
      <w:r w:rsidR="00CD6BAA" w:rsidRPr="00CD6BAA">
        <w:rPr>
          <w:rFonts w:asciiTheme="minorBidi" w:hAnsiTheme="minorBidi"/>
        </w:rPr>
        <w:t>institutions</w:t>
      </w:r>
      <w:r w:rsidRPr="00FF026D">
        <w:rPr>
          <w:rFonts w:asciiTheme="minorBidi" w:hAnsiTheme="minorBidi"/>
        </w:rPr>
        <w:t xml:space="preserve"> as are open to them and, when injured, to appeal to the Courts, are likely to bulk more largely in the minds of white officials and settlers than their real numbers justify.</w:t>
      </w:r>
    </w:p>
    <w:p w14:paraId="6ABEE78C" w14:textId="431B952E" w:rsidR="00FF026D" w:rsidRPr="00FF026D" w:rsidRDefault="00FF026D" w:rsidP="00CD6BAA">
      <w:pPr>
        <w:spacing w:line="240" w:lineRule="auto"/>
        <w:jc w:val="both"/>
        <w:rPr>
          <w:rFonts w:asciiTheme="minorBidi" w:hAnsiTheme="minorBidi"/>
        </w:rPr>
      </w:pPr>
      <w:r w:rsidRPr="00FF026D">
        <w:rPr>
          <w:rFonts w:asciiTheme="minorBidi" w:hAnsiTheme="minorBidi"/>
        </w:rPr>
        <w:t>Even assuming…that those who suffer the full rigour of subjection that law or custom makes possible are only a small minority, does that justify their condition? In civilised communities, laws and societies for the protection of children, animals and property are found necessary, although perhaps not one citi</w:t>
      </w:r>
      <w:r w:rsidR="00CD6BAA" w:rsidRPr="00CD6BAA">
        <w:rPr>
          <w:rFonts w:asciiTheme="minorBidi" w:hAnsiTheme="minorBidi"/>
        </w:rPr>
        <w:t>z</w:t>
      </w:r>
      <w:r w:rsidRPr="00FF026D">
        <w:rPr>
          <w:rFonts w:asciiTheme="minorBidi" w:hAnsiTheme="minorBidi"/>
        </w:rPr>
        <w:t xml:space="preserve">en in a hundred feels any temptation towards cruelty or thieving. The high standard of conduct in these matters is due largely to the long and steady pressure of law and </w:t>
      </w:r>
      <w:r w:rsidR="00CD6BAA" w:rsidRPr="00CD6BAA">
        <w:rPr>
          <w:rFonts w:asciiTheme="minorBidi" w:hAnsiTheme="minorBidi"/>
        </w:rPr>
        <w:t>education</w:t>
      </w:r>
      <w:r w:rsidRPr="00FF026D">
        <w:rPr>
          <w:rFonts w:asciiTheme="minorBidi" w:hAnsiTheme="minorBidi"/>
        </w:rPr>
        <w:t>. I</w:t>
      </w:r>
      <w:r w:rsidRPr="00CD6BAA">
        <w:rPr>
          <w:rFonts w:asciiTheme="minorBidi" w:hAnsiTheme="minorBidi"/>
        </w:rPr>
        <w:t>n</w:t>
      </w:r>
      <w:r w:rsidRPr="00FF026D">
        <w:rPr>
          <w:rFonts w:asciiTheme="minorBidi" w:hAnsiTheme="minorBidi"/>
        </w:rPr>
        <w:t xml:space="preserve"> the communities and with regard to the evils of which we complain, this pressure is non-existent or only very partially effective.</w:t>
      </w:r>
    </w:p>
    <w:p w14:paraId="38C5D461" w14:textId="2DB2744D" w:rsidR="00FF026D" w:rsidRPr="00FF026D" w:rsidRDefault="00FF026D" w:rsidP="00CD6BAA">
      <w:pPr>
        <w:spacing w:line="240" w:lineRule="auto"/>
        <w:jc w:val="both"/>
        <w:rPr>
          <w:rFonts w:asciiTheme="minorBidi" w:hAnsiTheme="minorBidi"/>
        </w:rPr>
      </w:pPr>
      <w:r w:rsidRPr="00FF026D">
        <w:rPr>
          <w:rFonts w:asciiTheme="minorBidi" w:hAnsiTheme="minorBidi"/>
        </w:rPr>
        <w:t>The customs affecting women which most strongly suggest a slave status are those connected with – </w:t>
      </w:r>
    </w:p>
    <w:p w14:paraId="18716402" w14:textId="77777777" w:rsidR="00FF026D" w:rsidRPr="00FF026D" w:rsidRDefault="00FF026D" w:rsidP="00CD6BAA">
      <w:pPr>
        <w:numPr>
          <w:ilvl w:val="0"/>
          <w:numId w:val="1"/>
        </w:numPr>
        <w:spacing w:line="240" w:lineRule="auto"/>
        <w:jc w:val="both"/>
        <w:rPr>
          <w:rFonts w:asciiTheme="minorBidi" w:hAnsiTheme="minorBidi"/>
        </w:rPr>
      </w:pPr>
      <w:r w:rsidRPr="00FF026D">
        <w:rPr>
          <w:rFonts w:asciiTheme="minorBidi" w:hAnsiTheme="minorBidi"/>
        </w:rPr>
        <w:lastRenderedPageBreak/>
        <w:t>Bride price (variously called head-money, dowry, lobola, cheko, according to the tribe or district).</w:t>
      </w:r>
    </w:p>
    <w:p w14:paraId="5116613D" w14:textId="77777777" w:rsidR="00FF026D" w:rsidRPr="00FF026D" w:rsidRDefault="00FF026D" w:rsidP="00CD6BAA">
      <w:pPr>
        <w:numPr>
          <w:ilvl w:val="0"/>
          <w:numId w:val="1"/>
        </w:numPr>
        <w:spacing w:line="240" w:lineRule="auto"/>
        <w:jc w:val="both"/>
        <w:rPr>
          <w:rFonts w:asciiTheme="minorBidi" w:hAnsiTheme="minorBidi"/>
        </w:rPr>
      </w:pPr>
      <w:r w:rsidRPr="00FF026D">
        <w:rPr>
          <w:rFonts w:asciiTheme="minorBidi" w:hAnsiTheme="minorBidi"/>
        </w:rPr>
        <w:t>The rights, or absence of rights, of mothers over their children.</w:t>
      </w:r>
    </w:p>
    <w:p w14:paraId="629D4A0F" w14:textId="77777777" w:rsidR="00FF026D" w:rsidRPr="00FF026D" w:rsidRDefault="00FF026D" w:rsidP="00CD6BAA">
      <w:pPr>
        <w:numPr>
          <w:ilvl w:val="0"/>
          <w:numId w:val="1"/>
        </w:numPr>
        <w:spacing w:line="240" w:lineRule="auto"/>
        <w:jc w:val="both"/>
        <w:rPr>
          <w:rFonts w:asciiTheme="minorBidi" w:hAnsiTheme="minorBidi"/>
        </w:rPr>
      </w:pPr>
      <w:r w:rsidRPr="00FF026D">
        <w:rPr>
          <w:rFonts w:asciiTheme="minorBidi" w:hAnsiTheme="minorBidi"/>
        </w:rPr>
        <w:t>The inheritance of widows by the brother-in-law, or husband’s nearest male kin.</w:t>
      </w:r>
    </w:p>
    <w:p w14:paraId="722003E5" w14:textId="6169C64A" w:rsidR="00FF026D" w:rsidRPr="00FF026D" w:rsidRDefault="00FF026D" w:rsidP="00CD6BAA">
      <w:pPr>
        <w:spacing w:line="240" w:lineRule="auto"/>
        <w:jc w:val="both"/>
        <w:rPr>
          <w:rFonts w:asciiTheme="minorBidi" w:hAnsiTheme="minorBidi"/>
        </w:rPr>
      </w:pPr>
      <w:r w:rsidRPr="00FF026D">
        <w:rPr>
          <w:rFonts w:asciiTheme="minorBidi" w:hAnsiTheme="minorBidi"/>
        </w:rPr>
        <w:t>The custom of bride price is one of the most widespread of those brought to our notice</w:t>
      </w:r>
      <w:r w:rsidRPr="00CD6BAA">
        <w:rPr>
          <w:rFonts w:asciiTheme="minorBidi" w:hAnsiTheme="minorBidi"/>
        </w:rPr>
        <w:t xml:space="preserve">…[The custom] </w:t>
      </w:r>
      <w:r w:rsidRPr="00FF026D">
        <w:rPr>
          <w:rFonts w:asciiTheme="minorBidi" w:hAnsiTheme="minorBidi"/>
        </w:rPr>
        <w:t>on the face of it suggests chattel ownership, especially when, as seems usually or frequently the case, the bargain can be made when the girl is in infancy or even before her birth. And the implication is strengthened by the fact, often stressed by defenders of the custom, that the payment of bride-price is regarded as necessary to regularise the union and to confirm the husband’s rights over the children of the marriage, who would otherwise belong to the wife or her family.</w:t>
      </w:r>
    </w:p>
    <w:p w14:paraId="45AF142F" w14:textId="31B6B4C6" w:rsidR="00FF026D" w:rsidRPr="00FF026D" w:rsidRDefault="00FF026D" w:rsidP="00CD6BAA">
      <w:pPr>
        <w:spacing w:line="240" w:lineRule="auto"/>
        <w:jc w:val="both"/>
        <w:rPr>
          <w:rFonts w:asciiTheme="minorBidi" w:hAnsiTheme="minorBidi"/>
        </w:rPr>
      </w:pPr>
      <w:r w:rsidRPr="00FF026D">
        <w:rPr>
          <w:rFonts w:asciiTheme="minorBidi" w:hAnsiTheme="minorBidi"/>
        </w:rPr>
        <w:t>Most of the experts we have consulted regard the custom as having a good as well as a bad side</w:t>
      </w:r>
      <w:r w:rsidRPr="00CD6BAA">
        <w:rPr>
          <w:rFonts w:asciiTheme="minorBidi" w:hAnsiTheme="minorBidi"/>
        </w:rPr>
        <w:t xml:space="preserve">. </w:t>
      </w:r>
      <w:r w:rsidRPr="00FF026D">
        <w:rPr>
          <w:rFonts w:asciiTheme="minorBidi" w:hAnsiTheme="minorBidi"/>
        </w:rPr>
        <w:t>The expert’s view as to whether good or bad predominates varied with his attitude towards women, with his individual experience, and too with the tribe or district to which that experience refers</w:t>
      </w:r>
      <w:r w:rsidRPr="00CD6BAA">
        <w:rPr>
          <w:rFonts w:asciiTheme="minorBidi" w:hAnsiTheme="minorBidi"/>
        </w:rPr>
        <w:t>…</w:t>
      </w:r>
      <w:r w:rsidRPr="00FF026D">
        <w:rPr>
          <w:rFonts w:asciiTheme="minorBidi" w:hAnsiTheme="minorBidi"/>
        </w:rPr>
        <w:t>As to the good side…it does afford some security for the good treatment of girl children by parents and of w</w:t>
      </w:r>
      <w:r w:rsidRPr="00CD6BAA">
        <w:rPr>
          <w:rFonts w:asciiTheme="minorBidi" w:hAnsiTheme="minorBidi"/>
        </w:rPr>
        <w:t>i</w:t>
      </w:r>
      <w:r w:rsidRPr="00FF026D">
        <w:rPr>
          <w:rFonts w:asciiTheme="minorBidi" w:hAnsiTheme="minorBidi"/>
        </w:rPr>
        <w:t xml:space="preserve">ves by husbands – or at least for abstention from the extremer forms of </w:t>
      </w:r>
      <w:r w:rsidRPr="00CD6BAA">
        <w:rPr>
          <w:rFonts w:asciiTheme="minorBidi" w:hAnsiTheme="minorBidi"/>
        </w:rPr>
        <w:t>p</w:t>
      </w:r>
      <w:r w:rsidRPr="00FF026D">
        <w:rPr>
          <w:rFonts w:asciiTheme="minorBidi" w:hAnsiTheme="minorBidi"/>
        </w:rPr>
        <w:t>hysical cruelty. It will not pay the parents to offer damaged goods, nor the husband so to ill</w:t>
      </w:r>
      <w:r w:rsidRPr="00CD6BAA">
        <w:rPr>
          <w:rFonts w:asciiTheme="minorBidi" w:hAnsiTheme="minorBidi"/>
        </w:rPr>
        <w:t>-</w:t>
      </w:r>
      <w:r w:rsidRPr="00FF026D">
        <w:rPr>
          <w:rFonts w:asciiTheme="minorBidi" w:hAnsiTheme="minorBidi"/>
        </w:rPr>
        <w:t>treat the wife as to cause her death or to drive her to run back to her family, who may refuse to return the bride-price if they can shew</w:t>
      </w:r>
      <w:r w:rsidRPr="00CD6BAA">
        <w:rPr>
          <w:rFonts w:asciiTheme="minorBidi" w:hAnsiTheme="minorBidi"/>
        </w:rPr>
        <w:t xml:space="preserve"> [sic]</w:t>
      </w:r>
      <w:r w:rsidRPr="00FF026D">
        <w:rPr>
          <w:rFonts w:asciiTheme="minorBidi" w:hAnsiTheme="minorBidi"/>
        </w:rPr>
        <w:t xml:space="preserve"> that ill-treatment has gone far enough to justify escape.</w:t>
      </w:r>
    </w:p>
    <w:p w14:paraId="68A61A26" w14:textId="1177A503" w:rsidR="00FF026D" w:rsidRPr="00FF026D" w:rsidRDefault="00FF026D" w:rsidP="00CD6BAA">
      <w:pPr>
        <w:spacing w:line="240" w:lineRule="auto"/>
        <w:jc w:val="both"/>
        <w:rPr>
          <w:rFonts w:asciiTheme="minorBidi" w:hAnsiTheme="minorBidi"/>
        </w:rPr>
      </w:pPr>
      <w:r w:rsidRPr="00FF026D">
        <w:rPr>
          <w:rFonts w:asciiTheme="minorBidi" w:hAnsiTheme="minorBidi"/>
        </w:rPr>
        <w:t>The fact that the husband may demand return if the wife misbehaves or deserts without sufficient cause and may thus expose her to the wrath of her family, is said to be some guarantee for her good behaviour. The knowledge that she is a source of profit to her parents, and that her husband has paid for her, gives the girl value and dignity in her own eyes and a place in the economic structure of the tribe.</w:t>
      </w:r>
    </w:p>
    <w:p w14:paraId="58872039" w14:textId="53B56F9A" w:rsidR="00FF026D" w:rsidRPr="00CD6BAA" w:rsidRDefault="00FF026D" w:rsidP="00CD6BAA">
      <w:pPr>
        <w:spacing w:line="240" w:lineRule="auto"/>
        <w:jc w:val="both"/>
        <w:rPr>
          <w:rFonts w:asciiTheme="minorBidi" w:hAnsiTheme="minorBidi"/>
        </w:rPr>
      </w:pPr>
      <w:r w:rsidRPr="00FF026D">
        <w:rPr>
          <w:rFonts w:asciiTheme="minorBidi" w:hAnsiTheme="minorBidi"/>
        </w:rPr>
        <w:t>But the same defence is often pleaded for commercial slavery. There, too, the fact that the slave has an exchange value…should be a security for his good treatment. But this is much less so in fact than it would be if human beings were ruled only by cool self-interest.</w:t>
      </w:r>
    </w:p>
    <w:p w14:paraId="5F0B1771" w14:textId="4D011009" w:rsidR="00FF026D" w:rsidRPr="00FF026D" w:rsidRDefault="00FF026D" w:rsidP="00CD6BAA">
      <w:pPr>
        <w:spacing w:line="240" w:lineRule="auto"/>
        <w:jc w:val="both"/>
        <w:rPr>
          <w:rFonts w:asciiTheme="minorBidi" w:hAnsiTheme="minorBidi"/>
        </w:rPr>
      </w:pPr>
      <w:r w:rsidRPr="00CD6BAA">
        <w:rPr>
          <w:rFonts w:asciiTheme="minorBidi" w:hAnsiTheme="minorBidi"/>
        </w:rPr>
        <w:t>…</w:t>
      </w:r>
    </w:p>
    <w:p w14:paraId="62F4E547" w14:textId="42D626B4" w:rsidR="00FF026D" w:rsidRPr="00FF026D" w:rsidRDefault="00FF026D" w:rsidP="00CD6BAA">
      <w:pPr>
        <w:spacing w:line="240" w:lineRule="auto"/>
        <w:jc w:val="both"/>
        <w:rPr>
          <w:rFonts w:asciiTheme="minorBidi" w:hAnsiTheme="minorBidi"/>
        </w:rPr>
      </w:pPr>
      <w:r w:rsidRPr="00FF026D">
        <w:rPr>
          <w:rFonts w:asciiTheme="minorBidi" w:hAnsiTheme="minorBidi"/>
        </w:rPr>
        <w:t>The evils resulting from bride-price are at their greatest when either marriage or betrothal takes place during the childhood of the bride</w:t>
      </w:r>
      <w:r w:rsidRPr="00CD6BAA">
        <w:rPr>
          <w:rFonts w:asciiTheme="minorBidi" w:hAnsiTheme="minorBidi"/>
        </w:rPr>
        <w:t xml:space="preserve">. </w:t>
      </w:r>
      <w:r w:rsidRPr="00FF026D">
        <w:rPr>
          <w:rFonts w:asciiTheme="minorBidi" w:hAnsiTheme="minorBidi"/>
        </w:rPr>
        <w:t>A girl in her late teens can usually…put up some kind of resistance to an unwanted marriage, but never a child…The immense evils of child marriage, its results in heavy infantile and maternal mortality, and its devitalising effects on the stamina of the race, have  been searchingly exposed in India. They cannot be essentially different in Africa, and it would be a misfortune there if the opportunity of coping with the evil while Western influences are still dominant should be lost.</w:t>
      </w:r>
    </w:p>
    <w:p w14:paraId="2E293047" w14:textId="361EDE79" w:rsidR="00FF026D" w:rsidRPr="00FF026D" w:rsidRDefault="00FF026D" w:rsidP="00CD6BAA">
      <w:pPr>
        <w:spacing w:line="240" w:lineRule="auto"/>
        <w:jc w:val="both"/>
        <w:rPr>
          <w:rFonts w:asciiTheme="minorBidi" w:hAnsiTheme="minorBidi"/>
        </w:rPr>
      </w:pPr>
      <w:r w:rsidRPr="00CD6BAA">
        <w:rPr>
          <w:rFonts w:asciiTheme="minorBidi" w:hAnsiTheme="minorBidi"/>
        </w:rPr>
        <w:t>…</w:t>
      </w:r>
    </w:p>
    <w:p w14:paraId="7D2DCF82" w14:textId="1436EBFE" w:rsidR="00FF026D" w:rsidRPr="00FF026D" w:rsidRDefault="00FF026D" w:rsidP="00CD6BAA">
      <w:pPr>
        <w:spacing w:line="240" w:lineRule="auto"/>
        <w:jc w:val="both"/>
        <w:rPr>
          <w:rFonts w:asciiTheme="minorBidi" w:hAnsiTheme="minorBidi"/>
        </w:rPr>
      </w:pPr>
      <w:r w:rsidRPr="00FF026D">
        <w:rPr>
          <w:rFonts w:asciiTheme="minorBidi" w:hAnsiTheme="minorBidi"/>
        </w:rPr>
        <w:t xml:space="preserve">Even if, as frequently asserted, the bride when adolescent can usually resist an unwanted marriage and escape from an excessively cruel husband, should not her right to do both be definitely recognised and made enforceable by the appropriate courts or authorities? A complaint frequently heard from missionaries is that these rights are not defined in law nor acknowledged by the authorities, or alternatively that, </w:t>
      </w:r>
      <w:r w:rsidRPr="00FF026D">
        <w:rPr>
          <w:rFonts w:asciiTheme="minorBidi" w:hAnsiTheme="minorBidi"/>
        </w:rPr>
        <w:lastRenderedPageBreak/>
        <w:t>if defined, no effort is made to make the existence of these rights generally known among natives</w:t>
      </w:r>
      <w:r w:rsidRPr="00CD6BAA">
        <w:rPr>
          <w:rFonts w:asciiTheme="minorBidi" w:hAnsiTheme="minorBidi"/>
        </w:rPr>
        <w:t>.</w:t>
      </w:r>
    </w:p>
    <w:p w14:paraId="617EA583" w14:textId="2708B6D9" w:rsidR="00FF026D" w:rsidRPr="00FF026D" w:rsidRDefault="00FF026D" w:rsidP="00CD6BAA">
      <w:pPr>
        <w:spacing w:line="240" w:lineRule="auto"/>
        <w:jc w:val="both"/>
        <w:rPr>
          <w:rFonts w:asciiTheme="minorBidi" w:hAnsiTheme="minorBidi"/>
        </w:rPr>
      </w:pPr>
      <w:r w:rsidRPr="00FF026D">
        <w:rPr>
          <w:rFonts w:asciiTheme="minorBidi" w:hAnsiTheme="minorBidi"/>
        </w:rPr>
        <w:t xml:space="preserve">In many cases it is evident that not only native courts but European officials, being men themselves and chiefly in communication with men, take the man’s view of men’s rights. The European is apt to be afraid of increasing his troubles with the </w:t>
      </w:r>
      <w:r w:rsidR="00CD6BAA" w:rsidRPr="00CD6BAA">
        <w:rPr>
          <w:rFonts w:asciiTheme="minorBidi" w:hAnsiTheme="minorBidi"/>
        </w:rPr>
        <w:t>natives</w:t>
      </w:r>
      <w:r w:rsidRPr="00FF026D">
        <w:rPr>
          <w:rFonts w:asciiTheme="minorBidi" w:hAnsiTheme="minorBidi"/>
        </w:rPr>
        <w:t xml:space="preserve"> by interfering with </w:t>
      </w:r>
      <w:r w:rsidR="00CD6BAA" w:rsidRPr="00CD6BAA">
        <w:rPr>
          <w:rFonts w:asciiTheme="minorBidi" w:hAnsiTheme="minorBidi"/>
        </w:rPr>
        <w:t>social</w:t>
      </w:r>
      <w:r w:rsidRPr="00FF026D">
        <w:rPr>
          <w:rFonts w:asciiTheme="minorBidi" w:hAnsiTheme="minorBidi"/>
        </w:rPr>
        <w:t xml:space="preserve"> customs, and even if the law gives him authority, will discourage women from appealing to that authority, and will certainly take no trouble to encourage such appeals by making it generally known that his help is available</w:t>
      </w:r>
      <w:r w:rsidRPr="00CD6BAA">
        <w:rPr>
          <w:rFonts w:asciiTheme="minorBidi" w:hAnsiTheme="minorBidi"/>
        </w:rPr>
        <w:t>.</w:t>
      </w:r>
    </w:p>
    <w:p w14:paraId="52A07306" w14:textId="618B9320" w:rsidR="00FF026D" w:rsidRPr="00FF026D" w:rsidRDefault="00FF026D" w:rsidP="00CD6BAA">
      <w:pPr>
        <w:spacing w:line="240" w:lineRule="auto"/>
        <w:jc w:val="both"/>
        <w:rPr>
          <w:rFonts w:asciiTheme="minorBidi" w:hAnsiTheme="minorBidi"/>
        </w:rPr>
      </w:pPr>
      <w:r w:rsidRPr="00CD6BAA">
        <w:rPr>
          <w:rFonts w:asciiTheme="minorBidi" w:hAnsiTheme="minorBidi"/>
        </w:rPr>
        <w:t>…</w:t>
      </w:r>
    </w:p>
    <w:p w14:paraId="70697E40" w14:textId="2D6DF9A0" w:rsidR="00FF026D" w:rsidRPr="00CD6BAA" w:rsidRDefault="00FF026D" w:rsidP="00CD6BAA">
      <w:pPr>
        <w:spacing w:line="240" w:lineRule="auto"/>
        <w:jc w:val="both"/>
        <w:rPr>
          <w:rFonts w:asciiTheme="minorBidi" w:hAnsiTheme="minorBidi"/>
        </w:rPr>
      </w:pPr>
      <w:r w:rsidRPr="00FF026D">
        <w:rPr>
          <w:rFonts w:asciiTheme="minorBidi" w:hAnsiTheme="minorBidi"/>
        </w:rPr>
        <w:t>Nearly every Commission that has recently dealt with Indian affairs has recognised the mistake made by the British authorities during the nineteenth century in neglecting the education of the women while pushing on with that of the men. This mistake seems to be repeating itself in many parts of Africa</w:t>
      </w:r>
      <w:r w:rsidRPr="00CD6BAA">
        <w:rPr>
          <w:rFonts w:asciiTheme="minorBidi" w:hAnsiTheme="minorBidi"/>
        </w:rPr>
        <w:t>.</w:t>
      </w:r>
    </w:p>
    <w:p w14:paraId="4F3FDA8B" w14:textId="1AD6885C" w:rsidR="00E42DA0" w:rsidRPr="00FF026D" w:rsidRDefault="00E42DA0" w:rsidP="00CD6BAA">
      <w:pPr>
        <w:spacing w:line="240" w:lineRule="auto"/>
        <w:jc w:val="both"/>
        <w:rPr>
          <w:rFonts w:asciiTheme="minorBidi" w:hAnsiTheme="minorBidi"/>
          <w:b/>
          <w:bCs/>
        </w:rPr>
      </w:pPr>
      <w:r w:rsidRPr="00CD6BAA">
        <w:rPr>
          <w:rFonts w:asciiTheme="minorBidi" w:hAnsiTheme="minorBidi"/>
          <w:b/>
          <w:bCs/>
        </w:rPr>
        <w:t>Appendix</w:t>
      </w:r>
    </w:p>
    <w:p w14:paraId="42F92781" w14:textId="3D00D834" w:rsidR="00E42DA0" w:rsidRPr="00FF026D" w:rsidRDefault="00E42DA0" w:rsidP="00CD6BAA">
      <w:pPr>
        <w:spacing w:line="240" w:lineRule="auto"/>
        <w:jc w:val="both"/>
        <w:rPr>
          <w:rFonts w:asciiTheme="minorBidi" w:hAnsiTheme="minorBidi"/>
        </w:rPr>
      </w:pPr>
      <w:r w:rsidRPr="00CD6BAA">
        <w:rPr>
          <w:rFonts w:asciiTheme="minorBidi" w:hAnsiTheme="minorBidi"/>
        </w:rPr>
        <w:t>…</w:t>
      </w:r>
    </w:p>
    <w:p w14:paraId="05AEF207" w14:textId="77777777" w:rsidR="00FF026D" w:rsidRPr="00FF026D" w:rsidRDefault="00FF026D" w:rsidP="00CD6BAA">
      <w:pPr>
        <w:spacing w:line="240" w:lineRule="auto"/>
        <w:jc w:val="both"/>
        <w:rPr>
          <w:rFonts w:asciiTheme="minorBidi" w:hAnsiTheme="minorBidi"/>
        </w:rPr>
      </w:pPr>
      <w:r w:rsidRPr="00FF026D">
        <w:rPr>
          <w:rFonts w:asciiTheme="minorBidi" w:hAnsiTheme="minorBidi"/>
        </w:rPr>
        <w:t xml:space="preserve">RS Rattray, </w:t>
      </w:r>
      <w:r w:rsidRPr="00FF026D">
        <w:rPr>
          <w:rFonts w:asciiTheme="minorBidi" w:hAnsiTheme="minorBidi"/>
          <w:i/>
          <w:iCs/>
        </w:rPr>
        <w:t xml:space="preserve">Religion and Art in Ashanti </w:t>
      </w:r>
      <w:r w:rsidRPr="00FF026D">
        <w:rPr>
          <w:rFonts w:asciiTheme="minorBidi" w:hAnsiTheme="minorBidi"/>
        </w:rPr>
        <w:t>(Clarendon, 1927)</w:t>
      </w:r>
    </w:p>
    <w:p w14:paraId="1F4FF0F8" w14:textId="77777777" w:rsidR="00E42DA0" w:rsidRPr="00CD6BAA" w:rsidRDefault="00FF026D" w:rsidP="00CD6BAA">
      <w:pPr>
        <w:spacing w:line="240" w:lineRule="auto"/>
        <w:jc w:val="both"/>
        <w:rPr>
          <w:rFonts w:asciiTheme="minorBidi" w:hAnsiTheme="minorBidi"/>
        </w:rPr>
      </w:pPr>
      <w:r w:rsidRPr="00FF026D">
        <w:rPr>
          <w:rFonts w:asciiTheme="minorBidi" w:hAnsiTheme="minorBidi"/>
        </w:rPr>
        <w:t>A married couple will promise an infant girl, or even a child as yet unborn, to a friend as his future bride. The infant will be brought up to consider herself betrothed and the property of the man to whom her parents had promised her. Six days after the end of her second period the union will be completed…Nowadays, upon the parties reaching mature years, there is a fairly large number of repudiations of such betrothals</w:t>
      </w:r>
      <w:r w:rsidR="00E42DA0" w:rsidRPr="00CD6BAA">
        <w:rPr>
          <w:rFonts w:asciiTheme="minorBidi" w:hAnsiTheme="minorBidi"/>
        </w:rPr>
        <w:t>.</w:t>
      </w:r>
    </w:p>
    <w:p w14:paraId="19B0F503" w14:textId="77777777" w:rsidR="00FF026D" w:rsidRPr="00FF026D" w:rsidRDefault="00FF026D" w:rsidP="00CD6BAA">
      <w:pPr>
        <w:spacing w:line="240" w:lineRule="auto"/>
        <w:jc w:val="both"/>
        <w:rPr>
          <w:rFonts w:asciiTheme="minorBidi" w:hAnsiTheme="minorBidi"/>
        </w:rPr>
      </w:pPr>
      <w:r w:rsidRPr="00FF026D">
        <w:rPr>
          <w:rFonts w:asciiTheme="minorBidi" w:hAnsiTheme="minorBidi"/>
        </w:rPr>
        <w:t xml:space="preserve">Major Brock, on Zande Tribe, quoted by Lord Raglan in </w:t>
      </w:r>
      <w:r w:rsidRPr="00FF026D">
        <w:rPr>
          <w:rFonts w:asciiTheme="minorBidi" w:hAnsiTheme="minorBidi"/>
          <w:i/>
          <w:iCs/>
        </w:rPr>
        <w:t xml:space="preserve">Man, </w:t>
      </w:r>
      <w:r w:rsidRPr="00FF026D">
        <w:rPr>
          <w:rFonts w:asciiTheme="minorBidi" w:hAnsiTheme="minorBidi"/>
        </w:rPr>
        <w:t>May 1930, p.92</w:t>
      </w:r>
    </w:p>
    <w:p w14:paraId="34B432CE" w14:textId="77777777" w:rsidR="00FF026D" w:rsidRPr="00FF026D" w:rsidRDefault="00FF026D" w:rsidP="00CD6BAA">
      <w:pPr>
        <w:spacing w:line="240" w:lineRule="auto"/>
        <w:jc w:val="both"/>
        <w:rPr>
          <w:rFonts w:asciiTheme="minorBidi" w:hAnsiTheme="minorBidi"/>
        </w:rPr>
      </w:pPr>
      <w:r w:rsidRPr="00FF026D">
        <w:rPr>
          <w:rFonts w:asciiTheme="minorBidi" w:hAnsiTheme="minorBidi"/>
        </w:rPr>
        <w:t>‘A man will often begin paying for a girl when she is still an infant; this…is productive of many disputes, as an enterprising father will accept spears from several men for one of his daughters’.</w:t>
      </w:r>
    </w:p>
    <w:p w14:paraId="000DE3F4" w14:textId="77777777" w:rsidR="00FF026D" w:rsidRPr="00FF026D" w:rsidRDefault="00FF026D" w:rsidP="00CD6BAA">
      <w:pPr>
        <w:spacing w:line="240" w:lineRule="auto"/>
        <w:jc w:val="both"/>
        <w:rPr>
          <w:rFonts w:asciiTheme="minorBidi" w:hAnsiTheme="minorBidi"/>
        </w:rPr>
      </w:pPr>
      <w:r w:rsidRPr="00FF026D">
        <w:rPr>
          <w:rFonts w:asciiTheme="minorBidi" w:hAnsiTheme="minorBidi"/>
        </w:rPr>
        <w:t xml:space="preserve">E. Torday, ‘Bride price, dower, or settlement, </w:t>
      </w:r>
      <w:r w:rsidRPr="00FF026D">
        <w:rPr>
          <w:rFonts w:asciiTheme="minorBidi" w:hAnsiTheme="minorBidi"/>
          <w:i/>
          <w:iCs/>
        </w:rPr>
        <w:t xml:space="preserve">Man, </w:t>
      </w:r>
      <w:r w:rsidRPr="00FF026D">
        <w:rPr>
          <w:rFonts w:asciiTheme="minorBidi" w:hAnsiTheme="minorBidi"/>
        </w:rPr>
        <w:t>Jan 1929, 6</w:t>
      </w:r>
    </w:p>
    <w:p w14:paraId="388363BC" w14:textId="10150847" w:rsidR="00FF026D" w:rsidRPr="00CD6BAA" w:rsidRDefault="00FF026D" w:rsidP="00CD6BAA">
      <w:pPr>
        <w:spacing w:line="240" w:lineRule="auto"/>
        <w:jc w:val="both"/>
        <w:rPr>
          <w:rFonts w:asciiTheme="minorBidi" w:hAnsiTheme="minorBidi"/>
        </w:rPr>
      </w:pPr>
      <w:r w:rsidRPr="00FF026D">
        <w:rPr>
          <w:rFonts w:asciiTheme="minorBidi" w:hAnsiTheme="minorBidi"/>
        </w:rPr>
        <w:t>‘Among the Warega the husband never acquires more than a very limited authority over his wife, who remains a dependent of her parents and can be recalled by them whenever they choose to do so’.</w:t>
      </w:r>
    </w:p>
    <w:sectPr w:rsidR="00FF026D" w:rsidRPr="00CD6B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7C33AC"/>
    <w:multiLevelType w:val="multilevel"/>
    <w:tmpl w:val="221A8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1123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26D"/>
    <w:rsid w:val="00817CD3"/>
    <w:rsid w:val="00CD6BAA"/>
    <w:rsid w:val="00E42DA0"/>
    <w:rsid w:val="00FF02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1E970"/>
  <w15:chartTrackingRefBased/>
  <w15:docId w15:val="{B263F23A-FC54-4284-B023-880D8A8C9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2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02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02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02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02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02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02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02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02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2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02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02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02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02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02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02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02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026D"/>
    <w:rPr>
      <w:rFonts w:eastAsiaTheme="majorEastAsia" w:cstheme="majorBidi"/>
      <w:color w:val="272727" w:themeColor="text1" w:themeTint="D8"/>
    </w:rPr>
  </w:style>
  <w:style w:type="paragraph" w:styleId="Title">
    <w:name w:val="Title"/>
    <w:basedOn w:val="Normal"/>
    <w:next w:val="Normal"/>
    <w:link w:val="TitleChar"/>
    <w:uiPriority w:val="10"/>
    <w:qFormat/>
    <w:rsid w:val="00FF02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02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02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02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026D"/>
    <w:pPr>
      <w:spacing w:before="160"/>
      <w:jc w:val="center"/>
    </w:pPr>
    <w:rPr>
      <w:i/>
      <w:iCs/>
      <w:color w:val="404040" w:themeColor="text1" w:themeTint="BF"/>
    </w:rPr>
  </w:style>
  <w:style w:type="character" w:customStyle="1" w:styleId="QuoteChar">
    <w:name w:val="Quote Char"/>
    <w:basedOn w:val="DefaultParagraphFont"/>
    <w:link w:val="Quote"/>
    <w:uiPriority w:val="29"/>
    <w:rsid w:val="00FF026D"/>
    <w:rPr>
      <w:i/>
      <w:iCs/>
      <w:color w:val="404040" w:themeColor="text1" w:themeTint="BF"/>
    </w:rPr>
  </w:style>
  <w:style w:type="paragraph" w:styleId="ListParagraph">
    <w:name w:val="List Paragraph"/>
    <w:basedOn w:val="Normal"/>
    <w:uiPriority w:val="34"/>
    <w:qFormat/>
    <w:rsid w:val="00FF026D"/>
    <w:pPr>
      <w:ind w:left="720"/>
      <w:contextualSpacing/>
    </w:pPr>
  </w:style>
  <w:style w:type="character" w:styleId="IntenseEmphasis">
    <w:name w:val="Intense Emphasis"/>
    <w:basedOn w:val="DefaultParagraphFont"/>
    <w:uiPriority w:val="21"/>
    <w:qFormat/>
    <w:rsid w:val="00FF026D"/>
    <w:rPr>
      <w:i/>
      <w:iCs/>
      <w:color w:val="0F4761" w:themeColor="accent1" w:themeShade="BF"/>
    </w:rPr>
  </w:style>
  <w:style w:type="paragraph" w:styleId="IntenseQuote">
    <w:name w:val="Intense Quote"/>
    <w:basedOn w:val="Normal"/>
    <w:next w:val="Normal"/>
    <w:link w:val="IntenseQuoteChar"/>
    <w:uiPriority w:val="30"/>
    <w:qFormat/>
    <w:rsid w:val="00FF02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026D"/>
    <w:rPr>
      <w:i/>
      <w:iCs/>
      <w:color w:val="0F4761" w:themeColor="accent1" w:themeShade="BF"/>
    </w:rPr>
  </w:style>
  <w:style w:type="character" w:styleId="IntenseReference">
    <w:name w:val="Intense Reference"/>
    <w:basedOn w:val="DefaultParagraphFont"/>
    <w:uiPriority w:val="32"/>
    <w:qFormat/>
    <w:rsid w:val="00FF026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9537387">
      <w:bodyDiv w:val="1"/>
      <w:marLeft w:val="0"/>
      <w:marRight w:val="0"/>
      <w:marTop w:val="0"/>
      <w:marBottom w:val="0"/>
      <w:divBdr>
        <w:top w:val="none" w:sz="0" w:space="0" w:color="auto"/>
        <w:left w:val="none" w:sz="0" w:space="0" w:color="auto"/>
        <w:bottom w:val="none" w:sz="0" w:space="0" w:color="auto"/>
        <w:right w:val="none" w:sz="0" w:space="0" w:color="auto"/>
      </w:divBdr>
    </w:div>
    <w:div w:id="1299072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1489</Words>
  <Characters>7093</Characters>
  <Application>Microsoft Office Word</Application>
  <DocSecurity>0</DocSecurity>
  <Lines>116</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1</cp:revision>
  <dcterms:created xsi:type="dcterms:W3CDTF">2024-10-30T08:25:00Z</dcterms:created>
  <dcterms:modified xsi:type="dcterms:W3CDTF">2024-10-31T15:02:00Z</dcterms:modified>
</cp:coreProperties>
</file>