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8D0E4" w14:textId="2D66EDEB" w:rsidR="092C81E3" w:rsidRPr="001662AF" w:rsidRDefault="00D1405B" w:rsidP="007540B3">
      <w:pPr>
        <w:rPr>
          <w:b/>
          <w:bCs/>
          <w:color w:val="000000" w:themeColor="text1"/>
          <w:sz w:val="36"/>
          <w:szCs w:val="36"/>
          <w:u w:val="single"/>
        </w:rPr>
      </w:pPr>
      <w:r>
        <w:rPr>
          <w:b/>
          <w:bCs/>
          <w:color w:val="000000" w:themeColor="text1"/>
          <w:sz w:val="36"/>
          <w:szCs w:val="36"/>
          <w:u w:val="single"/>
        </w:rPr>
        <w:t xml:space="preserve"> </w:t>
      </w:r>
      <w:r w:rsidR="03249FE0" w:rsidRPr="001662AF">
        <w:rPr>
          <w:b/>
          <w:bCs/>
          <w:color w:val="000000" w:themeColor="text1"/>
          <w:sz w:val="36"/>
          <w:szCs w:val="36"/>
          <w:u w:val="single"/>
        </w:rPr>
        <w:t>HEALTH OUTCOMES</w:t>
      </w:r>
      <w:r w:rsidR="092C81E3" w:rsidRPr="001662AF">
        <w:rPr>
          <w:b/>
          <w:bCs/>
          <w:color w:val="000000" w:themeColor="text1"/>
          <w:sz w:val="36"/>
          <w:szCs w:val="36"/>
          <w:u w:val="single"/>
        </w:rPr>
        <w:t xml:space="preserve"> AND INEQUALITY: AN ANALYSIS OF TWO SUSTAINABLE DEVELOPMENT GOALS   AND THE PROGRESS STEPS OF SDG3 AND SDG10</w:t>
      </w:r>
    </w:p>
    <w:p w14:paraId="439B9C70" w14:textId="77777777" w:rsidR="00E4793E" w:rsidRDefault="00E4793E" w:rsidP="79E7E9B6">
      <w:pPr>
        <w:rPr>
          <w:color w:val="000000" w:themeColor="text1"/>
          <w:sz w:val="48"/>
          <w:szCs w:val="48"/>
        </w:rPr>
      </w:pPr>
    </w:p>
    <w:p w14:paraId="608827C3" w14:textId="77777777" w:rsidR="001662AF" w:rsidRDefault="001662AF" w:rsidP="79E7E9B6">
      <w:pPr>
        <w:rPr>
          <w:rFonts w:ascii="Arial" w:hAnsi="Arial" w:cs="Arial"/>
          <w:b/>
          <w:bCs/>
          <w:color w:val="000000" w:themeColor="text1"/>
          <w:sz w:val="32"/>
          <w:szCs w:val="32"/>
        </w:rPr>
      </w:pPr>
    </w:p>
    <w:p w14:paraId="7E1C244A" w14:textId="77777777" w:rsidR="00EB3728" w:rsidRDefault="00EB3728" w:rsidP="79E7E9B6">
      <w:pPr>
        <w:rPr>
          <w:rFonts w:ascii="Arial" w:hAnsi="Arial" w:cs="Arial"/>
          <w:b/>
          <w:bCs/>
          <w:color w:val="000000" w:themeColor="text1"/>
          <w:sz w:val="28"/>
          <w:szCs w:val="28"/>
        </w:rPr>
      </w:pPr>
    </w:p>
    <w:p w14:paraId="4A24BD50" w14:textId="09DAE53B" w:rsidR="001D1480" w:rsidRDefault="00971853" w:rsidP="79E7E9B6">
      <w:pPr>
        <w:rPr>
          <w:rFonts w:ascii="Arial" w:hAnsi="Arial" w:cs="Arial"/>
          <w:color w:val="000000" w:themeColor="text1"/>
          <w:sz w:val="48"/>
          <w:szCs w:val="48"/>
        </w:rPr>
      </w:pPr>
      <w:r w:rsidRPr="001662AF">
        <w:rPr>
          <w:rFonts w:ascii="Arial" w:hAnsi="Arial" w:cs="Arial"/>
          <w:b/>
          <w:bCs/>
          <w:color w:val="000000" w:themeColor="text1"/>
          <w:sz w:val="28"/>
          <w:szCs w:val="28"/>
        </w:rPr>
        <w:t>MODULE</w:t>
      </w:r>
      <w:r w:rsidR="092C81E3" w:rsidRPr="001662AF">
        <w:rPr>
          <w:rFonts w:ascii="Arial" w:hAnsi="Arial" w:cs="Arial"/>
          <w:b/>
          <w:bCs/>
          <w:color w:val="000000" w:themeColor="text1"/>
          <w:sz w:val="28"/>
          <w:szCs w:val="28"/>
        </w:rPr>
        <w:t xml:space="preserve"> </w:t>
      </w:r>
      <w:r w:rsidR="001662AF">
        <w:rPr>
          <w:rFonts w:cstheme="minorHAnsi"/>
          <w:b/>
          <w:bCs/>
          <w:color w:val="000000" w:themeColor="text1"/>
          <w:sz w:val="28"/>
          <w:szCs w:val="28"/>
        </w:rPr>
        <w:t>NO</w:t>
      </w:r>
      <w:r w:rsidR="092C81E3" w:rsidRPr="001662AF">
        <w:rPr>
          <w:rFonts w:cstheme="minorHAnsi"/>
          <w:b/>
          <w:bCs/>
          <w:color w:val="000000" w:themeColor="text1"/>
          <w:sz w:val="28"/>
          <w:szCs w:val="28"/>
        </w:rPr>
        <w:t>:</w:t>
      </w:r>
      <w:r w:rsidR="092C81E3" w:rsidRPr="00F45746">
        <w:rPr>
          <w:rFonts w:cstheme="minorHAnsi"/>
          <w:color w:val="000000" w:themeColor="text1"/>
          <w:sz w:val="48"/>
          <w:szCs w:val="48"/>
        </w:rPr>
        <w:t xml:space="preserve"> </w:t>
      </w:r>
      <w:r w:rsidR="092C81E3" w:rsidRPr="001662AF">
        <w:rPr>
          <w:color w:val="000000" w:themeColor="text1"/>
          <w:sz w:val="28"/>
          <w:szCs w:val="28"/>
        </w:rPr>
        <w:t xml:space="preserve">BMHP </w:t>
      </w:r>
      <w:r w:rsidR="00685BD1">
        <w:rPr>
          <w:rFonts w:ascii="Arial" w:hAnsi="Arial" w:cs="Arial"/>
          <w:color w:val="000000" w:themeColor="text1"/>
          <w:sz w:val="28"/>
          <w:szCs w:val="28"/>
        </w:rPr>
        <w:t>603</w:t>
      </w:r>
      <w:r w:rsidR="001D1480">
        <w:rPr>
          <w:rFonts w:ascii="Arial" w:hAnsi="Arial" w:cs="Arial"/>
          <w:color w:val="000000" w:themeColor="text1"/>
          <w:sz w:val="28"/>
          <w:szCs w:val="28"/>
        </w:rPr>
        <w:t>0</w:t>
      </w:r>
    </w:p>
    <w:p w14:paraId="2A756BA7" w14:textId="77777777" w:rsidR="001D1480" w:rsidRDefault="001D1480" w:rsidP="79E7E9B6">
      <w:pPr>
        <w:rPr>
          <w:b/>
          <w:bCs/>
          <w:color w:val="000000" w:themeColor="text1"/>
          <w:sz w:val="48"/>
          <w:szCs w:val="48"/>
        </w:rPr>
      </w:pPr>
    </w:p>
    <w:p w14:paraId="796077B0" w14:textId="6E937827" w:rsidR="092C81E3" w:rsidRDefault="001662AF" w:rsidP="79E7E9B6">
      <w:pPr>
        <w:rPr>
          <w:rFonts w:ascii="Arial" w:hAnsi="Arial" w:cs="Arial"/>
          <w:color w:val="000000" w:themeColor="text1"/>
          <w:sz w:val="28"/>
          <w:szCs w:val="28"/>
        </w:rPr>
      </w:pPr>
      <w:r w:rsidRPr="001662AF">
        <w:rPr>
          <w:b/>
          <w:bCs/>
          <w:color w:val="000000" w:themeColor="text1"/>
          <w:sz w:val="28"/>
          <w:szCs w:val="28"/>
        </w:rPr>
        <w:t>MODULE</w:t>
      </w:r>
      <w:r w:rsidR="092C81E3" w:rsidRPr="001662AF">
        <w:rPr>
          <w:rFonts w:ascii="Arial" w:hAnsi="Arial" w:cs="Arial"/>
          <w:b/>
          <w:bCs/>
          <w:color w:val="000000" w:themeColor="text1"/>
          <w:sz w:val="28"/>
          <w:szCs w:val="28"/>
        </w:rPr>
        <w:t xml:space="preserve"> NAME</w:t>
      </w:r>
      <w:r>
        <w:rPr>
          <w:rFonts w:ascii="Arial" w:hAnsi="Arial" w:cs="Arial"/>
          <w:b/>
          <w:bCs/>
          <w:color w:val="000000" w:themeColor="text1"/>
          <w:sz w:val="28"/>
          <w:szCs w:val="28"/>
        </w:rPr>
        <w:t>:</w:t>
      </w:r>
      <w:r w:rsidR="092C81E3" w:rsidRPr="79E7E9B6">
        <w:rPr>
          <w:color w:val="000000" w:themeColor="text1"/>
          <w:sz w:val="48"/>
          <w:szCs w:val="48"/>
        </w:rPr>
        <w:t xml:space="preserve"> </w:t>
      </w:r>
      <w:r w:rsidR="092C81E3" w:rsidRPr="00F45746">
        <w:rPr>
          <w:rFonts w:ascii="Arial" w:hAnsi="Arial" w:cs="Arial"/>
          <w:color w:val="000000" w:themeColor="text1"/>
          <w:sz w:val="28"/>
          <w:szCs w:val="28"/>
        </w:rPr>
        <w:t xml:space="preserve">HEALTH AND </w:t>
      </w:r>
      <w:r w:rsidR="092C81E3" w:rsidRPr="001662AF">
        <w:rPr>
          <w:rFonts w:ascii="Arial" w:hAnsi="Arial" w:cs="Arial"/>
          <w:color w:val="000000" w:themeColor="text1"/>
          <w:sz w:val="28"/>
          <w:szCs w:val="28"/>
        </w:rPr>
        <w:t>SUSTAINABLE DEVELOPMENT</w:t>
      </w:r>
    </w:p>
    <w:p w14:paraId="46F58381" w14:textId="77777777" w:rsidR="0095537A" w:rsidRPr="001662AF" w:rsidRDefault="0095537A" w:rsidP="79E7E9B6">
      <w:pPr>
        <w:rPr>
          <w:color w:val="000000" w:themeColor="text1"/>
          <w:sz w:val="28"/>
          <w:szCs w:val="28"/>
        </w:rPr>
      </w:pPr>
    </w:p>
    <w:p w14:paraId="6996DABA" w14:textId="25B4055B" w:rsidR="092C81E3" w:rsidRDefault="092C81E3" w:rsidP="79E7E9B6">
      <w:pPr>
        <w:rPr>
          <w:rFonts w:ascii="Arial" w:hAnsi="Arial" w:cs="Arial"/>
          <w:color w:val="000000" w:themeColor="text1"/>
          <w:sz w:val="28"/>
          <w:szCs w:val="28"/>
        </w:rPr>
      </w:pPr>
      <w:r w:rsidRPr="00313BD2">
        <w:rPr>
          <w:rFonts w:ascii="Arial" w:hAnsi="Arial" w:cs="Arial"/>
          <w:b/>
          <w:bCs/>
          <w:color w:val="000000" w:themeColor="text1"/>
          <w:sz w:val="28"/>
          <w:szCs w:val="28"/>
        </w:rPr>
        <w:t>STUDENT NAME:</w:t>
      </w:r>
      <w:r w:rsidRPr="00313BD2">
        <w:rPr>
          <w:rFonts w:ascii="Arial" w:hAnsi="Arial" w:cs="Arial"/>
          <w:color w:val="000000" w:themeColor="text1"/>
          <w:sz w:val="28"/>
          <w:szCs w:val="28"/>
        </w:rPr>
        <w:t xml:space="preserve"> LUCRESHA LEWIS </w:t>
      </w:r>
    </w:p>
    <w:p w14:paraId="302A5130" w14:textId="77777777" w:rsidR="00835DA7" w:rsidRDefault="00835DA7" w:rsidP="79E7E9B6">
      <w:pPr>
        <w:rPr>
          <w:rFonts w:ascii="Arial" w:hAnsi="Arial" w:cs="Arial"/>
          <w:b/>
          <w:bCs/>
          <w:color w:val="000000" w:themeColor="text1"/>
          <w:sz w:val="28"/>
          <w:szCs w:val="28"/>
        </w:rPr>
      </w:pPr>
    </w:p>
    <w:p w14:paraId="4C7360B3" w14:textId="43D3D1F4" w:rsidR="092C81E3" w:rsidRDefault="092C81E3" w:rsidP="79E7E9B6">
      <w:pPr>
        <w:rPr>
          <w:color w:val="000000" w:themeColor="text1"/>
          <w:sz w:val="48"/>
          <w:szCs w:val="48"/>
        </w:rPr>
      </w:pPr>
      <w:r w:rsidRPr="001662AF">
        <w:rPr>
          <w:rFonts w:ascii="Arial" w:hAnsi="Arial" w:cs="Arial"/>
          <w:b/>
          <w:bCs/>
          <w:color w:val="000000" w:themeColor="text1"/>
          <w:sz w:val="28"/>
          <w:szCs w:val="28"/>
        </w:rPr>
        <w:t>STUDENT NUMBER:</w:t>
      </w:r>
      <w:r w:rsidRPr="00F45746">
        <w:rPr>
          <w:rFonts w:ascii="Arial" w:hAnsi="Arial" w:cs="Arial"/>
          <w:b/>
          <w:bCs/>
          <w:color w:val="000000" w:themeColor="text1"/>
          <w:sz w:val="32"/>
          <w:szCs w:val="32"/>
        </w:rPr>
        <w:t xml:space="preserve"> </w:t>
      </w:r>
      <w:r w:rsidRPr="00F45746">
        <w:rPr>
          <w:rFonts w:ascii="Arial" w:hAnsi="Arial" w:cs="Arial"/>
          <w:color w:val="000000" w:themeColor="text1"/>
          <w:sz w:val="32"/>
          <w:szCs w:val="32"/>
        </w:rPr>
        <w:t>2315413</w:t>
      </w:r>
    </w:p>
    <w:p w14:paraId="32320418" w14:textId="77777777" w:rsidR="00835DA7" w:rsidRDefault="00835DA7" w:rsidP="79E7E9B6">
      <w:pPr>
        <w:rPr>
          <w:rFonts w:ascii="Arial" w:hAnsi="Arial" w:cs="Arial"/>
          <w:b/>
          <w:bCs/>
          <w:color w:val="000000" w:themeColor="text1"/>
          <w:sz w:val="28"/>
          <w:szCs w:val="28"/>
        </w:rPr>
      </w:pPr>
    </w:p>
    <w:p w14:paraId="79F26155" w14:textId="24FA523F" w:rsidR="092C81E3" w:rsidRPr="001662AF" w:rsidRDefault="092C81E3" w:rsidP="79E7E9B6">
      <w:pPr>
        <w:rPr>
          <w:rFonts w:ascii="Arial" w:eastAsia="Aptos" w:hAnsi="Arial" w:cs="Arial"/>
          <w:color w:val="000000" w:themeColor="text1"/>
          <w:sz w:val="28"/>
          <w:szCs w:val="28"/>
        </w:rPr>
      </w:pPr>
      <w:r w:rsidRPr="001662AF">
        <w:rPr>
          <w:rFonts w:ascii="Arial" w:hAnsi="Arial" w:cs="Arial"/>
          <w:b/>
          <w:bCs/>
          <w:color w:val="000000" w:themeColor="text1"/>
          <w:sz w:val="28"/>
          <w:szCs w:val="28"/>
        </w:rPr>
        <w:t xml:space="preserve">LECTURER NAME: </w:t>
      </w:r>
      <w:r w:rsidRPr="001662AF">
        <w:rPr>
          <w:rFonts w:ascii="Arial" w:hAnsi="Arial" w:cs="Arial"/>
          <w:color w:val="000000" w:themeColor="text1"/>
          <w:sz w:val="28"/>
          <w:szCs w:val="28"/>
        </w:rPr>
        <w:t>JUNAID SHAIKE</w:t>
      </w:r>
    </w:p>
    <w:p w14:paraId="738EB2F7" w14:textId="250802BD" w:rsidR="521D372D" w:rsidRDefault="0266D21D" w:rsidP="521D372D">
      <w:r>
        <w:rPr>
          <w:noProof/>
        </w:rPr>
        <w:lastRenderedPageBreak/>
        <w:drawing>
          <wp:inline distT="0" distB="0" distL="0" distR="0" wp14:anchorId="51616550" wp14:editId="5265ADB6">
            <wp:extent cx="5763899" cy="6161667"/>
            <wp:effectExtent l="0" t="0" r="0" b="0"/>
            <wp:docPr id="8086545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54890" name="Picture 1385554890"/>
                    <pic:cNvPicPr/>
                  </pic:nvPicPr>
                  <pic:blipFill>
                    <a:blip r:embed="rId7">
                      <a:extLst>
                        <a:ext uri="{28A0092B-C50C-407E-A947-70E740481C1C}">
                          <a14:useLocalDpi xmlns:a14="http://schemas.microsoft.com/office/drawing/2010/main"/>
                        </a:ext>
                      </a:extLst>
                    </a:blip>
                    <a:srcRect b="17407"/>
                    <a:stretch>
                      <a:fillRect/>
                    </a:stretch>
                  </pic:blipFill>
                  <pic:spPr>
                    <a:xfrm>
                      <a:off x="0" y="0"/>
                      <a:ext cx="5763899" cy="6161667"/>
                    </a:xfrm>
                    <a:prstGeom prst="rect">
                      <a:avLst/>
                    </a:prstGeom>
                  </pic:spPr>
                </pic:pic>
              </a:graphicData>
            </a:graphic>
          </wp:inline>
        </w:drawing>
      </w:r>
    </w:p>
    <w:p w14:paraId="7B0EC803" w14:textId="35D83A1C" w:rsidR="521D372D" w:rsidRDefault="6B619DBC" w:rsidP="79E7E9B6">
      <w:pPr>
        <w:rPr>
          <w:rFonts w:ascii="Arial" w:eastAsia="Arial" w:hAnsi="Arial" w:cs="Arial"/>
        </w:rPr>
      </w:pPr>
      <w:r w:rsidRPr="79E7E9B6">
        <w:rPr>
          <w:rFonts w:ascii="Times New Roman" w:eastAsia="Times New Roman" w:hAnsi="Times New Roman" w:cs="Times New Roman"/>
        </w:rPr>
        <w:t xml:space="preserve">  (Jeet et al., 2025)</w:t>
      </w:r>
    </w:p>
    <w:p w14:paraId="73E1A2E6" w14:textId="03D396D3" w:rsidR="3F140734" w:rsidRDefault="3F140734" w:rsidP="521D372D">
      <w:pPr>
        <w:spacing w:line="360" w:lineRule="auto"/>
        <w:rPr>
          <w:rFonts w:ascii="Times New Roman" w:eastAsia="Times New Roman" w:hAnsi="Times New Roman" w:cs="Times New Roman"/>
        </w:rPr>
      </w:pPr>
    </w:p>
    <w:p w14:paraId="0EF68931" w14:textId="77777777" w:rsidR="00BF263E" w:rsidRDefault="00BF263E" w:rsidP="521D372D">
      <w:pPr>
        <w:spacing w:line="360" w:lineRule="auto"/>
        <w:rPr>
          <w:rFonts w:ascii="Times New Roman" w:eastAsia="Times New Roman" w:hAnsi="Times New Roman" w:cs="Times New Roman"/>
        </w:rPr>
      </w:pPr>
    </w:p>
    <w:p w14:paraId="63E62EE7" w14:textId="77777777" w:rsidR="00BF263E" w:rsidRDefault="00BF263E" w:rsidP="521D372D">
      <w:pPr>
        <w:spacing w:line="360" w:lineRule="auto"/>
        <w:rPr>
          <w:rFonts w:ascii="Times New Roman" w:eastAsia="Times New Roman" w:hAnsi="Times New Roman" w:cs="Times New Roman"/>
        </w:rPr>
      </w:pPr>
    </w:p>
    <w:p w14:paraId="3D87E62F" w14:textId="77777777" w:rsidR="00BF263E" w:rsidRDefault="00BF263E" w:rsidP="521D372D">
      <w:pPr>
        <w:spacing w:line="360" w:lineRule="auto"/>
        <w:rPr>
          <w:rFonts w:ascii="Times New Roman" w:eastAsia="Times New Roman" w:hAnsi="Times New Roman" w:cs="Times New Roman"/>
        </w:rPr>
      </w:pPr>
    </w:p>
    <w:p w14:paraId="25AED691" w14:textId="77777777" w:rsidR="00BF263E" w:rsidRDefault="00BF263E" w:rsidP="521D372D">
      <w:pPr>
        <w:spacing w:line="360" w:lineRule="auto"/>
        <w:rPr>
          <w:rFonts w:ascii="Times New Roman" w:eastAsia="Times New Roman" w:hAnsi="Times New Roman" w:cs="Times New Roman"/>
        </w:rPr>
      </w:pPr>
    </w:p>
    <w:p w14:paraId="6ABBDCD7" w14:textId="77777777" w:rsidR="00BF263E" w:rsidRDefault="00BF263E" w:rsidP="521D372D">
      <w:pPr>
        <w:spacing w:line="360" w:lineRule="auto"/>
        <w:rPr>
          <w:rFonts w:ascii="Arial" w:eastAsia="Arial" w:hAnsi="Arial" w:cs="Arial"/>
          <w:b/>
          <w:bCs/>
          <w:color w:val="222222"/>
          <w:sz w:val="28"/>
          <w:szCs w:val="28"/>
        </w:rPr>
      </w:pPr>
    </w:p>
    <w:p w14:paraId="7FBEA772" w14:textId="3CA95323" w:rsidR="00F71FA1" w:rsidRDefault="00F71FA1" w:rsidP="521D372D">
      <w:pPr>
        <w:spacing w:line="360" w:lineRule="auto"/>
        <w:rPr>
          <w:rFonts w:ascii="Arial" w:eastAsia="Arial" w:hAnsi="Arial" w:cs="Arial"/>
          <w:color w:val="222222"/>
          <w:sz w:val="28"/>
          <w:szCs w:val="28"/>
        </w:rPr>
      </w:pPr>
      <w:r w:rsidRPr="006D7C5C">
        <w:rPr>
          <w:rFonts w:ascii="Arial" w:eastAsia="Arial" w:hAnsi="Arial" w:cs="Arial"/>
          <w:b/>
          <w:bCs/>
          <w:color w:val="222222"/>
          <w:sz w:val="28"/>
          <w:szCs w:val="28"/>
        </w:rPr>
        <w:lastRenderedPageBreak/>
        <w:t>CONTENT</w:t>
      </w:r>
      <w:r>
        <w:rPr>
          <w:rFonts w:ascii="Arial" w:eastAsia="Arial" w:hAnsi="Arial" w:cs="Arial"/>
          <w:color w:val="222222"/>
          <w:sz w:val="28"/>
          <w:szCs w:val="28"/>
        </w:rPr>
        <w:t>S</w:t>
      </w:r>
    </w:p>
    <w:p w14:paraId="0A97120B" w14:textId="02580760" w:rsidR="521D372D" w:rsidRDefault="521D372D" w:rsidP="521D372D">
      <w:pPr>
        <w:spacing w:line="360" w:lineRule="auto"/>
        <w:rPr>
          <w:rFonts w:ascii="Arial" w:eastAsia="Arial" w:hAnsi="Arial" w:cs="Arial"/>
          <w:color w:val="222222"/>
          <w:sz w:val="28"/>
          <w:szCs w:val="28"/>
        </w:rPr>
      </w:pPr>
    </w:p>
    <w:p w14:paraId="5ECAB173" w14:textId="4EC9D1C5" w:rsidR="521D372D" w:rsidRDefault="521D372D" w:rsidP="521D372D">
      <w:pPr>
        <w:spacing w:line="360" w:lineRule="auto"/>
        <w:rPr>
          <w:rFonts w:ascii="Arial" w:eastAsia="Arial" w:hAnsi="Arial" w:cs="Arial"/>
          <w:color w:val="222222"/>
          <w:sz w:val="28"/>
          <w:szCs w:val="28"/>
        </w:rPr>
      </w:pPr>
    </w:p>
    <w:p w14:paraId="066539DE" w14:textId="438E06FD" w:rsidR="009C2CCB" w:rsidRPr="001A59D1" w:rsidRDefault="001A59D1" w:rsidP="001A59D1">
      <w:pPr>
        <w:spacing w:line="360" w:lineRule="auto"/>
        <w:rPr>
          <w:rFonts w:ascii="Arial" w:eastAsia="Arial" w:hAnsi="Arial" w:cs="Arial"/>
          <w:color w:val="222222"/>
          <w:sz w:val="28"/>
          <w:szCs w:val="28"/>
        </w:rPr>
      </w:pPr>
      <w:r>
        <w:rPr>
          <w:rFonts w:ascii="Arial" w:eastAsia="Arial" w:hAnsi="Arial" w:cs="Arial"/>
          <w:color w:val="222222"/>
          <w:sz w:val="28"/>
          <w:szCs w:val="28"/>
        </w:rPr>
        <w:t>1</w:t>
      </w:r>
      <w:r w:rsidRPr="001A59D1">
        <w:rPr>
          <w:rFonts w:ascii="Arial" w:eastAsia="Arial" w:hAnsi="Arial" w:cs="Arial"/>
          <w:b/>
          <w:bCs/>
          <w:color w:val="222222"/>
          <w:sz w:val="28"/>
          <w:szCs w:val="28"/>
        </w:rPr>
        <w:t>.</w:t>
      </w:r>
      <w:r w:rsidR="3F140734" w:rsidRPr="001A59D1">
        <w:rPr>
          <w:rFonts w:ascii="Arial" w:eastAsia="Arial" w:hAnsi="Arial" w:cs="Arial"/>
          <w:b/>
          <w:bCs/>
          <w:color w:val="222222"/>
          <w:sz w:val="28"/>
          <w:szCs w:val="28"/>
        </w:rPr>
        <w:t>Introductio</w:t>
      </w:r>
      <w:r w:rsidR="00DC297B" w:rsidRPr="001A59D1">
        <w:rPr>
          <w:rFonts w:ascii="Arial" w:eastAsia="Arial" w:hAnsi="Arial" w:cs="Arial"/>
          <w:b/>
          <w:bCs/>
          <w:color w:val="222222"/>
          <w:sz w:val="28"/>
          <w:szCs w:val="28"/>
        </w:rPr>
        <w:t>n</w:t>
      </w:r>
    </w:p>
    <w:p w14:paraId="228D3AE5" w14:textId="77777777" w:rsidR="00425BE2" w:rsidRPr="001A59D1" w:rsidRDefault="3F140734" w:rsidP="005D00B8">
      <w:pPr>
        <w:spacing w:line="360" w:lineRule="auto"/>
        <w:rPr>
          <w:rFonts w:ascii="Arial" w:eastAsia="Arial" w:hAnsi="Arial" w:cs="Arial"/>
          <w:b/>
          <w:bCs/>
          <w:color w:val="222222"/>
          <w:sz w:val="28"/>
          <w:szCs w:val="28"/>
        </w:rPr>
      </w:pPr>
      <w:r w:rsidRPr="001A59D1">
        <w:rPr>
          <w:rFonts w:ascii="Arial" w:eastAsia="Arial" w:hAnsi="Arial" w:cs="Arial"/>
          <w:b/>
          <w:bCs/>
          <w:color w:val="222222"/>
          <w:sz w:val="28"/>
          <w:szCs w:val="28"/>
        </w:rPr>
        <w:t>2. Section 1: SDG 3 – Good Health and Well-being</w:t>
      </w:r>
      <w:r w:rsidR="009C2CCB" w:rsidRPr="001A59D1">
        <w:rPr>
          <w:rFonts w:ascii="Arial" w:eastAsia="Arial" w:hAnsi="Arial" w:cs="Arial"/>
          <w:b/>
          <w:bCs/>
          <w:color w:val="222222"/>
          <w:sz w:val="28"/>
          <w:szCs w:val="28"/>
        </w:rPr>
        <w:t xml:space="preserve"> </w:t>
      </w:r>
    </w:p>
    <w:p w14:paraId="23DD2963" w14:textId="7CA7FC18" w:rsidR="00425BE2" w:rsidRPr="005D00B8" w:rsidRDefault="00F13085" w:rsidP="005D00B8">
      <w:pPr>
        <w:spacing w:line="360" w:lineRule="auto"/>
        <w:rPr>
          <w:rFonts w:ascii="Arial" w:eastAsia="Arial" w:hAnsi="Arial" w:cs="Arial"/>
          <w:color w:val="222222"/>
          <w:sz w:val="28"/>
          <w:szCs w:val="28"/>
        </w:rPr>
      </w:pPr>
      <w:r w:rsidRPr="005D00B8">
        <w:rPr>
          <w:rFonts w:ascii="Arial" w:eastAsia="Arial" w:hAnsi="Arial" w:cs="Arial"/>
          <w:color w:val="222222"/>
          <w:sz w:val="28"/>
          <w:szCs w:val="28"/>
        </w:rPr>
        <w:t>Core Aim</w:t>
      </w:r>
      <w:r w:rsidR="00925FA2" w:rsidRPr="005D00B8">
        <w:rPr>
          <w:rFonts w:ascii="Arial" w:eastAsia="Arial" w:hAnsi="Arial" w:cs="Arial"/>
          <w:color w:val="222222"/>
          <w:sz w:val="28"/>
          <w:szCs w:val="28"/>
        </w:rPr>
        <w:t xml:space="preserve"> </w:t>
      </w:r>
      <w:r w:rsidR="009E5311" w:rsidRPr="005D00B8">
        <w:rPr>
          <w:rFonts w:ascii="Arial" w:eastAsia="Arial" w:hAnsi="Arial" w:cs="Arial"/>
          <w:color w:val="222222"/>
          <w:sz w:val="28"/>
          <w:szCs w:val="28"/>
        </w:rPr>
        <w:t>&amp; Global</w:t>
      </w:r>
      <w:r w:rsidR="000E016E" w:rsidRPr="005D00B8">
        <w:rPr>
          <w:rFonts w:ascii="Arial" w:eastAsia="Arial" w:hAnsi="Arial" w:cs="Arial"/>
          <w:color w:val="222222"/>
          <w:sz w:val="28"/>
          <w:szCs w:val="28"/>
        </w:rPr>
        <w:t xml:space="preserve"> </w:t>
      </w:r>
      <w:r w:rsidR="00253B68">
        <w:rPr>
          <w:rFonts w:ascii="Arial" w:eastAsia="Arial" w:hAnsi="Arial" w:cs="Arial"/>
          <w:color w:val="222222"/>
          <w:sz w:val="28"/>
          <w:szCs w:val="28"/>
        </w:rPr>
        <w:t>Approaches</w:t>
      </w:r>
      <w:r w:rsidR="000E016E" w:rsidRPr="005D00B8">
        <w:rPr>
          <w:rFonts w:ascii="Arial" w:eastAsia="Arial" w:hAnsi="Arial" w:cs="Arial"/>
          <w:color w:val="222222"/>
          <w:sz w:val="28"/>
          <w:szCs w:val="28"/>
        </w:rPr>
        <w:t xml:space="preserve"> </w:t>
      </w:r>
    </w:p>
    <w:p w14:paraId="210BB1AF" w14:textId="77777777" w:rsidR="00AD7A5A" w:rsidRDefault="00431C96" w:rsidP="008A2EC9">
      <w:pPr>
        <w:spacing w:line="360" w:lineRule="auto"/>
        <w:rPr>
          <w:rFonts w:ascii="Arial" w:eastAsia="Arial" w:hAnsi="Arial" w:cs="Arial"/>
          <w:color w:val="222222"/>
          <w:sz w:val="28"/>
          <w:szCs w:val="28"/>
        </w:rPr>
      </w:pPr>
      <w:r w:rsidRPr="005D00B8">
        <w:rPr>
          <w:rFonts w:ascii="Arial" w:eastAsia="Arial" w:hAnsi="Arial" w:cs="Arial"/>
          <w:color w:val="222222"/>
          <w:sz w:val="28"/>
          <w:szCs w:val="28"/>
        </w:rPr>
        <w:t xml:space="preserve">Key </w:t>
      </w:r>
      <w:r w:rsidR="00DA2A28">
        <w:rPr>
          <w:rFonts w:ascii="Arial" w:eastAsia="Arial" w:hAnsi="Arial" w:cs="Arial"/>
          <w:color w:val="222222"/>
          <w:sz w:val="28"/>
          <w:szCs w:val="28"/>
        </w:rPr>
        <w:t xml:space="preserve">Challenges </w:t>
      </w:r>
    </w:p>
    <w:p w14:paraId="23C38A2D" w14:textId="2B3EBDFF" w:rsidR="004C78AE" w:rsidRPr="008A2EC9" w:rsidRDefault="00DA2A28" w:rsidP="008A2EC9">
      <w:pPr>
        <w:spacing w:line="360" w:lineRule="auto"/>
        <w:rPr>
          <w:rFonts w:ascii="Arial" w:eastAsia="Arial" w:hAnsi="Arial" w:cs="Arial"/>
          <w:color w:val="222222"/>
          <w:sz w:val="28"/>
          <w:szCs w:val="28"/>
        </w:rPr>
      </w:pPr>
      <w:r>
        <w:rPr>
          <w:rFonts w:ascii="Arial" w:eastAsia="Arial" w:hAnsi="Arial" w:cs="Arial"/>
          <w:color w:val="222222"/>
          <w:sz w:val="28"/>
          <w:szCs w:val="28"/>
        </w:rPr>
        <w:t>UK</w:t>
      </w:r>
      <w:r w:rsidR="006346D9" w:rsidRPr="008A2EC9">
        <w:rPr>
          <w:rFonts w:ascii="Arial" w:eastAsia="Arial" w:hAnsi="Arial" w:cs="Arial"/>
          <w:color w:val="222222"/>
          <w:sz w:val="28"/>
          <w:szCs w:val="28"/>
        </w:rPr>
        <w:t xml:space="preserve"> </w:t>
      </w:r>
      <w:r w:rsidR="00E05EB9" w:rsidRPr="008A2EC9">
        <w:rPr>
          <w:rFonts w:ascii="Arial" w:eastAsia="Arial" w:hAnsi="Arial" w:cs="Arial"/>
          <w:color w:val="222222"/>
          <w:sz w:val="28"/>
          <w:szCs w:val="28"/>
        </w:rPr>
        <w:t>&amp; Local Action</w:t>
      </w:r>
    </w:p>
    <w:p w14:paraId="4632F6AC" w14:textId="4A6F1384" w:rsidR="00914E26" w:rsidRPr="001A59D1" w:rsidRDefault="008758CD" w:rsidP="008758CD">
      <w:pPr>
        <w:spacing w:line="360" w:lineRule="auto"/>
        <w:rPr>
          <w:rFonts w:ascii="Arial" w:eastAsia="Arial" w:hAnsi="Arial" w:cs="Arial"/>
          <w:b/>
          <w:bCs/>
          <w:color w:val="222222"/>
          <w:sz w:val="28"/>
          <w:szCs w:val="28"/>
        </w:rPr>
      </w:pPr>
      <w:r w:rsidRPr="001A59D1">
        <w:rPr>
          <w:rFonts w:ascii="Arial" w:eastAsia="Arial" w:hAnsi="Arial" w:cs="Arial"/>
          <w:b/>
          <w:bCs/>
          <w:color w:val="222222"/>
          <w:sz w:val="28"/>
          <w:szCs w:val="28"/>
        </w:rPr>
        <w:t xml:space="preserve">3. </w:t>
      </w:r>
      <w:r w:rsidR="002B6ED5" w:rsidRPr="001A59D1">
        <w:rPr>
          <w:rFonts w:ascii="Arial" w:eastAsia="Arial" w:hAnsi="Arial" w:cs="Arial"/>
          <w:b/>
          <w:bCs/>
          <w:color w:val="222222"/>
          <w:sz w:val="28"/>
          <w:szCs w:val="28"/>
        </w:rPr>
        <w:t>Section</w:t>
      </w:r>
      <w:r w:rsidR="3F140734" w:rsidRPr="001A59D1">
        <w:rPr>
          <w:rFonts w:ascii="Arial" w:eastAsia="Arial" w:hAnsi="Arial" w:cs="Arial"/>
          <w:b/>
          <w:bCs/>
          <w:color w:val="222222"/>
          <w:sz w:val="28"/>
          <w:szCs w:val="28"/>
        </w:rPr>
        <w:t xml:space="preserve"> 2: SDG 10 – Reduced Inequalities</w:t>
      </w:r>
    </w:p>
    <w:p w14:paraId="3A9B339E" w14:textId="77777777" w:rsidR="00EE4D83" w:rsidRDefault="008758CD" w:rsidP="008758CD">
      <w:pPr>
        <w:spacing w:line="360" w:lineRule="auto"/>
      </w:pPr>
      <w:r>
        <w:t xml:space="preserve">Core Aim </w:t>
      </w:r>
      <w:r w:rsidR="00B7227D">
        <w:t>&amp; Global Approaches</w:t>
      </w:r>
    </w:p>
    <w:p w14:paraId="749D4E01" w14:textId="77777777" w:rsidR="00697DE9" w:rsidRDefault="00697DE9" w:rsidP="008758CD">
      <w:pPr>
        <w:spacing w:line="360" w:lineRule="auto"/>
      </w:pPr>
      <w:r>
        <w:t>Key Challenges</w:t>
      </w:r>
    </w:p>
    <w:p w14:paraId="2CD86B35" w14:textId="36AC0972" w:rsidR="3F140734" w:rsidRPr="001A59D1" w:rsidRDefault="00697DE9" w:rsidP="008758CD">
      <w:pPr>
        <w:spacing w:line="360" w:lineRule="auto"/>
        <w:rPr>
          <w:rFonts w:ascii="Arial" w:eastAsia="Arial" w:hAnsi="Arial" w:cs="Arial"/>
          <w:b/>
          <w:bCs/>
          <w:color w:val="222222"/>
          <w:sz w:val="28"/>
          <w:szCs w:val="28"/>
        </w:rPr>
      </w:pPr>
      <w:r>
        <w:t xml:space="preserve">UK </w:t>
      </w:r>
      <w:r w:rsidR="002B6ED5">
        <w:t>&amp;</w:t>
      </w:r>
      <w:r w:rsidR="003F015C">
        <w:t xml:space="preserve"> Local Action</w:t>
      </w:r>
      <w:r w:rsidR="002B6ED5">
        <w:t xml:space="preserve">  </w:t>
      </w:r>
      <w:r w:rsidR="3F140734">
        <w:br/>
      </w:r>
      <w:r w:rsidR="3F140734">
        <w:br/>
      </w:r>
      <w:r w:rsidR="001A59D1" w:rsidRPr="001A59D1">
        <w:rPr>
          <w:rFonts w:ascii="Arial" w:eastAsia="Arial" w:hAnsi="Arial" w:cs="Arial"/>
          <w:b/>
          <w:bCs/>
          <w:color w:val="222222"/>
          <w:sz w:val="28"/>
          <w:szCs w:val="28"/>
        </w:rPr>
        <w:t>4</w:t>
      </w:r>
      <w:r w:rsidR="3F140734" w:rsidRPr="001A59D1">
        <w:rPr>
          <w:rFonts w:ascii="Arial" w:eastAsia="Arial" w:hAnsi="Arial" w:cs="Arial"/>
          <w:b/>
          <w:bCs/>
          <w:color w:val="222222"/>
          <w:sz w:val="28"/>
          <w:szCs w:val="28"/>
        </w:rPr>
        <w:t xml:space="preserve">. </w:t>
      </w:r>
      <w:r w:rsidR="00357B60" w:rsidRPr="001A59D1">
        <w:rPr>
          <w:rFonts w:ascii="Arial" w:eastAsia="Arial" w:hAnsi="Arial" w:cs="Arial"/>
          <w:b/>
          <w:bCs/>
          <w:color w:val="222222"/>
          <w:sz w:val="28"/>
          <w:szCs w:val="28"/>
        </w:rPr>
        <w:t>Conclusion</w:t>
      </w:r>
      <w:r w:rsidR="3F140734">
        <w:br/>
      </w:r>
      <w:r w:rsidR="3F140734">
        <w:br/>
      </w:r>
      <w:r w:rsidR="001A59D1" w:rsidRPr="001A59D1">
        <w:rPr>
          <w:rFonts w:ascii="Arial" w:eastAsia="Arial" w:hAnsi="Arial" w:cs="Arial"/>
          <w:b/>
          <w:bCs/>
          <w:color w:val="222222"/>
          <w:sz w:val="28"/>
          <w:szCs w:val="28"/>
        </w:rPr>
        <w:t>5</w:t>
      </w:r>
      <w:r w:rsidR="3F140734" w:rsidRPr="001A59D1">
        <w:rPr>
          <w:rFonts w:ascii="Arial" w:eastAsia="Arial" w:hAnsi="Arial" w:cs="Arial"/>
          <w:b/>
          <w:bCs/>
          <w:color w:val="222222"/>
          <w:sz w:val="28"/>
          <w:szCs w:val="28"/>
        </w:rPr>
        <w:t>.</w:t>
      </w:r>
      <w:r w:rsidR="00357B60">
        <w:rPr>
          <w:rFonts w:ascii="Arial" w:eastAsia="Arial" w:hAnsi="Arial" w:cs="Arial"/>
          <w:b/>
          <w:bCs/>
          <w:color w:val="222222"/>
          <w:sz w:val="28"/>
          <w:szCs w:val="28"/>
        </w:rPr>
        <w:t xml:space="preserve"> </w:t>
      </w:r>
      <w:r w:rsidR="00357B60" w:rsidRPr="001A59D1">
        <w:rPr>
          <w:rFonts w:ascii="Arial" w:eastAsia="Arial" w:hAnsi="Arial" w:cs="Arial"/>
          <w:b/>
          <w:bCs/>
          <w:color w:val="222222"/>
          <w:sz w:val="28"/>
          <w:szCs w:val="28"/>
        </w:rPr>
        <w:t>Recommendations</w:t>
      </w:r>
      <w:r w:rsidR="00357B60">
        <w:br/>
      </w:r>
      <w:r w:rsidR="00357B60">
        <w:br/>
      </w:r>
      <w:r w:rsidR="001A59D1" w:rsidRPr="001A59D1">
        <w:rPr>
          <w:rFonts w:ascii="Arial" w:eastAsia="Arial" w:hAnsi="Arial" w:cs="Arial"/>
          <w:b/>
          <w:bCs/>
          <w:color w:val="222222"/>
          <w:sz w:val="28"/>
          <w:szCs w:val="28"/>
        </w:rPr>
        <w:t>6</w:t>
      </w:r>
      <w:r w:rsidR="3F140734" w:rsidRPr="001A59D1">
        <w:rPr>
          <w:rFonts w:ascii="Arial" w:eastAsia="Arial" w:hAnsi="Arial" w:cs="Arial"/>
          <w:b/>
          <w:bCs/>
          <w:color w:val="222222"/>
          <w:sz w:val="28"/>
          <w:szCs w:val="28"/>
        </w:rPr>
        <w:t>. References</w:t>
      </w:r>
    </w:p>
    <w:p w14:paraId="6DE40A43" w14:textId="419F5DED" w:rsidR="521D372D" w:rsidRDefault="521D372D" w:rsidP="521D372D">
      <w:pPr>
        <w:spacing w:line="360" w:lineRule="auto"/>
        <w:jc w:val="both"/>
        <w:rPr>
          <w:rFonts w:ascii="Arial" w:eastAsia="Arial" w:hAnsi="Arial" w:cs="Arial"/>
          <w:color w:val="000000" w:themeColor="text1"/>
          <w:sz w:val="28"/>
          <w:szCs w:val="28"/>
        </w:rPr>
      </w:pPr>
    </w:p>
    <w:p w14:paraId="4E4E2F8E" w14:textId="00B975CA" w:rsidR="521D372D" w:rsidRDefault="521D372D" w:rsidP="521D372D">
      <w:pPr>
        <w:spacing w:line="360" w:lineRule="auto"/>
        <w:jc w:val="both"/>
        <w:rPr>
          <w:rFonts w:ascii="Arial" w:eastAsia="Arial" w:hAnsi="Arial" w:cs="Arial"/>
          <w:color w:val="000000" w:themeColor="text1"/>
          <w:sz w:val="28"/>
          <w:szCs w:val="28"/>
        </w:rPr>
      </w:pPr>
    </w:p>
    <w:p w14:paraId="7BD3D5A1" w14:textId="282B8147" w:rsidR="521D372D" w:rsidRDefault="521D372D" w:rsidP="521D372D">
      <w:pPr>
        <w:spacing w:line="360" w:lineRule="auto"/>
        <w:jc w:val="both"/>
        <w:rPr>
          <w:rFonts w:ascii="Arial" w:eastAsia="Arial" w:hAnsi="Arial" w:cs="Arial"/>
          <w:color w:val="000000" w:themeColor="text1"/>
          <w:sz w:val="28"/>
          <w:szCs w:val="28"/>
        </w:rPr>
      </w:pPr>
    </w:p>
    <w:p w14:paraId="25A6B2BE" w14:textId="02BEB075" w:rsidR="521D372D" w:rsidRDefault="521D372D" w:rsidP="521D372D">
      <w:pPr>
        <w:spacing w:line="360" w:lineRule="auto"/>
        <w:jc w:val="both"/>
        <w:rPr>
          <w:rFonts w:ascii="Arial" w:eastAsia="Arial" w:hAnsi="Arial" w:cs="Arial"/>
          <w:color w:val="000000" w:themeColor="text1"/>
          <w:sz w:val="28"/>
          <w:szCs w:val="28"/>
        </w:rPr>
      </w:pPr>
    </w:p>
    <w:p w14:paraId="2F784353" w14:textId="06D3D427" w:rsidR="521D372D" w:rsidRDefault="521D372D" w:rsidP="521D372D">
      <w:pPr>
        <w:spacing w:line="360" w:lineRule="auto"/>
        <w:jc w:val="both"/>
        <w:rPr>
          <w:rFonts w:ascii="Arial" w:eastAsia="Arial" w:hAnsi="Arial" w:cs="Arial"/>
          <w:color w:val="000000" w:themeColor="text1"/>
          <w:sz w:val="28"/>
          <w:szCs w:val="28"/>
        </w:rPr>
      </w:pPr>
    </w:p>
    <w:p w14:paraId="4A0B1DDD" w14:textId="6C75CAC2" w:rsidR="521D372D" w:rsidRDefault="521D372D" w:rsidP="521D372D">
      <w:pPr>
        <w:spacing w:line="360" w:lineRule="auto"/>
        <w:jc w:val="both"/>
        <w:rPr>
          <w:rFonts w:ascii="Arial" w:eastAsia="Arial" w:hAnsi="Arial" w:cs="Arial"/>
          <w:color w:val="000000" w:themeColor="text1"/>
          <w:sz w:val="28"/>
          <w:szCs w:val="28"/>
        </w:rPr>
      </w:pPr>
    </w:p>
    <w:p w14:paraId="65A85816" w14:textId="1D352A51" w:rsidR="521D372D" w:rsidRDefault="521D372D" w:rsidP="521D372D">
      <w:pPr>
        <w:spacing w:line="360" w:lineRule="auto"/>
        <w:jc w:val="both"/>
        <w:rPr>
          <w:rFonts w:ascii="Arial" w:eastAsia="Arial" w:hAnsi="Arial" w:cs="Arial"/>
          <w:color w:val="000000" w:themeColor="text1"/>
          <w:sz w:val="28"/>
          <w:szCs w:val="28"/>
        </w:rPr>
      </w:pPr>
    </w:p>
    <w:p w14:paraId="41DE8514" w14:textId="364512CE" w:rsidR="521D372D" w:rsidRDefault="521D372D" w:rsidP="521D372D">
      <w:pPr>
        <w:spacing w:line="360" w:lineRule="auto"/>
        <w:jc w:val="both"/>
        <w:rPr>
          <w:rFonts w:ascii="Arial" w:eastAsia="Arial" w:hAnsi="Arial" w:cs="Arial"/>
          <w:color w:val="000000" w:themeColor="text1"/>
          <w:sz w:val="28"/>
          <w:szCs w:val="28"/>
        </w:rPr>
      </w:pPr>
    </w:p>
    <w:p w14:paraId="195130AC" w14:textId="18EC8605" w:rsidR="521D372D" w:rsidRDefault="521D372D" w:rsidP="79E7E9B6">
      <w:pPr>
        <w:rPr>
          <w:rFonts w:ascii="Calibri" w:eastAsia="Calibri" w:hAnsi="Calibri" w:cs="Calibri"/>
          <w:color w:val="000000" w:themeColor="text1"/>
        </w:rPr>
      </w:pPr>
    </w:p>
    <w:p w14:paraId="2CC9FC0A" w14:textId="1C02FF21" w:rsidR="79E7E9B6" w:rsidRDefault="79E7E9B6" w:rsidP="79E7E9B6">
      <w:pPr>
        <w:rPr>
          <w:rFonts w:ascii="Calibri" w:eastAsia="Calibri" w:hAnsi="Calibri" w:cs="Calibri"/>
          <w:color w:val="000000" w:themeColor="text1"/>
        </w:rPr>
      </w:pPr>
    </w:p>
    <w:p w14:paraId="49E00FEF" w14:textId="1C3A8B81" w:rsidR="521D372D" w:rsidRDefault="521D372D" w:rsidP="521D372D">
      <w:pPr>
        <w:spacing w:line="360" w:lineRule="auto"/>
        <w:jc w:val="both"/>
        <w:rPr>
          <w:rFonts w:ascii="Arial" w:eastAsia="Arial" w:hAnsi="Arial" w:cs="Arial"/>
          <w:color w:val="000000" w:themeColor="text1"/>
          <w:sz w:val="22"/>
          <w:szCs w:val="22"/>
        </w:rPr>
      </w:pPr>
    </w:p>
    <w:p w14:paraId="223134E6" w14:textId="748ABC77" w:rsidR="3F140734" w:rsidRDefault="3F140734" w:rsidP="79E7E9B6">
      <w:pPr>
        <w:spacing w:line="360" w:lineRule="auto"/>
        <w:jc w:val="center"/>
        <w:rPr>
          <w:rFonts w:ascii="Arial" w:eastAsia="Arial" w:hAnsi="Arial" w:cs="Arial"/>
          <w:color w:val="000000" w:themeColor="text1"/>
          <w:sz w:val="22"/>
          <w:szCs w:val="22"/>
        </w:rPr>
      </w:pPr>
      <w:r w:rsidRPr="79E7E9B6">
        <w:rPr>
          <w:rFonts w:ascii="Arial" w:eastAsia="Arial" w:hAnsi="Arial" w:cs="Arial"/>
          <w:b/>
          <w:bCs/>
          <w:color w:val="000000" w:themeColor="text1"/>
          <w:sz w:val="22"/>
          <w:szCs w:val="22"/>
        </w:rPr>
        <w:t>BMHP6030 - Assignment 2</w:t>
      </w:r>
    </w:p>
    <w:p w14:paraId="57D9081E" w14:textId="7A229F7A"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Introduction</w:t>
      </w:r>
    </w:p>
    <w:p w14:paraId="64FD41A1" w14:textId="4E06AAD7" w:rsidR="00801E5A" w:rsidRDefault="3F140734" w:rsidP="521D372D">
      <w:pPr>
        <w:spacing w:line="360" w:lineRule="auto"/>
        <w:ind w:firstLine="720"/>
        <w:jc w:val="both"/>
        <w:rPr>
          <w:color w:val="000000" w:themeColor="text1"/>
          <w:sz w:val="22"/>
          <w:szCs w:val="22"/>
        </w:rPr>
      </w:pPr>
      <w:r w:rsidRPr="521D372D">
        <w:rPr>
          <w:color w:val="000000" w:themeColor="text1"/>
          <w:sz w:val="22"/>
          <w:szCs w:val="22"/>
        </w:rPr>
        <w:t>The Sustainable Development Goals (SDGs) are evidence-based and research-backed strategies adopted by the members of the United Nations to attain global sustainability by 2030 (Lakioti et al., 2025). Among the 17 goals, SDG 3 on Good Health and Wellbeing focuses on ensuring healthy lives and promoting wellbeing for all ages (United Nations [UN], 2015). On the other hand, SDG 10, Reduced Inequalities, aims to address disparities within and between countries. The two goals are selected for the current report because they are interdependent. Oerther et al. (2020) explain that the connection between SDG 3 and SDG 10 is reciprocal</w:t>
      </w:r>
      <w:r w:rsidR="00802E07">
        <w:rPr>
          <w:color w:val="000000" w:themeColor="text1"/>
          <w:sz w:val="22"/>
          <w:szCs w:val="22"/>
        </w:rPr>
        <w:t xml:space="preserve">: efforts to </w:t>
      </w:r>
    </w:p>
    <w:p w14:paraId="23040A0C" w14:textId="5138F225" w:rsidR="3F140734" w:rsidRDefault="00E66737" w:rsidP="00E66737">
      <w:pPr>
        <w:spacing w:line="360" w:lineRule="auto"/>
        <w:jc w:val="both"/>
        <w:rPr>
          <w:rFonts w:ascii="Arial" w:eastAsia="Arial" w:hAnsi="Arial" w:cs="Arial"/>
          <w:color w:val="000000" w:themeColor="text1"/>
          <w:sz w:val="22"/>
          <w:szCs w:val="22"/>
        </w:rPr>
      </w:pPr>
      <w:r>
        <w:rPr>
          <w:color w:val="000000" w:themeColor="text1"/>
          <w:sz w:val="22"/>
          <w:szCs w:val="22"/>
        </w:rPr>
        <w:t>re</w:t>
      </w:r>
      <w:r w:rsidR="00802E07">
        <w:rPr>
          <w:color w:val="000000" w:themeColor="text1"/>
          <w:sz w:val="22"/>
          <w:szCs w:val="22"/>
        </w:rPr>
        <w:t>duce inequality strengthen population health, while healthier populations are more likely to achieve</w:t>
      </w:r>
      <w:r w:rsidR="3F140734" w:rsidRPr="521D372D">
        <w:rPr>
          <w:color w:val="000000" w:themeColor="text1"/>
          <w:sz w:val="22"/>
          <w:szCs w:val="22"/>
        </w:rPr>
        <w:t xml:space="preserve"> social mobility and economic inclusion. The goals are selected because, despite the global commitments to universal health coverage and health equity, non-communicable diseases account for over 74% of deaths, with disproportionate impacts in low-income and marginalised populations. In the UK, people living in the most deprived localities also experience up to 19 fewer years of life expectancy than those in the least deprived localities. The </w:t>
      </w:r>
      <w:r w:rsidR="00A7092A" w:rsidRPr="521D372D">
        <w:rPr>
          <w:color w:val="000000" w:themeColor="text1"/>
          <w:sz w:val="22"/>
          <w:szCs w:val="22"/>
        </w:rPr>
        <w:t>R</w:t>
      </w:r>
      <w:r w:rsidR="3F140734" w:rsidRPr="521D372D">
        <w:rPr>
          <w:color w:val="000000" w:themeColor="text1"/>
          <w:sz w:val="22"/>
          <w:szCs w:val="22"/>
        </w:rPr>
        <w:t>eport will critically discuss SDG 3 and SDG 10</w:t>
      </w:r>
      <w:r w:rsidR="00D80437">
        <w:rPr>
          <w:color w:val="000000" w:themeColor="text1"/>
          <w:sz w:val="22"/>
          <w:szCs w:val="22"/>
        </w:rPr>
        <w:t xml:space="preserve">, </w:t>
      </w:r>
      <w:r w:rsidR="00CD7D88">
        <w:rPr>
          <w:color w:val="000000" w:themeColor="text1"/>
          <w:sz w:val="22"/>
          <w:szCs w:val="22"/>
        </w:rPr>
        <w:t xml:space="preserve">focusing on the associated current health, well-being, and sustainability policies and initiatives at the </w:t>
      </w:r>
      <w:r w:rsidR="00D80437">
        <w:rPr>
          <w:color w:val="000000" w:themeColor="text1"/>
          <w:sz w:val="22"/>
          <w:szCs w:val="22"/>
        </w:rPr>
        <w:t>global, national,</w:t>
      </w:r>
      <w:r w:rsidR="3F140734" w:rsidRPr="521D372D">
        <w:rPr>
          <w:rFonts w:ascii="Arial" w:eastAsia="Arial" w:hAnsi="Arial" w:cs="Arial"/>
          <w:color w:val="000000" w:themeColor="text1"/>
          <w:sz w:val="22"/>
          <w:szCs w:val="22"/>
        </w:rPr>
        <w:t xml:space="preserve"> and local levels. Attention is given to how the strategies and initiatives improve population health, </w:t>
      </w:r>
      <w:r w:rsidR="00D523D2">
        <w:rPr>
          <w:rFonts w:ascii="Arial" w:eastAsia="Arial" w:hAnsi="Arial" w:cs="Arial"/>
          <w:color w:val="000000" w:themeColor="text1"/>
          <w:sz w:val="22"/>
          <w:szCs w:val="22"/>
        </w:rPr>
        <w:t xml:space="preserve">the </w:t>
      </w:r>
      <w:r w:rsidR="3F140734" w:rsidRPr="521D372D">
        <w:rPr>
          <w:rFonts w:ascii="Arial" w:eastAsia="Arial" w:hAnsi="Arial" w:cs="Arial"/>
          <w:color w:val="000000" w:themeColor="text1"/>
          <w:sz w:val="22"/>
          <w:szCs w:val="22"/>
        </w:rPr>
        <w:t>empirical</w:t>
      </w:r>
      <w:r w:rsidR="00330A5F">
        <w:rPr>
          <w:rFonts w:ascii="Arial" w:eastAsia="Arial" w:hAnsi="Arial" w:cs="Arial"/>
          <w:color w:val="000000" w:themeColor="text1"/>
          <w:sz w:val="22"/>
          <w:szCs w:val="22"/>
        </w:rPr>
        <w:t xml:space="preserve">                                                                                                                                                                                                                                                                                                                                                                                                                                                                                                                                                                                                                                                                                                                                                                                                                                                                                                                                                                                                                                                                                                                                                                                                                                                                                                                                                                                                                                                                                   </w:t>
      </w:r>
      <w:r w:rsidR="3F140734" w:rsidRPr="521D372D">
        <w:rPr>
          <w:rFonts w:ascii="Arial" w:eastAsia="Arial" w:hAnsi="Arial" w:cs="Arial"/>
          <w:color w:val="000000" w:themeColor="text1"/>
          <w:sz w:val="22"/>
          <w:szCs w:val="22"/>
        </w:rPr>
        <w:t xml:space="preserve"> literature and examples at local and national levels.  </w:t>
      </w:r>
    </w:p>
    <w:p w14:paraId="7077280B" w14:textId="77777777" w:rsidR="0006190A" w:rsidRDefault="3F140734" w:rsidP="521D372D">
      <w:pPr>
        <w:spacing w:line="360" w:lineRule="auto"/>
        <w:jc w:val="both"/>
        <w:rPr>
          <w:rFonts w:ascii="Arial" w:eastAsia="Arial" w:hAnsi="Arial" w:cs="Arial"/>
          <w:b/>
          <w:bCs/>
          <w:color w:val="000000" w:themeColor="text1"/>
          <w:sz w:val="22"/>
          <w:szCs w:val="22"/>
        </w:rPr>
      </w:pPr>
      <w:r w:rsidRPr="521D372D">
        <w:rPr>
          <w:rFonts w:ascii="Arial" w:eastAsia="Arial" w:hAnsi="Arial" w:cs="Arial"/>
          <w:b/>
          <w:bCs/>
          <w:color w:val="000000" w:themeColor="text1"/>
          <w:sz w:val="22"/>
          <w:szCs w:val="22"/>
        </w:rPr>
        <w:t>Section 1: SDG 3 – Good Health and Wellbeing</w:t>
      </w:r>
    </w:p>
    <w:p w14:paraId="5AEB942F" w14:textId="444399FC" w:rsidR="00721B6E" w:rsidRPr="006A4F4D" w:rsidRDefault="007E299F" w:rsidP="521D372D">
      <w:pPr>
        <w:spacing w:line="360" w:lineRule="auto"/>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 </w:t>
      </w:r>
      <w:r w:rsidR="000C02B7">
        <w:rPr>
          <w:rFonts w:ascii="Arial" w:eastAsia="Arial" w:hAnsi="Arial" w:cs="Arial"/>
          <w:b/>
          <w:bCs/>
          <w:color w:val="000000" w:themeColor="text1"/>
          <w:sz w:val="22"/>
          <w:szCs w:val="22"/>
        </w:rPr>
        <w:t>Core</w:t>
      </w:r>
      <w:r w:rsidR="00721B6E">
        <w:rPr>
          <w:rFonts w:ascii="Arial" w:eastAsia="Arial" w:hAnsi="Arial" w:cs="Arial"/>
          <w:b/>
          <w:bCs/>
          <w:color w:val="000000" w:themeColor="text1"/>
          <w:sz w:val="22"/>
          <w:szCs w:val="22"/>
        </w:rPr>
        <w:t xml:space="preserve"> Aim </w:t>
      </w:r>
      <w:r w:rsidR="000C02B7">
        <w:rPr>
          <w:rFonts w:ascii="Arial" w:eastAsia="Arial" w:hAnsi="Arial" w:cs="Arial"/>
          <w:b/>
          <w:bCs/>
          <w:color w:val="000000" w:themeColor="text1"/>
          <w:sz w:val="22"/>
          <w:szCs w:val="22"/>
        </w:rPr>
        <w:t>&amp; Global approaches</w:t>
      </w:r>
    </w:p>
    <w:p w14:paraId="6EBC4956" w14:textId="77777777" w:rsidR="00106E7A"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According to the UN (2015), the objective of SDG 3 is to </w:t>
      </w:r>
      <w:r w:rsidR="0000689A">
        <w:rPr>
          <w:rFonts w:ascii="Arial" w:eastAsia="Arial" w:hAnsi="Arial" w:cs="Arial"/>
          <w:color w:val="000000" w:themeColor="text1"/>
          <w:sz w:val="22"/>
          <w:szCs w:val="22"/>
        </w:rPr>
        <w:t>ensure healthy lives and promote well-being at all ages through strategic efforts to reduce premature mortality, strengthen maternal and child health, expand mental health services, combat communicable diseases, and achieve</w:t>
      </w:r>
      <w:r w:rsidRPr="521D372D">
        <w:rPr>
          <w:rFonts w:ascii="Arial" w:eastAsia="Arial" w:hAnsi="Arial" w:cs="Arial"/>
          <w:color w:val="000000" w:themeColor="text1"/>
          <w:sz w:val="22"/>
          <w:szCs w:val="22"/>
        </w:rPr>
        <w:t xml:space="preserve"> universal health coverage (UHC). Since health is both a pre-requisite and an outcome of sustainable development, SDG 3 calls for wider action on the determinants </w:t>
      </w:r>
      <w:r w:rsidRPr="521D372D">
        <w:rPr>
          <w:rFonts w:ascii="Arial" w:eastAsia="Arial" w:hAnsi="Arial" w:cs="Arial"/>
          <w:color w:val="000000" w:themeColor="text1"/>
          <w:sz w:val="22"/>
          <w:szCs w:val="22"/>
        </w:rPr>
        <w:lastRenderedPageBreak/>
        <w:t>of health, including education, housing, employment and environmental conditions (Oerther and Rosa, 2020).  One of the most significant policy mechanisms or initiatives for achieving SDG 3 at the global level is through Universal Health Coverage (UHC). Defined as ensuring all individuals have access to essential healthcare services without suffering financial hardships (World Health Organisation (WHO), 2023), evidence by Kittipittayakorn (2025) found that countries with strong universal healthcare systems such as Norway, Sweden, Denmark, the Netherlands and Japan have attained better population health outcomes and</w:t>
      </w:r>
    </w:p>
    <w:p w14:paraId="57EEBD36" w14:textId="153A0AC8" w:rsidR="00CC072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lower rates of mortality. Kodali (2023) also reported that due to UHC, child mortality rates have reduced significantly in the last decade while access to primary health services has improved</w:t>
      </w:r>
    </w:p>
    <w:p w14:paraId="67E57F90" w14:textId="4494BEF4"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in many low- and middle-income countries. The initiative is also consistent with the principles of the Biopsychosocial Model (Engel 1977), through </w:t>
      </w:r>
      <w:r w:rsidR="005B6C4E">
        <w:rPr>
          <w:rFonts w:ascii="Arial" w:eastAsia="Arial" w:hAnsi="Arial" w:cs="Arial"/>
          <w:color w:val="000000" w:themeColor="text1"/>
          <w:sz w:val="22"/>
          <w:szCs w:val="22"/>
        </w:rPr>
        <w:t>an emphasis on equitable access to preventive and rehabilitation services, and a realisation that health goes beyond the treatment of disease to address the interactions among</w:t>
      </w:r>
      <w:r w:rsidRPr="521D372D">
        <w:rPr>
          <w:rFonts w:ascii="Arial" w:eastAsia="Arial" w:hAnsi="Arial" w:cs="Arial"/>
          <w:color w:val="000000" w:themeColor="text1"/>
          <w:sz w:val="22"/>
          <w:szCs w:val="22"/>
        </w:rPr>
        <w:t xml:space="preserve"> biological, psychological and social factors. However, the progress is still uneven. An estimated 4.6 billion people still lack access to essential health services, while </w:t>
      </w:r>
      <w:r w:rsidR="004E0434">
        <w:rPr>
          <w:rFonts w:ascii="Arial" w:eastAsia="Arial" w:hAnsi="Arial" w:cs="Arial"/>
          <w:color w:val="000000" w:themeColor="text1"/>
          <w:sz w:val="22"/>
          <w:szCs w:val="22"/>
        </w:rPr>
        <w:t>nearly 2.1 billion report financial hardship</w:t>
      </w:r>
      <w:r w:rsidRPr="521D372D">
        <w:rPr>
          <w:rFonts w:ascii="Arial" w:eastAsia="Arial" w:hAnsi="Arial" w:cs="Arial"/>
          <w:color w:val="000000" w:themeColor="text1"/>
          <w:sz w:val="22"/>
          <w:szCs w:val="22"/>
        </w:rPr>
        <w:t xml:space="preserve"> due to healthcare costs (WHO and World Bank Group, 2025). Bambra (2022) also noted that many UHC strategies over-prioritise healthcare access while overlooking the social determinants that generate poor health in the first place. UHC has thus been very effective in improving health service availability globally but only slightly successful in eliminating underlying inequalities </w:t>
      </w:r>
      <w:r w:rsidR="00B46AD6">
        <w:rPr>
          <w:rFonts w:ascii="Arial" w:eastAsia="Arial" w:hAnsi="Arial" w:cs="Arial"/>
          <w:color w:val="000000" w:themeColor="text1"/>
          <w:sz w:val="22"/>
          <w:szCs w:val="22"/>
        </w:rPr>
        <w:t>that culminate in ill-health, due to inadequate funding, workforce shortages,</w:t>
      </w:r>
      <w:r w:rsidRPr="521D372D">
        <w:rPr>
          <w:rFonts w:ascii="Arial" w:eastAsia="Arial" w:hAnsi="Arial" w:cs="Arial"/>
          <w:color w:val="000000" w:themeColor="text1"/>
          <w:sz w:val="22"/>
          <w:szCs w:val="22"/>
        </w:rPr>
        <w:t xml:space="preserve"> and unequal resource distribution (Darrudi et al., 2022). </w:t>
      </w:r>
    </w:p>
    <w:p w14:paraId="0AB2D97E" w14:textId="71C44BA9"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The WHO Comprehensive Mental Health Action Plan is another policy aiming at fostering community-based care, eliminating stigma and fostering access to global mental health services (WHO, 2021). Although the policies recognise the value of mental health to general wellbeing, governments allocate less than 2% of healthcare budgets to mental health on average, especially in low-income countries, hence exhibiting a disconnect between policy and practice. The health belief model can be applied to evaluate the success of UHC and Comprehensive Mental Health Action, especially the concept of perceived barriers and self-efficacy (Rosenstock, 1974). Bolongaita et al., (2023) found that UHC decreased out-of-pocket expenditure and direct healthcare costs</w:t>
      </w:r>
      <w:r w:rsidR="00B46AD6">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leading to self-efficacy and confidence of people in care access. </w:t>
      </w:r>
    </w:p>
    <w:p w14:paraId="3ED11D78" w14:textId="77777777" w:rsidR="009C78A9"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In England</w:t>
      </w:r>
      <w:r w:rsidR="00B46AD6">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SDG 3 is enshrined in the NHS Long Term Plan (2019)</w:t>
      </w:r>
      <w:r w:rsidR="000F4DA5">
        <w:rPr>
          <w:rFonts w:ascii="Arial" w:eastAsia="Arial" w:hAnsi="Arial" w:cs="Arial"/>
          <w:color w:val="000000" w:themeColor="text1"/>
          <w:sz w:val="22"/>
          <w:szCs w:val="22"/>
        </w:rPr>
        <w:t>, which</w:t>
      </w:r>
      <w:r w:rsidRPr="521D372D">
        <w:rPr>
          <w:rFonts w:ascii="Arial" w:eastAsia="Arial" w:hAnsi="Arial" w:cs="Arial"/>
          <w:color w:val="000000" w:themeColor="text1"/>
          <w:sz w:val="22"/>
          <w:szCs w:val="22"/>
        </w:rPr>
        <w:t xml:space="preserve"> is dedicated to prevention, integrated care and improved mental health provision. The shift from reactive treatments to preventive healthcare also represents a recognition that long-term health cannot </w:t>
      </w:r>
      <w:r w:rsidRPr="521D372D">
        <w:rPr>
          <w:rFonts w:ascii="Arial" w:eastAsia="Arial" w:hAnsi="Arial" w:cs="Arial"/>
          <w:color w:val="000000" w:themeColor="text1"/>
          <w:sz w:val="22"/>
          <w:szCs w:val="22"/>
        </w:rPr>
        <w:lastRenderedPageBreak/>
        <w:t xml:space="preserve">be achieved through acute interventions only, leading to an </w:t>
      </w:r>
      <w:r w:rsidR="00B46AD6">
        <w:rPr>
          <w:rFonts w:ascii="Arial" w:eastAsia="Arial" w:hAnsi="Arial" w:cs="Arial"/>
          <w:color w:val="000000" w:themeColor="text1"/>
          <w:sz w:val="22"/>
          <w:szCs w:val="22"/>
        </w:rPr>
        <w:t>additional</w:t>
      </w:r>
      <w:r w:rsidRPr="521D372D">
        <w:rPr>
          <w:rFonts w:ascii="Arial" w:eastAsia="Arial" w:hAnsi="Arial" w:cs="Arial"/>
          <w:color w:val="000000" w:themeColor="text1"/>
          <w:sz w:val="22"/>
          <w:szCs w:val="22"/>
        </w:rPr>
        <w:t xml:space="preserve"> £20.5 billion per year to strengthen the NHS (Charlesworth et al., 2021).</w:t>
      </w:r>
      <w:r w:rsidR="00B46AD6">
        <w:rPr>
          <w:rFonts w:ascii="Arial" w:eastAsia="Arial" w:hAnsi="Arial" w:cs="Arial"/>
          <w:color w:val="000000" w:themeColor="text1"/>
          <w:sz w:val="22"/>
          <w:szCs w:val="22"/>
        </w:rPr>
        <w:t xml:space="preserve"> </w:t>
      </w:r>
      <w:r w:rsidRPr="521D372D">
        <w:rPr>
          <w:rFonts w:ascii="Arial" w:eastAsia="Arial" w:hAnsi="Arial" w:cs="Arial"/>
          <w:color w:val="000000" w:themeColor="text1"/>
          <w:sz w:val="22"/>
          <w:szCs w:val="22"/>
        </w:rPr>
        <w:t xml:space="preserve">The NHS health checks </w:t>
      </w:r>
      <w:r w:rsidR="000F4DA5">
        <w:rPr>
          <w:rFonts w:ascii="Arial" w:eastAsia="Arial" w:hAnsi="Arial" w:cs="Arial"/>
          <w:color w:val="000000" w:themeColor="text1"/>
          <w:sz w:val="22"/>
          <w:szCs w:val="22"/>
        </w:rPr>
        <w:t>are</w:t>
      </w:r>
      <w:r w:rsidRPr="521D372D">
        <w:rPr>
          <w:rFonts w:ascii="Arial" w:eastAsia="Arial" w:hAnsi="Arial" w:cs="Arial"/>
          <w:color w:val="000000" w:themeColor="text1"/>
          <w:sz w:val="22"/>
          <w:szCs w:val="22"/>
        </w:rPr>
        <w:t xml:space="preserve"> one of the </w:t>
      </w:r>
      <w:r w:rsidR="000F4DA5">
        <w:rPr>
          <w:rFonts w:ascii="Arial" w:eastAsia="Arial" w:hAnsi="Arial" w:cs="Arial"/>
          <w:color w:val="000000" w:themeColor="text1"/>
          <w:sz w:val="22"/>
          <w:szCs w:val="22"/>
        </w:rPr>
        <w:t>programmes</w:t>
      </w:r>
      <w:r w:rsidRPr="521D372D">
        <w:rPr>
          <w:rFonts w:ascii="Arial" w:eastAsia="Arial" w:hAnsi="Arial" w:cs="Arial"/>
          <w:color w:val="000000" w:themeColor="text1"/>
          <w:sz w:val="22"/>
          <w:szCs w:val="22"/>
        </w:rPr>
        <w:t xml:space="preserve"> at </w:t>
      </w:r>
      <w:r w:rsidR="000F4DA5">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national level embodying the principles of SDG 3. The </w:t>
      </w:r>
      <w:r w:rsidR="000F4DA5">
        <w:rPr>
          <w:rFonts w:ascii="Arial" w:eastAsia="Arial" w:hAnsi="Arial" w:cs="Arial"/>
          <w:color w:val="000000" w:themeColor="text1"/>
          <w:sz w:val="22"/>
          <w:szCs w:val="22"/>
        </w:rPr>
        <w:t>programme</w:t>
      </w:r>
      <w:r w:rsidRPr="521D372D">
        <w:rPr>
          <w:rFonts w:ascii="Arial" w:eastAsia="Arial" w:hAnsi="Arial" w:cs="Arial"/>
          <w:color w:val="000000" w:themeColor="text1"/>
          <w:sz w:val="22"/>
          <w:szCs w:val="22"/>
        </w:rPr>
        <w:t xml:space="preserve"> offers cardiovascular risk assessments to adults aged 40–74</w:t>
      </w:r>
      <w:r w:rsidR="000F4DA5">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with over 10 million health checks conducted since inception and prevention of 6,000 heart attacks and 4,000 strokes through early intervention and management of cardiovascular factors (Robson et al., 2021). The programme is consistent with the Health Belief model because it increases individuals </w:t>
      </w:r>
      <w:r w:rsidR="000F4DA5">
        <w:rPr>
          <w:rFonts w:ascii="Arial" w:eastAsia="Arial" w:hAnsi="Arial" w:cs="Arial"/>
          <w:color w:val="000000" w:themeColor="text1"/>
          <w:sz w:val="22"/>
          <w:szCs w:val="22"/>
        </w:rPr>
        <w:t xml:space="preserve">' awareness </w:t>
      </w:r>
      <w:r w:rsidRPr="521D372D">
        <w:rPr>
          <w:rFonts w:ascii="Arial" w:eastAsia="Arial" w:hAnsi="Arial" w:cs="Arial"/>
          <w:color w:val="000000" w:themeColor="text1"/>
          <w:sz w:val="22"/>
          <w:szCs w:val="22"/>
        </w:rPr>
        <w:t>of their cardiovascular risk scores</w:t>
      </w:r>
      <w:r w:rsidR="000F4DA5">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leading to behavioural modifications.</w:t>
      </w:r>
    </w:p>
    <w:p w14:paraId="28650D63" w14:textId="77777777" w:rsidR="00310B69" w:rsidRDefault="00310B69" w:rsidP="00310B69">
      <w:pPr>
        <w:spacing w:line="360" w:lineRule="auto"/>
        <w:jc w:val="both"/>
        <w:rPr>
          <w:rFonts w:ascii="Arial" w:eastAsia="Arial" w:hAnsi="Arial" w:cs="Arial"/>
          <w:color w:val="000000" w:themeColor="text1"/>
          <w:sz w:val="22"/>
          <w:szCs w:val="22"/>
        </w:rPr>
      </w:pPr>
    </w:p>
    <w:p w14:paraId="6F8BBAE2" w14:textId="4950DDE1" w:rsidR="00CC0724" w:rsidRDefault="3F140734" w:rsidP="00106E7A">
      <w:pPr>
        <w:spacing w:line="360" w:lineRule="auto"/>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However,</w:t>
      </w:r>
      <w:r w:rsidR="00C10732">
        <w:rPr>
          <w:rFonts w:ascii="Arial" w:eastAsia="Arial" w:hAnsi="Arial" w:cs="Arial"/>
          <w:color w:val="000000" w:themeColor="text1"/>
          <w:sz w:val="22"/>
          <w:szCs w:val="22"/>
        </w:rPr>
        <w:t xml:space="preserve"> </w:t>
      </w:r>
      <w:r w:rsidRPr="521D372D">
        <w:rPr>
          <w:rFonts w:ascii="Arial" w:eastAsia="Arial" w:hAnsi="Arial" w:cs="Arial"/>
          <w:color w:val="000000" w:themeColor="text1"/>
          <w:sz w:val="22"/>
          <w:szCs w:val="22"/>
        </w:rPr>
        <w:t xml:space="preserve">both </w:t>
      </w:r>
      <w:r w:rsidR="000F4DA5">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NHS Plan and NHS health checks have limitations. The uptake of NHS health checks is low among populations with the highest levels of deprivation, despite increased risks of chronic disease (The Health Foundation, 2024). The results reflect Tudor Hart’s (1971) Inverse </w:t>
      </w:r>
    </w:p>
    <w:p w14:paraId="18986DF8" w14:textId="1513E27A" w:rsidR="3F140734" w:rsidRDefault="3F140734" w:rsidP="00CC0724">
      <w:pPr>
        <w:spacing w:line="360" w:lineRule="auto"/>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Care Law, where those with the greatest needs are least likely to benefit from availabl</w:t>
      </w:r>
      <w:r w:rsidR="00CC0724">
        <w:rPr>
          <w:rFonts w:ascii="Arial" w:eastAsia="Arial" w:hAnsi="Arial" w:cs="Arial"/>
          <w:color w:val="000000" w:themeColor="text1"/>
          <w:sz w:val="22"/>
          <w:szCs w:val="22"/>
        </w:rPr>
        <w:t>e</w:t>
      </w:r>
      <w:r w:rsidRPr="521D372D">
        <w:rPr>
          <w:rFonts w:ascii="Arial" w:eastAsia="Arial" w:hAnsi="Arial" w:cs="Arial"/>
          <w:color w:val="000000" w:themeColor="text1"/>
          <w:sz w:val="22"/>
          <w:szCs w:val="22"/>
        </w:rPr>
        <w:t xml:space="preserve"> services. </w:t>
      </w:r>
    </w:p>
    <w:p w14:paraId="32B5DD15" w14:textId="48401236"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Greater Manchester's Social Prescribing Programme is an embodiment of the effective operationalisation of SDG through community-based interventions. Under the initiative, healthcare professionals refer service users to non-clinical support and community resources such as exercise groups, welfare advice, volunteering opportunities and peer-support networks (NHS Greater Manchester, 2023). An evaluation conducted by Tierney et al. (2025) found that between 2019 and 2024, more than 100,000 residents were referred to social prescribing services across Greater Manchester, leading to increased mental wellbeing and reduced loneliness. Bandura’s (1986) Social Cognitive Theory also supports the intervention by noting that observational learning through social support and self-efficacy can be gained through participation in community activities</w:t>
      </w:r>
      <w:r w:rsidR="00A90BD1">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leading to improved confidence in managing one's own health. However, social prescribing can alleviate some consequences of poor </w:t>
      </w:r>
      <w:r w:rsidR="00530BF9" w:rsidRPr="521D372D">
        <w:rPr>
          <w:rFonts w:ascii="Arial" w:eastAsia="Arial" w:hAnsi="Arial" w:cs="Arial"/>
          <w:color w:val="000000" w:themeColor="text1"/>
          <w:sz w:val="22"/>
          <w:szCs w:val="22"/>
        </w:rPr>
        <w:t>health but</w:t>
      </w:r>
      <w:r w:rsidRPr="521D372D">
        <w:rPr>
          <w:rFonts w:ascii="Arial" w:eastAsia="Arial" w:hAnsi="Arial" w:cs="Arial"/>
          <w:color w:val="000000" w:themeColor="text1"/>
          <w:sz w:val="22"/>
          <w:szCs w:val="22"/>
        </w:rPr>
        <w:t xml:space="preserve"> fails to fully address the structural influencers such as poverty, housing insecurity and unemployment (Islam, 2025). The effectiveness of social prescribing services also varies significantly based on the availability of community resources, which are commonly least developed in deprived communities. Although the global and national initiatives show a resilient devotion towards SDG 3, future progress should encompass greater investments in preventive services, public health infrastructure and community-based interventions (Graham, 2025). Nations should also increase investments in prevention, workforce development and mental health services. Healthcare policy should also address the wider social determinants of health through stronger collaboration between healthcare, housing, education and </w:t>
      </w:r>
      <w:r w:rsidRPr="521D372D">
        <w:rPr>
          <w:rFonts w:ascii="Arial" w:eastAsia="Arial" w:hAnsi="Arial" w:cs="Arial"/>
          <w:color w:val="000000" w:themeColor="text1"/>
          <w:sz w:val="22"/>
          <w:szCs w:val="22"/>
        </w:rPr>
        <w:lastRenderedPageBreak/>
        <w:t xml:space="preserve">employment sectors, in alignment with Dahlgren and </w:t>
      </w:r>
      <w:r w:rsidR="00157099">
        <w:rPr>
          <w:rFonts w:ascii="Arial" w:eastAsia="Arial" w:hAnsi="Arial" w:cs="Arial"/>
          <w:color w:val="000000" w:themeColor="text1"/>
          <w:sz w:val="22"/>
          <w:szCs w:val="22"/>
        </w:rPr>
        <w:t>Whitehead's</w:t>
      </w:r>
      <w:r w:rsidRPr="521D372D">
        <w:rPr>
          <w:rFonts w:ascii="Arial" w:eastAsia="Arial" w:hAnsi="Arial" w:cs="Arial"/>
          <w:color w:val="000000" w:themeColor="text1"/>
          <w:sz w:val="22"/>
          <w:szCs w:val="22"/>
        </w:rPr>
        <w:t xml:space="preserve"> (1991) model of health that recommends action at multiple levels of society for sustainable improvements in population health. </w:t>
      </w:r>
    </w:p>
    <w:p w14:paraId="4230B2D2" w14:textId="77777777" w:rsidR="007E54B8" w:rsidRDefault="3F140734" w:rsidP="521D372D">
      <w:pPr>
        <w:spacing w:line="360" w:lineRule="auto"/>
        <w:jc w:val="both"/>
        <w:rPr>
          <w:rFonts w:ascii="Arial" w:eastAsia="Arial" w:hAnsi="Arial" w:cs="Arial"/>
          <w:b/>
          <w:bCs/>
          <w:color w:val="000000" w:themeColor="text1"/>
          <w:sz w:val="22"/>
          <w:szCs w:val="22"/>
        </w:rPr>
      </w:pPr>
      <w:r w:rsidRPr="521D372D">
        <w:rPr>
          <w:rFonts w:ascii="Arial" w:eastAsia="Arial" w:hAnsi="Arial" w:cs="Arial"/>
          <w:b/>
          <w:bCs/>
          <w:color w:val="000000" w:themeColor="text1"/>
          <w:sz w:val="22"/>
          <w:szCs w:val="22"/>
        </w:rPr>
        <w:t>Section 2: SDG 10 – Reduced Inequalities</w:t>
      </w:r>
      <w:r w:rsidR="00DC7425">
        <w:rPr>
          <w:rFonts w:ascii="Arial" w:eastAsia="Arial" w:hAnsi="Arial" w:cs="Arial"/>
          <w:b/>
          <w:bCs/>
          <w:color w:val="000000" w:themeColor="text1"/>
          <w:sz w:val="22"/>
          <w:szCs w:val="22"/>
        </w:rPr>
        <w:t xml:space="preserve"> </w:t>
      </w:r>
    </w:p>
    <w:p w14:paraId="3256AD57" w14:textId="560F94B5" w:rsidR="3F140734" w:rsidRDefault="00080DF8" w:rsidP="521D372D">
      <w:pPr>
        <w:spacing w:line="360" w:lineRule="auto"/>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Core Aim</w:t>
      </w:r>
      <w:r w:rsidR="00B7298C">
        <w:rPr>
          <w:rFonts w:ascii="Arial" w:eastAsia="Arial" w:hAnsi="Arial" w:cs="Arial"/>
          <w:b/>
          <w:bCs/>
          <w:color w:val="000000" w:themeColor="text1"/>
          <w:sz w:val="22"/>
          <w:szCs w:val="22"/>
        </w:rPr>
        <w:t xml:space="preserve"> &amp; </w:t>
      </w:r>
      <w:r w:rsidR="00413077">
        <w:rPr>
          <w:rFonts w:ascii="Arial" w:eastAsia="Arial" w:hAnsi="Arial" w:cs="Arial"/>
          <w:b/>
          <w:bCs/>
          <w:color w:val="000000" w:themeColor="text1"/>
          <w:sz w:val="22"/>
          <w:szCs w:val="22"/>
        </w:rPr>
        <w:t>Global approaches</w:t>
      </w:r>
    </w:p>
    <w:p w14:paraId="11C18AAA" w14:textId="7A2F5FFD" w:rsidR="006B285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The 10</w:t>
      </w:r>
      <w:r w:rsidRPr="521D372D">
        <w:rPr>
          <w:rFonts w:ascii="Arial" w:eastAsia="Arial" w:hAnsi="Arial" w:cs="Arial"/>
          <w:color w:val="000000" w:themeColor="text1"/>
          <w:sz w:val="22"/>
          <w:szCs w:val="22"/>
          <w:vertAlign w:val="superscript"/>
        </w:rPr>
        <w:t>th</w:t>
      </w:r>
      <w:r w:rsidRPr="521D372D">
        <w:rPr>
          <w:rFonts w:ascii="Arial" w:eastAsia="Arial" w:hAnsi="Arial" w:cs="Arial"/>
          <w:color w:val="000000" w:themeColor="text1"/>
          <w:sz w:val="22"/>
          <w:szCs w:val="22"/>
        </w:rPr>
        <w:t xml:space="preserve"> SDG is committed to reducing inequalities within and between countries by promoting social, economic and political inclusion irrespective of age, sex, disability, race, ethnicity, origin, religion or economic status (UN, 2015). The “Leave No One Behind” agenda is the central strategy for </w:t>
      </w:r>
      <w:r w:rsidR="000E6A21">
        <w:rPr>
          <w:rFonts w:ascii="Arial" w:eastAsia="Arial" w:hAnsi="Arial" w:cs="Arial"/>
          <w:color w:val="000000" w:themeColor="text1"/>
          <w:sz w:val="22"/>
          <w:szCs w:val="22"/>
        </w:rPr>
        <w:t>realising</w:t>
      </w:r>
      <w:r w:rsidRPr="521D372D">
        <w:rPr>
          <w:rFonts w:ascii="Arial" w:eastAsia="Arial" w:hAnsi="Arial" w:cs="Arial"/>
          <w:color w:val="000000" w:themeColor="text1"/>
          <w:sz w:val="22"/>
          <w:szCs w:val="22"/>
        </w:rPr>
        <w:t xml:space="preserve"> the </w:t>
      </w:r>
      <w:r w:rsidR="000E6A21">
        <w:rPr>
          <w:rFonts w:ascii="Arial" w:eastAsia="Arial" w:hAnsi="Arial" w:cs="Arial"/>
          <w:color w:val="000000" w:themeColor="text1"/>
          <w:sz w:val="22"/>
          <w:szCs w:val="22"/>
        </w:rPr>
        <w:t>SDGs</w:t>
      </w:r>
      <w:r w:rsidRPr="521D372D">
        <w:rPr>
          <w:rFonts w:ascii="Arial" w:eastAsia="Arial" w:hAnsi="Arial" w:cs="Arial"/>
          <w:color w:val="000000" w:themeColor="text1"/>
          <w:sz w:val="22"/>
          <w:szCs w:val="22"/>
        </w:rPr>
        <w:t xml:space="preserve"> at the global scale. The framework prioritises the needs of disadvantaged populations, besides addressing structural barriers to participation. Wilkinson and Pickett (2018) also explained that unequal distribution of power, money and resources </w:t>
      </w:r>
      <w:r w:rsidR="000E6A21">
        <w:rPr>
          <w:rFonts w:ascii="Arial" w:eastAsia="Arial" w:hAnsi="Arial" w:cs="Arial"/>
          <w:color w:val="000000" w:themeColor="text1"/>
          <w:sz w:val="22"/>
          <w:szCs w:val="22"/>
        </w:rPr>
        <w:t>drives</w:t>
      </w:r>
      <w:r w:rsidRPr="521D372D">
        <w:rPr>
          <w:rFonts w:ascii="Arial" w:eastAsia="Arial" w:hAnsi="Arial" w:cs="Arial"/>
          <w:color w:val="000000" w:themeColor="text1"/>
          <w:sz w:val="22"/>
          <w:szCs w:val="22"/>
        </w:rPr>
        <w:t xml:space="preserve"> health disparities, with countries with lower levels of inequality recording higher life expectancy. The WHO Health Equity framework is another strategy that champions actions on the social determinants of health such as education, housing, employment and income distribution (WHO, 2022). Both approaches are informed by the Social Determinants of Health framework, which states that health inequalities emanate from unequal social and economic circumstances and not just individual behaviours (Embrett, M.G. and Randall, 2014). Nonetheless, the policy commitments are accompanied by </w:t>
      </w:r>
      <w:r w:rsidR="00407D4E">
        <w:rPr>
          <w:rFonts w:ascii="Arial" w:eastAsia="Arial" w:hAnsi="Arial" w:cs="Arial"/>
          <w:color w:val="000000" w:themeColor="text1"/>
          <w:sz w:val="22"/>
          <w:szCs w:val="22"/>
        </w:rPr>
        <w:t>fewer</w:t>
      </w:r>
      <w:r w:rsidRPr="521D372D">
        <w:rPr>
          <w:rFonts w:ascii="Arial" w:eastAsia="Arial" w:hAnsi="Arial" w:cs="Arial"/>
          <w:color w:val="000000" w:themeColor="text1"/>
          <w:sz w:val="22"/>
          <w:szCs w:val="22"/>
        </w:rPr>
        <w:t xml:space="preserve"> implementation efforts. Livingston et al. (2025) reported that nearly 700 million people live in extreme poverty, below $2.15 per day. High levels of disparities are also persistent between high-income and </w:t>
      </w:r>
      <w:r w:rsidR="00407D4E">
        <w:rPr>
          <w:rFonts w:ascii="Arial" w:eastAsia="Arial" w:hAnsi="Arial" w:cs="Arial"/>
          <w:color w:val="000000" w:themeColor="text1"/>
          <w:sz w:val="22"/>
          <w:szCs w:val="22"/>
        </w:rPr>
        <w:t>low-income countries</w:t>
      </w:r>
      <w:r w:rsidRPr="521D372D">
        <w:rPr>
          <w:rFonts w:ascii="Arial" w:eastAsia="Arial" w:hAnsi="Arial" w:cs="Arial"/>
          <w:color w:val="000000" w:themeColor="text1"/>
          <w:sz w:val="22"/>
          <w:szCs w:val="22"/>
        </w:rPr>
        <w:t>, highlighting the massive limitation of global initiatives. In addition to providing strategic direction but depending on voluntary national implementation, Abdi et al. (2025) also critiqued that many global initiatives focus on monitoring inequalities instead of addressing the structural economic systems generating them. From the perspective of Marmot et al. (2020) many global initiatives place more emphasis on growth over equity, leading to limited efficacy in eliminating inequalities.</w:t>
      </w:r>
    </w:p>
    <w:p w14:paraId="6B26A002" w14:textId="77777777" w:rsidR="00A87753" w:rsidRDefault="00A87753" w:rsidP="521D372D">
      <w:pPr>
        <w:spacing w:line="360" w:lineRule="auto"/>
        <w:ind w:firstLine="720"/>
        <w:jc w:val="both"/>
        <w:rPr>
          <w:rFonts w:ascii="Arial" w:eastAsia="Arial" w:hAnsi="Arial" w:cs="Arial"/>
          <w:color w:val="000000" w:themeColor="text1"/>
          <w:sz w:val="22"/>
          <w:szCs w:val="22"/>
        </w:rPr>
      </w:pPr>
    </w:p>
    <w:p w14:paraId="20E8602E" w14:textId="4CE436D8" w:rsidR="00F6655D" w:rsidRPr="00D31A28" w:rsidRDefault="002270F3" w:rsidP="521D372D">
      <w:pPr>
        <w:spacing w:line="360" w:lineRule="auto"/>
        <w:ind w:firstLine="720"/>
        <w:jc w:val="both"/>
        <w:rPr>
          <w:rFonts w:ascii="Arial" w:eastAsia="Arial" w:hAnsi="Arial" w:cs="Arial"/>
          <w:b/>
          <w:bCs/>
          <w:color w:val="000000" w:themeColor="text1"/>
          <w:sz w:val="22"/>
          <w:szCs w:val="22"/>
        </w:rPr>
      </w:pPr>
      <w:r w:rsidRPr="00D31A28">
        <w:rPr>
          <w:rFonts w:ascii="Arial" w:eastAsia="Arial" w:hAnsi="Arial" w:cs="Arial"/>
          <w:b/>
          <w:bCs/>
          <w:color w:val="000000" w:themeColor="text1"/>
          <w:sz w:val="22"/>
          <w:szCs w:val="22"/>
        </w:rPr>
        <w:t>Key Challenges</w:t>
      </w:r>
    </w:p>
    <w:p w14:paraId="64947429" w14:textId="5838AFEA"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w:t>
      </w:r>
    </w:p>
    <w:p w14:paraId="4DA7DE21" w14:textId="40D1AFC1" w:rsidR="004B0A70"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At the national level</w:t>
      </w:r>
      <w:r w:rsidR="00451BF9">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the UK has implemented </w:t>
      </w:r>
      <w:r w:rsidR="00BE32FE">
        <w:rPr>
          <w:rFonts w:ascii="Arial" w:eastAsia="Arial" w:hAnsi="Arial" w:cs="Arial"/>
          <w:color w:val="000000" w:themeColor="text1"/>
          <w:sz w:val="22"/>
          <w:szCs w:val="22"/>
        </w:rPr>
        <w:t>NHS England’s Core20PLUS5 initiative to achieve proportionate universalism by strengthening healthcare access and outcomes for the most deprived 20% of the population, as well as</w:t>
      </w:r>
      <w:r w:rsidRPr="521D372D">
        <w:rPr>
          <w:rFonts w:ascii="Arial" w:eastAsia="Arial" w:hAnsi="Arial" w:cs="Arial"/>
          <w:color w:val="000000" w:themeColor="text1"/>
          <w:sz w:val="22"/>
          <w:szCs w:val="22"/>
        </w:rPr>
        <w:t xml:space="preserve"> other vulnerable groups (NHS England, 2023). While Marmot et al. (2020) stated that health follows a social gradient whereby individuals living in more deprived circumstances experience progressively worse health </w:t>
      </w:r>
      <w:r w:rsidRPr="521D372D">
        <w:rPr>
          <w:rFonts w:ascii="Arial" w:eastAsia="Arial" w:hAnsi="Arial" w:cs="Arial"/>
          <w:color w:val="000000" w:themeColor="text1"/>
          <w:sz w:val="22"/>
          <w:szCs w:val="22"/>
        </w:rPr>
        <w:lastRenderedPageBreak/>
        <w:t>outcomes, Persaud et al. (2023) affirmed that early interventions in disadvantaged communities can boost screening, prevention and management of both acute and chronic diseases. On evaluation</w:t>
      </w:r>
      <w:r w:rsidR="00AC1A94">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the NHS England (2024) reported that more than 2 million people in disadvantaged areas had their blood pressure optimised while 900,000 others with severe mental illness received annual physical health checks between 2019 and 2024, hence addressing the 15–20-year mortality gap </w:t>
      </w:r>
      <w:r w:rsidR="00D75E65">
        <w:rPr>
          <w:rFonts w:ascii="Arial" w:eastAsia="Arial" w:hAnsi="Arial" w:cs="Arial"/>
          <w:color w:val="000000" w:themeColor="text1"/>
          <w:sz w:val="22"/>
          <w:szCs w:val="22"/>
        </w:rPr>
        <w:t>in</w:t>
      </w:r>
      <w:r w:rsidRPr="521D372D">
        <w:rPr>
          <w:rFonts w:ascii="Arial" w:eastAsia="Arial" w:hAnsi="Arial" w:cs="Arial"/>
          <w:color w:val="000000" w:themeColor="text1"/>
          <w:sz w:val="22"/>
          <w:szCs w:val="22"/>
        </w:rPr>
        <w:t xml:space="preserve"> the population. Even with the noble developments, there is still uncertainty pertaining to the scale of investments needed to eliminate the deeply entrenched inequalities. Mayhew (2025) found that improvements in life expectancy stalled after 2010 while health inequalities increased. The ecological model further improves understanding of the </w:t>
      </w:r>
      <w:r w:rsidR="00451BF9">
        <w:rPr>
          <w:rFonts w:ascii="Arial" w:eastAsia="Arial" w:hAnsi="Arial" w:cs="Arial"/>
          <w:color w:val="000000" w:themeColor="text1"/>
          <w:sz w:val="22"/>
          <w:szCs w:val="22"/>
        </w:rPr>
        <w:t>limitations</w:t>
      </w:r>
      <w:r w:rsidRPr="521D372D">
        <w:rPr>
          <w:rFonts w:ascii="Arial" w:eastAsia="Arial" w:hAnsi="Arial" w:cs="Arial"/>
          <w:color w:val="000000" w:themeColor="text1"/>
          <w:sz w:val="22"/>
          <w:szCs w:val="22"/>
        </w:rPr>
        <w:t xml:space="preserve"> </w:t>
      </w:r>
      <w:r w:rsidR="00417C71">
        <w:rPr>
          <w:rFonts w:ascii="Arial" w:eastAsia="Arial" w:hAnsi="Arial" w:cs="Arial"/>
          <w:color w:val="000000" w:themeColor="text1"/>
          <w:sz w:val="22"/>
          <w:szCs w:val="22"/>
        </w:rPr>
        <w:t>of</w:t>
      </w:r>
      <w:r w:rsidRPr="521D372D">
        <w:rPr>
          <w:rFonts w:ascii="Arial" w:eastAsia="Arial" w:hAnsi="Arial" w:cs="Arial"/>
          <w:color w:val="000000" w:themeColor="text1"/>
          <w:sz w:val="22"/>
          <w:szCs w:val="22"/>
        </w:rPr>
        <w:t xml:space="preserve"> the Core20PLUS5 by maintaining that health outcomes are</w:t>
      </w:r>
    </w:p>
    <w:p w14:paraId="62646D6E" w14:textId="271437A8"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influenced by multiple interacting levels, including individual, interpersonal, community and policy factors (Eriksson et al., 2025)</w:t>
      </w:r>
      <w:r w:rsidR="00451BF9">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Failing to address the other determinants such as poor housing, unemployment and rising cost of living will eventually reinforce health inequalities and undermine health. </w:t>
      </w:r>
    </w:p>
    <w:p w14:paraId="3B991E51" w14:textId="0D716007" w:rsidR="00CD3BD9" w:rsidRPr="00EA184A" w:rsidRDefault="00EA184A" w:rsidP="00B2651E">
      <w:pPr>
        <w:spacing w:line="360" w:lineRule="auto"/>
        <w:jc w:val="both"/>
        <w:rPr>
          <w:rFonts w:ascii="Arial" w:eastAsia="Arial" w:hAnsi="Arial" w:cs="Arial"/>
          <w:b/>
          <w:bCs/>
          <w:color w:val="000000" w:themeColor="text1"/>
          <w:sz w:val="22"/>
          <w:szCs w:val="22"/>
        </w:rPr>
      </w:pPr>
      <w:r w:rsidRPr="00EA184A">
        <w:rPr>
          <w:rFonts w:ascii="Arial" w:eastAsia="Arial" w:hAnsi="Arial" w:cs="Arial"/>
          <w:b/>
          <w:bCs/>
          <w:color w:val="000000" w:themeColor="text1"/>
          <w:sz w:val="22"/>
          <w:szCs w:val="22"/>
        </w:rPr>
        <w:t xml:space="preserve">UK </w:t>
      </w:r>
      <w:r w:rsidR="00E12DC4" w:rsidRPr="00EA184A">
        <w:rPr>
          <w:rFonts w:ascii="Arial" w:eastAsia="Arial" w:hAnsi="Arial" w:cs="Arial"/>
          <w:b/>
          <w:bCs/>
          <w:color w:val="000000" w:themeColor="text1"/>
          <w:sz w:val="22"/>
          <w:szCs w:val="22"/>
        </w:rPr>
        <w:t>&amp; Local</w:t>
      </w:r>
      <w:r w:rsidR="00B74635" w:rsidRPr="00EA184A">
        <w:rPr>
          <w:rFonts w:ascii="Arial" w:eastAsia="Arial" w:hAnsi="Arial" w:cs="Arial"/>
          <w:b/>
          <w:bCs/>
          <w:color w:val="000000" w:themeColor="text1"/>
          <w:sz w:val="22"/>
          <w:szCs w:val="22"/>
        </w:rPr>
        <w:t xml:space="preserve"> Action </w:t>
      </w:r>
    </w:p>
    <w:p w14:paraId="1A21B56A" w14:textId="6DE2D21D" w:rsidR="3F140734" w:rsidRDefault="3F140734" w:rsidP="521D372D">
      <w:pPr>
        <w:spacing w:line="360" w:lineRule="auto"/>
        <w:ind w:firstLine="720"/>
        <w:jc w:val="both"/>
        <w:rPr>
          <w:rFonts w:ascii="Arial" w:eastAsia="Arial" w:hAnsi="Arial" w:cs="Arial"/>
          <w:color w:val="000000" w:themeColor="text1"/>
          <w:sz w:val="22"/>
          <w:szCs w:val="22"/>
        </w:rPr>
      </w:pPr>
    </w:p>
    <w:p w14:paraId="2EF99264" w14:textId="525492BF"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Blackpool’s </w:t>
      </w:r>
      <w:r w:rsidRPr="521D372D">
        <w:rPr>
          <w:rFonts w:ascii="Arial" w:eastAsia="Arial" w:hAnsi="Arial" w:cs="Arial"/>
          <w:i/>
          <w:iCs/>
          <w:color w:val="000000" w:themeColor="text1"/>
          <w:sz w:val="22"/>
          <w:szCs w:val="22"/>
        </w:rPr>
        <w:t>A Better Start</w:t>
      </w:r>
      <w:r w:rsidRPr="521D372D">
        <w:rPr>
          <w:rFonts w:ascii="Arial" w:eastAsia="Arial" w:hAnsi="Arial" w:cs="Arial"/>
          <w:color w:val="000000" w:themeColor="text1"/>
          <w:sz w:val="22"/>
          <w:szCs w:val="22"/>
        </w:rPr>
        <w:t xml:space="preserve"> programme is one of the best local </w:t>
      </w:r>
      <w:r w:rsidR="00451BF9">
        <w:rPr>
          <w:rFonts w:ascii="Arial" w:eastAsia="Arial" w:hAnsi="Arial" w:cs="Arial"/>
          <w:color w:val="000000" w:themeColor="text1"/>
          <w:sz w:val="22"/>
          <w:szCs w:val="22"/>
        </w:rPr>
        <w:t>programmes</w:t>
      </w:r>
      <w:r w:rsidRPr="521D372D">
        <w:rPr>
          <w:rFonts w:ascii="Arial" w:eastAsia="Arial" w:hAnsi="Arial" w:cs="Arial"/>
          <w:color w:val="000000" w:themeColor="text1"/>
          <w:sz w:val="22"/>
          <w:szCs w:val="22"/>
        </w:rPr>
        <w:t xml:space="preserve"> that demonstrated how SDG 10 can be operationalised through early years intervention that decreases social and health inequalities (A Better Start Blackpool, 2024). The initiative is funded by the National Lottery Community Fund and is focused on improving outcomes for children from conception to age four through support for speech and language development, emotional wellbeing, nutrition and parental engagement (N8 Research Partnership, 2024). Following a comprehensive evaluation, </w:t>
      </w:r>
      <w:r w:rsidR="00B22E97">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National Lottery Community Fund (2023) reported that over 5,500 families have engaged with programme activities since implementation and recorded measurable improvements in children’s communication skills, school readiness and parental confidence. Founded on Dahlgren and Whitehead's (1991) Social Determinants of Health framework, the initiative believes that by addressing factors such as early childhood development, it can tackle the root causes of inequality before they become entrenched across the life course. Despite the positive outcomes, Blackpool still experiences some of the lowest healthy life expectancy in England, with males expected to live approximately 53 healthy years compared to the national average of 63 years (Millington, 2023). While remarkable progress towards SDG 10 has been achieved through initiatives such as Core20PLUS5, Blackpool’s </w:t>
      </w:r>
      <w:r w:rsidRPr="521D372D">
        <w:rPr>
          <w:rFonts w:ascii="Arial" w:eastAsia="Arial" w:hAnsi="Arial" w:cs="Arial"/>
          <w:i/>
          <w:iCs/>
          <w:color w:val="000000" w:themeColor="text1"/>
          <w:sz w:val="22"/>
          <w:szCs w:val="22"/>
        </w:rPr>
        <w:t>A Better Start</w:t>
      </w:r>
      <w:r w:rsidRPr="521D372D">
        <w:rPr>
          <w:rFonts w:ascii="Arial" w:eastAsia="Arial" w:hAnsi="Arial" w:cs="Arial"/>
          <w:color w:val="000000" w:themeColor="text1"/>
          <w:sz w:val="22"/>
          <w:szCs w:val="22"/>
        </w:rPr>
        <w:t xml:space="preserve"> programme and </w:t>
      </w:r>
      <w:r w:rsidR="00B22E97">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“Leave No One Behind” agenda, significant limitations demand that future policies should strengthen proportionate universalism (Marmot et al., 2020). Future progress should surpass localised interventions to include greater investments </w:t>
      </w:r>
      <w:r w:rsidRPr="521D372D">
        <w:rPr>
          <w:rFonts w:ascii="Arial" w:eastAsia="Arial" w:hAnsi="Arial" w:cs="Arial"/>
          <w:color w:val="000000" w:themeColor="text1"/>
          <w:sz w:val="22"/>
          <w:szCs w:val="22"/>
        </w:rPr>
        <w:lastRenderedPageBreak/>
        <w:t xml:space="preserve">in affordable housing, education, employment opportunities and community development to address the upstream contributors to inequality for sustainable reductions in health disparities. </w:t>
      </w:r>
    </w:p>
    <w:p w14:paraId="324C4746" w14:textId="208A481C"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Conclusion</w:t>
      </w:r>
    </w:p>
    <w:p w14:paraId="3119068C" w14:textId="0A0A013A"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The report has robustly portrayed that SDG 3 and SDG 10 are closely interdependent</w:t>
      </w:r>
      <w:r w:rsidR="00B22E97">
        <w:rPr>
          <w:rFonts w:ascii="Arial" w:eastAsia="Arial" w:hAnsi="Arial" w:cs="Arial"/>
          <w:color w:val="000000" w:themeColor="text1"/>
          <w:sz w:val="22"/>
          <w:szCs w:val="22"/>
        </w:rPr>
        <w:t>,</w:t>
      </w:r>
      <w:r w:rsidRPr="521D372D">
        <w:rPr>
          <w:rFonts w:ascii="Arial" w:eastAsia="Arial" w:hAnsi="Arial" w:cs="Arial"/>
          <w:color w:val="000000" w:themeColor="text1"/>
          <w:sz w:val="22"/>
          <w:szCs w:val="22"/>
        </w:rPr>
        <w:t xml:space="preserve"> with any improvements in health and wellbeing reliant on the reduction of social and economic inequalities. Global initiatives such as Universal Health Coverage, the WHO Mental Health Action Plan and the “Leave No One Behind” agenda give the world a blueprint for improving health and equity globally. Nations and communities then adopt local interventions such as </w:t>
      </w:r>
      <w:r w:rsidR="00B22E97">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NHS Long Term Plan, Core20PLUS5, Greater Manchester’s Social Prescribing Programme and Blackpool’s A Better Start initiative to translate the global goals to action and deliver measurable benefits to citizens. Even so, the evidence reviewed indicates that healthcare reform alone cannot eradicate health inequalities. Sustainable progress will depend on a health in all systems approach and unwavering commitment to tackling the upstream determinants of health. </w:t>
      </w:r>
    </w:p>
    <w:p w14:paraId="67DB7F56" w14:textId="2DEEC79B" w:rsidR="00B06157" w:rsidRDefault="00B06157" w:rsidP="00B06157">
      <w:pPr>
        <w:spacing w:line="360" w:lineRule="auto"/>
        <w:jc w:val="both"/>
        <w:rPr>
          <w:rFonts w:ascii="Arial" w:eastAsia="Arial" w:hAnsi="Arial" w:cs="Arial"/>
          <w:b/>
          <w:bCs/>
          <w:color w:val="000000" w:themeColor="text1"/>
          <w:sz w:val="22"/>
          <w:szCs w:val="22"/>
        </w:rPr>
      </w:pPr>
      <w:r w:rsidRPr="00E27212">
        <w:rPr>
          <w:rFonts w:ascii="Arial" w:eastAsia="Arial" w:hAnsi="Arial" w:cs="Arial"/>
          <w:b/>
          <w:bCs/>
          <w:color w:val="000000" w:themeColor="text1"/>
          <w:sz w:val="22"/>
          <w:szCs w:val="22"/>
        </w:rPr>
        <w:t>Recommendations</w:t>
      </w:r>
    </w:p>
    <w:p w14:paraId="206B041A" w14:textId="77777777" w:rsidR="00E27212" w:rsidRPr="007E3DCD" w:rsidRDefault="00E27212" w:rsidP="00B06157">
      <w:pPr>
        <w:spacing w:line="360" w:lineRule="auto"/>
        <w:jc w:val="both"/>
        <w:rPr>
          <w:rFonts w:ascii="Arial" w:eastAsia="Arial" w:hAnsi="Arial" w:cs="Arial"/>
          <w:b/>
          <w:bCs/>
          <w:color w:val="000000" w:themeColor="text1"/>
          <w:sz w:val="22"/>
          <w:szCs w:val="22"/>
        </w:rPr>
      </w:pPr>
    </w:p>
    <w:p w14:paraId="5D001A85" w14:textId="4EF1D114" w:rsidR="00E27212" w:rsidRDefault="003B1857" w:rsidP="00B06157">
      <w:pPr>
        <w:spacing w:line="360" w:lineRule="auto"/>
        <w:jc w:val="both"/>
        <w:rPr>
          <w:rFonts w:ascii="Arial" w:eastAsia="Arial" w:hAnsi="Arial" w:cs="Arial"/>
          <w:color w:val="000000" w:themeColor="text1"/>
          <w:sz w:val="22"/>
          <w:szCs w:val="22"/>
        </w:rPr>
      </w:pPr>
      <w:r w:rsidRPr="007E3DCD">
        <w:rPr>
          <w:rFonts w:ascii="Arial" w:eastAsia="Arial" w:hAnsi="Arial" w:cs="Arial"/>
          <w:b/>
          <w:bCs/>
          <w:color w:val="000000" w:themeColor="text1"/>
          <w:sz w:val="22"/>
          <w:szCs w:val="22"/>
        </w:rPr>
        <w:t>Tackle</w:t>
      </w:r>
      <w:r w:rsidR="000E25B0" w:rsidRPr="007E3DCD">
        <w:rPr>
          <w:rFonts w:ascii="Arial" w:eastAsia="Arial" w:hAnsi="Arial" w:cs="Arial"/>
          <w:b/>
          <w:bCs/>
          <w:color w:val="000000" w:themeColor="text1"/>
          <w:sz w:val="22"/>
          <w:szCs w:val="22"/>
        </w:rPr>
        <w:t xml:space="preserve"> root causes </w:t>
      </w:r>
      <w:r w:rsidR="00015AEA" w:rsidRPr="007E3DCD">
        <w:rPr>
          <w:rFonts w:ascii="Arial" w:eastAsia="Arial" w:hAnsi="Arial" w:cs="Arial"/>
          <w:b/>
          <w:bCs/>
          <w:color w:val="000000" w:themeColor="text1"/>
          <w:sz w:val="22"/>
          <w:szCs w:val="22"/>
        </w:rPr>
        <w:t>first</w:t>
      </w:r>
      <w:r w:rsidR="007B34E9" w:rsidRPr="007E3DCD">
        <w:rPr>
          <w:rFonts w:ascii="Arial" w:eastAsia="Arial" w:hAnsi="Arial" w:cs="Arial"/>
          <w:b/>
          <w:bCs/>
          <w:color w:val="000000" w:themeColor="text1"/>
          <w:sz w:val="22"/>
          <w:szCs w:val="22"/>
        </w:rPr>
        <w:t>:</w:t>
      </w:r>
      <w:r w:rsidR="007B34E9">
        <w:rPr>
          <w:rFonts w:ascii="Arial" w:eastAsia="Arial" w:hAnsi="Arial" w:cs="Arial"/>
          <w:color w:val="000000" w:themeColor="text1"/>
          <w:sz w:val="22"/>
          <w:szCs w:val="22"/>
        </w:rPr>
        <w:t xml:space="preserve"> Go beyond healthcare </w:t>
      </w:r>
      <w:r w:rsidR="00073078">
        <w:rPr>
          <w:rFonts w:ascii="Arial" w:eastAsia="Arial" w:hAnsi="Arial" w:cs="Arial"/>
          <w:color w:val="000000" w:themeColor="text1"/>
          <w:sz w:val="22"/>
          <w:szCs w:val="22"/>
        </w:rPr>
        <w:t xml:space="preserve">services to invest in affordable </w:t>
      </w:r>
      <w:r w:rsidR="00F65BCD">
        <w:rPr>
          <w:rFonts w:ascii="Arial" w:eastAsia="Arial" w:hAnsi="Arial" w:cs="Arial"/>
          <w:color w:val="000000" w:themeColor="text1"/>
          <w:sz w:val="22"/>
          <w:szCs w:val="22"/>
        </w:rPr>
        <w:t xml:space="preserve">housing, </w:t>
      </w:r>
      <w:r w:rsidR="0089427C">
        <w:rPr>
          <w:rFonts w:ascii="Arial" w:eastAsia="Arial" w:hAnsi="Arial" w:cs="Arial"/>
          <w:color w:val="000000" w:themeColor="text1"/>
          <w:sz w:val="22"/>
          <w:szCs w:val="22"/>
        </w:rPr>
        <w:t>decent work,</w:t>
      </w:r>
      <w:r>
        <w:rPr>
          <w:rFonts w:ascii="Arial" w:eastAsia="Arial" w:hAnsi="Arial" w:cs="Arial"/>
          <w:color w:val="000000" w:themeColor="text1"/>
          <w:sz w:val="22"/>
          <w:szCs w:val="22"/>
        </w:rPr>
        <w:t xml:space="preserve"> education, and living standards</w:t>
      </w:r>
      <w:r w:rsidR="00CE49CE">
        <w:rPr>
          <w:rFonts w:ascii="Arial" w:eastAsia="Arial" w:hAnsi="Arial" w:cs="Arial"/>
          <w:color w:val="000000" w:themeColor="text1"/>
          <w:sz w:val="22"/>
          <w:szCs w:val="22"/>
        </w:rPr>
        <w:t>-these shape health and inequalit</w:t>
      </w:r>
      <w:r w:rsidR="001A0C70">
        <w:rPr>
          <w:rFonts w:ascii="Arial" w:eastAsia="Arial" w:hAnsi="Arial" w:cs="Arial"/>
          <w:color w:val="000000" w:themeColor="text1"/>
          <w:sz w:val="22"/>
          <w:szCs w:val="22"/>
        </w:rPr>
        <w:t>y more than medical care alone.</w:t>
      </w:r>
      <w:r w:rsidR="00015AEA">
        <w:rPr>
          <w:rFonts w:ascii="Arial" w:eastAsia="Arial" w:hAnsi="Arial" w:cs="Arial"/>
          <w:color w:val="000000" w:themeColor="text1"/>
          <w:sz w:val="22"/>
          <w:szCs w:val="22"/>
        </w:rPr>
        <w:t xml:space="preserve"> </w:t>
      </w:r>
    </w:p>
    <w:p w14:paraId="7FBDB42C" w14:textId="680E8C2A" w:rsidR="00A83164" w:rsidRDefault="00E27894" w:rsidP="00B06157">
      <w:pPr>
        <w:spacing w:line="360" w:lineRule="auto"/>
        <w:jc w:val="both"/>
        <w:rPr>
          <w:rFonts w:ascii="Arial" w:eastAsia="Arial" w:hAnsi="Arial" w:cs="Arial"/>
          <w:color w:val="000000" w:themeColor="text1"/>
          <w:sz w:val="22"/>
          <w:szCs w:val="22"/>
        </w:rPr>
      </w:pPr>
      <w:r w:rsidRPr="007E3DCD">
        <w:rPr>
          <w:rFonts w:ascii="Arial" w:eastAsia="Arial" w:hAnsi="Arial" w:cs="Arial"/>
          <w:b/>
          <w:bCs/>
          <w:color w:val="000000" w:themeColor="text1"/>
          <w:sz w:val="22"/>
          <w:szCs w:val="22"/>
        </w:rPr>
        <w:t>Make</w:t>
      </w:r>
      <w:r w:rsidR="00A83164" w:rsidRPr="007E3DCD">
        <w:rPr>
          <w:rFonts w:ascii="Arial" w:eastAsia="Arial" w:hAnsi="Arial" w:cs="Arial"/>
          <w:b/>
          <w:bCs/>
          <w:color w:val="000000" w:themeColor="text1"/>
          <w:sz w:val="22"/>
          <w:szCs w:val="22"/>
        </w:rPr>
        <w:t xml:space="preserve"> services work for those who need them mos</w:t>
      </w:r>
      <w:r w:rsidR="007E3DCD" w:rsidRPr="007E3DCD">
        <w:rPr>
          <w:rFonts w:ascii="Arial" w:eastAsia="Arial" w:hAnsi="Arial" w:cs="Arial"/>
          <w:b/>
          <w:bCs/>
          <w:color w:val="000000" w:themeColor="text1"/>
          <w:sz w:val="22"/>
          <w:szCs w:val="22"/>
        </w:rPr>
        <w:t>t:</w:t>
      </w:r>
      <w:r w:rsidR="00A83164" w:rsidRPr="007E3DCD">
        <w:rPr>
          <w:rFonts w:ascii="Arial" w:eastAsia="Arial" w:hAnsi="Arial" w:cs="Arial"/>
          <w:b/>
          <w:bCs/>
          <w:color w:val="000000" w:themeColor="text1"/>
          <w:sz w:val="22"/>
          <w:szCs w:val="22"/>
        </w:rPr>
        <w:t xml:space="preserve"> </w:t>
      </w:r>
      <w:r w:rsidR="00F57391" w:rsidRPr="00F57391">
        <w:rPr>
          <w:rFonts w:ascii="Arial" w:eastAsia="Arial" w:hAnsi="Arial" w:cs="Arial"/>
          <w:color w:val="000000" w:themeColor="text1"/>
          <w:sz w:val="22"/>
          <w:szCs w:val="22"/>
        </w:rPr>
        <w:t xml:space="preserve">Fix </w:t>
      </w:r>
      <w:r w:rsidR="00F57391">
        <w:rPr>
          <w:rFonts w:ascii="Arial" w:eastAsia="Arial" w:hAnsi="Arial" w:cs="Arial"/>
          <w:color w:val="000000" w:themeColor="text1"/>
          <w:sz w:val="22"/>
          <w:szCs w:val="22"/>
        </w:rPr>
        <w:t xml:space="preserve">gaps where deprived </w:t>
      </w:r>
      <w:r w:rsidR="00FF6A57">
        <w:rPr>
          <w:rFonts w:ascii="Arial" w:eastAsia="Arial" w:hAnsi="Arial" w:cs="Arial"/>
          <w:color w:val="000000" w:themeColor="text1"/>
          <w:sz w:val="22"/>
          <w:szCs w:val="22"/>
        </w:rPr>
        <w:t>groups are least likely to access support</w:t>
      </w:r>
      <w:r w:rsidR="00376349">
        <w:rPr>
          <w:rFonts w:ascii="Arial" w:eastAsia="Arial" w:hAnsi="Arial" w:cs="Arial"/>
          <w:color w:val="000000" w:themeColor="text1"/>
          <w:sz w:val="22"/>
          <w:szCs w:val="22"/>
        </w:rPr>
        <w:t xml:space="preserve">; design programmes to </w:t>
      </w:r>
      <w:r w:rsidR="002D0C2C">
        <w:rPr>
          <w:rFonts w:ascii="Arial" w:eastAsia="Arial" w:hAnsi="Arial" w:cs="Arial"/>
          <w:color w:val="000000" w:themeColor="text1"/>
          <w:sz w:val="22"/>
          <w:szCs w:val="22"/>
        </w:rPr>
        <w:t xml:space="preserve">reach </w:t>
      </w:r>
      <w:r w:rsidR="00B0727F">
        <w:rPr>
          <w:rFonts w:ascii="Arial" w:eastAsia="Arial" w:hAnsi="Arial" w:cs="Arial"/>
          <w:color w:val="000000" w:themeColor="text1"/>
          <w:sz w:val="22"/>
          <w:szCs w:val="22"/>
        </w:rPr>
        <w:t>marginalised communities proactively</w:t>
      </w:r>
      <w:r w:rsidR="006E12C0">
        <w:rPr>
          <w:rFonts w:ascii="Arial" w:eastAsia="Arial" w:hAnsi="Arial" w:cs="Arial"/>
          <w:color w:val="000000" w:themeColor="text1"/>
          <w:sz w:val="22"/>
          <w:szCs w:val="22"/>
        </w:rPr>
        <w:t>.</w:t>
      </w:r>
    </w:p>
    <w:p w14:paraId="163B9F73" w14:textId="77777777" w:rsidR="00130013" w:rsidRDefault="00CD3724" w:rsidP="00B06157">
      <w:pPr>
        <w:spacing w:line="360" w:lineRule="auto"/>
        <w:jc w:val="both"/>
        <w:rPr>
          <w:rFonts w:ascii="Arial" w:eastAsia="Arial" w:hAnsi="Arial" w:cs="Arial"/>
          <w:color w:val="000000" w:themeColor="text1"/>
          <w:sz w:val="22"/>
          <w:szCs w:val="22"/>
        </w:rPr>
      </w:pPr>
      <w:r w:rsidRPr="00FD151B">
        <w:rPr>
          <w:rFonts w:ascii="Arial" w:eastAsia="Arial" w:hAnsi="Arial" w:cs="Arial"/>
          <w:b/>
          <w:bCs/>
          <w:color w:val="000000" w:themeColor="text1"/>
          <w:sz w:val="22"/>
          <w:szCs w:val="22"/>
        </w:rPr>
        <w:t>Strengthen cross-</w:t>
      </w:r>
      <w:r w:rsidR="009E1BDC" w:rsidRPr="00FD151B">
        <w:rPr>
          <w:rFonts w:ascii="Arial" w:eastAsia="Arial" w:hAnsi="Arial" w:cs="Arial"/>
          <w:b/>
          <w:bCs/>
          <w:color w:val="000000" w:themeColor="text1"/>
          <w:sz w:val="22"/>
          <w:szCs w:val="22"/>
        </w:rPr>
        <w:t>sector collaboration</w:t>
      </w:r>
      <w:r w:rsidR="009E1BDC" w:rsidRPr="009554AA">
        <w:rPr>
          <w:rFonts w:ascii="Arial" w:eastAsia="Arial" w:hAnsi="Arial" w:cs="Arial"/>
          <w:b/>
          <w:bCs/>
          <w:color w:val="000000" w:themeColor="text1"/>
          <w:sz w:val="22"/>
          <w:szCs w:val="22"/>
        </w:rPr>
        <w:t>:</w:t>
      </w:r>
      <w:r w:rsidR="00FD151B" w:rsidRPr="009554AA">
        <w:rPr>
          <w:rFonts w:ascii="Arial" w:eastAsia="Arial" w:hAnsi="Arial" w:cs="Arial"/>
          <w:b/>
          <w:bCs/>
          <w:color w:val="000000" w:themeColor="text1"/>
          <w:sz w:val="22"/>
          <w:szCs w:val="22"/>
        </w:rPr>
        <w:t xml:space="preserve"> </w:t>
      </w:r>
      <w:r w:rsidR="00FB45B2">
        <w:rPr>
          <w:rFonts w:ascii="Arial" w:eastAsia="Arial" w:hAnsi="Arial" w:cs="Arial"/>
          <w:color w:val="000000" w:themeColor="text1"/>
          <w:sz w:val="22"/>
          <w:szCs w:val="22"/>
        </w:rPr>
        <w:t>Coordinate action across health,</w:t>
      </w:r>
      <w:r w:rsidR="005C2074">
        <w:rPr>
          <w:rFonts w:ascii="Arial" w:eastAsia="Arial" w:hAnsi="Arial" w:cs="Arial"/>
          <w:color w:val="000000" w:themeColor="text1"/>
          <w:sz w:val="22"/>
          <w:szCs w:val="22"/>
        </w:rPr>
        <w:t xml:space="preserve"> </w:t>
      </w:r>
      <w:r w:rsidR="00636FC1">
        <w:rPr>
          <w:rFonts w:ascii="Arial" w:eastAsia="Arial" w:hAnsi="Arial" w:cs="Arial"/>
          <w:color w:val="000000" w:themeColor="text1"/>
          <w:sz w:val="22"/>
          <w:szCs w:val="22"/>
        </w:rPr>
        <w:t>housing,</w:t>
      </w:r>
      <w:r w:rsidR="003B3270">
        <w:rPr>
          <w:rFonts w:ascii="Arial" w:eastAsia="Arial" w:hAnsi="Arial" w:cs="Arial"/>
          <w:color w:val="000000" w:themeColor="text1"/>
          <w:sz w:val="22"/>
          <w:szCs w:val="22"/>
        </w:rPr>
        <w:t xml:space="preserve"> </w:t>
      </w:r>
      <w:r w:rsidR="00636FC1">
        <w:rPr>
          <w:rFonts w:ascii="Arial" w:eastAsia="Arial" w:hAnsi="Arial" w:cs="Arial"/>
          <w:color w:val="000000" w:themeColor="text1"/>
          <w:sz w:val="22"/>
          <w:szCs w:val="22"/>
        </w:rPr>
        <w:t>education and employment sect</w:t>
      </w:r>
      <w:r w:rsidR="003B3270">
        <w:rPr>
          <w:rFonts w:ascii="Arial" w:eastAsia="Arial" w:hAnsi="Arial" w:cs="Arial"/>
          <w:color w:val="000000" w:themeColor="text1"/>
          <w:sz w:val="22"/>
          <w:szCs w:val="22"/>
        </w:rPr>
        <w:t>ors</w:t>
      </w:r>
      <w:r w:rsidR="005C2074">
        <w:rPr>
          <w:rFonts w:ascii="Arial" w:eastAsia="Arial" w:hAnsi="Arial" w:cs="Arial"/>
          <w:color w:val="000000" w:themeColor="text1"/>
          <w:sz w:val="22"/>
          <w:szCs w:val="22"/>
        </w:rPr>
        <w:t>, rather</w:t>
      </w:r>
      <w:r w:rsidR="00130013">
        <w:rPr>
          <w:rFonts w:ascii="Arial" w:eastAsia="Arial" w:hAnsi="Arial" w:cs="Arial"/>
          <w:color w:val="000000" w:themeColor="text1"/>
          <w:sz w:val="22"/>
          <w:szCs w:val="22"/>
        </w:rPr>
        <w:t xml:space="preserve"> than working in isolation.</w:t>
      </w:r>
    </w:p>
    <w:p w14:paraId="0E67EBCD" w14:textId="51D515FD" w:rsidR="006E12C0" w:rsidRDefault="00130013" w:rsidP="00B06157">
      <w:pPr>
        <w:spacing w:line="360" w:lineRule="auto"/>
        <w:jc w:val="both"/>
        <w:rPr>
          <w:rFonts w:ascii="Arial" w:eastAsia="Arial" w:hAnsi="Arial" w:cs="Arial"/>
          <w:color w:val="000000" w:themeColor="text1"/>
          <w:sz w:val="22"/>
          <w:szCs w:val="22"/>
        </w:rPr>
      </w:pPr>
      <w:r w:rsidRPr="00CA736F">
        <w:rPr>
          <w:rFonts w:ascii="Arial" w:eastAsia="Arial" w:hAnsi="Arial" w:cs="Arial"/>
          <w:b/>
          <w:bCs/>
          <w:color w:val="000000" w:themeColor="text1"/>
          <w:sz w:val="22"/>
          <w:szCs w:val="22"/>
        </w:rPr>
        <w:t>S</w:t>
      </w:r>
      <w:r w:rsidR="00CA736F" w:rsidRPr="00CA736F">
        <w:rPr>
          <w:rFonts w:ascii="Arial" w:eastAsia="Arial" w:hAnsi="Arial" w:cs="Arial"/>
          <w:b/>
          <w:bCs/>
          <w:color w:val="000000" w:themeColor="text1"/>
          <w:sz w:val="22"/>
          <w:szCs w:val="22"/>
        </w:rPr>
        <w:t>cale successful local models:</w:t>
      </w:r>
      <w:r w:rsidR="005C2074" w:rsidRPr="00CA736F">
        <w:rPr>
          <w:rFonts w:ascii="Arial" w:eastAsia="Arial" w:hAnsi="Arial" w:cs="Arial"/>
          <w:b/>
          <w:bCs/>
          <w:color w:val="000000" w:themeColor="text1"/>
          <w:sz w:val="22"/>
          <w:szCs w:val="22"/>
        </w:rPr>
        <w:t xml:space="preserve"> </w:t>
      </w:r>
      <w:r w:rsidR="00AF396A">
        <w:rPr>
          <w:rFonts w:ascii="Arial" w:eastAsia="Arial" w:hAnsi="Arial" w:cs="Arial"/>
          <w:color w:val="000000" w:themeColor="text1"/>
          <w:sz w:val="22"/>
          <w:szCs w:val="22"/>
        </w:rPr>
        <w:t xml:space="preserve">Expand proven </w:t>
      </w:r>
      <w:r w:rsidR="007B242E">
        <w:rPr>
          <w:rFonts w:ascii="Arial" w:eastAsia="Arial" w:hAnsi="Arial" w:cs="Arial"/>
          <w:color w:val="000000" w:themeColor="text1"/>
          <w:sz w:val="22"/>
          <w:szCs w:val="22"/>
        </w:rPr>
        <w:t>in</w:t>
      </w:r>
      <w:r w:rsidR="00171F47">
        <w:rPr>
          <w:rFonts w:ascii="Arial" w:eastAsia="Arial" w:hAnsi="Arial" w:cs="Arial"/>
          <w:color w:val="000000" w:themeColor="text1"/>
          <w:sz w:val="22"/>
          <w:szCs w:val="22"/>
        </w:rPr>
        <w:t xml:space="preserve">itiatives like social prescribing </w:t>
      </w:r>
      <w:r w:rsidR="001C4209">
        <w:rPr>
          <w:rFonts w:ascii="Arial" w:eastAsia="Arial" w:hAnsi="Arial" w:cs="Arial"/>
          <w:color w:val="000000" w:themeColor="text1"/>
          <w:sz w:val="22"/>
          <w:szCs w:val="22"/>
        </w:rPr>
        <w:t xml:space="preserve">and early childhood support, </w:t>
      </w:r>
      <w:r w:rsidR="00356D8F">
        <w:rPr>
          <w:rFonts w:ascii="Arial" w:eastAsia="Arial" w:hAnsi="Arial" w:cs="Arial"/>
          <w:color w:val="000000" w:themeColor="text1"/>
          <w:sz w:val="22"/>
          <w:szCs w:val="22"/>
        </w:rPr>
        <w:t>while adapting to local needs.</w:t>
      </w:r>
    </w:p>
    <w:p w14:paraId="4509C101" w14:textId="3A77C089" w:rsidR="00356D8F" w:rsidRPr="00D2033E" w:rsidRDefault="00652F80" w:rsidP="00B06157">
      <w:pPr>
        <w:spacing w:line="360" w:lineRule="auto"/>
        <w:jc w:val="both"/>
        <w:rPr>
          <w:rFonts w:ascii="Arial" w:eastAsia="Arial" w:hAnsi="Arial" w:cs="Arial"/>
          <w:color w:val="000000" w:themeColor="text1"/>
          <w:sz w:val="22"/>
          <w:szCs w:val="22"/>
        </w:rPr>
      </w:pPr>
      <w:r w:rsidRPr="00216BD5">
        <w:rPr>
          <w:rFonts w:ascii="Arial" w:eastAsia="Arial" w:hAnsi="Arial" w:cs="Arial"/>
          <w:b/>
          <w:bCs/>
          <w:color w:val="000000" w:themeColor="text1"/>
          <w:sz w:val="22"/>
          <w:szCs w:val="22"/>
        </w:rPr>
        <w:t xml:space="preserve">Prioritise equity </w:t>
      </w:r>
      <w:r w:rsidR="00216BD5" w:rsidRPr="00216BD5">
        <w:rPr>
          <w:rFonts w:ascii="Arial" w:eastAsia="Arial" w:hAnsi="Arial" w:cs="Arial"/>
          <w:b/>
          <w:bCs/>
          <w:color w:val="000000" w:themeColor="text1"/>
          <w:sz w:val="22"/>
          <w:szCs w:val="22"/>
        </w:rPr>
        <w:t>in all</w:t>
      </w:r>
      <w:r w:rsidRPr="00216BD5">
        <w:rPr>
          <w:rFonts w:ascii="Arial" w:eastAsia="Arial" w:hAnsi="Arial" w:cs="Arial"/>
          <w:b/>
          <w:bCs/>
          <w:color w:val="000000" w:themeColor="text1"/>
          <w:sz w:val="22"/>
          <w:szCs w:val="22"/>
        </w:rPr>
        <w:t xml:space="preserve"> policies</w:t>
      </w:r>
      <w:r w:rsidR="00216BD5">
        <w:rPr>
          <w:rFonts w:ascii="Arial" w:eastAsia="Arial" w:hAnsi="Arial" w:cs="Arial"/>
          <w:b/>
          <w:bCs/>
          <w:color w:val="000000" w:themeColor="text1"/>
          <w:sz w:val="22"/>
          <w:szCs w:val="22"/>
        </w:rPr>
        <w:t>:</w:t>
      </w:r>
      <w:r w:rsidR="00D2033E">
        <w:rPr>
          <w:rFonts w:ascii="Arial" w:eastAsia="Arial" w:hAnsi="Arial" w:cs="Arial"/>
          <w:b/>
          <w:bCs/>
          <w:color w:val="000000" w:themeColor="text1"/>
          <w:sz w:val="22"/>
          <w:szCs w:val="22"/>
        </w:rPr>
        <w:t xml:space="preserve"> </w:t>
      </w:r>
      <w:r w:rsidR="00D2033E" w:rsidRPr="00D2033E">
        <w:rPr>
          <w:rFonts w:ascii="Arial" w:eastAsia="Arial" w:hAnsi="Arial" w:cs="Arial"/>
          <w:color w:val="000000" w:themeColor="text1"/>
          <w:sz w:val="22"/>
          <w:szCs w:val="22"/>
        </w:rPr>
        <w:t>Put fairness at the centre</w:t>
      </w:r>
      <w:r w:rsidR="00D2033E">
        <w:rPr>
          <w:rFonts w:ascii="Arial" w:eastAsia="Arial" w:hAnsi="Arial" w:cs="Arial"/>
          <w:color w:val="000000" w:themeColor="text1"/>
          <w:sz w:val="22"/>
          <w:szCs w:val="22"/>
        </w:rPr>
        <w:t xml:space="preserve"> </w:t>
      </w:r>
      <w:r w:rsidR="009360AB">
        <w:rPr>
          <w:rFonts w:ascii="Arial" w:eastAsia="Arial" w:hAnsi="Arial" w:cs="Arial"/>
          <w:color w:val="000000" w:themeColor="text1"/>
          <w:sz w:val="22"/>
          <w:szCs w:val="22"/>
        </w:rPr>
        <w:t>of all decisions, ensuring progress benefits ev</w:t>
      </w:r>
      <w:r w:rsidR="008305FE">
        <w:rPr>
          <w:rFonts w:ascii="Arial" w:eastAsia="Arial" w:hAnsi="Arial" w:cs="Arial"/>
          <w:color w:val="000000" w:themeColor="text1"/>
          <w:sz w:val="22"/>
          <w:szCs w:val="22"/>
        </w:rPr>
        <w:t>eryone rather than l</w:t>
      </w:r>
      <w:r w:rsidR="008E72E0">
        <w:rPr>
          <w:rFonts w:ascii="Arial" w:eastAsia="Arial" w:hAnsi="Arial" w:cs="Arial"/>
          <w:color w:val="000000" w:themeColor="text1"/>
          <w:sz w:val="22"/>
          <w:szCs w:val="22"/>
        </w:rPr>
        <w:t>eaving vulnerable groups behind.</w:t>
      </w:r>
    </w:p>
    <w:p w14:paraId="037F8B32" w14:textId="29166D1D" w:rsidR="00B06157" w:rsidRPr="00B06157" w:rsidRDefault="00B06157" w:rsidP="00B06157">
      <w:pPr>
        <w:spacing w:line="360" w:lineRule="auto"/>
        <w:jc w:val="both"/>
        <w:rPr>
          <w:rFonts w:ascii="Arial" w:eastAsia="Arial" w:hAnsi="Arial" w:cs="Arial"/>
          <w:b/>
          <w:bCs/>
          <w:color w:val="000000" w:themeColor="text1"/>
          <w:sz w:val="22"/>
          <w:szCs w:val="22"/>
        </w:rPr>
      </w:pPr>
    </w:p>
    <w:p w14:paraId="41B615E6" w14:textId="48FFEAA1" w:rsidR="521D372D" w:rsidRDefault="521D372D" w:rsidP="521D372D">
      <w:pPr>
        <w:spacing w:line="360" w:lineRule="auto"/>
        <w:ind w:firstLine="720"/>
        <w:jc w:val="both"/>
        <w:rPr>
          <w:rFonts w:ascii="Arial" w:eastAsia="Arial" w:hAnsi="Arial" w:cs="Arial"/>
          <w:color w:val="000000" w:themeColor="text1"/>
          <w:sz w:val="22"/>
          <w:szCs w:val="22"/>
        </w:rPr>
      </w:pPr>
    </w:p>
    <w:p w14:paraId="00D27937" w14:textId="0BDEAFB5" w:rsidR="521D372D" w:rsidRDefault="521D372D" w:rsidP="521D372D">
      <w:pPr>
        <w:spacing w:line="360" w:lineRule="auto"/>
        <w:ind w:firstLine="720"/>
        <w:jc w:val="both"/>
        <w:rPr>
          <w:rFonts w:ascii="Arial" w:eastAsia="Arial" w:hAnsi="Arial" w:cs="Arial"/>
          <w:color w:val="000000" w:themeColor="text1"/>
          <w:sz w:val="22"/>
          <w:szCs w:val="22"/>
        </w:rPr>
      </w:pPr>
    </w:p>
    <w:p w14:paraId="1E090779" w14:textId="6D7FC30F" w:rsidR="521D372D" w:rsidRDefault="521D372D" w:rsidP="521D372D">
      <w:pPr>
        <w:spacing w:line="360" w:lineRule="auto"/>
        <w:ind w:firstLine="720"/>
        <w:jc w:val="both"/>
        <w:rPr>
          <w:rFonts w:ascii="Arial" w:eastAsia="Arial" w:hAnsi="Arial" w:cs="Arial"/>
          <w:color w:val="000000" w:themeColor="text1"/>
          <w:sz w:val="22"/>
          <w:szCs w:val="22"/>
        </w:rPr>
      </w:pPr>
    </w:p>
    <w:p w14:paraId="1A930978" w14:textId="525EDEA9" w:rsidR="521D372D" w:rsidRDefault="521D372D" w:rsidP="521D372D">
      <w:pPr>
        <w:spacing w:line="360" w:lineRule="auto"/>
        <w:ind w:firstLine="720"/>
        <w:jc w:val="both"/>
        <w:rPr>
          <w:rFonts w:ascii="Arial" w:eastAsia="Arial" w:hAnsi="Arial" w:cs="Arial"/>
          <w:color w:val="000000" w:themeColor="text1"/>
          <w:sz w:val="22"/>
          <w:szCs w:val="22"/>
        </w:rPr>
      </w:pPr>
    </w:p>
    <w:p w14:paraId="621D6F31" w14:textId="06810904" w:rsidR="521D372D" w:rsidRDefault="521D372D" w:rsidP="521D372D">
      <w:pPr>
        <w:spacing w:line="360" w:lineRule="auto"/>
        <w:ind w:firstLine="720"/>
        <w:jc w:val="both"/>
        <w:rPr>
          <w:rFonts w:ascii="Arial" w:eastAsia="Arial" w:hAnsi="Arial" w:cs="Arial"/>
          <w:color w:val="000000" w:themeColor="text1"/>
          <w:sz w:val="22"/>
          <w:szCs w:val="22"/>
        </w:rPr>
      </w:pPr>
    </w:p>
    <w:p w14:paraId="1D05ABD2" w14:textId="3AF767EE" w:rsidR="521D372D" w:rsidRDefault="521D372D" w:rsidP="521D372D">
      <w:pPr>
        <w:spacing w:line="360" w:lineRule="auto"/>
        <w:ind w:firstLine="720"/>
        <w:jc w:val="both"/>
        <w:rPr>
          <w:rFonts w:ascii="Arial" w:eastAsia="Arial" w:hAnsi="Arial" w:cs="Arial"/>
          <w:color w:val="000000" w:themeColor="text1"/>
          <w:sz w:val="22"/>
          <w:szCs w:val="22"/>
        </w:rPr>
      </w:pPr>
    </w:p>
    <w:p w14:paraId="687DFD70" w14:textId="0D71B038" w:rsidR="521D372D" w:rsidRDefault="521D372D" w:rsidP="521D372D">
      <w:pPr>
        <w:spacing w:line="360" w:lineRule="auto"/>
        <w:ind w:firstLine="720"/>
        <w:jc w:val="both"/>
        <w:rPr>
          <w:rFonts w:ascii="Arial" w:eastAsia="Arial" w:hAnsi="Arial" w:cs="Arial"/>
          <w:color w:val="000000" w:themeColor="text1"/>
          <w:sz w:val="22"/>
          <w:szCs w:val="22"/>
        </w:rPr>
      </w:pPr>
    </w:p>
    <w:p w14:paraId="26A8E600" w14:textId="0DD271C5" w:rsidR="521D372D" w:rsidRDefault="521D372D" w:rsidP="521D372D">
      <w:pPr>
        <w:spacing w:line="360" w:lineRule="auto"/>
        <w:ind w:firstLine="720"/>
        <w:jc w:val="both"/>
        <w:rPr>
          <w:rFonts w:ascii="Arial" w:eastAsia="Arial" w:hAnsi="Arial" w:cs="Arial"/>
          <w:color w:val="000000" w:themeColor="text1"/>
          <w:sz w:val="22"/>
          <w:szCs w:val="22"/>
        </w:rPr>
      </w:pPr>
    </w:p>
    <w:p w14:paraId="761C12B0" w14:textId="207D1E4E" w:rsidR="521D372D" w:rsidRDefault="521D372D" w:rsidP="521D372D">
      <w:pPr>
        <w:spacing w:line="360" w:lineRule="auto"/>
        <w:ind w:firstLine="720"/>
        <w:jc w:val="both"/>
        <w:rPr>
          <w:rFonts w:ascii="Arial" w:eastAsia="Arial" w:hAnsi="Arial" w:cs="Arial"/>
          <w:color w:val="000000" w:themeColor="text1"/>
          <w:sz w:val="22"/>
          <w:szCs w:val="22"/>
        </w:rPr>
      </w:pPr>
    </w:p>
    <w:p w14:paraId="02004501" w14:textId="7C3AAC62" w:rsidR="521D372D" w:rsidRDefault="521D372D" w:rsidP="521D372D">
      <w:pPr>
        <w:spacing w:line="360" w:lineRule="auto"/>
        <w:ind w:firstLine="720"/>
        <w:jc w:val="both"/>
        <w:rPr>
          <w:rFonts w:ascii="Arial" w:eastAsia="Arial" w:hAnsi="Arial" w:cs="Arial"/>
          <w:color w:val="000000" w:themeColor="text1"/>
          <w:sz w:val="22"/>
          <w:szCs w:val="22"/>
        </w:rPr>
      </w:pPr>
    </w:p>
    <w:p w14:paraId="01D393EB" w14:textId="581D2CDB" w:rsidR="521D372D" w:rsidRDefault="521D372D" w:rsidP="521D372D">
      <w:pPr>
        <w:spacing w:line="360" w:lineRule="auto"/>
        <w:ind w:firstLine="720"/>
        <w:jc w:val="both"/>
        <w:rPr>
          <w:rFonts w:ascii="Arial" w:eastAsia="Arial" w:hAnsi="Arial" w:cs="Arial"/>
          <w:color w:val="000000" w:themeColor="text1"/>
          <w:sz w:val="22"/>
          <w:szCs w:val="22"/>
        </w:rPr>
      </w:pPr>
    </w:p>
    <w:p w14:paraId="6C0DCF96" w14:textId="43456F3D" w:rsidR="521D372D" w:rsidRDefault="521D372D" w:rsidP="521D372D">
      <w:pPr>
        <w:spacing w:line="360" w:lineRule="auto"/>
        <w:ind w:firstLine="720"/>
        <w:jc w:val="both"/>
        <w:rPr>
          <w:rFonts w:ascii="Arial" w:eastAsia="Arial" w:hAnsi="Arial" w:cs="Arial"/>
          <w:color w:val="000000" w:themeColor="text1"/>
          <w:sz w:val="22"/>
          <w:szCs w:val="22"/>
        </w:rPr>
      </w:pPr>
    </w:p>
    <w:p w14:paraId="0D6E2834" w14:textId="771D7FA5" w:rsidR="521D372D" w:rsidRDefault="521D372D" w:rsidP="521D372D">
      <w:pPr>
        <w:spacing w:line="360" w:lineRule="auto"/>
        <w:ind w:firstLine="720"/>
        <w:jc w:val="both"/>
        <w:rPr>
          <w:rFonts w:ascii="Arial" w:eastAsia="Arial" w:hAnsi="Arial" w:cs="Arial"/>
          <w:color w:val="000000" w:themeColor="text1"/>
          <w:sz w:val="22"/>
          <w:szCs w:val="22"/>
        </w:rPr>
      </w:pPr>
    </w:p>
    <w:p w14:paraId="0EDF3FAB" w14:textId="1F179077" w:rsidR="521D372D" w:rsidRDefault="521D372D" w:rsidP="521D372D">
      <w:pPr>
        <w:spacing w:line="360" w:lineRule="auto"/>
        <w:ind w:firstLine="720"/>
        <w:jc w:val="both"/>
        <w:rPr>
          <w:rFonts w:ascii="Arial" w:eastAsia="Arial" w:hAnsi="Arial" w:cs="Arial"/>
          <w:color w:val="000000" w:themeColor="text1"/>
          <w:sz w:val="22"/>
          <w:szCs w:val="22"/>
        </w:rPr>
      </w:pPr>
    </w:p>
    <w:p w14:paraId="0CA88E9A" w14:textId="7E9803B9" w:rsidR="521D372D" w:rsidRDefault="521D372D" w:rsidP="521D372D">
      <w:pPr>
        <w:spacing w:line="360" w:lineRule="auto"/>
        <w:ind w:firstLine="720"/>
        <w:jc w:val="both"/>
        <w:rPr>
          <w:rFonts w:ascii="Arial" w:eastAsia="Arial" w:hAnsi="Arial" w:cs="Arial"/>
          <w:color w:val="000000" w:themeColor="text1"/>
          <w:sz w:val="22"/>
          <w:szCs w:val="22"/>
        </w:rPr>
      </w:pPr>
    </w:p>
    <w:p w14:paraId="299625D7" w14:textId="3CC62890"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References</w:t>
      </w:r>
    </w:p>
    <w:p w14:paraId="2D3FF23C" w14:textId="3267F9D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A Better Start Blackpool, 2024. About A Better Start Blackpool. Blackpool: A Better Start Blackpool. Available at: </w:t>
      </w:r>
      <w:hyperlink r:id="rId8">
        <w:r w:rsidRPr="521D372D">
          <w:rPr>
            <w:rStyle w:val="Hyperlink"/>
            <w:color w:val="0563C1"/>
          </w:rPr>
          <w:t>https://www.abetterstartblackpool.co.uk/</w:t>
        </w:r>
      </w:hyperlink>
      <w:r w:rsidRPr="521D372D">
        <w:rPr>
          <w:rFonts w:ascii="Arial" w:eastAsia="Arial" w:hAnsi="Arial" w:cs="Arial"/>
          <w:color w:val="000000" w:themeColor="text1"/>
          <w:sz w:val="22"/>
          <w:szCs w:val="22"/>
        </w:rPr>
        <w:t xml:space="preserve"> [Accessed 20 June 2026].</w:t>
      </w:r>
    </w:p>
    <w:p w14:paraId="1EBBFA6B" w14:textId="71A94DF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Abdi, Y.H., Abdi, M.S., Bashir, S.G., Ahmed, N.I. and Abdullahi, Y.B., 2025. Understanding Global Health Inequality and Inequity: Causes, Consequences, and the Path Toward Justice in Healthcare. </w:t>
      </w:r>
      <w:r w:rsidRPr="521D372D">
        <w:rPr>
          <w:rFonts w:ascii="Arial" w:eastAsia="Arial" w:hAnsi="Arial" w:cs="Arial"/>
          <w:i/>
          <w:iCs/>
          <w:color w:val="000000" w:themeColor="text1"/>
          <w:sz w:val="22"/>
          <w:szCs w:val="22"/>
        </w:rPr>
        <w:t>Public Health Challenges</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4</w:t>
      </w:r>
      <w:r w:rsidRPr="521D372D">
        <w:rPr>
          <w:rFonts w:ascii="Arial" w:eastAsia="Arial" w:hAnsi="Arial" w:cs="Arial"/>
          <w:color w:val="000000" w:themeColor="text1"/>
          <w:sz w:val="22"/>
          <w:szCs w:val="22"/>
        </w:rPr>
        <w:t xml:space="preserve">(4), p.e70156. </w:t>
      </w:r>
      <w:hyperlink r:id="rId9">
        <w:r w:rsidRPr="521D372D">
          <w:rPr>
            <w:rStyle w:val="Hyperlink"/>
            <w:color w:val="0563C1"/>
          </w:rPr>
          <w:t>https://doi.org/10.1002/puh2.70156</w:t>
        </w:r>
      </w:hyperlink>
      <w:r w:rsidRPr="521D372D">
        <w:rPr>
          <w:rFonts w:ascii="Arial" w:eastAsia="Arial" w:hAnsi="Arial" w:cs="Arial"/>
          <w:color w:val="000000" w:themeColor="text1"/>
          <w:sz w:val="22"/>
          <w:szCs w:val="22"/>
        </w:rPr>
        <w:t xml:space="preserve"> </w:t>
      </w:r>
    </w:p>
    <w:p w14:paraId="1E152B28" w14:textId="50C78CD3"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Bambra, C., 2022. Levelling up: Global examples of reducing health inequalities. </w:t>
      </w:r>
      <w:r w:rsidRPr="521D372D">
        <w:rPr>
          <w:rFonts w:ascii="Arial" w:eastAsia="Arial" w:hAnsi="Arial" w:cs="Arial"/>
          <w:i/>
          <w:iCs/>
          <w:color w:val="000000" w:themeColor="text1"/>
          <w:sz w:val="22"/>
          <w:szCs w:val="22"/>
        </w:rPr>
        <w:t>Scandinavian journal of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50</w:t>
      </w:r>
      <w:r w:rsidRPr="521D372D">
        <w:rPr>
          <w:rFonts w:ascii="Arial" w:eastAsia="Arial" w:hAnsi="Arial" w:cs="Arial"/>
          <w:color w:val="000000" w:themeColor="text1"/>
          <w:sz w:val="22"/>
          <w:szCs w:val="22"/>
        </w:rPr>
        <w:t xml:space="preserve">(7), pp.908-913. </w:t>
      </w:r>
      <w:hyperlink r:id="rId10">
        <w:r w:rsidRPr="521D372D">
          <w:rPr>
            <w:rStyle w:val="Hyperlink"/>
            <w:color w:val="0563C1"/>
          </w:rPr>
          <w:t>https://doi.org/10.1177/14034948211022428</w:t>
        </w:r>
      </w:hyperlink>
      <w:r w:rsidRPr="521D372D">
        <w:rPr>
          <w:rFonts w:ascii="Arial" w:eastAsia="Arial" w:hAnsi="Arial" w:cs="Arial"/>
          <w:color w:val="000000" w:themeColor="text1"/>
          <w:sz w:val="22"/>
          <w:szCs w:val="22"/>
        </w:rPr>
        <w:t xml:space="preserve"> </w:t>
      </w:r>
    </w:p>
    <w:p w14:paraId="10663EC4" w14:textId="5C605CE2"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Bandura, A., 1986. Social Foundations of Thought and Action: A Social Cognitive Theory. Englewood Cliffs, NJ: Prentice-Hall.</w:t>
      </w:r>
    </w:p>
    <w:p w14:paraId="74FCEE84" w14:textId="654EF799"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Bolongaita, S., Lee, Y., Johansson, K.A., Haaland, Ø.A., Tolla, M.T., Lee, J. and </w:t>
      </w:r>
      <w:proofErr w:type="spellStart"/>
      <w:r w:rsidRPr="521D372D">
        <w:rPr>
          <w:rFonts w:ascii="Arial" w:eastAsia="Arial" w:hAnsi="Arial" w:cs="Arial"/>
          <w:color w:val="000000" w:themeColor="text1"/>
          <w:sz w:val="22"/>
          <w:szCs w:val="22"/>
        </w:rPr>
        <w:t>Verguet</w:t>
      </w:r>
      <w:proofErr w:type="spellEnd"/>
      <w:r w:rsidRPr="521D372D">
        <w:rPr>
          <w:rFonts w:ascii="Arial" w:eastAsia="Arial" w:hAnsi="Arial" w:cs="Arial"/>
          <w:color w:val="000000" w:themeColor="text1"/>
          <w:sz w:val="22"/>
          <w:szCs w:val="22"/>
        </w:rPr>
        <w:t xml:space="preserve">, S., 2023. Financial hardship associated with catastrophic out-of-pocket spending tied to primary care services in low-and lower-middle-income countries: findings from a </w:t>
      </w:r>
      <w:proofErr w:type="spellStart"/>
      <w:r w:rsidRPr="521D372D">
        <w:rPr>
          <w:rFonts w:ascii="Arial" w:eastAsia="Arial" w:hAnsi="Arial" w:cs="Arial"/>
          <w:color w:val="000000" w:themeColor="text1"/>
          <w:sz w:val="22"/>
          <w:szCs w:val="22"/>
        </w:rPr>
        <w:lastRenderedPageBreak/>
        <w:t>modeling</w:t>
      </w:r>
      <w:proofErr w:type="spellEnd"/>
      <w:r w:rsidRPr="521D372D">
        <w:rPr>
          <w:rFonts w:ascii="Arial" w:eastAsia="Arial" w:hAnsi="Arial" w:cs="Arial"/>
          <w:color w:val="000000" w:themeColor="text1"/>
          <w:sz w:val="22"/>
          <w:szCs w:val="22"/>
        </w:rPr>
        <w:t xml:space="preserve"> study. </w:t>
      </w:r>
      <w:r w:rsidRPr="521D372D">
        <w:rPr>
          <w:rFonts w:ascii="Arial" w:eastAsia="Arial" w:hAnsi="Arial" w:cs="Arial"/>
          <w:i/>
          <w:iCs/>
          <w:color w:val="000000" w:themeColor="text1"/>
          <w:sz w:val="22"/>
          <w:szCs w:val="22"/>
        </w:rPr>
        <w:t>BMC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21</w:t>
      </w:r>
      <w:r w:rsidRPr="521D372D">
        <w:rPr>
          <w:rFonts w:ascii="Arial" w:eastAsia="Arial" w:hAnsi="Arial" w:cs="Arial"/>
          <w:color w:val="000000" w:themeColor="text1"/>
          <w:sz w:val="22"/>
          <w:szCs w:val="22"/>
        </w:rPr>
        <w:t xml:space="preserve">(1), p.356. </w:t>
      </w:r>
      <w:hyperlink r:id="rId11">
        <w:r w:rsidRPr="521D372D">
          <w:rPr>
            <w:rStyle w:val="Hyperlink"/>
            <w:color w:val="0563C1"/>
          </w:rPr>
          <w:t>https://doi.org/10.1186/s12916-023-02957-w</w:t>
        </w:r>
      </w:hyperlink>
      <w:r w:rsidRPr="521D372D">
        <w:rPr>
          <w:rFonts w:ascii="Arial" w:eastAsia="Arial" w:hAnsi="Arial" w:cs="Arial"/>
          <w:color w:val="000000" w:themeColor="text1"/>
          <w:sz w:val="22"/>
          <w:szCs w:val="22"/>
        </w:rPr>
        <w:t xml:space="preserve"> </w:t>
      </w:r>
    </w:p>
    <w:p w14:paraId="067DFEDB" w14:textId="5DEB21E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Charlesworth, A., Anderson, M., Donaldson, C., Johnson, P., Knapp, M., McGuire, A., McKee, M., </w:t>
      </w:r>
      <w:proofErr w:type="spellStart"/>
      <w:r w:rsidRPr="521D372D">
        <w:rPr>
          <w:rFonts w:ascii="Arial" w:eastAsia="Arial" w:hAnsi="Arial" w:cs="Arial"/>
          <w:color w:val="000000" w:themeColor="text1"/>
          <w:sz w:val="22"/>
          <w:szCs w:val="22"/>
        </w:rPr>
        <w:t>Mossialos</w:t>
      </w:r>
      <w:proofErr w:type="spellEnd"/>
      <w:r w:rsidRPr="521D372D">
        <w:rPr>
          <w:rFonts w:ascii="Arial" w:eastAsia="Arial" w:hAnsi="Arial" w:cs="Arial"/>
          <w:color w:val="000000" w:themeColor="text1"/>
          <w:sz w:val="22"/>
          <w:szCs w:val="22"/>
        </w:rPr>
        <w:t xml:space="preserve">, E., Smith, P., Street, A. and Woods, M., 2021. What is the right level of spending needed for health and care in the </w:t>
      </w:r>
      <w:proofErr w:type="gramStart"/>
      <w:r w:rsidRPr="521D372D">
        <w:rPr>
          <w:rFonts w:ascii="Arial" w:eastAsia="Arial" w:hAnsi="Arial" w:cs="Arial"/>
          <w:color w:val="000000" w:themeColor="text1"/>
          <w:sz w:val="22"/>
          <w:szCs w:val="22"/>
        </w:rPr>
        <w:t>UK?.</w:t>
      </w:r>
      <w:proofErr w:type="gram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The Lancet</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397</w:t>
      </w:r>
      <w:r w:rsidRPr="521D372D">
        <w:rPr>
          <w:rFonts w:ascii="Arial" w:eastAsia="Arial" w:hAnsi="Arial" w:cs="Arial"/>
          <w:color w:val="000000" w:themeColor="text1"/>
          <w:sz w:val="22"/>
          <w:szCs w:val="22"/>
        </w:rPr>
        <w:t xml:space="preserve">(10288), pp.2012-2022. </w:t>
      </w:r>
      <w:hyperlink r:id="rId12">
        <w:r w:rsidRPr="521D372D">
          <w:rPr>
            <w:rStyle w:val="Hyperlink"/>
            <w:color w:val="0563C1"/>
          </w:rPr>
          <w:t>https://doi.org/10.1016/S0140-6736(21)00230-0</w:t>
        </w:r>
      </w:hyperlink>
      <w:r w:rsidRPr="521D372D">
        <w:rPr>
          <w:rFonts w:ascii="Arial" w:eastAsia="Arial" w:hAnsi="Arial" w:cs="Arial"/>
          <w:color w:val="000000" w:themeColor="text1"/>
          <w:sz w:val="22"/>
          <w:szCs w:val="22"/>
        </w:rPr>
        <w:t xml:space="preserve"> </w:t>
      </w:r>
    </w:p>
    <w:p w14:paraId="7207DC0A" w14:textId="76EC9266"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Dahlgren, G. and Whitehead, M., 1991. Policies and Strategies to Promote Social Equity in Health. Stockholm: Institute for Futures Studies. Available at: </w:t>
      </w:r>
      <w:hyperlink r:id="rId13">
        <w:r w:rsidRPr="521D372D">
          <w:rPr>
            <w:rStyle w:val="Hyperlink"/>
            <w:color w:val="0563C1"/>
          </w:rPr>
          <w:t>https://core.ac.uk/download/pdf/6472456.pdf</w:t>
        </w:r>
      </w:hyperlink>
      <w:r w:rsidRPr="521D372D">
        <w:rPr>
          <w:rFonts w:ascii="Arial" w:eastAsia="Arial" w:hAnsi="Arial" w:cs="Arial"/>
          <w:color w:val="000000" w:themeColor="text1"/>
          <w:sz w:val="22"/>
          <w:szCs w:val="22"/>
        </w:rPr>
        <w:t xml:space="preserve"> [Accessed 20 June 2026].</w:t>
      </w:r>
    </w:p>
    <w:p w14:paraId="714B48CE" w14:textId="0C2ED4A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Darrudi, A., </w:t>
      </w:r>
      <w:proofErr w:type="spellStart"/>
      <w:r w:rsidRPr="521D372D">
        <w:rPr>
          <w:rFonts w:ascii="Arial" w:eastAsia="Arial" w:hAnsi="Arial" w:cs="Arial"/>
          <w:color w:val="000000" w:themeColor="text1"/>
          <w:sz w:val="22"/>
          <w:szCs w:val="22"/>
        </w:rPr>
        <w:t>Khoonsari</w:t>
      </w:r>
      <w:proofErr w:type="spellEnd"/>
      <w:r w:rsidRPr="521D372D">
        <w:rPr>
          <w:rFonts w:ascii="Arial" w:eastAsia="Arial" w:hAnsi="Arial" w:cs="Arial"/>
          <w:color w:val="000000" w:themeColor="text1"/>
          <w:sz w:val="22"/>
          <w:szCs w:val="22"/>
        </w:rPr>
        <w:t xml:space="preserve">, M.H.K. and </w:t>
      </w:r>
      <w:proofErr w:type="spellStart"/>
      <w:r w:rsidRPr="521D372D">
        <w:rPr>
          <w:rFonts w:ascii="Arial" w:eastAsia="Arial" w:hAnsi="Arial" w:cs="Arial"/>
          <w:color w:val="000000" w:themeColor="text1"/>
          <w:sz w:val="22"/>
          <w:szCs w:val="22"/>
        </w:rPr>
        <w:t>Tajvar</w:t>
      </w:r>
      <w:proofErr w:type="spellEnd"/>
      <w:r w:rsidRPr="521D372D">
        <w:rPr>
          <w:rFonts w:ascii="Arial" w:eastAsia="Arial" w:hAnsi="Arial" w:cs="Arial"/>
          <w:color w:val="000000" w:themeColor="text1"/>
          <w:sz w:val="22"/>
          <w:szCs w:val="22"/>
        </w:rPr>
        <w:t>, M., 2022. Challenges to achieving universal health coverage throughout the world: a systematic review. </w:t>
      </w:r>
      <w:r w:rsidRPr="521D372D">
        <w:rPr>
          <w:rFonts w:ascii="Arial" w:eastAsia="Arial" w:hAnsi="Arial" w:cs="Arial"/>
          <w:i/>
          <w:iCs/>
          <w:color w:val="000000" w:themeColor="text1"/>
          <w:sz w:val="22"/>
          <w:szCs w:val="22"/>
        </w:rPr>
        <w:t>Journal of preventive medicine and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55</w:t>
      </w:r>
      <w:r w:rsidRPr="521D372D">
        <w:rPr>
          <w:rFonts w:ascii="Arial" w:eastAsia="Arial" w:hAnsi="Arial" w:cs="Arial"/>
          <w:color w:val="000000" w:themeColor="text1"/>
          <w:sz w:val="22"/>
          <w:szCs w:val="22"/>
        </w:rPr>
        <w:t xml:space="preserve">(2), p.125. </w:t>
      </w:r>
      <w:hyperlink r:id="rId14">
        <w:r w:rsidRPr="521D372D">
          <w:rPr>
            <w:rStyle w:val="Hyperlink"/>
            <w:color w:val="0563C1"/>
          </w:rPr>
          <w:t>https://doi.org/10.3961/jpmph.21.542</w:t>
        </w:r>
      </w:hyperlink>
      <w:r w:rsidRPr="521D372D">
        <w:rPr>
          <w:rFonts w:ascii="Arial" w:eastAsia="Arial" w:hAnsi="Arial" w:cs="Arial"/>
          <w:color w:val="000000" w:themeColor="text1"/>
          <w:sz w:val="22"/>
          <w:szCs w:val="22"/>
        </w:rPr>
        <w:t xml:space="preserve"> </w:t>
      </w:r>
    </w:p>
    <w:p w14:paraId="69338517" w14:textId="786DD3B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Embrett, M.G. and Randall, G.E., 2014. Social determinants of health and health equity policy research: exploring the use, misuse, and </w:t>
      </w:r>
      <w:proofErr w:type="spellStart"/>
      <w:r w:rsidRPr="521D372D">
        <w:rPr>
          <w:rFonts w:ascii="Arial" w:eastAsia="Arial" w:hAnsi="Arial" w:cs="Arial"/>
          <w:color w:val="000000" w:themeColor="text1"/>
          <w:sz w:val="22"/>
          <w:szCs w:val="22"/>
        </w:rPr>
        <w:t>nonuse</w:t>
      </w:r>
      <w:proofErr w:type="spellEnd"/>
      <w:r w:rsidRPr="521D372D">
        <w:rPr>
          <w:rFonts w:ascii="Arial" w:eastAsia="Arial" w:hAnsi="Arial" w:cs="Arial"/>
          <w:color w:val="000000" w:themeColor="text1"/>
          <w:sz w:val="22"/>
          <w:szCs w:val="22"/>
        </w:rPr>
        <w:t xml:space="preserve"> of policy analysis theory. </w:t>
      </w:r>
      <w:r w:rsidRPr="521D372D">
        <w:rPr>
          <w:rFonts w:ascii="Arial" w:eastAsia="Arial" w:hAnsi="Arial" w:cs="Arial"/>
          <w:i/>
          <w:iCs/>
          <w:color w:val="000000" w:themeColor="text1"/>
          <w:sz w:val="22"/>
          <w:szCs w:val="22"/>
        </w:rPr>
        <w:t>Social Science &amp;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108</w:t>
      </w:r>
      <w:r w:rsidRPr="521D372D">
        <w:rPr>
          <w:rFonts w:ascii="Arial" w:eastAsia="Arial" w:hAnsi="Arial" w:cs="Arial"/>
          <w:color w:val="000000" w:themeColor="text1"/>
          <w:sz w:val="22"/>
          <w:szCs w:val="22"/>
        </w:rPr>
        <w:t xml:space="preserve">, pp.147-155. </w:t>
      </w:r>
      <w:hyperlink r:id="rId15">
        <w:r w:rsidRPr="521D372D">
          <w:rPr>
            <w:rStyle w:val="Hyperlink"/>
            <w:color w:val="0563C1"/>
          </w:rPr>
          <w:t>https://www.ncbi.nlm.nih.gov/books/NBK573923/</w:t>
        </w:r>
      </w:hyperlink>
      <w:r w:rsidRPr="521D372D">
        <w:rPr>
          <w:rFonts w:ascii="Arial" w:eastAsia="Arial" w:hAnsi="Arial" w:cs="Arial"/>
          <w:color w:val="000000" w:themeColor="text1"/>
          <w:sz w:val="22"/>
          <w:szCs w:val="22"/>
        </w:rPr>
        <w:t xml:space="preserve"> </w:t>
      </w:r>
    </w:p>
    <w:p w14:paraId="521C111B" w14:textId="2DF7A72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Engel, G.L., 1977. The need for a new medical model: a challenge for biomedicine. Science, 196(4286), pp.129–136. Available at: </w:t>
      </w:r>
      <w:hyperlink r:id="rId16">
        <w:r w:rsidRPr="521D372D">
          <w:rPr>
            <w:rStyle w:val="Hyperlink"/>
            <w:color w:val="0563C1"/>
          </w:rPr>
          <w:t>https://www.science.org/doi/10.1126/science.847460</w:t>
        </w:r>
      </w:hyperlink>
      <w:r w:rsidRPr="521D372D">
        <w:rPr>
          <w:rFonts w:ascii="Arial" w:eastAsia="Arial" w:hAnsi="Arial" w:cs="Arial"/>
          <w:color w:val="000000" w:themeColor="text1"/>
          <w:sz w:val="22"/>
          <w:szCs w:val="22"/>
        </w:rPr>
        <w:t xml:space="preserve"> [Accessed 20 June 2026].</w:t>
      </w:r>
    </w:p>
    <w:p w14:paraId="26D8C0B6" w14:textId="3036B11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Eriksson, M., Sundberg, L.R., Santosa, A., Lindgren, H., Ng, N. and Lindvall, K., 2025. Health behavioural change–the influence of social-ecological factors and health identity. </w:t>
      </w:r>
      <w:r w:rsidRPr="521D372D">
        <w:rPr>
          <w:rFonts w:ascii="Arial" w:eastAsia="Arial" w:hAnsi="Arial" w:cs="Arial"/>
          <w:i/>
          <w:iCs/>
          <w:color w:val="000000" w:themeColor="text1"/>
          <w:sz w:val="22"/>
          <w:szCs w:val="22"/>
        </w:rPr>
        <w:t>International journal of qualitative studies on health and well-being</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20</w:t>
      </w:r>
      <w:r w:rsidRPr="521D372D">
        <w:rPr>
          <w:rFonts w:ascii="Arial" w:eastAsia="Arial" w:hAnsi="Arial" w:cs="Arial"/>
          <w:color w:val="000000" w:themeColor="text1"/>
          <w:sz w:val="22"/>
          <w:szCs w:val="22"/>
        </w:rPr>
        <w:t xml:space="preserve">(1), p.2458309. </w:t>
      </w:r>
      <w:hyperlink r:id="rId17">
        <w:r w:rsidRPr="521D372D">
          <w:rPr>
            <w:rStyle w:val="Hyperlink"/>
            <w:color w:val="0563C1"/>
          </w:rPr>
          <w:t>https://doi.org/10.1080/17482631.2025.2458309</w:t>
        </w:r>
      </w:hyperlink>
      <w:r w:rsidRPr="521D372D">
        <w:rPr>
          <w:rFonts w:ascii="Arial" w:eastAsia="Arial" w:hAnsi="Arial" w:cs="Arial"/>
          <w:color w:val="000000" w:themeColor="text1"/>
          <w:sz w:val="22"/>
          <w:szCs w:val="22"/>
        </w:rPr>
        <w:t xml:space="preserve"> </w:t>
      </w:r>
    </w:p>
    <w:p w14:paraId="04ACA478" w14:textId="4B7EA9F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Graham, M.R., 2025. ASSESSING THE ACHIEVEMENT OF SDG 3: Good Health and Well-being in Connection with Recent Global Events. </w:t>
      </w:r>
      <w:proofErr w:type="spellStart"/>
      <w:r w:rsidRPr="521D372D">
        <w:rPr>
          <w:rFonts w:ascii="Arial" w:eastAsia="Arial" w:hAnsi="Arial" w:cs="Arial"/>
          <w:i/>
          <w:iCs/>
          <w:color w:val="000000" w:themeColor="text1"/>
          <w:sz w:val="22"/>
          <w:szCs w:val="22"/>
        </w:rPr>
        <w:t>Pixo</w:t>
      </w:r>
      <w:proofErr w:type="spellEnd"/>
      <w:r w:rsidRPr="521D372D">
        <w:rPr>
          <w:rFonts w:ascii="Arial" w:eastAsia="Arial" w:hAnsi="Arial" w:cs="Arial"/>
          <w:i/>
          <w:iCs/>
          <w:color w:val="000000" w:themeColor="text1"/>
          <w:sz w:val="22"/>
          <w:szCs w:val="22"/>
        </w:rPr>
        <w:t xml:space="preserve">: Revista de </w:t>
      </w:r>
      <w:proofErr w:type="spellStart"/>
      <w:r w:rsidRPr="521D372D">
        <w:rPr>
          <w:rFonts w:ascii="Arial" w:eastAsia="Arial" w:hAnsi="Arial" w:cs="Arial"/>
          <w:i/>
          <w:iCs/>
          <w:color w:val="000000" w:themeColor="text1"/>
          <w:sz w:val="22"/>
          <w:szCs w:val="22"/>
        </w:rPr>
        <w:t>Arquitetura</w:t>
      </w:r>
      <w:proofErr w:type="spellEnd"/>
      <w:r w:rsidRPr="521D372D">
        <w:rPr>
          <w:rFonts w:ascii="Arial" w:eastAsia="Arial" w:hAnsi="Arial" w:cs="Arial"/>
          <w:i/>
          <w:iCs/>
          <w:color w:val="000000" w:themeColor="text1"/>
          <w:sz w:val="22"/>
          <w:szCs w:val="22"/>
        </w:rPr>
        <w:t xml:space="preserve"> </w:t>
      </w:r>
      <w:proofErr w:type="spellStart"/>
      <w:r w:rsidRPr="521D372D">
        <w:rPr>
          <w:rFonts w:ascii="Arial" w:eastAsia="Arial" w:hAnsi="Arial" w:cs="Arial"/>
          <w:i/>
          <w:iCs/>
          <w:color w:val="000000" w:themeColor="text1"/>
          <w:sz w:val="22"/>
          <w:szCs w:val="22"/>
        </w:rPr>
        <w:t>Cidade</w:t>
      </w:r>
      <w:proofErr w:type="spellEnd"/>
      <w:r w:rsidRPr="521D372D">
        <w:rPr>
          <w:rFonts w:ascii="Arial" w:eastAsia="Arial" w:hAnsi="Arial" w:cs="Arial"/>
          <w:i/>
          <w:iCs/>
          <w:color w:val="000000" w:themeColor="text1"/>
          <w:sz w:val="22"/>
          <w:szCs w:val="22"/>
        </w:rPr>
        <w:t xml:space="preserve"> e </w:t>
      </w:r>
      <w:proofErr w:type="spellStart"/>
      <w:r w:rsidRPr="521D372D">
        <w:rPr>
          <w:rFonts w:ascii="Arial" w:eastAsia="Arial" w:hAnsi="Arial" w:cs="Arial"/>
          <w:i/>
          <w:iCs/>
          <w:color w:val="000000" w:themeColor="text1"/>
          <w:sz w:val="22"/>
          <w:szCs w:val="22"/>
        </w:rPr>
        <w:t>Contemporaneidade</w:t>
      </w:r>
      <w:proofErr w:type="spell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9</w:t>
      </w:r>
      <w:r w:rsidRPr="521D372D">
        <w:rPr>
          <w:rFonts w:ascii="Arial" w:eastAsia="Arial" w:hAnsi="Arial" w:cs="Arial"/>
          <w:color w:val="000000" w:themeColor="text1"/>
          <w:sz w:val="22"/>
          <w:szCs w:val="22"/>
        </w:rPr>
        <w:t xml:space="preserve">(32), p.224. </w:t>
      </w:r>
      <w:hyperlink r:id="rId18">
        <w:r w:rsidRPr="521D372D">
          <w:rPr>
            <w:rStyle w:val="Hyperlink"/>
            <w:color w:val="0563C1"/>
          </w:rPr>
          <w:t>https://doi.org/10.15210/pixo.v9i32.28687</w:t>
        </w:r>
      </w:hyperlink>
      <w:r w:rsidRPr="521D372D">
        <w:rPr>
          <w:rFonts w:ascii="Arial" w:eastAsia="Arial" w:hAnsi="Arial" w:cs="Arial"/>
          <w:color w:val="000000" w:themeColor="text1"/>
          <w:sz w:val="22"/>
          <w:szCs w:val="22"/>
        </w:rPr>
        <w:t xml:space="preserve"> </w:t>
      </w:r>
    </w:p>
    <w:p w14:paraId="68C3F3FF" w14:textId="65DD913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Islam, M.M., 2025. Does social prescribing address social determinants of </w:t>
      </w:r>
      <w:proofErr w:type="gramStart"/>
      <w:r w:rsidRPr="521D372D">
        <w:rPr>
          <w:rFonts w:ascii="Arial" w:eastAsia="Arial" w:hAnsi="Arial" w:cs="Arial"/>
          <w:color w:val="000000" w:themeColor="text1"/>
          <w:sz w:val="22"/>
          <w:szCs w:val="22"/>
        </w:rPr>
        <w:t>health?.</w:t>
      </w:r>
      <w:proofErr w:type="gram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Frontiers in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13</w:t>
      </w:r>
      <w:r w:rsidRPr="521D372D">
        <w:rPr>
          <w:rFonts w:ascii="Arial" w:eastAsia="Arial" w:hAnsi="Arial" w:cs="Arial"/>
          <w:color w:val="000000" w:themeColor="text1"/>
          <w:sz w:val="22"/>
          <w:szCs w:val="22"/>
        </w:rPr>
        <w:t xml:space="preserve">, p.1531801. </w:t>
      </w:r>
      <w:hyperlink r:id="rId19">
        <w:r w:rsidRPr="521D372D">
          <w:rPr>
            <w:rStyle w:val="Hyperlink"/>
            <w:color w:val="0563C1"/>
          </w:rPr>
          <w:t>https://doi.org/10.3389/fpubh.2025.1531801</w:t>
        </w:r>
      </w:hyperlink>
      <w:r w:rsidRPr="521D372D">
        <w:rPr>
          <w:rFonts w:ascii="Arial" w:eastAsia="Arial" w:hAnsi="Arial" w:cs="Arial"/>
          <w:color w:val="000000" w:themeColor="text1"/>
          <w:sz w:val="22"/>
          <w:szCs w:val="22"/>
        </w:rPr>
        <w:t xml:space="preserve"> </w:t>
      </w:r>
    </w:p>
    <w:p w14:paraId="6FAF6F0D" w14:textId="3AC98DEE" w:rsidR="3F140734" w:rsidRDefault="3F140734" w:rsidP="521D372D">
      <w:pPr>
        <w:spacing w:line="360" w:lineRule="auto"/>
        <w:ind w:left="720" w:hanging="720"/>
        <w:jc w:val="both"/>
        <w:rPr>
          <w:rFonts w:ascii="Arial" w:eastAsia="Arial" w:hAnsi="Arial" w:cs="Arial"/>
          <w:color w:val="4F81BD"/>
          <w:sz w:val="22"/>
          <w:szCs w:val="22"/>
        </w:rPr>
      </w:pPr>
      <w:r w:rsidRPr="521D372D">
        <w:rPr>
          <w:rFonts w:ascii="Arial" w:eastAsia="Arial" w:hAnsi="Arial" w:cs="Arial"/>
          <w:color w:val="000000" w:themeColor="text1"/>
          <w:sz w:val="22"/>
          <w:szCs w:val="22"/>
        </w:rPr>
        <w:t xml:space="preserve">Jeet, D., Mohanty, S. N., &amp; Basa, S. S. (2025). </w:t>
      </w:r>
      <w:r w:rsidRPr="521D372D">
        <w:rPr>
          <w:rFonts w:ascii="Arial" w:eastAsia="Arial" w:hAnsi="Arial" w:cs="Arial"/>
          <w:i/>
          <w:iCs/>
          <w:color w:val="000000" w:themeColor="text1"/>
          <w:sz w:val="22"/>
          <w:szCs w:val="22"/>
        </w:rPr>
        <w:t>Sustainability and Sustainable Development</w:t>
      </w:r>
      <w:r w:rsidRPr="521D372D">
        <w:rPr>
          <w:rFonts w:ascii="Arial" w:eastAsia="Arial" w:hAnsi="Arial" w:cs="Arial"/>
          <w:color w:val="000000" w:themeColor="text1"/>
          <w:sz w:val="22"/>
          <w:szCs w:val="22"/>
        </w:rPr>
        <w:t>. Apple Academic Press.</w:t>
      </w:r>
      <w:r w:rsidRPr="521D372D">
        <w:rPr>
          <w:rFonts w:ascii="Arial" w:eastAsia="Arial" w:hAnsi="Arial" w:cs="Arial"/>
          <w:color w:val="4F81BD"/>
          <w:sz w:val="22"/>
          <w:szCs w:val="22"/>
        </w:rPr>
        <w:t xml:space="preserve"> </w:t>
      </w:r>
      <w:hyperlink r:id="rId20">
        <w:r w:rsidRPr="521D372D">
          <w:rPr>
            <w:rStyle w:val="Hyperlink"/>
          </w:rPr>
          <w:t>https://doi.org/10.1201/9781003638100</w:t>
        </w:r>
      </w:hyperlink>
    </w:p>
    <w:p w14:paraId="73119B7A" w14:textId="02F142B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lastRenderedPageBreak/>
        <w:t>Kittipittayakorn, C., 2025. Association between healthcare resources, healthcare systems, and population health in European countries. </w:t>
      </w:r>
      <w:r w:rsidRPr="521D372D">
        <w:rPr>
          <w:rFonts w:ascii="Arial" w:eastAsia="Arial" w:hAnsi="Arial" w:cs="Arial"/>
          <w:i/>
          <w:iCs/>
          <w:color w:val="000000" w:themeColor="text1"/>
          <w:sz w:val="22"/>
          <w:szCs w:val="22"/>
        </w:rPr>
        <w:t>BMC Health Services Research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25</w:t>
      </w:r>
      <w:r w:rsidRPr="521D372D">
        <w:rPr>
          <w:rFonts w:ascii="Arial" w:eastAsia="Arial" w:hAnsi="Arial" w:cs="Arial"/>
          <w:color w:val="000000" w:themeColor="text1"/>
          <w:sz w:val="22"/>
          <w:szCs w:val="22"/>
        </w:rPr>
        <w:t xml:space="preserve">(1), p.720. </w:t>
      </w:r>
      <w:hyperlink r:id="rId21">
        <w:r w:rsidRPr="521D372D">
          <w:rPr>
            <w:rStyle w:val="Hyperlink"/>
            <w:color w:val="0563C1"/>
          </w:rPr>
          <w:t>https://doi.org/10.1186/s12913-024-11743-0</w:t>
        </w:r>
      </w:hyperlink>
      <w:r w:rsidRPr="521D372D">
        <w:rPr>
          <w:rFonts w:ascii="Arial" w:eastAsia="Arial" w:hAnsi="Arial" w:cs="Arial"/>
          <w:color w:val="000000" w:themeColor="text1"/>
          <w:sz w:val="22"/>
          <w:szCs w:val="22"/>
        </w:rPr>
        <w:t xml:space="preserve"> </w:t>
      </w:r>
    </w:p>
    <w:p w14:paraId="729EF373" w14:textId="255E3EF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Kodali, P.B., 2023. Achieving universal health coverage in low-and middle-income countries: challenges for policy post-pandemic and beyond. </w:t>
      </w:r>
      <w:r w:rsidRPr="521D372D">
        <w:rPr>
          <w:rFonts w:ascii="Arial" w:eastAsia="Arial" w:hAnsi="Arial" w:cs="Arial"/>
          <w:i/>
          <w:iCs/>
          <w:color w:val="000000" w:themeColor="text1"/>
          <w:sz w:val="22"/>
          <w:szCs w:val="22"/>
        </w:rPr>
        <w:t>Risk management and healthcare policy</w:t>
      </w:r>
      <w:r w:rsidRPr="521D372D">
        <w:rPr>
          <w:rFonts w:ascii="Arial" w:eastAsia="Arial" w:hAnsi="Arial" w:cs="Arial"/>
          <w:color w:val="000000" w:themeColor="text1"/>
          <w:sz w:val="22"/>
          <w:szCs w:val="22"/>
        </w:rPr>
        <w:t xml:space="preserve">, pp.607-621. </w:t>
      </w:r>
      <w:hyperlink r:id="rId22">
        <w:r w:rsidRPr="521D372D">
          <w:rPr>
            <w:rStyle w:val="Hyperlink"/>
            <w:color w:val="0563C1"/>
          </w:rPr>
          <w:t>https://doi.org/10.2147/RMHP.S366759</w:t>
        </w:r>
      </w:hyperlink>
      <w:r w:rsidRPr="521D372D">
        <w:rPr>
          <w:rFonts w:ascii="Arial" w:eastAsia="Arial" w:hAnsi="Arial" w:cs="Arial"/>
          <w:color w:val="000000" w:themeColor="text1"/>
          <w:sz w:val="22"/>
          <w:szCs w:val="22"/>
        </w:rPr>
        <w:t xml:space="preserve"> </w:t>
      </w:r>
    </w:p>
    <w:p w14:paraId="1DB1563E" w14:textId="0E4CBB4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Lakioti, E., Pagonis, N., </w:t>
      </w:r>
      <w:proofErr w:type="spellStart"/>
      <w:r w:rsidRPr="521D372D">
        <w:rPr>
          <w:rFonts w:ascii="Arial" w:eastAsia="Arial" w:hAnsi="Arial" w:cs="Arial"/>
          <w:color w:val="000000" w:themeColor="text1"/>
          <w:sz w:val="22"/>
          <w:szCs w:val="22"/>
        </w:rPr>
        <w:t>Flegkas</w:t>
      </w:r>
      <w:proofErr w:type="spellEnd"/>
      <w:r w:rsidRPr="521D372D">
        <w:rPr>
          <w:rFonts w:ascii="Arial" w:eastAsia="Arial" w:hAnsi="Arial" w:cs="Arial"/>
          <w:color w:val="000000" w:themeColor="text1"/>
          <w:sz w:val="22"/>
          <w:szCs w:val="22"/>
        </w:rPr>
        <w:t xml:space="preserve">, D., </w:t>
      </w:r>
      <w:proofErr w:type="spellStart"/>
      <w:r w:rsidRPr="521D372D">
        <w:rPr>
          <w:rFonts w:ascii="Arial" w:eastAsia="Arial" w:hAnsi="Arial" w:cs="Arial"/>
          <w:color w:val="000000" w:themeColor="text1"/>
          <w:sz w:val="22"/>
          <w:szCs w:val="22"/>
        </w:rPr>
        <w:t>Itziou</w:t>
      </w:r>
      <w:proofErr w:type="spellEnd"/>
      <w:r w:rsidRPr="521D372D">
        <w:rPr>
          <w:rFonts w:ascii="Arial" w:eastAsia="Arial" w:hAnsi="Arial" w:cs="Arial"/>
          <w:color w:val="000000" w:themeColor="text1"/>
          <w:sz w:val="22"/>
          <w:szCs w:val="22"/>
        </w:rPr>
        <w:t xml:space="preserve">, A., Moustakas, K. and </w:t>
      </w:r>
      <w:proofErr w:type="spellStart"/>
      <w:r w:rsidRPr="521D372D">
        <w:rPr>
          <w:rFonts w:ascii="Arial" w:eastAsia="Arial" w:hAnsi="Arial" w:cs="Arial"/>
          <w:color w:val="000000" w:themeColor="text1"/>
          <w:sz w:val="22"/>
          <w:szCs w:val="22"/>
        </w:rPr>
        <w:t>Karayannis</w:t>
      </w:r>
      <w:proofErr w:type="spellEnd"/>
      <w:r w:rsidRPr="521D372D">
        <w:rPr>
          <w:rFonts w:ascii="Arial" w:eastAsia="Arial" w:hAnsi="Arial" w:cs="Arial"/>
          <w:color w:val="000000" w:themeColor="text1"/>
          <w:sz w:val="22"/>
          <w:szCs w:val="22"/>
        </w:rPr>
        <w:t>, V., 2025. Social factors and policies promoting good health and well-being as a sustainable development goal: current achievements and future pathways. </w:t>
      </w:r>
      <w:r w:rsidRPr="521D372D">
        <w:rPr>
          <w:rFonts w:ascii="Arial" w:eastAsia="Arial" w:hAnsi="Arial" w:cs="Arial"/>
          <w:i/>
          <w:iCs/>
          <w:color w:val="000000" w:themeColor="text1"/>
          <w:sz w:val="22"/>
          <w:szCs w:val="22"/>
        </w:rPr>
        <w:t>Sustainability</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17</w:t>
      </w:r>
      <w:r w:rsidRPr="521D372D">
        <w:rPr>
          <w:rFonts w:ascii="Arial" w:eastAsia="Arial" w:hAnsi="Arial" w:cs="Arial"/>
          <w:color w:val="000000" w:themeColor="text1"/>
          <w:sz w:val="22"/>
          <w:szCs w:val="22"/>
        </w:rPr>
        <w:t xml:space="preserve">(11), p.5063. </w:t>
      </w:r>
      <w:hyperlink r:id="rId23">
        <w:r w:rsidRPr="521D372D">
          <w:rPr>
            <w:rStyle w:val="Hyperlink"/>
            <w:color w:val="0563C1"/>
          </w:rPr>
          <w:t>https://doi.org/10.3390/su17115063</w:t>
        </w:r>
      </w:hyperlink>
      <w:r w:rsidRPr="521D372D">
        <w:rPr>
          <w:rFonts w:ascii="Arial" w:eastAsia="Arial" w:hAnsi="Arial" w:cs="Arial"/>
          <w:color w:val="000000" w:themeColor="text1"/>
          <w:sz w:val="22"/>
          <w:szCs w:val="22"/>
        </w:rPr>
        <w:t xml:space="preserve"> </w:t>
      </w:r>
    </w:p>
    <w:p w14:paraId="6A98C3D2" w14:textId="3C2A264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Livingston, V., Jackson-</w:t>
      </w:r>
      <w:proofErr w:type="spellStart"/>
      <w:r w:rsidRPr="521D372D">
        <w:rPr>
          <w:rFonts w:ascii="Arial" w:eastAsia="Arial" w:hAnsi="Arial" w:cs="Arial"/>
          <w:color w:val="000000" w:themeColor="text1"/>
          <w:sz w:val="22"/>
          <w:szCs w:val="22"/>
        </w:rPr>
        <w:t>Nevels</w:t>
      </w:r>
      <w:proofErr w:type="spellEnd"/>
      <w:r w:rsidRPr="521D372D">
        <w:rPr>
          <w:rFonts w:ascii="Arial" w:eastAsia="Arial" w:hAnsi="Arial" w:cs="Arial"/>
          <w:color w:val="000000" w:themeColor="text1"/>
          <w:sz w:val="22"/>
          <w:szCs w:val="22"/>
        </w:rPr>
        <w:t>, B., Brown-Meredith, E., Campbell, A., Mitchell, B.D., Riddley, C., Tetteh, A.O., Reddy, V.V. and Williams, A., 2025. Poverty, allostasis, and chronic health conditions: health disparities across the lifespan. </w:t>
      </w:r>
      <w:proofErr w:type="spellStart"/>
      <w:r w:rsidRPr="521D372D">
        <w:rPr>
          <w:rFonts w:ascii="Arial" w:eastAsia="Arial" w:hAnsi="Arial" w:cs="Arial"/>
          <w:i/>
          <w:iCs/>
          <w:color w:val="000000" w:themeColor="text1"/>
          <w:sz w:val="22"/>
          <w:szCs w:val="22"/>
        </w:rPr>
        <w:t>Encyclopedia</w:t>
      </w:r>
      <w:proofErr w:type="spell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w:t>
      </w:r>
      <w:r w:rsidRPr="521D372D">
        <w:rPr>
          <w:rFonts w:ascii="Arial" w:eastAsia="Arial" w:hAnsi="Arial" w:cs="Arial"/>
          <w:color w:val="000000" w:themeColor="text1"/>
          <w:sz w:val="22"/>
          <w:szCs w:val="22"/>
        </w:rPr>
        <w:t xml:space="preserve">(1), p.16. </w:t>
      </w:r>
      <w:hyperlink r:id="rId24">
        <w:r w:rsidRPr="521D372D">
          <w:rPr>
            <w:rStyle w:val="Hyperlink"/>
            <w:color w:val="0563C1"/>
          </w:rPr>
          <w:t>https://doi.org/10.3390/encyclopedia5010016</w:t>
        </w:r>
      </w:hyperlink>
      <w:r w:rsidRPr="521D372D">
        <w:rPr>
          <w:rFonts w:ascii="Arial" w:eastAsia="Arial" w:hAnsi="Arial" w:cs="Arial"/>
          <w:color w:val="000000" w:themeColor="text1"/>
          <w:sz w:val="22"/>
          <w:szCs w:val="22"/>
        </w:rPr>
        <w:t xml:space="preserve"> </w:t>
      </w:r>
    </w:p>
    <w:p w14:paraId="26207A0E" w14:textId="6782C77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Marmot, M., Allen, J., Boyce, T., Goldblatt, P. and Morrison, J., 2020. Health Equity in England: </w:t>
      </w:r>
      <w:r w:rsidR="008627B2">
        <w:rPr>
          <w:rFonts w:ascii="Arial" w:eastAsia="Arial" w:hAnsi="Arial" w:cs="Arial"/>
          <w:color w:val="000000" w:themeColor="text1"/>
          <w:sz w:val="22"/>
          <w:szCs w:val="22"/>
        </w:rPr>
        <w:t xml:space="preserve">                                                                                                                                                                                                                                                                                                                                                                                                                                                                                                                                                                                                                                                                                                                                                                                                                                                                                                                                                                                                                                                                                                                                                                                                                                                                                                                                                                                                                                                                                                                                                                                                                                                                                                                                                                                                                                                                                                                                                                                                                                                                                                                                                                                                                                                                                                                                                                                                                                                                                                                                                                                                                                                                                                                                                                                                                                                                                                                                                                                                                                                                                                                                                                                                                                                                                                                                                                                                                                                                                                                                                                                                                                                                                                                                                                                                                                                                                                                                                                                                                                                                                                                                                                                                                                                                                                                                                                                                                                                                                                                                                                                                                                                                                                                                                                                                                                                                                                                                                                                                                                                                                                                                                                                                                                                                                                                                                                                                                                                                                                                                                                                                                                                                                                                                                                                                                                                                                                                                                                                                                                                                                                                                                                                                                                                                                                                                                                                                                                                                                                                                                                                                                                                                                                                                                                                                                                                                                                                                                                                                                                                                                                                                                                                                                                                                                                                                                                                                                                                                                                                                                                                                                                                                                                                                                                                                                                                                                                                                                                                                                                                                                                                                                                                                                                                                                                                                                                                                                                                                                                                                                                                                                                                                                                                                                                                                                                                                                                                                                                                                                                                                                                                                                                                                                                                                                                                                                                                                                                                                                                                                                                                                                                                                                                                                                                                                                                                                                                                                                                                                                                                                                                                                                                                                                                                                                                                                                                                                                                                                                                                                                                                                                                                                                                                                                                                                                                                                                                                                                                                                                                                                                                                                                                                                                                                                                                                                                                                                                                                                                                                                                                                                                                                                                                                                                                                                                                                                                                                                                                                                                                                                                                                                                                                                                                                                                                                                                                                                                                                                                                                                                                                                                                                                                                                                                                                                                                                                                                                                                                                                                                                 </w:t>
      </w:r>
      <w:r w:rsidRPr="521D372D">
        <w:rPr>
          <w:rFonts w:ascii="Arial" w:eastAsia="Arial" w:hAnsi="Arial" w:cs="Arial"/>
          <w:color w:val="000000" w:themeColor="text1"/>
          <w:sz w:val="22"/>
          <w:szCs w:val="22"/>
        </w:rPr>
        <w:t>The Marmot Review 10 Years On. London: Institute of Health Equity. Available at</w:t>
      </w:r>
      <w:proofErr w:type="gramStart"/>
      <w:r w:rsidRPr="521D372D">
        <w:rPr>
          <w:rFonts w:ascii="Arial" w:eastAsia="Arial" w:hAnsi="Arial" w:cs="Arial"/>
          <w:color w:val="000000" w:themeColor="text1"/>
          <w:sz w:val="22"/>
          <w:szCs w:val="22"/>
        </w:rPr>
        <w:t>:  [</w:t>
      </w:r>
      <w:proofErr w:type="gramEnd"/>
      <w:r w:rsidRPr="521D372D">
        <w:rPr>
          <w:rFonts w:ascii="Arial" w:eastAsia="Arial" w:hAnsi="Arial" w:cs="Arial"/>
          <w:color w:val="000000" w:themeColor="text1"/>
          <w:sz w:val="22"/>
          <w:szCs w:val="22"/>
        </w:rPr>
        <w:t>Accessed 20 June 2026].</w:t>
      </w:r>
    </w:p>
    <w:p w14:paraId="5AEB7FA1" w14:textId="1C1764F1" w:rsidR="521D372D" w:rsidRDefault="521D372D" w:rsidP="521D372D">
      <w:pPr>
        <w:spacing w:line="360" w:lineRule="auto"/>
        <w:ind w:left="720" w:hanging="720"/>
        <w:jc w:val="both"/>
        <w:rPr>
          <w:rFonts w:ascii="Arial" w:eastAsia="Arial" w:hAnsi="Arial" w:cs="Arial"/>
          <w:color w:val="000000" w:themeColor="text1"/>
          <w:sz w:val="22"/>
          <w:szCs w:val="22"/>
        </w:rPr>
      </w:pPr>
    </w:p>
    <w:p w14:paraId="18096A3C" w14:textId="6A89616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Mayhew, L.D., 2025. Impact of Stalled Life Expectancy on Health and Economic Inactivity in the UK and the Case for Prevention. </w:t>
      </w:r>
      <w:r w:rsidRPr="521D372D">
        <w:rPr>
          <w:rFonts w:ascii="Arial" w:eastAsia="Arial" w:hAnsi="Arial" w:cs="Arial"/>
          <w:i/>
          <w:iCs/>
          <w:color w:val="000000" w:themeColor="text1"/>
          <w:sz w:val="22"/>
          <w:szCs w:val="22"/>
        </w:rPr>
        <w:t>Risks</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13</w:t>
      </w:r>
      <w:r w:rsidRPr="521D372D">
        <w:rPr>
          <w:rFonts w:ascii="Arial" w:eastAsia="Arial" w:hAnsi="Arial" w:cs="Arial"/>
          <w:color w:val="000000" w:themeColor="text1"/>
          <w:sz w:val="22"/>
          <w:szCs w:val="22"/>
        </w:rPr>
        <w:t xml:space="preserve">(11), p.211. </w:t>
      </w:r>
      <w:hyperlink r:id="rId25">
        <w:r w:rsidRPr="521D372D">
          <w:rPr>
            <w:rStyle w:val="Hyperlink"/>
            <w:color w:val="0563C1"/>
          </w:rPr>
          <w:t>https://www.researchgate.net/publication/391801357_Impact_of_stalled_life_expectancy_on_health_and_economic_inactivity_in_the_UK_and_the_case_for_prevention</w:t>
        </w:r>
      </w:hyperlink>
      <w:r w:rsidRPr="521D372D">
        <w:rPr>
          <w:rFonts w:ascii="Arial" w:eastAsia="Arial" w:hAnsi="Arial" w:cs="Arial"/>
          <w:color w:val="000000" w:themeColor="text1"/>
          <w:sz w:val="22"/>
          <w:szCs w:val="22"/>
        </w:rPr>
        <w:t xml:space="preserve"> </w:t>
      </w:r>
    </w:p>
    <w:p w14:paraId="0B5EAD2C" w14:textId="5FB4823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Millington, G., 2023. </w:t>
      </w:r>
      <w:r w:rsidRPr="521D372D">
        <w:rPr>
          <w:rFonts w:ascii="Arial" w:eastAsia="Arial" w:hAnsi="Arial" w:cs="Arial"/>
          <w:i/>
          <w:iCs/>
          <w:color w:val="000000" w:themeColor="text1"/>
          <w:sz w:val="22"/>
          <w:szCs w:val="22"/>
        </w:rPr>
        <w:t xml:space="preserve">Blackpool, the land of </w:t>
      </w:r>
      <w:proofErr w:type="gramStart"/>
      <w:r w:rsidRPr="521D372D">
        <w:rPr>
          <w:rFonts w:ascii="Arial" w:eastAsia="Arial" w:hAnsi="Arial" w:cs="Arial"/>
          <w:i/>
          <w:iCs/>
          <w:color w:val="000000" w:themeColor="text1"/>
          <w:sz w:val="22"/>
          <w:szCs w:val="22"/>
        </w:rPr>
        <w:t>opportunity?:</w:t>
      </w:r>
      <w:proofErr w:type="gramEnd"/>
      <w:r w:rsidRPr="521D372D">
        <w:rPr>
          <w:rFonts w:ascii="Arial" w:eastAsia="Arial" w:hAnsi="Arial" w:cs="Arial"/>
          <w:i/>
          <w:iCs/>
          <w:color w:val="000000" w:themeColor="text1"/>
          <w:sz w:val="22"/>
          <w:szCs w:val="22"/>
        </w:rPr>
        <w:t xml:space="preserve"> a critical ethnographic study of the designation of Blackpool as </w:t>
      </w:r>
      <w:proofErr w:type="spellStart"/>
      <w:r w:rsidRPr="521D372D">
        <w:rPr>
          <w:rFonts w:ascii="Arial" w:eastAsia="Arial" w:hAnsi="Arial" w:cs="Arial"/>
          <w:i/>
          <w:iCs/>
          <w:color w:val="000000" w:themeColor="text1"/>
          <w:sz w:val="22"/>
          <w:szCs w:val="22"/>
        </w:rPr>
        <w:t>an'Opportunity</w:t>
      </w:r>
      <w:proofErr w:type="spellEnd"/>
      <w:r w:rsidRPr="521D372D">
        <w:rPr>
          <w:rFonts w:ascii="Arial" w:eastAsia="Arial" w:hAnsi="Arial" w:cs="Arial"/>
          <w:i/>
          <w:iCs/>
          <w:color w:val="000000" w:themeColor="text1"/>
          <w:sz w:val="22"/>
          <w:szCs w:val="22"/>
        </w:rPr>
        <w:t xml:space="preserve"> </w:t>
      </w:r>
      <w:proofErr w:type="spellStart"/>
      <w:r w:rsidRPr="521D372D">
        <w:rPr>
          <w:rFonts w:ascii="Arial" w:eastAsia="Arial" w:hAnsi="Arial" w:cs="Arial"/>
          <w:i/>
          <w:iCs/>
          <w:color w:val="000000" w:themeColor="text1"/>
          <w:sz w:val="22"/>
          <w:szCs w:val="22"/>
        </w:rPr>
        <w:t>Area'examining</w:t>
      </w:r>
      <w:proofErr w:type="spellEnd"/>
      <w:r w:rsidRPr="521D372D">
        <w:rPr>
          <w:rFonts w:ascii="Arial" w:eastAsia="Arial" w:hAnsi="Arial" w:cs="Arial"/>
          <w:i/>
          <w:iCs/>
          <w:color w:val="000000" w:themeColor="text1"/>
          <w:sz w:val="22"/>
          <w:szCs w:val="22"/>
        </w:rPr>
        <w:t xml:space="preserve"> the impact of place, policy, and power, using a </w:t>
      </w:r>
      <w:proofErr w:type="spellStart"/>
      <w:r w:rsidRPr="521D372D">
        <w:rPr>
          <w:rFonts w:ascii="Arial" w:eastAsia="Arial" w:hAnsi="Arial" w:cs="Arial"/>
          <w:i/>
          <w:iCs/>
          <w:color w:val="000000" w:themeColor="text1"/>
          <w:sz w:val="22"/>
          <w:szCs w:val="22"/>
        </w:rPr>
        <w:t>Bourdieusian</w:t>
      </w:r>
      <w:proofErr w:type="spellEnd"/>
      <w:r w:rsidRPr="521D372D">
        <w:rPr>
          <w:rFonts w:ascii="Arial" w:eastAsia="Arial" w:hAnsi="Arial" w:cs="Arial"/>
          <w:i/>
          <w:iCs/>
          <w:color w:val="000000" w:themeColor="text1"/>
          <w:sz w:val="22"/>
          <w:szCs w:val="22"/>
        </w:rPr>
        <w:t xml:space="preserve"> approach</w:t>
      </w:r>
      <w:r w:rsidRPr="521D372D">
        <w:rPr>
          <w:rFonts w:ascii="Arial" w:eastAsia="Arial" w:hAnsi="Arial" w:cs="Arial"/>
          <w:color w:val="000000" w:themeColor="text1"/>
          <w:sz w:val="22"/>
          <w:szCs w:val="22"/>
        </w:rPr>
        <w:t> (Doctoral dissertation, Edge Hill University).</w:t>
      </w:r>
    </w:p>
    <w:p w14:paraId="43CE7EFF" w14:textId="5702D50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N8 Research Partnership, 2024. </w:t>
      </w:r>
      <w:r w:rsidRPr="521D372D">
        <w:rPr>
          <w:rFonts w:ascii="Arial" w:eastAsia="Arial" w:hAnsi="Arial" w:cs="Arial"/>
          <w:i/>
          <w:iCs/>
          <w:color w:val="000000" w:themeColor="text1"/>
          <w:sz w:val="22"/>
          <w:szCs w:val="22"/>
        </w:rPr>
        <w:t>An Evidence-Based Plan for Addressing Poverty with and Through Education Settings</w:t>
      </w:r>
      <w:r w:rsidRPr="521D372D">
        <w:rPr>
          <w:rFonts w:ascii="Arial" w:eastAsia="Arial" w:hAnsi="Arial" w:cs="Arial"/>
          <w:color w:val="000000" w:themeColor="text1"/>
          <w:sz w:val="22"/>
          <w:szCs w:val="22"/>
        </w:rPr>
        <w:t xml:space="preserve">. Child of the North and Centre for Young Lives. Available at: </w:t>
      </w:r>
      <w:hyperlink r:id="rId26">
        <w:r w:rsidRPr="521D372D">
          <w:rPr>
            <w:rStyle w:val="Hyperlink"/>
            <w:color w:val="0563C1"/>
          </w:rPr>
          <w:t>https://researchportal.northumbria.ac.uk/ws/portalfiles/portal/211035091/CoTN_Poverty_Report_2.pdf</w:t>
        </w:r>
      </w:hyperlink>
      <w:r w:rsidRPr="521D372D">
        <w:rPr>
          <w:rFonts w:ascii="Arial" w:eastAsia="Arial" w:hAnsi="Arial" w:cs="Arial"/>
          <w:color w:val="000000" w:themeColor="text1"/>
          <w:sz w:val="22"/>
          <w:szCs w:val="22"/>
        </w:rPr>
        <w:t xml:space="preserve"> [Accessed 19 June 2026]</w:t>
      </w:r>
    </w:p>
    <w:p w14:paraId="565C88B0" w14:textId="68A3AF0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lastRenderedPageBreak/>
        <w:t xml:space="preserve">National Lottery Community Fund, 2023. A Better Start: Improving Outcomes for Young Children and Families. London: The National Lottery Community Fund. Available at: </w:t>
      </w:r>
      <w:hyperlink r:id="rId27">
        <w:r w:rsidRPr="521D372D">
          <w:rPr>
            <w:rStyle w:val="Hyperlink"/>
            <w:color w:val="0563C1"/>
          </w:rPr>
          <w:t>https://www.tnlcommunityfund.org.uk/funding/strategic-investments/a-better-start</w:t>
        </w:r>
      </w:hyperlink>
      <w:r w:rsidRPr="521D372D">
        <w:rPr>
          <w:rFonts w:ascii="Arial" w:eastAsia="Arial" w:hAnsi="Arial" w:cs="Arial"/>
          <w:color w:val="000000" w:themeColor="text1"/>
          <w:sz w:val="22"/>
          <w:szCs w:val="22"/>
        </w:rPr>
        <w:t xml:space="preserve"> [Accessed 20 June 2026].</w:t>
      </w:r>
    </w:p>
    <w:p w14:paraId="59992075" w14:textId="4AAB4A72"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NHS England, 2019. The NHS Long Term Plan. London: NHS England. Available at: </w:t>
      </w:r>
      <w:hyperlink r:id="rId28">
        <w:r w:rsidRPr="521D372D">
          <w:rPr>
            <w:rStyle w:val="Hyperlink"/>
            <w:color w:val="0563C1"/>
          </w:rPr>
          <w:t>https://www.longtermplan.nhs.uk/publication/nhs-long-term-plan/</w:t>
        </w:r>
      </w:hyperlink>
      <w:r w:rsidRPr="521D372D">
        <w:rPr>
          <w:rFonts w:ascii="Arial" w:eastAsia="Arial" w:hAnsi="Arial" w:cs="Arial"/>
          <w:color w:val="000000" w:themeColor="text1"/>
          <w:sz w:val="22"/>
          <w:szCs w:val="22"/>
        </w:rPr>
        <w:t xml:space="preserve"> [Accessed 20 June 2026].</w:t>
      </w:r>
    </w:p>
    <w:p w14:paraId="63981E8E" w14:textId="786F957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NHS England, 2023. Core20PLUS5 – Adults. London: NHS England. Available at: </w:t>
      </w:r>
      <w:hyperlink r:id="rId29">
        <w:r w:rsidRPr="521D372D">
          <w:rPr>
            <w:rStyle w:val="Hyperlink"/>
            <w:color w:val="0563C1"/>
          </w:rPr>
          <w:t>https://www.england.nhs.uk/about/equality/equality-hub/national-healthcare-inequalities-improvement-programme/core20plus5/</w:t>
        </w:r>
      </w:hyperlink>
      <w:r w:rsidRPr="521D372D">
        <w:rPr>
          <w:rFonts w:ascii="Arial" w:eastAsia="Arial" w:hAnsi="Arial" w:cs="Arial"/>
          <w:color w:val="000000" w:themeColor="text1"/>
          <w:sz w:val="22"/>
          <w:szCs w:val="22"/>
        </w:rPr>
        <w:t xml:space="preserve"> [Accessed 20 June 2026].</w:t>
      </w:r>
    </w:p>
    <w:p w14:paraId="1FC126EA" w14:textId="0021C7B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NHS England, 2024</w:t>
      </w:r>
      <w:r w:rsidRPr="521D372D">
        <w:rPr>
          <w:rFonts w:ascii="Arial" w:eastAsia="Arial" w:hAnsi="Arial" w:cs="Arial"/>
          <w:b/>
          <w:bCs/>
          <w:color w:val="000000" w:themeColor="text1"/>
          <w:sz w:val="22"/>
          <w:szCs w:val="22"/>
        </w:rPr>
        <w:t>.</w:t>
      </w:r>
      <w:r w:rsidRPr="521D372D">
        <w:rPr>
          <w:rFonts w:ascii="Arial" w:eastAsia="Arial" w:hAnsi="Arial" w:cs="Arial"/>
          <w:color w:val="000000" w:themeColor="text1"/>
          <w:sz w:val="22"/>
          <w:szCs w:val="22"/>
        </w:rPr>
        <w:t xml:space="preserve"> </w:t>
      </w:r>
      <w:r w:rsidRPr="521D372D">
        <w:rPr>
          <w:rFonts w:ascii="Arial" w:eastAsia="Arial" w:hAnsi="Arial" w:cs="Arial"/>
          <w:i/>
          <w:iCs/>
          <w:color w:val="000000" w:themeColor="text1"/>
          <w:sz w:val="22"/>
          <w:szCs w:val="22"/>
        </w:rPr>
        <w:t>Core20PLUS5: An approach to reducing healthcare inequalities</w:t>
      </w:r>
      <w:r w:rsidRPr="521D372D">
        <w:rPr>
          <w:rFonts w:ascii="Arial" w:eastAsia="Arial" w:hAnsi="Arial" w:cs="Arial"/>
          <w:color w:val="000000" w:themeColor="text1"/>
          <w:sz w:val="22"/>
          <w:szCs w:val="22"/>
        </w:rPr>
        <w:t xml:space="preserve">. London: NHS England. </w:t>
      </w:r>
      <w:hyperlink r:id="rId30">
        <w:r w:rsidRPr="521D372D">
          <w:rPr>
            <w:rStyle w:val="Hyperlink"/>
            <w:color w:val="0563C1"/>
          </w:rPr>
          <w:t>https://www.england.nhs.uk/about/equality/equality-hub/national-healthcare-inequalities-improvement-programme/core20plus5/core20plus5-cyp/</w:t>
        </w:r>
      </w:hyperlink>
      <w:r w:rsidRPr="521D372D">
        <w:rPr>
          <w:rFonts w:ascii="Arial" w:eastAsia="Arial" w:hAnsi="Arial" w:cs="Arial"/>
          <w:color w:val="000000" w:themeColor="text1"/>
          <w:sz w:val="22"/>
          <w:szCs w:val="22"/>
        </w:rPr>
        <w:t xml:space="preserve"> </w:t>
      </w:r>
    </w:p>
    <w:p w14:paraId="13762DDA" w14:textId="79FF1EB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NHS Greater Manchester, 2023. Social Prescribing. Manchester: NHS Greater Manchester Integrated Care. Available at: </w:t>
      </w:r>
      <w:hyperlink r:id="rId31">
        <w:r w:rsidRPr="521D372D">
          <w:rPr>
            <w:rStyle w:val="Hyperlink"/>
            <w:color w:val="0563C1"/>
          </w:rPr>
          <w:t>https://gmintegratedcare.org.uk/what-we-do/transforming-the-way-we-work/social-prescribing/</w:t>
        </w:r>
      </w:hyperlink>
      <w:r w:rsidRPr="521D372D">
        <w:rPr>
          <w:rFonts w:ascii="Arial" w:eastAsia="Arial" w:hAnsi="Arial" w:cs="Arial"/>
          <w:color w:val="000000" w:themeColor="text1"/>
          <w:sz w:val="22"/>
          <w:szCs w:val="22"/>
        </w:rPr>
        <w:t xml:space="preserve"> [Accessed 20 June 2026].</w:t>
      </w:r>
    </w:p>
    <w:p w14:paraId="1C96A13A" w14:textId="0BA7FBD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Oerther, S.E. and Rosa, W.E., 2020. Advocating for equality: The backbone of the sustainable development goals. </w:t>
      </w:r>
      <w:r w:rsidRPr="521D372D">
        <w:rPr>
          <w:rFonts w:ascii="Arial" w:eastAsia="Arial" w:hAnsi="Arial" w:cs="Arial"/>
          <w:i/>
          <w:iCs/>
          <w:color w:val="000000" w:themeColor="text1"/>
          <w:sz w:val="22"/>
          <w:szCs w:val="22"/>
        </w:rPr>
        <w:t>AJN The American Journal of Nursing</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120</w:t>
      </w:r>
      <w:r w:rsidRPr="521D372D">
        <w:rPr>
          <w:rFonts w:ascii="Arial" w:eastAsia="Arial" w:hAnsi="Arial" w:cs="Arial"/>
          <w:color w:val="000000" w:themeColor="text1"/>
          <w:sz w:val="22"/>
          <w:szCs w:val="22"/>
        </w:rPr>
        <w:t xml:space="preserve">(12), pp.60-62. </w:t>
      </w:r>
      <w:hyperlink r:id="rId32">
        <w:r w:rsidRPr="521D372D">
          <w:rPr>
            <w:rStyle w:val="Hyperlink"/>
            <w:color w:val="0563C1"/>
          </w:rPr>
          <w:t>https://doi.org/10.1097/01.NAJ.0000724256.31342.4b</w:t>
        </w:r>
      </w:hyperlink>
      <w:r w:rsidRPr="521D372D">
        <w:rPr>
          <w:rFonts w:ascii="Arial" w:eastAsia="Arial" w:hAnsi="Arial" w:cs="Arial"/>
          <w:color w:val="000000" w:themeColor="text1"/>
          <w:sz w:val="22"/>
          <w:szCs w:val="22"/>
        </w:rPr>
        <w:t xml:space="preserve"> </w:t>
      </w:r>
    </w:p>
    <w:p w14:paraId="670EBCB1" w14:textId="0E2D2AD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Persaud, N., Sabir, A., Woods, H., Sayani, A., Agarwal, A., Chowdhury, M., de Leon-Demare, K., </w:t>
      </w:r>
      <w:proofErr w:type="spellStart"/>
      <w:r w:rsidRPr="521D372D">
        <w:rPr>
          <w:rFonts w:ascii="Arial" w:eastAsia="Arial" w:hAnsi="Arial" w:cs="Arial"/>
          <w:color w:val="000000" w:themeColor="text1"/>
          <w:sz w:val="22"/>
          <w:szCs w:val="22"/>
        </w:rPr>
        <w:t>Ibezi</w:t>
      </w:r>
      <w:proofErr w:type="spellEnd"/>
      <w:r w:rsidRPr="521D372D">
        <w:rPr>
          <w:rFonts w:ascii="Arial" w:eastAsia="Arial" w:hAnsi="Arial" w:cs="Arial"/>
          <w:color w:val="000000" w:themeColor="text1"/>
          <w:sz w:val="22"/>
          <w:szCs w:val="22"/>
        </w:rPr>
        <w:t>, S., Jan, S.H., Katz, A. and LaFortune, F.D., 2023. Preventive care recommendations to promote health equity. </w:t>
      </w:r>
      <w:proofErr w:type="spellStart"/>
      <w:r w:rsidRPr="521D372D">
        <w:rPr>
          <w:rFonts w:ascii="Arial" w:eastAsia="Arial" w:hAnsi="Arial" w:cs="Arial"/>
          <w:i/>
          <w:iCs/>
          <w:color w:val="000000" w:themeColor="text1"/>
          <w:sz w:val="22"/>
          <w:szCs w:val="22"/>
        </w:rPr>
        <w:t>Cmaj</w:t>
      </w:r>
      <w:proofErr w:type="spell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195</w:t>
      </w:r>
      <w:r w:rsidRPr="521D372D">
        <w:rPr>
          <w:rFonts w:ascii="Arial" w:eastAsia="Arial" w:hAnsi="Arial" w:cs="Arial"/>
          <w:color w:val="000000" w:themeColor="text1"/>
          <w:sz w:val="22"/>
          <w:szCs w:val="22"/>
        </w:rPr>
        <w:t xml:space="preserve">(37), </w:t>
      </w:r>
      <w:proofErr w:type="gramStart"/>
      <w:r w:rsidRPr="521D372D">
        <w:rPr>
          <w:rFonts w:ascii="Arial" w:eastAsia="Arial" w:hAnsi="Arial" w:cs="Arial"/>
          <w:color w:val="000000" w:themeColor="text1"/>
          <w:sz w:val="22"/>
          <w:szCs w:val="22"/>
        </w:rPr>
        <w:t>pp.E</w:t>
      </w:r>
      <w:proofErr w:type="gramEnd"/>
      <w:r w:rsidRPr="521D372D">
        <w:rPr>
          <w:rFonts w:ascii="Arial" w:eastAsia="Arial" w:hAnsi="Arial" w:cs="Arial"/>
          <w:color w:val="000000" w:themeColor="text1"/>
          <w:sz w:val="22"/>
          <w:szCs w:val="22"/>
        </w:rPr>
        <w:t xml:space="preserve">1250-E1273. </w:t>
      </w:r>
      <w:hyperlink r:id="rId33">
        <w:r w:rsidRPr="521D372D">
          <w:rPr>
            <w:rStyle w:val="Hyperlink"/>
            <w:color w:val="0563C1"/>
          </w:rPr>
          <w:t>https://doi.org/10.1503/cmaj.230237</w:t>
        </w:r>
      </w:hyperlink>
      <w:r w:rsidRPr="521D372D">
        <w:rPr>
          <w:rFonts w:ascii="Arial" w:eastAsia="Arial" w:hAnsi="Arial" w:cs="Arial"/>
          <w:color w:val="000000" w:themeColor="text1"/>
          <w:sz w:val="22"/>
          <w:szCs w:val="22"/>
        </w:rPr>
        <w:t xml:space="preserve"> </w:t>
      </w:r>
    </w:p>
    <w:p w14:paraId="13C10EFA" w14:textId="78C9EF6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Robson, J., Garriga, C., Coupland, C. and Hippisley-Cox, J., 2021. NHS Health Checks: an observational study of equity and outcomes 2009–2017. </w:t>
      </w:r>
      <w:r w:rsidRPr="521D372D">
        <w:rPr>
          <w:rFonts w:ascii="Arial" w:eastAsia="Arial" w:hAnsi="Arial" w:cs="Arial"/>
          <w:i/>
          <w:iCs/>
          <w:color w:val="000000" w:themeColor="text1"/>
          <w:sz w:val="22"/>
          <w:szCs w:val="22"/>
        </w:rPr>
        <w:t>The British Journal of General Practice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71</w:t>
      </w:r>
      <w:r w:rsidRPr="521D372D">
        <w:rPr>
          <w:rFonts w:ascii="Arial" w:eastAsia="Arial" w:hAnsi="Arial" w:cs="Arial"/>
          <w:color w:val="000000" w:themeColor="text1"/>
          <w:sz w:val="22"/>
          <w:szCs w:val="22"/>
        </w:rPr>
        <w:t xml:space="preserve">(710), p.e701. </w:t>
      </w:r>
      <w:hyperlink r:id="rId34">
        <w:r w:rsidRPr="521D372D">
          <w:rPr>
            <w:rStyle w:val="Hyperlink"/>
            <w:color w:val="0563C1"/>
          </w:rPr>
          <w:t>https://doi.org/10.3399/BJGP.2020.1021</w:t>
        </w:r>
      </w:hyperlink>
      <w:r w:rsidRPr="521D372D">
        <w:rPr>
          <w:rFonts w:ascii="Arial" w:eastAsia="Arial" w:hAnsi="Arial" w:cs="Arial"/>
          <w:color w:val="000000" w:themeColor="text1"/>
          <w:sz w:val="22"/>
          <w:szCs w:val="22"/>
        </w:rPr>
        <w:t xml:space="preserve"> </w:t>
      </w:r>
    </w:p>
    <w:p w14:paraId="3EC4E6BD" w14:textId="04C04F5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Rosenstock, I.M., 1974. Historical origins of the Health Belief Model. Health Education Monographs, 2(4), pp.328–335.</w:t>
      </w:r>
    </w:p>
    <w:p w14:paraId="571AA6DB" w14:textId="35B0405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The Health Foundation, 2024. Inequalities in NHS Health Check uptake and outcomes. London: The Health Foundation. Available at: </w:t>
      </w:r>
      <w:hyperlink r:id="rId35">
        <w:r w:rsidRPr="521D372D">
          <w:rPr>
            <w:rStyle w:val="Hyperlink"/>
            <w:color w:val="0563C1"/>
          </w:rPr>
          <w:t>https://www.health.org.uk/news-and-</w:t>
        </w:r>
        <w:r w:rsidRPr="521D372D">
          <w:rPr>
            <w:rStyle w:val="Hyperlink"/>
            <w:color w:val="0563C1"/>
          </w:rPr>
          <w:lastRenderedPageBreak/>
          <w:t>comment/charts-and-infographics/inequalities-in-nhs-health-check-uptake-and-outcomes</w:t>
        </w:r>
      </w:hyperlink>
      <w:r w:rsidRPr="521D372D">
        <w:rPr>
          <w:rFonts w:ascii="Arial" w:eastAsia="Arial" w:hAnsi="Arial" w:cs="Arial"/>
          <w:color w:val="000000" w:themeColor="text1"/>
          <w:sz w:val="22"/>
          <w:szCs w:val="22"/>
        </w:rPr>
        <w:t xml:space="preserve"> [Accessed 20 June 2026].</w:t>
      </w:r>
    </w:p>
    <w:p w14:paraId="63DE603C" w14:textId="73FC826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Tierney, S., Wong, G., Roberts, N., Boylan, A.M., Park, S., Abrams, R., Reeve, J., Williams, V. and Mahtani, K.R., 2025. Supporting social prescribing in primary care by linking people to local assets: a realist review. </w:t>
      </w:r>
      <w:r w:rsidRPr="521D372D">
        <w:rPr>
          <w:rFonts w:ascii="Arial" w:eastAsia="Arial" w:hAnsi="Arial" w:cs="Arial"/>
          <w:i/>
          <w:iCs/>
          <w:color w:val="000000" w:themeColor="text1"/>
          <w:sz w:val="22"/>
          <w:szCs w:val="22"/>
        </w:rPr>
        <w:t>BMC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18</w:t>
      </w:r>
      <w:r w:rsidRPr="521D372D">
        <w:rPr>
          <w:rFonts w:ascii="Arial" w:eastAsia="Arial" w:hAnsi="Arial" w:cs="Arial"/>
          <w:color w:val="000000" w:themeColor="text1"/>
          <w:sz w:val="22"/>
          <w:szCs w:val="22"/>
        </w:rPr>
        <w:t xml:space="preserve">(1), p.49. </w:t>
      </w:r>
      <w:hyperlink r:id="rId36">
        <w:r w:rsidRPr="521D372D">
          <w:rPr>
            <w:rStyle w:val="Hyperlink"/>
            <w:color w:val="0563C1"/>
          </w:rPr>
          <w:t>https://doi.org/10.1186/s12916-020-1510-7?urlappend=%3Futm_source%3Dresearchgate.net%26utm_medium%3Darticle</w:t>
        </w:r>
      </w:hyperlink>
      <w:r w:rsidRPr="521D372D">
        <w:rPr>
          <w:rFonts w:ascii="Arial" w:eastAsia="Arial" w:hAnsi="Arial" w:cs="Arial"/>
          <w:color w:val="000000" w:themeColor="text1"/>
          <w:sz w:val="22"/>
          <w:szCs w:val="22"/>
        </w:rPr>
        <w:t xml:space="preserve"> </w:t>
      </w:r>
    </w:p>
    <w:p w14:paraId="6BDFC0F5" w14:textId="7502D91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United Nations, 2015. Transforming our world: the 2030 Agenda for Sustainable Development. New York: United Nations. Available at: </w:t>
      </w:r>
      <w:hyperlink r:id="rId37">
        <w:r w:rsidRPr="521D372D">
          <w:rPr>
            <w:rStyle w:val="Hyperlink"/>
            <w:color w:val="0563C1"/>
          </w:rPr>
          <w:t>https://sdgs.un.org/2030agenda</w:t>
        </w:r>
      </w:hyperlink>
      <w:r w:rsidRPr="521D372D">
        <w:rPr>
          <w:rFonts w:ascii="Arial" w:eastAsia="Arial" w:hAnsi="Arial" w:cs="Arial"/>
          <w:color w:val="000000" w:themeColor="text1"/>
          <w:sz w:val="22"/>
          <w:szCs w:val="22"/>
        </w:rPr>
        <w:t xml:space="preserve"> [Accessed 20 June 2026].</w:t>
      </w:r>
    </w:p>
    <w:p w14:paraId="4964C20C" w14:textId="030A429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Wilkinson, R. and Pickett, K., 2018. The Inner Level: How More Equal Societies Reduce Stress, Restore Sanity and Improve Everyone's Wellbeing. London: Allen Lane.</w:t>
      </w:r>
    </w:p>
    <w:p w14:paraId="549BF5BC" w14:textId="615706C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and World Bank Group, 2025. </w:t>
      </w:r>
      <w:r w:rsidRPr="521D372D">
        <w:rPr>
          <w:rFonts w:ascii="Arial" w:eastAsia="Arial" w:hAnsi="Arial" w:cs="Arial"/>
          <w:i/>
          <w:iCs/>
          <w:color w:val="000000" w:themeColor="text1"/>
          <w:sz w:val="22"/>
          <w:szCs w:val="22"/>
        </w:rPr>
        <w:t>Most countries make progress towards universal health coverage, but major challenges remain, WHO–World Bank report finds</w:t>
      </w:r>
      <w:r w:rsidRPr="521D372D">
        <w:rPr>
          <w:rFonts w:ascii="Arial" w:eastAsia="Arial" w:hAnsi="Arial" w:cs="Arial"/>
          <w:color w:val="000000" w:themeColor="text1"/>
          <w:sz w:val="22"/>
          <w:szCs w:val="22"/>
        </w:rPr>
        <w:t xml:space="preserve">. Geneva: World Health Organization. Available at: </w:t>
      </w:r>
      <w:hyperlink r:id="rId38">
        <w:r w:rsidRPr="521D372D">
          <w:rPr>
            <w:rStyle w:val="Hyperlink"/>
            <w:color w:val="0563C1"/>
          </w:rPr>
          <w:t>https://www.who.int/news/item/06-12-2025-most-countries-make-progress-towards-universal-health-coverage-but-major-challenges-remain-who-world-bank-report-finds</w:t>
        </w:r>
      </w:hyperlink>
      <w:r w:rsidRPr="521D372D">
        <w:rPr>
          <w:rFonts w:ascii="Arial" w:eastAsia="Arial" w:hAnsi="Arial" w:cs="Arial"/>
          <w:color w:val="000000" w:themeColor="text1"/>
          <w:sz w:val="22"/>
          <w:szCs w:val="22"/>
        </w:rPr>
        <w:t xml:space="preserve"> [Accessed 19 June 2026].</w:t>
      </w:r>
    </w:p>
    <w:p w14:paraId="099219D6" w14:textId="1F427666"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2021. Comprehensive Mental Health Action Plan 2013–2030. Geneva: World Health Organization. Available at: </w:t>
      </w:r>
      <w:hyperlink r:id="rId39">
        <w:r w:rsidRPr="521D372D">
          <w:rPr>
            <w:rStyle w:val="Hyperlink"/>
            <w:color w:val="0563C1"/>
          </w:rPr>
          <w:t>https://www.who.int/publications/i/item/9789240031029</w:t>
        </w:r>
      </w:hyperlink>
      <w:r w:rsidRPr="521D372D">
        <w:rPr>
          <w:rFonts w:ascii="Arial" w:eastAsia="Arial" w:hAnsi="Arial" w:cs="Arial"/>
          <w:color w:val="000000" w:themeColor="text1"/>
          <w:sz w:val="22"/>
          <w:szCs w:val="22"/>
        </w:rPr>
        <w:t xml:space="preserve"> [Accessed 20 June 2026].</w:t>
      </w:r>
    </w:p>
    <w:p w14:paraId="4565E5A6" w14:textId="495EB003"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w:t>
      </w:r>
      <w:r w:rsidR="00194D9E">
        <w:rPr>
          <w:rFonts w:ascii="Arial" w:eastAsia="Arial" w:hAnsi="Arial" w:cs="Arial"/>
          <w:color w:val="000000" w:themeColor="text1"/>
          <w:sz w:val="22"/>
          <w:szCs w:val="22"/>
        </w:rPr>
        <w:t>Organisation</w:t>
      </w:r>
      <w:r w:rsidRPr="521D372D">
        <w:rPr>
          <w:rFonts w:ascii="Arial" w:eastAsia="Arial" w:hAnsi="Arial" w:cs="Arial"/>
          <w:color w:val="000000" w:themeColor="text1"/>
          <w:sz w:val="22"/>
          <w:szCs w:val="22"/>
        </w:rPr>
        <w:t xml:space="preserve">, 2022. Health equity and its determinants. Geneva: World Health </w:t>
      </w:r>
      <w:r w:rsidR="00194D9E">
        <w:rPr>
          <w:rFonts w:ascii="Arial" w:eastAsia="Arial" w:hAnsi="Arial" w:cs="Arial"/>
          <w:color w:val="000000" w:themeColor="text1"/>
          <w:sz w:val="22"/>
          <w:szCs w:val="22"/>
        </w:rPr>
        <w:t>Organisation</w:t>
      </w:r>
      <w:r w:rsidRPr="521D372D">
        <w:rPr>
          <w:rFonts w:ascii="Arial" w:eastAsia="Arial" w:hAnsi="Arial" w:cs="Arial"/>
          <w:color w:val="000000" w:themeColor="text1"/>
          <w:sz w:val="22"/>
          <w:szCs w:val="22"/>
        </w:rPr>
        <w:t xml:space="preserve">. </w:t>
      </w:r>
      <w:proofErr w:type="spellStart"/>
      <w:r w:rsidRPr="521D372D">
        <w:rPr>
          <w:rFonts w:ascii="Arial" w:eastAsia="Arial" w:hAnsi="Arial" w:cs="Arial"/>
          <w:color w:val="000000" w:themeColor="text1"/>
          <w:sz w:val="22"/>
          <w:szCs w:val="22"/>
        </w:rPr>
        <w:t>Available</w:t>
      </w:r>
      <w:proofErr w:type="spellEnd"/>
      <w:r w:rsidRPr="521D372D">
        <w:rPr>
          <w:rFonts w:ascii="Arial" w:eastAsia="Arial" w:hAnsi="Arial" w:cs="Arial"/>
          <w:color w:val="000000" w:themeColor="text1"/>
          <w:sz w:val="22"/>
          <w:szCs w:val="22"/>
        </w:rPr>
        <w:t xml:space="preserve"> at: </w:t>
      </w:r>
      <w:hyperlink r:id="rId40" w:anchor="tab=tab_1">
        <w:r w:rsidRPr="521D372D">
          <w:rPr>
            <w:rStyle w:val="Hyperlink"/>
            <w:color w:val="0563C1"/>
          </w:rPr>
          <w:t>https://www.who.int/health-topics/health-equity#tab=tab_1</w:t>
        </w:r>
      </w:hyperlink>
      <w:r w:rsidRPr="521D372D">
        <w:rPr>
          <w:rFonts w:ascii="Arial" w:eastAsia="Arial" w:hAnsi="Arial" w:cs="Arial"/>
          <w:color w:val="000000" w:themeColor="text1"/>
          <w:sz w:val="22"/>
          <w:szCs w:val="22"/>
        </w:rPr>
        <w:t xml:space="preserve"> [Accessed 20 June 2026].</w:t>
      </w:r>
    </w:p>
    <w:p w14:paraId="18D90F65" w14:textId="2E2E74E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2023. Universal health coverage (UHC). Geneva: World Health Organization. Available at: </w:t>
      </w:r>
      <w:hyperlink r:id="rId41">
        <w:r w:rsidRPr="521D372D">
          <w:rPr>
            <w:rStyle w:val="Hyperlink"/>
            <w:color w:val="0563C1"/>
          </w:rPr>
          <w:t>https://www.who.int/news-room/fact-sheets/detail/universal-health-coverage-(uhc)</w:t>
        </w:r>
      </w:hyperlink>
      <w:r w:rsidRPr="521D372D">
        <w:rPr>
          <w:rFonts w:ascii="Arial" w:eastAsia="Arial" w:hAnsi="Arial" w:cs="Arial"/>
          <w:color w:val="000000" w:themeColor="text1"/>
          <w:sz w:val="22"/>
          <w:szCs w:val="22"/>
        </w:rPr>
        <w:t xml:space="preserve"> [Accessed 20 June 2026].</w:t>
      </w:r>
    </w:p>
    <w:p w14:paraId="33B4B3A1" w14:textId="051DDE03" w:rsidR="521D372D" w:rsidRDefault="521D372D" w:rsidP="521D372D">
      <w:pPr>
        <w:rPr>
          <w:rFonts w:ascii="Times New Roman" w:eastAsia="Times New Roman" w:hAnsi="Times New Roman" w:cs="Times New Roman"/>
        </w:rPr>
      </w:pPr>
    </w:p>
    <w:p w14:paraId="5F3760FA" w14:textId="27EF4EAE" w:rsidR="521D372D" w:rsidRDefault="521D372D" w:rsidP="521D372D">
      <w:pPr>
        <w:rPr>
          <w:rFonts w:ascii="Times New Roman" w:eastAsia="Times New Roman" w:hAnsi="Times New Roman" w:cs="Times New Roman"/>
        </w:rPr>
      </w:pPr>
    </w:p>
    <w:p w14:paraId="7371A59A" w14:textId="7267054D" w:rsidR="521D372D" w:rsidRDefault="521D372D" w:rsidP="521D372D">
      <w:pPr>
        <w:rPr>
          <w:rFonts w:ascii="Times New Roman" w:eastAsia="Times New Roman" w:hAnsi="Times New Roman" w:cs="Times New Roman"/>
        </w:rPr>
      </w:pPr>
    </w:p>
    <w:p w14:paraId="52249A44" w14:textId="6EF6F4E4" w:rsidR="521D372D" w:rsidRDefault="521D372D" w:rsidP="521D372D">
      <w:pPr>
        <w:rPr>
          <w:rFonts w:ascii="Times New Roman" w:eastAsia="Times New Roman" w:hAnsi="Times New Roman" w:cs="Times New Roman"/>
        </w:rPr>
      </w:pPr>
    </w:p>
    <w:p w14:paraId="7AABC4B5" w14:textId="48C153C0" w:rsidR="521D372D" w:rsidRDefault="521D372D" w:rsidP="521D372D">
      <w:pPr>
        <w:rPr>
          <w:rFonts w:ascii="Times New Roman" w:eastAsia="Times New Roman" w:hAnsi="Times New Roman" w:cs="Times New Roman"/>
        </w:rPr>
      </w:pPr>
    </w:p>
    <w:p w14:paraId="3A3589B7" w14:textId="2CC1FB9A" w:rsidR="521D372D" w:rsidRDefault="521D372D" w:rsidP="521D372D">
      <w:pPr>
        <w:rPr>
          <w:rFonts w:ascii="Times New Roman" w:eastAsia="Times New Roman" w:hAnsi="Times New Roman" w:cs="Times New Roman"/>
        </w:rPr>
      </w:pPr>
    </w:p>
    <w:p w14:paraId="5846877C" w14:textId="16B2C5D3" w:rsidR="521D372D" w:rsidRDefault="521D372D" w:rsidP="521D372D">
      <w:pPr>
        <w:rPr>
          <w:rFonts w:ascii="Times New Roman" w:eastAsia="Times New Roman" w:hAnsi="Times New Roman" w:cs="Times New Roman"/>
        </w:rPr>
      </w:pPr>
    </w:p>
    <w:p w14:paraId="461594B3" w14:textId="7BFDAA25" w:rsidR="521D372D" w:rsidRDefault="521D372D" w:rsidP="521D372D">
      <w:pPr>
        <w:rPr>
          <w:rFonts w:ascii="Times New Roman" w:eastAsia="Times New Roman" w:hAnsi="Times New Roman" w:cs="Times New Roman"/>
        </w:rPr>
      </w:pPr>
    </w:p>
    <w:p w14:paraId="5C7E3BB8" w14:textId="54F4693A" w:rsidR="521D372D" w:rsidRDefault="521D372D" w:rsidP="521D372D">
      <w:pPr>
        <w:rPr>
          <w:rFonts w:ascii="Times New Roman" w:eastAsia="Times New Roman" w:hAnsi="Times New Roman" w:cs="Times New Roman"/>
        </w:rPr>
      </w:pPr>
    </w:p>
    <w:p w14:paraId="7B8DBAAA" w14:textId="1F32931A" w:rsidR="521D372D" w:rsidRDefault="521D372D" w:rsidP="521D372D">
      <w:pPr>
        <w:rPr>
          <w:rFonts w:ascii="Times New Roman" w:eastAsia="Times New Roman" w:hAnsi="Times New Roman" w:cs="Times New Roman"/>
        </w:rPr>
      </w:pPr>
    </w:p>
    <w:p w14:paraId="44695A4B" w14:textId="4447A23D" w:rsidR="521D372D" w:rsidRDefault="521D372D" w:rsidP="521D372D">
      <w:pPr>
        <w:rPr>
          <w:rFonts w:ascii="Times New Roman" w:eastAsia="Times New Roman" w:hAnsi="Times New Roman" w:cs="Times New Roman"/>
        </w:rPr>
      </w:pPr>
    </w:p>
    <w:p w14:paraId="620CF2E7" w14:textId="11722AFB" w:rsidR="521D372D" w:rsidRDefault="521D372D" w:rsidP="521D372D">
      <w:pPr>
        <w:rPr>
          <w:rFonts w:ascii="Times New Roman" w:eastAsia="Times New Roman" w:hAnsi="Times New Roman" w:cs="Times New Roman"/>
        </w:rPr>
      </w:pPr>
    </w:p>
    <w:p w14:paraId="38CEFEBA" w14:textId="520F8099" w:rsidR="521D372D" w:rsidRDefault="521D372D" w:rsidP="521D372D">
      <w:pPr>
        <w:rPr>
          <w:rFonts w:ascii="Times New Roman" w:eastAsia="Times New Roman" w:hAnsi="Times New Roman" w:cs="Times New Roman"/>
        </w:rPr>
      </w:pPr>
    </w:p>
    <w:p w14:paraId="38548DA6" w14:textId="674426E1" w:rsidR="521D372D" w:rsidRDefault="521D372D" w:rsidP="521D372D">
      <w:pPr>
        <w:rPr>
          <w:rFonts w:ascii="Times New Roman" w:eastAsia="Times New Roman" w:hAnsi="Times New Roman" w:cs="Times New Roman"/>
        </w:rPr>
      </w:pPr>
    </w:p>
    <w:p w14:paraId="54DE5E77" w14:textId="2739A833" w:rsidR="521D372D" w:rsidRDefault="521D372D" w:rsidP="521D372D">
      <w:pPr>
        <w:rPr>
          <w:rFonts w:ascii="Times New Roman" w:eastAsia="Times New Roman" w:hAnsi="Times New Roman" w:cs="Times New Roman"/>
        </w:rPr>
      </w:pPr>
    </w:p>
    <w:p w14:paraId="0CF8C525" w14:textId="2C580877" w:rsidR="521D372D" w:rsidRDefault="521D372D" w:rsidP="521D372D">
      <w:pPr>
        <w:rPr>
          <w:rFonts w:ascii="Times New Roman" w:eastAsia="Times New Roman" w:hAnsi="Times New Roman" w:cs="Times New Roman"/>
        </w:rPr>
      </w:pPr>
    </w:p>
    <w:p w14:paraId="1805034C" w14:textId="7AE135C8" w:rsidR="521D372D" w:rsidRDefault="521D372D" w:rsidP="521D372D">
      <w:pPr>
        <w:rPr>
          <w:rFonts w:ascii="Times New Roman" w:eastAsia="Times New Roman" w:hAnsi="Times New Roman" w:cs="Times New Roman"/>
        </w:rPr>
      </w:pPr>
    </w:p>
    <w:p w14:paraId="430B6A3B" w14:textId="6614DFA7" w:rsidR="521D372D" w:rsidRDefault="521D372D" w:rsidP="521D372D">
      <w:pPr>
        <w:rPr>
          <w:rFonts w:ascii="Times New Roman" w:eastAsia="Times New Roman" w:hAnsi="Times New Roman" w:cs="Times New Roman"/>
        </w:rPr>
      </w:pPr>
    </w:p>
    <w:p w14:paraId="6616B57B" w14:textId="53D684A6" w:rsidR="521D372D" w:rsidRDefault="521D372D" w:rsidP="521D372D">
      <w:pPr>
        <w:rPr>
          <w:rFonts w:ascii="Times New Roman" w:eastAsia="Times New Roman" w:hAnsi="Times New Roman" w:cs="Times New Roman"/>
        </w:rPr>
      </w:pPr>
    </w:p>
    <w:p w14:paraId="7A9E697D" w14:textId="12D2DE33" w:rsidR="521D372D" w:rsidRDefault="521D372D" w:rsidP="521D372D">
      <w:pPr>
        <w:rPr>
          <w:rFonts w:ascii="Times New Roman" w:eastAsia="Times New Roman" w:hAnsi="Times New Roman" w:cs="Times New Roman"/>
        </w:rPr>
      </w:pPr>
    </w:p>
    <w:p w14:paraId="4314C9DB" w14:textId="7447C527" w:rsidR="521D372D" w:rsidRDefault="521D372D" w:rsidP="521D372D">
      <w:pPr>
        <w:rPr>
          <w:rFonts w:ascii="Times New Roman" w:eastAsia="Times New Roman" w:hAnsi="Times New Roman" w:cs="Times New Roman"/>
        </w:rPr>
      </w:pPr>
    </w:p>
    <w:p w14:paraId="75B575EB" w14:textId="2D60468C" w:rsidR="521D372D" w:rsidRDefault="521D372D" w:rsidP="521D372D">
      <w:pPr>
        <w:rPr>
          <w:rFonts w:ascii="Times New Roman" w:eastAsia="Times New Roman" w:hAnsi="Times New Roman" w:cs="Times New Roman"/>
        </w:rPr>
      </w:pPr>
    </w:p>
    <w:p w14:paraId="7FDF3870" w14:textId="328D5BEB" w:rsidR="521D372D" w:rsidRDefault="521D372D" w:rsidP="521D372D">
      <w:pPr>
        <w:rPr>
          <w:rFonts w:ascii="Times New Roman" w:eastAsia="Times New Roman" w:hAnsi="Times New Roman" w:cs="Times New Roman"/>
        </w:rPr>
      </w:pPr>
    </w:p>
    <w:p w14:paraId="123CA215" w14:textId="4BCAE193" w:rsidR="521D372D" w:rsidRDefault="521D372D" w:rsidP="521D372D">
      <w:pPr>
        <w:rPr>
          <w:rFonts w:ascii="Times New Roman" w:eastAsia="Times New Roman" w:hAnsi="Times New Roman" w:cs="Times New Roman"/>
        </w:rPr>
      </w:pPr>
    </w:p>
    <w:p w14:paraId="346B7DE6" w14:textId="5CD898AF" w:rsidR="521D372D" w:rsidRDefault="521D372D" w:rsidP="521D372D">
      <w:pPr>
        <w:rPr>
          <w:rFonts w:ascii="Times New Roman" w:eastAsia="Times New Roman" w:hAnsi="Times New Roman" w:cs="Times New Roman"/>
        </w:rPr>
      </w:pPr>
    </w:p>
    <w:p w14:paraId="792BE2F8" w14:textId="73C2FD50" w:rsidR="521D372D" w:rsidRDefault="521D372D" w:rsidP="521D372D">
      <w:pPr>
        <w:rPr>
          <w:rFonts w:ascii="Times New Roman" w:eastAsia="Times New Roman" w:hAnsi="Times New Roman" w:cs="Times New Roman"/>
        </w:rPr>
      </w:pPr>
    </w:p>
    <w:p w14:paraId="258A7BDD" w14:textId="588D03B2" w:rsidR="521D372D" w:rsidRDefault="521D372D" w:rsidP="521D372D">
      <w:pPr>
        <w:rPr>
          <w:rFonts w:ascii="Times New Roman" w:eastAsia="Times New Roman" w:hAnsi="Times New Roman" w:cs="Times New Roman"/>
        </w:rPr>
      </w:pPr>
    </w:p>
    <w:p w14:paraId="27701CEC" w14:textId="58D02DF0" w:rsidR="521D372D" w:rsidRDefault="521D372D" w:rsidP="521D372D">
      <w:pPr>
        <w:rPr>
          <w:rFonts w:ascii="Times New Roman" w:eastAsia="Times New Roman" w:hAnsi="Times New Roman" w:cs="Times New Roman"/>
        </w:rPr>
      </w:pPr>
    </w:p>
    <w:p w14:paraId="199A7091" w14:textId="45FC7045" w:rsidR="521D372D" w:rsidRDefault="521D372D" w:rsidP="521D372D">
      <w:pPr>
        <w:rPr>
          <w:rFonts w:ascii="Times New Roman" w:eastAsia="Times New Roman" w:hAnsi="Times New Roman" w:cs="Times New Roman"/>
        </w:rPr>
      </w:pPr>
    </w:p>
    <w:p w14:paraId="54B86E80" w14:textId="6D6EA6BA" w:rsidR="521D372D" w:rsidRDefault="521D372D" w:rsidP="521D372D">
      <w:pPr>
        <w:rPr>
          <w:rFonts w:ascii="Times New Roman" w:eastAsia="Times New Roman" w:hAnsi="Times New Roman" w:cs="Times New Roman"/>
        </w:rPr>
      </w:pPr>
    </w:p>
    <w:p w14:paraId="41277E5E" w14:textId="1F52F37C" w:rsidR="521D372D" w:rsidRDefault="521D372D" w:rsidP="521D372D">
      <w:pPr>
        <w:rPr>
          <w:rFonts w:ascii="Times New Roman" w:eastAsia="Times New Roman" w:hAnsi="Times New Roman" w:cs="Times New Roman"/>
        </w:rPr>
      </w:pPr>
    </w:p>
    <w:p w14:paraId="4C2EDF32" w14:textId="04D28851" w:rsidR="521D372D" w:rsidRDefault="521D372D" w:rsidP="521D372D">
      <w:pPr>
        <w:rPr>
          <w:rFonts w:ascii="Times New Roman" w:eastAsia="Times New Roman" w:hAnsi="Times New Roman" w:cs="Times New Roman"/>
        </w:rPr>
      </w:pPr>
    </w:p>
    <w:p w14:paraId="2876B1DF" w14:textId="06945C96" w:rsidR="521D372D" w:rsidRDefault="521D372D" w:rsidP="521D372D">
      <w:pPr>
        <w:rPr>
          <w:rFonts w:ascii="Times New Roman" w:eastAsia="Times New Roman" w:hAnsi="Times New Roman" w:cs="Times New Roman"/>
        </w:rPr>
      </w:pPr>
    </w:p>
    <w:p w14:paraId="1F8C824A" w14:textId="04E2F54A" w:rsidR="521D372D" w:rsidRDefault="521D372D" w:rsidP="521D372D">
      <w:pPr>
        <w:rPr>
          <w:rFonts w:ascii="Times New Roman" w:eastAsia="Times New Roman" w:hAnsi="Times New Roman" w:cs="Times New Roman"/>
        </w:rPr>
      </w:pPr>
    </w:p>
    <w:p w14:paraId="536304AC" w14:textId="466E3835" w:rsidR="521D372D" w:rsidRDefault="521D372D" w:rsidP="521D372D">
      <w:pPr>
        <w:rPr>
          <w:rFonts w:ascii="Times New Roman" w:eastAsia="Times New Roman" w:hAnsi="Times New Roman" w:cs="Times New Roman"/>
        </w:rPr>
      </w:pPr>
    </w:p>
    <w:p w14:paraId="4DDD5E96" w14:textId="12CBBD61" w:rsidR="521D372D" w:rsidRDefault="521D372D" w:rsidP="521D372D">
      <w:pPr>
        <w:rPr>
          <w:rFonts w:ascii="Times New Roman" w:eastAsia="Times New Roman" w:hAnsi="Times New Roman" w:cs="Times New Roman"/>
        </w:rPr>
      </w:pPr>
    </w:p>
    <w:p w14:paraId="568D56B5" w14:textId="2E1FA71B" w:rsidR="521D372D" w:rsidRDefault="521D372D" w:rsidP="521D372D">
      <w:pPr>
        <w:rPr>
          <w:rFonts w:ascii="Times New Roman" w:eastAsia="Times New Roman" w:hAnsi="Times New Roman" w:cs="Times New Roman"/>
        </w:rPr>
      </w:pPr>
    </w:p>
    <w:p w14:paraId="0C680222" w14:textId="543C5708" w:rsidR="521D372D" w:rsidRDefault="521D372D" w:rsidP="521D372D">
      <w:pPr>
        <w:rPr>
          <w:rFonts w:ascii="Times New Roman" w:eastAsia="Times New Roman" w:hAnsi="Times New Roman" w:cs="Times New Roman"/>
        </w:rPr>
      </w:pPr>
    </w:p>
    <w:sectPr w:rsidR="521D372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9B3D" w14:textId="77777777" w:rsidR="00F91D87" w:rsidRDefault="00F91D87" w:rsidP="00AF1C5D">
      <w:pPr>
        <w:spacing w:after="0" w:line="240" w:lineRule="auto"/>
      </w:pPr>
      <w:r>
        <w:separator/>
      </w:r>
    </w:p>
  </w:endnote>
  <w:endnote w:type="continuationSeparator" w:id="0">
    <w:p w14:paraId="7AE198E5" w14:textId="77777777" w:rsidR="00F91D87" w:rsidRDefault="00F91D87" w:rsidP="00AF1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1BF57" w14:textId="77777777" w:rsidR="00F91D87" w:rsidRDefault="00F91D87" w:rsidP="00AF1C5D">
      <w:pPr>
        <w:spacing w:after="0" w:line="240" w:lineRule="auto"/>
      </w:pPr>
      <w:r>
        <w:separator/>
      </w:r>
    </w:p>
  </w:footnote>
  <w:footnote w:type="continuationSeparator" w:id="0">
    <w:p w14:paraId="21C963BE" w14:textId="77777777" w:rsidR="00F91D87" w:rsidRDefault="00F91D87" w:rsidP="00AF1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13A"/>
    <w:multiLevelType w:val="hybridMultilevel"/>
    <w:tmpl w:val="5448B0C0"/>
    <w:lvl w:ilvl="0" w:tplc="FA0E792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F426DD"/>
    <w:multiLevelType w:val="hybridMultilevel"/>
    <w:tmpl w:val="493CD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792858">
    <w:abstractNumId w:val="1"/>
  </w:num>
  <w:num w:numId="2" w16cid:durableId="1628857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6C23C9"/>
    <w:rsid w:val="0000689A"/>
    <w:rsid w:val="00015AEA"/>
    <w:rsid w:val="00017752"/>
    <w:rsid w:val="00037B72"/>
    <w:rsid w:val="00041C03"/>
    <w:rsid w:val="0004431F"/>
    <w:rsid w:val="00050FCE"/>
    <w:rsid w:val="0006190A"/>
    <w:rsid w:val="00073078"/>
    <w:rsid w:val="00074F83"/>
    <w:rsid w:val="00080DF8"/>
    <w:rsid w:val="000912FA"/>
    <w:rsid w:val="000A6E09"/>
    <w:rsid w:val="000C02B7"/>
    <w:rsid w:val="000E016E"/>
    <w:rsid w:val="000E25B0"/>
    <w:rsid w:val="000E6A21"/>
    <w:rsid w:val="000F4DA5"/>
    <w:rsid w:val="00106E7A"/>
    <w:rsid w:val="001147C0"/>
    <w:rsid w:val="00130013"/>
    <w:rsid w:val="00134E72"/>
    <w:rsid w:val="001513C9"/>
    <w:rsid w:val="00157099"/>
    <w:rsid w:val="001662AF"/>
    <w:rsid w:val="00171F47"/>
    <w:rsid w:val="00194D9E"/>
    <w:rsid w:val="001A0C70"/>
    <w:rsid w:val="001A59D1"/>
    <w:rsid w:val="001C4209"/>
    <w:rsid w:val="001D1480"/>
    <w:rsid w:val="001F701A"/>
    <w:rsid w:val="00213AF7"/>
    <w:rsid w:val="00213E4D"/>
    <w:rsid w:val="00215200"/>
    <w:rsid w:val="00216BD5"/>
    <w:rsid w:val="002270F3"/>
    <w:rsid w:val="00230A57"/>
    <w:rsid w:val="00253B68"/>
    <w:rsid w:val="0025508A"/>
    <w:rsid w:val="00274785"/>
    <w:rsid w:val="00282909"/>
    <w:rsid w:val="002B6ED5"/>
    <w:rsid w:val="002D0C2C"/>
    <w:rsid w:val="00305245"/>
    <w:rsid w:val="00310B69"/>
    <w:rsid w:val="0031285D"/>
    <w:rsid w:val="00313BD2"/>
    <w:rsid w:val="00330A5F"/>
    <w:rsid w:val="00330CD2"/>
    <w:rsid w:val="00331641"/>
    <w:rsid w:val="00346CBB"/>
    <w:rsid w:val="00356D8F"/>
    <w:rsid w:val="00357B60"/>
    <w:rsid w:val="00376349"/>
    <w:rsid w:val="003A42D5"/>
    <w:rsid w:val="003B1857"/>
    <w:rsid w:val="003B3270"/>
    <w:rsid w:val="003C6D0A"/>
    <w:rsid w:val="003D1F56"/>
    <w:rsid w:val="003D23F2"/>
    <w:rsid w:val="003F015C"/>
    <w:rsid w:val="003F5E87"/>
    <w:rsid w:val="00407D4E"/>
    <w:rsid w:val="00413077"/>
    <w:rsid w:val="00416423"/>
    <w:rsid w:val="00417C71"/>
    <w:rsid w:val="00424AAA"/>
    <w:rsid w:val="00425BE2"/>
    <w:rsid w:val="00431C96"/>
    <w:rsid w:val="00443F03"/>
    <w:rsid w:val="00445D78"/>
    <w:rsid w:val="00451BF9"/>
    <w:rsid w:val="004B0A70"/>
    <w:rsid w:val="004C78AE"/>
    <w:rsid w:val="004D017A"/>
    <w:rsid w:val="004E0434"/>
    <w:rsid w:val="00530BF9"/>
    <w:rsid w:val="0059282E"/>
    <w:rsid w:val="005A4566"/>
    <w:rsid w:val="005B6C4E"/>
    <w:rsid w:val="005C2074"/>
    <w:rsid w:val="005C715D"/>
    <w:rsid w:val="005D00B8"/>
    <w:rsid w:val="00600415"/>
    <w:rsid w:val="00632F50"/>
    <w:rsid w:val="006346D9"/>
    <w:rsid w:val="00636FC1"/>
    <w:rsid w:val="00652F80"/>
    <w:rsid w:val="00685BD1"/>
    <w:rsid w:val="00697DE9"/>
    <w:rsid w:val="006A4F4D"/>
    <w:rsid w:val="006B2854"/>
    <w:rsid w:val="006D7C5C"/>
    <w:rsid w:val="006E12C0"/>
    <w:rsid w:val="00700639"/>
    <w:rsid w:val="00714A06"/>
    <w:rsid w:val="00721B6E"/>
    <w:rsid w:val="00722A69"/>
    <w:rsid w:val="007437E5"/>
    <w:rsid w:val="007540B3"/>
    <w:rsid w:val="007A3DF2"/>
    <w:rsid w:val="007B242E"/>
    <w:rsid w:val="007B34E9"/>
    <w:rsid w:val="007E299F"/>
    <w:rsid w:val="007E3DCD"/>
    <w:rsid w:val="007E54B8"/>
    <w:rsid w:val="007E7868"/>
    <w:rsid w:val="00801E5A"/>
    <w:rsid w:val="00802E07"/>
    <w:rsid w:val="00806A8E"/>
    <w:rsid w:val="00817AB3"/>
    <w:rsid w:val="00827B00"/>
    <w:rsid w:val="008305FE"/>
    <w:rsid w:val="00835DA7"/>
    <w:rsid w:val="008627B2"/>
    <w:rsid w:val="008758CD"/>
    <w:rsid w:val="00890E7E"/>
    <w:rsid w:val="0089427C"/>
    <w:rsid w:val="008969CC"/>
    <w:rsid w:val="008A2EC9"/>
    <w:rsid w:val="008C0B76"/>
    <w:rsid w:val="008E72E0"/>
    <w:rsid w:val="00911C7E"/>
    <w:rsid w:val="00914E26"/>
    <w:rsid w:val="0091641C"/>
    <w:rsid w:val="00925FA2"/>
    <w:rsid w:val="009360AB"/>
    <w:rsid w:val="009465E5"/>
    <w:rsid w:val="0095537A"/>
    <w:rsid w:val="009554AA"/>
    <w:rsid w:val="00971853"/>
    <w:rsid w:val="00994BD3"/>
    <w:rsid w:val="009A1731"/>
    <w:rsid w:val="009C2CCB"/>
    <w:rsid w:val="009C78A9"/>
    <w:rsid w:val="009E1BDC"/>
    <w:rsid w:val="009E1D7E"/>
    <w:rsid w:val="009E5311"/>
    <w:rsid w:val="00A44FE2"/>
    <w:rsid w:val="00A7092A"/>
    <w:rsid w:val="00A83164"/>
    <w:rsid w:val="00A87753"/>
    <w:rsid w:val="00A90BD1"/>
    <w:rsid w:val="00AB41B8"/>
    <w:rsid w:val="00AB68F5"/>
    <w:rsid w:val="00AC1A94"/>
    <w:rsid w:val="00AC6C93"/>
    <w:rsid w:val="00AD7A5A"/>
    <w:rsid w:val="00AF1C5D"/>
    <w:rsid w:val="00AF396A"/>
    <w:rsid w:val="00AF5702"/>
    <w:rsid w:val="00B06157"/>
    <w:rsid w:val="00B0727F"/>
    <w:rsid w:val="00B22E97"/>
    <w:rsid w:val="00B2651E"/>
    <w:rsid w:val="00B32C4D"/>
    <w:rsid w:val="00B46AD6"/>
    <w:rsid w:val="00B7227D"/>
    <w:rsid w:val="00B7298C"/>
    <w:rsid w:val="00B73878"/>
    <w:rsid w:val="00B74635"/>
    <w:rsid w:val="00B930DF"/>
    <w:rsid w:val="00BE32FE"/>
    <w:rsid w:val="00BE5CB7"/>
    <w:rsid w:val="00BF263E"/>
    <w:rsid w:val="00C10732"/>
    <w:rsid w:val="00C86127"/>
    <w:rsid w:val="00CA736F"/>
    <w:rsid w:val="00CC0724"/>
    <w:rsid w:val="00CD3724"/>
    <w:rsid w:val="00CD3BD9"/>
    <w:rsid w:val="00CD7D88"/>
    <w:rsid w:val="00CE49CE"/>
    <w:rsid w:val="00CE64B3"/>
    <w:rsid w:val="00CE750A"/>
    <w:rsid w:val="00D1405B"/>
    <w:rsid w:val="00D2033E"/>
    <w:rsid w:val="00D206B7"/>
    <w:rsid w:val="00D31A28"/>
    <w:rsid w:val="00D325FB"/>
    <w:rsid w:val="00D47322"/>
    <w:rsid w:val="00D523D2"/>
    <w:rsid w:val="00D547BC"/>
    <w:rsid w:val="00D75E65"/>
    <w:rsid w:val="00D80437"/>
    <w:rsid w:val="00D81B4D"/>
    <w:rsid w:val="00DA2A28"/>
    <w:rsid w:val="00DC297B"/>
    <w:rsid w:val="00DC7425"/>
    <w:rsid w:val="00E05EB9"/>
    <w:rsid w:val="00E12DC4"/>
    <w:rsid w:val="00E2217C"/>
    <w:rsid w:val="00E27212"/>
    <w:rsid w:val="00E27894"/>
    <w:rsid w:val="00E4793E"/>
    <w:rsid w:val="00E47B88"/>
    <w:rsid w:val="00E521E3"/>
    <w:rsid w:val="00E66737"/>
    <w:rsid w:val="00E96B79"/>
    <w:rsid w:val="00EA184A"/>
    <w:rsid w:val="00EB3728"/>
    <w:rsid w:val="00ED53DE"/>
    <w:rsid w:val="00EE4D83"/>
    <w:rsid w:val="00F13085"/>
    <w:rsid w:val="00F45746"/>
    <w:rsid w:val="00F57391"/>
    <w:rsid w:val="00F65BCD"/>
    <w:rsid w:val="00F6655D"/>
    <w:rsid w:val="00F71FA1"/>
    <w:rsid w:val="00F84D2D"/>
    <w:rsid w:val="00F91D87"/>
    <w:rsid w:val="00FB45B2"/>
    <w:rsid w:val="00FD151B"/>
    <w:rsid w:val="00FF6A57"/>
    <w:rsid w:val="0266D21D"/>
    <w:rsid w:val="02FA02E2"/>
    <w:rsid w:val="03249FE0"/>
    <w:rsid w:val="032CB0EF"/>
    <w:rsid w:val="047BEB8D"/>
    <w:rsid w:val="04B97579"/>
    <w:rsid w:val="092C81E3"/>
    <w:rsid w:val="0BCF15DD"/>
    <w:rsid w:val="106C23C9"/>
    <w:rsid w:val="137BE513"/>
    <w:rsid w:val="15EB0BF0"/>
    <w:rsid w:val="19482D14"/>
    <w:rsid w:val="1A34AFBA"/>
    <w:rsid w:val="29867FC4"/>
    <w:rsid w:val="2B1C5461"/>
    <w:rsid w:val="2B936102"/>
    <w:rsid w:val="2CAFEC2F"/>
    <w:rsid w:val="2E83D443"/>
    <w:rsid w:val="3003978C"/>
    <w:rsid w:val="32642B69"/>
    <w:rsid w:val="35DC4E3F"/>
    <w:rsid w:val="37397DE1"/>
    <w:rsid w:val="3A5D88FC"/>
    <w:rsid w:val="3B190980"/>
    <w:rsid w:val="3B204134"/>
    <w:rsid w:val="3CD9E311"/>
    <w:rsid w:val="3F140734"/>
    <w:rsid w:val="45A9A721"/>
    <w:rsid w:val="4C791BA1"/>
    <w:rsid w:val="4D39FC88"/>
    <w:rsid w:val="4FF634B7"/>
    <w:rsid w:val="521D372D"/>
    <w:rsid w:val="521F5534"/>
    <w:rsid w:val="52370E43"/>
    <w:rsid w:val="5796F627"/>
    <w:rsid w:val="61BBD09A"/>
    <w:rsid w:val="65E2938B"/>
    <w:rsid w:val="6B619DBC"/>
    <w:rsid w:val="6DDD63AE"/>
    <w:rsid w:val="74AE18D5"/>
    <w:rsid w:val="77C39033"/>
    <w:rsid w:val="791C355A"/>
    <w:rsid w:val="792A8D97"/>
    <w:rsid w:val="79E7E9B6"/>
    <w:rsid w:val="7E6CBAC4"/>
    <w:rsid w:val="7F14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BAD1"/>
  <w15:chartTrackingRefBased/>
  <w15:docId w15:val="{3EDBD763-5160-4621-AD5B-FDB364B3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21D372D"/>
    <w:rPr>
      <w:color w:val="467886"/>
      <w:u w:val="single"/>
    </w:rPr>
  </w:style>
  <w:style w:type="paragraph" w:styleId="Header">
    <w:name w:val="header"/>
    <w:basedOn w:val="Normal"/>
    <w:link w:val="HeaderChar"/>
    <w:uiPriority w:val="99"/>
    <w:unhideWhenUsed/>
    <w:rsid w:val="00AF1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C5D"/>
  </w:style>
  <w:style w:type="paragraph" w:styleId="Footer">
    <w:name w:val="footer"/>
    <w:basedOn w:val="Normal"/>
    <w:link w:val="FooterChar"/>
    <w:uiPriority w:val="99"/>
    <w:unhideWhenUsed/>
    <w:rsid w:val="00AF1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C5D"/>
  </w:style>
  <w:style w:type="paragraph" w:styleId="ListParagraph">
    <w:name w:val="List Paragraph"/>
    <w:basedOn w:val="Normal"/>
    <w:uiPriority w:val="34"/>
    <w:qFormat/>
    <w:rsid w:val="00817A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ac.uk/download/pdf/6472456.pdf" TargetMode="External"/><Relationship Id="rId18" Type="http://schemas.openxmlformats.org/officeDocument/2006/relationships/hyperlink" Target="https://doi.org/10.15210/pixo.v9i32.28687" TargetMode="External"/><Relationship Id="rId26" Type="http://schemas.openxmlformats.org/officeDocument/2006/relationships/hyperlink" Target="https://researchportal.northumbria.ac.uk/ws/portalfiles/portal/211035091/CoTN_Poverty_Report_2.pdf?utm_source=chatgpt.com" TargetMode="External"/><Relationship Id="rId39" Type="http://schemas.openxmlformats.org/officeDocument/2006/relationships/hyperlink" Target="https://www.who.int/publications/i/item/9789240031029" TargetMode="External"/><Relationship Id="rId21" Type="http://schemas.openxmlformats.org/officeDocument/2006/relationships/hyperlink" Target="https://doi.org/10.1186/s12913-024-11743-0" TargetMode="External"/><Relationship Id="rId34" Type="http://schemas.openxmlformats.org/officeDocument/2006/relationships/hyperlink" Target="https://doi.org/10.3399/BJGP.2020.1021"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org/doi/10.1126/science.847460" TargetMode="External"/><Relationship Id="rId20" Type="http://schemas.openxmlformats.org/officeDocument/2006/relationships/hyperlink" Target="https://doi.org/10.1201/9781003638100" TargetMode="External"/><Relationship Id="rId29" Type="http://schemas.openxmlformats.org/officeDocument/2006/relationships/hyperlink" Target="https://www.england.nhs.uk/about/equality/equality-hub/national-healthcare-inequalities-improvement-programme/core20plus5/" TargetMode="External"/><Relationship Id="rId41" Type="http://schemas.openxmlformats.org/officeDocument/2006/relationships/hyperlink" Target="https://www.who.int/news-room/fact-sheets/detail/universal-health-coverage-(uh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916-023-02957-w" TargetMode="External"/><Relationship Id="rId24" Type="http://schemas.openxmlformats.org/officeDocument/2006/relationships/hyperlink" Target="https://doi.org/10.3390/encyclopedia5010016" TargetMode="External"/><Relationship Id="rId32" Type="http://schemas.openxmlformats.org/officeDocument/2006/relationships/hyperlink" Target="https://doi.org/10.1097/01.NAJ.0000724256.31342.4b" TargetMode="External"/><Relationship Id="rId37" Type="http://schemas.openxmlformats.org/officeDocument/2006/relationships/hyperlink" Target="https://sdgs.un.org/2030agenda" TargetMode="External"/><Relationship Id="rId40" Type="http://schemas.openxmlformats.org/officeDocument/2006/relationships/hyperlink" Target="https://www.who.int/health-topics/health-equity" TargetMode="External"/><Relationship Id="rId5" Type="http://schemas.openxmlformats.org/officeDocument/2006/relationships/footnotes" Target="footnotes.xml"/><Relationship Id="rId15" Type="http://schemas.openxmlformats.org/officeDocument/2006/relationships/hyperlink" Target="https://www.ncbi.nlm.nih.gov/books/NBK573923/" TargetMode="External"/><Relationship Id="rId23" Type="http://schemas.openxmlformats.org/officeDocument/2006/relationships/hyperlink" Target="https://doi.org/10.3390/su17115063" TargetMode="External"/><Relationship Id="rId28" Type="http://schemas.openxmlformats.org/officeDocument/2006/relationships/hyperlink" Target="https://www.longtermplan.nhs.uk/publication/nhs-long-term-plan/" TargetMode="External"/><Relationship Id="rId36" Type="http://schemas.openxmlformats.org/officeDocument/2006/relationships/hyperlink" Target="https://doi.org/10.1186/s12916-020-1510-7?urlappend=%3Futm_source%3Dresearchgate.net%26utm_medium%3Darticle" TargetMode="External"/><Relationship Id="rId10" Type="http://schemas.openxmlformats.org/officeDocument/2006/relationships/hyperlink" Target="https://doi.org/10.1177/14034948211022428" TargetMode="External"/><Relationship Id="rId19" Type="http://schemas.openxmlformats.org/officeDocument/2006/relationships/hyperlink" Target="https://doi.org/10.3389/fpubh.2025.1531801" TargetMode="External"/><Relationship Id="rId31" Type="http://schemas.openxmlformats.org/officeDocument/2006/relationships/hyperlink" Target="https://gmintegratedcare.org.uk/what-we-do/transforming-the-way-we-work/social-prescribing/" TargetMode="External"/><Relationship Id="rId4" Type="http://schemas.openxmlformats.org/officeDocument/2006/relationships/webSettings" Target="webSettings.xml"/><Relationship Id="rId9" Type="http://schemas.openxmlformats.org/officeDocument/2006/relationships/hyperlink" Target="https://doi.org/10.1002/puh2.70156" TargetMode="External"/><Relationship Id="rId14" Type="http://schemas.openxmlformats.org/officeDocument/2006/relationships/hyperlink" Target="https://doi.org/10.3961/jpmph.21.542" TargetMode="External"/><Relationship Id="rId22" Type="http://schemas.openxmlformats.org/officeDocument/2006/relationships/hyperlink" Target="https://doi.org/10.2147/RMHP.S366759" TargetMode="External"/><Relationship Id="rId27" Type="http://schemas.openxmlformats.org/officeDocument/2006/relationships/hyperlink" Target="https://www.tnlcommunityfund.org.uk/funding/strategic-investments/a-better-start" TargetMode="External"/><Relationship Id="rId30" Type="http://schemas.openxmlformats.org/officeDocument/2006/relationships/hyperlink" Target="https://www.england.nhs.uk/about/equality/equality-hub/national-healthcare-inequalities-improvement-programme/core20plus5/core20plus5-cyp/" TargetMode="External"/><Relationship Id="rId35" Type="http://schemas.openxmlformats.org/officeDocument/2006/relationships/hyperlink" Target="https://www.health.org.uk/news-and-comment/charts-and-infographics/inequalities-in-nhs-health-check-uptake-and-outcomes" TargetMode="External"/><Relationship Id="rId43" Type="http://schemas.openxmlformats.org/officeDocument/2006/relationships/theme" Target="theme/theme1.xml"/><Relationship Id="rId8" Type="http://schemas.openxmlformats.org/officeDocument/2006/relationships/hyperlink" Target="https://www.abetterstartblackpool.co.uk/" TargetMode="External"/><Relationship Id="rId3" Type="http://schemas.openxmlformats.org/officeDocument/2006/relationships/settings" Target="settings.xml"/><Relationship Id="rId12" Type="http://schemas.openxmlformats.org/officeDocument/2006/relationships/hyperlink" Target="https://doi.org/10.1016/S0140-6736(21)00230-0" TargetMode="External"/><Relationship Id="rId17" Type="http://schemas.openxmlformats.org/officeDocument/2006/relationships/hyperlink" Target="https://doi.org/10.1080/17482631.2025.2458309" TargetMode="External"/><Relationship Id="rId25" Type="http://schemas.openxmlformats.org/officeDocument/2006/relationships/hyperlink" Target="https://www.researchgate.net/publication/391801357_Impact_of_stalled_life_expectancy_on_health_and_economic_inactivity_in_the_UK_and_the_case_for_prevention" TargetMode="External"/><Relationship Id="rId33" Type="http://schemas.openxmlformats.org/officeDocument/2006/relationships/hyperlink" Target="https://doi.org/10.1503/cmaj.230237" TargetMode="External"/><Relationship Id="rId38" Type="http://schemas.openxmlformats.org/officeDocument/2006/relationships/hyperlink" Target="https://www.who.int/news/item/06-12-2025-most-countries-make-progress-towards-universal-health-coverage-but-major-challenges-remain-who-world-bank-report-f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6315</Words>
  <Characters>35998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Lucresha Lewis (2315413)</dc:creator>
  <cp:keywords/>
  <dc:description/>
  <cp:lastModifiedBy>Lucresha Lewis (2315413)</cp:lastModifiedBy>
  <cp:revision>2</cp:revision>
  <dcterms:created xsi:type="dcterms:W3CDTF">2026-07-18T20:17:00Z</dcterms:created>
  <dcterms:modified xsi:type="dcterms:W3CDTF">2026-07-18T20:17:00Z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a7294466-56e6-4200-aec9-8a6446e5098c</vt:lpwstr>
  </property>
</Properties>
</file>