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4274CD" w14:textId="77777777" w:rsidR="00113FED" w:rsidRPr="0061471E" w:rsidRDefault="00000000">
      <w:pPr>
        <w:jc w:val="center"/>
        <w:rPr>
          <w:rFonts w:cs="Arial"/>
          <w:bCs/>
          <w:color w:val="000000" w:themeColor="text1"/>
          <w:sz w:val="28"/>
          <w:szCs w:val="28"/>
        </w:rPr>
      </w:pPr>
      <w:r w:rsidRPr="0061471E">
        <w:rPr>
          <w:rFonts w:cs="Arial"/>
          <w:bCs/>
          <w:color w:val="000000" w:themeColor="text1"/>
          <w:sz w:val="28"/>
          <w:szCs w:val="28"/>
        </w:rPr>
        <w:t>MARKETING PLAN REPORT</w:t>
      </w:r>
    </w:p>
    <w:p w14:paraId="5D8799D6" w14:textId="77777777" w:rsidR="00113FED" w:rsidRPr="0061471E" w:rsidRDefault="00000000">
      <w:pPr>
        <w:jc w:val="center"/>
        <w:rPr>
          <w:rFonts w:cs="Arial"/>
          <w:bCs/>
          <w:color w:val="000000" w:themeColor="text1"/>
          <w:sz w:val="28"/>
          <w:szCs w:val="28"/>
        </w:rPr>
      </w:pPr>
      <w:r w:rsidRPr="0061471E">
        <w:rPr>
          <w:rFonts w:cs="Arial"/>
          <w:bCs/>
          <w:color w:val="000000" w:themeColor="text1"/>
          <w:sz w:val="28"/>
          <w:szCs w:val="28"/>
        </w:rPr>
        <w:t>Primark: Increasing Sales in the UK Market</w:t>
      </w:r>
    </w:p>
    <w:p w14:paraId="27382FF6" w14:textId="08E7B453" w:rsidR="009E02E3" w:rsidRPr="0061471E" w:rsidRDefault="00000000">
      <w:pPr>
        <w:jc w:val="center"/>
        <w:rPr>
          <w:rFonts w:cs="Arial"/>
          <w:bCs/>
          <w:color w:val="000000" w:themeColor="text1"/>
          <w:sz w:val="28"/>
          <w:szCs w:val="28"/>
        </w:rPr>
      </w:pPr>
      <w:r w:rsidRPr="0061471E">
        <w:rPr>
          <w:rFonts w:cs="Arial"/>
          <w:bCs/>
          <w:color w:val="000000" w:themeColor="text1"/>
          <w:sz w:val="28"/>
          <w:szCs w:val="28"/>
        </w:rPr>
        <w:br/>
        <w:t xml:space="preserve">Component </w:t>
      </w:r>
      <w:proofErr w:type="gramStart"/>
      <w:r w:rsidRPr="0061471E">
        <w:rPr>
          <w:rFonts w:cs="Arial"/>
          <w:bCs/>
          <w:color w:val="000000" w:themeColor="text1"/>
          <w:sz w:val="28"/>
          <w:szCs w:val="28"/>
        </w:rPr>
        <w:t>2  –</w:t>
      </w:r>
      <w:proofErr w:type="gramEnd"/>
      <w:r w:rsidRPr="0061471E">
        <w:rPr>
          <w:rFonts w:cs="Arial"/>
          <w:bCs/>
          <w:color w:val="000000" w:themeColor="text1"/>
          <w:sz w:val="28"/>
          <w:szCs w:val="28"/>
        </w:rPr>
        <w:t xml:space="preserve"> Group Report</w:t>
      </w:r>
      <w:r w:rsidRPr="0061471E">
        <w:rPr>
          <w:rFonts w:cs="Arial"/>
          <w:bCs/>
          <w:color w:val="000000" w:themeColor="text1"/>
          <w:sz w:val="28"/>
          <w:szCs w:val="28"/>
        </w:rPr>
        <w:br/>
        <w:t>Marketing Management</w:t>
      </w:r>
      <w:r w:rsidRPr="0061471E">
        <w:rPr>
          <w:rFonts w:cs="Arial"/>
          <w:bCs/>
          <w:color w:val="000000" w:themeColor="text1"/>
          <w:sz w:val="28"/>
          <w:szCs w:val="28"/>
        </w:rPr>
        <w:br/>
      </w:r>
      <w:r w:rsidR="008C7C8E" w:rsidRPr="0061471E">
        <w:rPr>
          <w:rFonts w:cs="Arial"/>
          <w:bCs/>
          <w:color w:val="000000" w:themeColor="text1"/>
          <w:sz w:val="28"/>
          <w:szCs w:val="28"/>
        </w:rPr>
        <w:t>Module</w:t>
      </w:r>
      <w:r w:rsidR="007F6472" w:rsidRPr="0061471E">
        <w:rPr>
          <w:rFonts w:cs="Arial"/>
          <w:bCs/>
          <w:color w:val="000000" w:themeColor="text1"/>
          <w:sz w:val="28"/>
          <w:szCs w:val="28"/>
        </w:rPr>
        <w:t xml:space="preserve"> LCCB5015</w:t>
      </w:r>
    </w:p>
    <w:p w14:paraId="0F87AFCE" w14:textId="6A539CE6" w:rsidR="009E02E3" w:rsidRPr="0061471E" w:rsidRDefault="009E02E3">
      <w:pPr>
        <w:jc w:val="center"/>
        <w:rPr>
          <w:rFonts w:cs="Arial"/>
          <w:bCs/>
          <w:color w:val="000000" w:themeColor="text1"/>
          <w:sz w:val="28"/>
          <w:szCs w:val="28"/>
        </w:rPr>
      </w:pPr>
      <w:r w:rsidRPr="0061471E">
        <w:rPr>
          <w:rFonts w:cs="Arial"/>
          <w:bCs/>
          <w:color w:val="000000" w:themeColor="text1"/>
          <w:sz w:val="28"/>
          <w:szCs w:val="28"/>
        </w:rPr>
        <w:t xml:space="preserve">Student Names Cristina </w:t>
      </w:r>
      <w:r w:rsidR="00624D3D">
        <w:rPr>
          <w:rFonts w:cs="Arial"/>
          <w:bCs/>
          <w:color w:val="000000" w:themeColor="text1"/>
          <w:sz w:val="28"/>
          <w:szCs w:val="28"/>
        </w:rPr>
        <w:t xml:space="preserve">Madalina </w:t>
      </w:r>
      <w:proofErr w:type="gramStart"/>
      <w:r w:rsidR="00624D3D">
        <w:rPr>
          <w:rFonts w:cs="Arial"/>
          <w:bCs/>
          <w:color w:val="000000" w:themeColor="text1"/>
          <w:sz w:val="28"/>
          <w:szCs w:val="28"/>
        </w:rPr>
        <w:t>Panaite  2413348</w:t>
      </w:r>
      <w:proofErr w:type="gramEnd"/>
    </w:p>
    <w:p w14:paraId="448EF858" w14:textId="4ABCEC43" w:rsidR="009E02E3" w:rsidRPr="0061471E" w:rsidRDefault="009E02E3">
      <w:pPr>
        <w:jc w:val="center"/>
        <w:rPr>
          <w:rFonts w:cs="Arial"/>
          <w:bCs/>
          <w:color w:val="000000" w:themeColor="text1"/>
          <w:sz w:val="28"/>
          <w:szCs w:val="28"/>
        </w:rPr>
      </w:pPr>
      <w:r w:rsidRPr="0061471E">
        <w:rPr>
          <w:rFonts w:cs="Arial"/>
          <w:bCs/>
          <w:color w:val="000000" w:themeColor="text1"/>
          <w:sz w:val="28"/>
          <w:szCs w:val="28"/>
        </w:rPr>
        <w:t xml:space="preserve">                         Zeenia </w:t>
      </w:r>
      <w:proofErr w:type="spellStart"/>
      <w:proofErr w:type="gramStart"/>
      <w:r w:rsidR="00624D3D" w:rsidRPr="0061471E">
        <w:rPr>
          <w:rFonts w:cs="Arial"/>
          <w:bCs/>
          <w:color w:val="000000" w:themeColor="text1"/>
          <w:sz w:val="28"/>
          <w:szCs w:val="28"/>
        </w:rPr>
        <w:t>yusuf</w:t>
      </w:r>
      <w:proofErr w:type="spellEnd"/>
      <w:r w:rsidR="001E605A">
        <w:rPr>
          <w:rFonts w:cs="Arial"/>
          <w:bCs/>
          <w:color w:val="000000" w:themeColor="text1"/>
          <w:sz w:val="28"/>
          <w:szCs w:val="28"/>
        </w:rPr>
        <w:t xml:space="preserve"> </w:t>
      </w:r>
      <w:r w:rsidR="00624D3D" w:rsidRPr="0061471E">
        <w:rPr>
          <w:rFonts w:cs="Arial"/>
          <w:bCs/>
          <w:color w:val="000000" w:themeColor="text1"/>
          <w:sz w:val="28"/>
          <w:szCs w:val="28"/>
        </w:rPr>
        <w:t xml:space="preserve"> 2407399</w:t>
      </w:r>
      <w:proofErr w:type="gramEnd"/>
    </w:p>
    <w:p w14:paraId="0CA63AF7" w14:textId="4CC0A6FF" w:rsidR="009E02E3" w:rsidRDefault="009E02E3" w:rsidP="009E02E3">
      <w:pPr>
        <w:jc w:val="center"/>
        <w:rPr>
          <w:rFonts w:cs="Arial"/>
          <w:bCs/>
          <w:color w:val="000000" w:themeColor="text1"/>
          <w:sz w:val="28"/>
          <w:szCs w:val="28"/>
        </w:rPr>
      </w:pPr>
      <w:r w:rsidRPr="0061471E">
        <w:rPr>
          <w:rFonts w:cs="Arial"/>
          <w:bCs/>
          <w:color w:val="000000" w:themeColor="text1"/>
          <w:sz w:val="28"/>
          <w:szCs w:val="28"/>
        </w:rPr>
        <w:t xml:space="preserve">                          Misbah </w:t>
      </w:r>
      <w:proofErr w:type="gramStart"/>
      <w:r w:rsidR="001E605A">
        <w:rPr>
          <w:rFonts w:cs="Arial"/>
          <w:bCs/>
          <w:color w:val="000000" w:themeColor="text1"/>
          <w:sz w:val="28"/>
          <w:szCs w:val="28"/>
        </w:rPr>
        <w:t>Omar  2406888</w:t>
      </w:r>
      <w:proofErr w:type="gramEnd"/>
      <w:r w:rsidRPr="0061471E">
        <w:rPr>
          <w:rFonts w:cs="Arial"/>
          <w:bCs/>
          <w:color w:val="000000" w:themeColor="text1"/>
          <w:sz w:val="28"/>
          <w:szCs w:val="28"/>
        </w:rPr>
        <w:br/>
        <w:t xml:space="preserve">                       Hazir </w:t>
      </w:r>
      <w:proofErr w:type="gramStart"/>
      <w:r w:rsidR="00410E52" w:rsidRPr="0061471E">
        <w:rPr>
          <w:rFonts w:cs="Arial"/>
          <w:bCs/>
          <w:color w:val="000000" w:themeColor="text1"/>
          <w:sz w:val="28"/>
          <w:szCs w:val="28"/>
        </w:rPr>
        <w:t xml:space="preserve">Hussain </w:t>
      </w:r>
      <w:r w:rsidR="001E605A">
        <w:rPr>
          <w:rFonts w:cs="Arial"/>
          <w:bCs/>
          <w:color w:val="000000" w:themeColor="text1"/>
          <w:sz w:val="28"/>
          <w:szCs w:val="28"/>
        </w:rPr>
        <w:t xml:space="preserve"> </w:t>
      </w:r>
      <w:r w:rsidR="00410E52" w:rsidRPr="0061471E">
        <w:rPr>
          <w:rFonts w:cs="Arial"/>
          <w:bCs/>
          <w:color w:val="000000" w:themeColor="text1"/>
          <w:sz w:val="28"/>
          <w:szCs w:val="28"/>
        </w:rPr>
        <w:t>2322707</w:t>
      </w:r>
      <w:proofErr w:type="gramEnd"/>
    </w:p>
    <w:p w14:paraId="3F4A8FB4" w14:textId="4BA9EAE3" w:rsidR="00F4194F" w:rsidRPr="0061471E" w:rsidRDefault="00F4194F" w:rsidP="009E02E3">
      <w:pPr>
        <w:jc w:val="center"/>
        <w:rPr>
          <w:rFonts w:cs="Arial"/>
          <w:bCs/>
          <w:color w:val="000000" w:themeColor="text1"/>
          <w:sz w:val="28"/>
          <w:szCs w:val="28"/>
        </w:rPr>
      </w:pPr>
      <w:r>
        <w:rPr>
          <w:rFonts w:cs="Arial"/>
          <w:bCs/>
          <w:color w:val="000000" w:themeColor="text1"/>
          <w:sz w:val="28"/>
          <w:szCs w:val="28"/>
        </w:rPr>
        <w:t>Lecture name Shujan x</w:t>
      </w:r>
    </w:p>
    <w:p w14:paraId="23B08FB4" w14:textId="77777777" w:rsidR="009E02E3" w:rsidRPr="0061471E" w:rsidRDefault="009E02E3" w:rsidP="009E02E3">
      <w:pPr>
        <w:jc w:val="center"/>
        <w:rPr>
          <w:rFonts w:cs="Arial"/>
          <w:bCs/>
          <w:color w:val="000000" w:themeColor="text1"/>
          <w:sz w:val="28"/>
          <w:szCs w:val="28"/>
        </w:rPr>
      </w:pPr>
    </w:p>
    <w:p w14:paraId="54AB21D0" w14:textId="77777777" w:rsidR="001B7BD2" w:rsidRPr="0061471E" w:rsidRDefault="001B7BD2" w:rsidP="001B7BD2">
      <w:pPr>
        <w:jc w:val="center"/>
        <w:rPr>
          <w:rFonts w:cs="Arial"/>
          <w:bCs/>
          <w:color w:val="000000" w:themeColor="text1"/>
          <w:sz w:val="28"/>
          <w:szCs w:val="28"/>
        </w:rPr>
      </w:pPr>
    </w:p>
    <w:p w14:paraId="443D0639" w14:textId="77777777" w:rsidR="001B7BD2" w:rsidRPr="0061471E" w:rsidRDefault="001B7BD2" w:rsidP="001B7BD2">
      <w:pPr>
        <w:jc w:val="center"/>
        <w:rPr>
          <w:rFonts w:cs="Arial"/>
          <w:bCs/>
          <w:color w:val="000000" w:themeColor="text1"/>
          <w:sz w:val="28"/>
          <w:szCs w:val="28"/>
        </w:rPr>
      </w:pPr>
    </w:p>
    <w:p w14:paraId="71C21AB9" w14:textId="77777777" w:rsidR="009E02E3" w:rsidRPr="0061471E" w:rsidRDefault="009E02E3" w:rsidP="009E02E3">
      <w:pPr>
        <w:jc w:val="center"/>
        <w:rPr>
          <w:rFonts w:cs="Arial"/>
          <w:bCs/>
          <w:color w:val="000000" w:themeColor="text1"/>
          <w:sz w:val="28"/>
          <w:szCs w:val="28"/>
        </w:rPr>
      </w:pPr>
    </w:p>
    <w:p w14:paraId="08F06D27" w14:textId="77777777" w:rsidR="009E02E3" w:rsidRPr="0061471E" w:rsidRDefault="009E02E3" w:rsidP="009E02E3">
      <w:pPr>
        <w:jc w:val="center"/>
        <w:rPr>
          <w:rFonts w:cs="Arial"/>
          <w:bCs/>
          <w:color w:val="000000" w:themeColor="text1"/>
          <w:sz w:val="28"/>
          <w:szCs w:val="28"/>
        </w:rPr>
      </w:pPr>
    </w:p>
    <w:p w14:paraId="0BF8E624" w14:textId="77777777" w:rsidR="009E02E3" w:rsidRPr="0061471E" w:rsidRDefault="009E02E3" w:rsidP="009E02E3">
      <w:pPr>
        <w:jc w:val="center"/>
        <w:rPr>
          <w:rFonts w:cs="Arial"/>
          <w:bCs/>
          <w:color w:val="000000" w:themeColor="text1"/>
          <w:sz w:val="28"/>
          <w:szCs w:val="28"/>
        </w:rPr>
      </w:pPr>
    </w:p>
    <w:p w14:paraId="617F92C4" w14:textId="77777777" w:rsidR="009E02E3" w:rsidRPr="0061471E" w:rsidRDefault="009E02E3" w:rsidP="009E02E3">
      <w:pPr>
        <w:jc w:val="center"/>
        <w:rPr>
          <w:rFonts w:cs="Arial"/>
          <w:bCs/>
          <w:color w:val="000000" w:themeColor="text1"/>
          <w:sz w:val="28"/>
          <w:szCs w:val="28"/>
        </w:rPr>
      </w:pPr>
    </w:p>
    <w:p w14:paraId="6AF68A53" w14:textId="77777777" w:rsidR="009E02E3" w:rsidRPr="0061471E" w:rsidRDefault="009E02E3" w:rsidP="009E02E3">
      <w:pPr>
        <w:jc w:val="center"/>
        <w:rPr>
          <w:rFonts w:cs="Arial"/>
          <w:bCs/>
          <w:color w:val="000000" w:themeColor="text1"/>
          <w:sz w:val="28"/>
          <w:szCs w:val="28"/>
        </w:rPr>
      </w:pPr>
    </w:p>
    <w:p w14:paraId="2E4D0BBD" w14:textId="77777777" w:rsidR="009E02E3" w:rsidRPr="0061471E" w:rsidRDefault="009E02E3" w:rsidP="009E02E3">
      <w:pPr>
        <w:jc w:val="center"/>
        <w:rPr>
          <w:rFonts w:cs="Arial"/>
          <w:bCs/>
          <w:color w:val="000000" w:themeColor="text1"/>
          <w:sz w:val="28"/>
          <w:szCs w:val="28"/>
        </w:rPr>
      </w:pPr>
    </w:p>
    <w:p w14:paraId="05B844FF" w14:textId="77777777" w:rsidR="009E02E3" w:rsidRPr="0061471E" w:rsidRDefault="009E02E3" w:rsidP="009E02E3">
      <w:pPr>
        <w:jc w:val="center"/>
        <w:rPr>
          <w:rFonts w:cs="Arial"/>
          <w:bCs/>
          <w:color w:val="000000" w:themeColor="text1"/>
          <w:sz w:val="28"/>
          <w:szCs w:val="28"/>
        </w:rPr>
      </w:pPr>
    </w:p>
    <w:p w14:paraId="4E27FBFA" w14:textId="77777777" w:rsidR="009E02E3" w:rsidRPr="0061471E" w:rsidRDefault="009E02E3" w:rsidP="009E02E3">
      <w:pPr>
        <w:jc w:val="center"/>
        <w:rPr>
          <w:rFonts w:cs="Arial"/>
          <w:bCs/>
          <w:color w:val="000000" w:themeColor="text1"/>
          <w:sz w:val="28"/>
          <w:szCs w:val="28"/>
        </w:rPr>
      </w:pPr>
    </w:p>
    <w:p w14:paraId="19A477B8" w14:textId="77777777" w:rsidR="009E02E3" w:rsidRPr="0061471E" w:rsidRDefault="009E02E3" w:rsidP="009E02E3">
      <w:pPr>
        <w:jc w:val="center"/>
        <w:rPr>
          <w:rFonts w:cs="Arial"/>
          <w:bCs/>
          <w:color w:val="000000" w:themeColor="text1"/>
          <w:sz w:val="28"/>
          <w:szCs w:val="28"/>
        </w:rPr>
      </w:pPr>
    </w:p>
    <w:p w14:paraId="4A09B93D" w14:textId="77777777" w:rsidR="009E02E3" w:rsidRPr="0061471E" w:rsidRDefault="009E02E3" w:rsidP="009E02E3">
      <w:pPr>
        <w:jc w:val="center"/>
        <w:rPr>
          <w:rFonts w:cs="Arial"/>
          <w:bCs/>
          <w:color w:val="000000" w:themeColor="text1"/>
          <w:sz w:val="28"/>
          <w:szCs w:val="28"/>
        </w:rPr>
      </w:pPr>
    </w:p>
    <w:p w14:paraId="09D8F0FD" w14:textId="77777777" w:rsidR="009E02E3" w:rsidRPr="0061471E" w:rsidRDefault="009E02E3" w:rsidP="009E02E3">
      <w:pPr>
        <w:jc w:val="center"/>
        <w:rPr>
          <w:rFonts w:cs="Arial"/>
          <w:bCs/>
          <w:color w:val="000000" w:themeColor="text1"/>
          <w:sz w:val="28"/>
          <w:szCs w:val="28"/>
        </w:rPr>
      </w:pPr>
    </w:p>
    <w:p w14:paraId="75651438" w14:textId="77777777" w:rsidR="009E02E3" w:rsidRPr="0061471E" w:rsidRDefault="009E02E3" w:rsidP="009E02E3">
      <w:pPr>
        <w:jc w:val="center"/>
        <w:rPr>
          <w:rFonts w:cs="Arial"/>
          <w:bCs/>
          <w:color w:val="000000" w:themeColor="text1"/>
          <w:sz w:val="28"/>
          <w:szCs w:val="28"/>
        </w:rPr>
      </w:pPr>
    </w:p>
    <w:p w14:paraId="5502AA13" w14:textId="77777777" w:rsidR="009E02E3" w:rsidRPr="0061471E" w:rsidRDefault="009E02E3" w:rsidP="009E02E3">
      <w:pPr>
        <w:jc w:val="center"/>
        <w:rPr>
          <w:rFonts w:cs="Arial"/>
          <w:bCs/>
          <w:color w:val="000000" w:themeColor="text1"/>
          <w:sz w:val="28"/>
          <w:szCs w:val="28"/>
        </w:rPr>
      </w:pPr>
    </w:p>
    <w:p w14:paraId="50E54E91" w14:textId="77777777" w:rsidR="009E02E3" w:rsidRPr="0061471E" w:rsidRDefault="009E02E3" w:rsidP="009E02E3">
      <w:pPr>
        <w:jc w:val="center"/>
        <w:rPr>
          <w:rFonts w:cs="Arial"/>
          <w:bCs/>
          <w:color w:val="000000" w:themeColor="text1"/>
          <w:sz w:val="28"/>
          <w:szCs w:val="28"/>
        </w:rPr>
      </w:pPr>
    </w:p>
    <w:p w14:paraId="18994384" w14:textId="77777777" w:rsidR="009E02E3" w:rsidRPr="0061471E" w:rsidRDefault="009E02E3" w:rsidP="009E02E3">
      <w:pPr>
        <w:jc w:val="center"/>
        <w:rPr>
          <w:rFonts w:cs="Arial"/>
          <w:bCs/>
          <w:color w:val="000000" w:themeColor="text1"/>
          <w:sz w:val="28"/>
          <w:szCs w:val="28"/>
        </w:rPr>
      </w:pPr>
    </w:p>
    <w:p w14:paraId="7381A25C" w14:textId="0803E5F3" w:rsidR="009E02E3" w:rsidRPr="0061471E" w:rsidRDefault="009E02E3" w:rsidP="009E02E3">
      <w:pPr>
        <w:jc w:val="center"/>
        <w:rPr>
          <w:rFonts w:cs="Arial"/>
          <w:bCs/>
          <w:color w:val="000000" w:themeColor="text1"/>
          <w:sz w:val="28"/>
          <w:szCs w:val="28"/>
        </w:rPr>
      </w:pPr>
      <w:r w:rsidRPr="0061471E">
        <w:rPr>
          <w:rFonts w:cs="Arial"/>
          <w:bCs/>
          <w:color w:val="000000" w:themeColor="text1"/>
          <w:sz w:val="28"/>
          <w:szCs w:val="28"/>
        </w:rPr>
        <w:t xml:space="preserve"> </w:t>
      </w:r>
    </w:p>
    <w:p w14:paraId="5C26933C" w14:textId="2AB3B0A6" w:rsidR="00113FED" w:rsidRDefault="009E02E3">
      <w:pPr>
        <w:rPr>
          <w:rFonts w:cs="Arial"/>
          <w:bCs/>
          <w:color w:val="000000" w:themeColor="text1"/>
          <w:sz w:val="28"/>
          <w:szCs w:val="28"/>
        </w:rPr>
      </w:pPr>
      <w:r w:rsidRPr="0061471E">
        <w:rPr>
          <w:rFonts w:cs="Arial"/>
          <w:bCs/>
          <w:color w:val="000000" w:themeColor="text1"/>
          <w:sz w:val="28"/>
          <w:szCs w:val="28"/>
        </w:rPr>
        <w:t>CONTENTS</w:t>
      </w:r>
    </w:p>
    <w:p w14:paraId="445EC815" w14:textId="6A1C5746" w:rsidR="001B7BD2" w:rsidRDefault="001B7BD2" w:rsidP="001B7BD2">
      <w:pPr>
        <w:pStyle w:val="ListParagraph"/>
        <w:numPr>
          <w:ilvl w:val="0"/>
          <w:numId w:val="10"/>
        </w:numPr>
        <w:rPr>
          <w:rFonts w:cs="Arial"/>
          <w:bCs/>
          <w:color w:val="000000" w:themeColor="text1"/>
          <w:sz w:val="28"/>
          <w:szCs w:val="28"/>
        </w:rPr>
      </w:pPr>
      <w:r>
        <w:rPr>
          <w:rFonts w:cs="Arial"/>
          <w:bCs/>
          <w:color w:val="000000" w:themeColor="text1"/>
          <w:sz w:val="28"/>
          <w:szCs w:val="28"/>
        </w:rPr>
        <w:t>Executive Summary</w:t>
      </w:r>
    </w:p>
    <w:p w14:paraId="10784169" w14:textId="6E064648" w:rsidR="001B7BD2" w:rsidRDefault="001B7BD2" w:rsidP="001B7BD2">
      <w:pPr>
        <w:pStyle w:val="ListParagraph"/>
        <w:numPr>
          <w:ilvl w:val="0"/>
          <w:numId w:val="10"/>
        </w:numPr>
        <w:rPr>
          <w:rFonts w:cs="Arial"/>
          <w:bCs/>
          <w:color w:val="000000" w:themeColor="text1"/>
          <w:sz w:val="28"/>
          <w:szCs w:val="28"/>
        </w:rPr>
      </w:pPr>
      <w:r>
        <w:rPr>
          <w:rFonts w:cs="Arial"/>
          <w:bCs/>
          <w:color w:val="000000" w:themeColor="text1"/>
          <w:sz w:val="28"/>
          <w:szCs w:val="28"/>
        </w:rPr>
        <w:t>Introduction and Mission</w:t>
      </w:r>
    </w:p>
    <w:p w14:paraId="35791FA8" w14:textId="147FB761" w:rsidR="001B7BD2" w:rsidRDefault="001B7BD2" w:rsidP="001B7BD2">
      <w:pPr>
        <w:pStyle w:val="ListParagraph"/>
        <w:numPr>
          <w:ilvl w:val="0"/>
          <w:numId w:val="10"/>
        </w:numPr>
        <w:rPr>
          <w:rFonts w:cs="Arial"/>
          <w:bCs/>
          <w:color w:val="000000" w:themeColor="text1"/>
          <w:sz w:val="28"/>
          <w:szCs w:val="28"/>
        </w:rPr>
      </w:pPr>
      <w:r w:rsidRPr="0061471E">
        <w:rPr>
          <w:rFonts w:cs="Arial"/>
          <w:bCs/>
          <w:color w:val="000000" w:themeColor="text1"/>
          <w:sz w:val="28"/>
          <w:szCs w:val="28"/>
        </w:rPr>
        <w:t>Situational Analysis</w:t>
      </w:r>
    </w:p>
    <w:p w14:paraId="0FA7B34B" w14:textId="1A14C9EE" w:rsidR="009E02E3" w:rsidRDefault="001B7BD2" w:rsidP="001B7BD2">
      <w:pPr>
        <w:pStyle w:val="ListParagraph"/>
        <w:numPr>
          <w:ilvl w:val="0"/>
          <w:numId w:val="10"/>
        </w:numPr>
        <w:rPr>
          <w:rFonts w:cs="Arial"/>
          <w:bCs/>
          <w:color w:val="000000" w:themeColor="text1"/>
          <w:sz w:val="28"/>
          <w:szCs w:val="28"/>
        </w:rPr>
      </w:pPr>
      <w:r w:rsidRPr="001B7BD2">
        <w:rPr>
          <w:rFonts w:cs="Arial"/>
          <w:bCs/>
          <w:color w:val="000000" w:themeColor="text1"/>
          <w:sz w:val="28"/>
          <w:szCs w:val="28"/>
        </w:rPr>
        <w:t>Marketing Strategy</w:t>
      </w:r>
    </w:p>
    <w:p w14:paraId="7FDD9139" w14:textId="6C41B113" w:rsidR="001B7BD2" w:rsidRDefault="001B7BD2" w:rsidP="001B7BD2">
      <w:pPr>
        <w:pStyle w:val="ListParagraph"/>
        <w:numPr>
          <w:ilvl w:val="0"/>
          <w:numId w:val="10"/>
        </w:numPr>
        <w:rPr>
          <w:rFonts w:cs="Arial"/>
          <w:bCs/>
          <w:color w:val="000000" w:themeColor="text1"/>
          <w:sz w:val="28"/>
          <w:szCs w:val="28"/>
        </w:rPr>
      </w:pPr>
      <w:r w:rsidRPr="0061471E">
        <w:rPr>
          <w:rFonts w:cs="Arial"/>
          <w:bCs/>
          <w:color w:val="000000" w:themeColor="text1"/>
          <w:sz w:val="28"/>
          <w:szCs w:val="28"/>
        </w:rPr>
        <w:t>Marketing Mix Strategies: 7Ps</w:t>
      </w:r>
    </w:p>
    <w:p w14:paraId="0DA9127C" w14:textId="4C9366C7" w:rsidR="001E605A" w:rsidRDefault="001E605A" w:rsidP="001B7BD2">
      <w:pPr>
        <w:pStyle w:val="ListParagraph"/>
        <w:numPr>
          <w:ilvl w:val="0"/>
          <w:numId w:val="10"/>
        </w:numPr>
        <w:rPr>
          <w:rFonts w:cs="Arial"/>
          <w:bCs/>
          <w:color w:val="000000" w:themeColor="text1"/>
          <w:sz w:val="28"/>
          <w:szCs w:val="28"/>
        </w:rPr>
      </w:pPr>
      <w:r>
        <w:rPr>
          <w:rFonts w:cs="Arial"/>
          <w:bCs/>
          <w:color w:val="000000" w:themeColor="text1"/>
          <w:sz w:val="28"/>
          <w:szCs w:val="28"/>
        </w:rPr>
        <w:t>Implementation and Control</w:t>
      </w:r>
    </w:p>
    <w:p w14:paraId="5A8E02BF" w14:textId="66B3A810" w:rsidR="001E605A" w:rsidRDefault="001E605A" w:rsidP="001B7BD2">
      <w:pPr>
        <w:pStyle w:val="ListParagraph"/>
        <w:numPr>
          <w:ilvl w:val="0"/>
          <w:numId w:val="10"/>
        </w:numPr>
        <w:rPr>
          <w:rFonts w:cs="Arial"/>
          <w:bCs/>
          <w:color w:val="000000" w:themeColor="text1"/>
          <w:sz w:val="28"/>
          <w:szCs w:val="28"/>
        </w:rPr>
      </w:pPr>
      <w:r>
        <w:rPr>
          <w:rFonts w:cs="Arial"/>
          <w:bCs/>
          <w:color w:val="000000" w:themeColor="text1"/>
          <w:sz w:val="28"/>
          <w:szCs w:val="28"/>
        </w:rPr>
        <w:t>Conclusion</w:t>
      </w:r>
    </w:p>
    <w:p w14:paraId="5B7F2F38" w14:textId="0653F81E" w:rsidR="001E605A" w:rsidRPr="001B7BD2" w:rsidRDefault="001E605A" w:rsidP="001B7BD2">
      <w:pPr>
        <w:pStyle w:val="ListParagraph"/>
        <w:numPr>
          <w:ilvl w:val="0"/>
          <w:numId w:val="10"/>
        </w:numPr>
        <w:rPr>
          <w:rFonts w:cs="Arial"/>
          <w:bCs/>
          <w:color w:val="000000" w:themeColor="text1"/>
          <w:sz w:val="28"/>
          <w:szCs w:val="28"/>
        </w:rPr>
      </w:pPr>
      <w:r>
        <w:rPr>
          <w:rFonts w:cs="Arial"/>
          <w:bCs/>
          <w:color w:val="000000" w:themeColor="text1"/>
          <w:sz w:val="28"/>
          <w:szCs w:val="28"/>
        </w:rPr>
        <w:t>References</w:t>
      </w:r>
    </w:p>
    <w:p w14:paraId="0F6EE2F6" w14:textId="77777777" w:rsidR="001E605A" w:rsidRDefault="001E605A" w:rsidP="001E605A">
      <w:pPr>
        <w:pStyle w:val="Heading1"/>
        <w:rPr>
          <w:rFonts w:ascii="Arial" w:hAnsi="Arial" w:cs="Arial"/>
          <w:b w:val="0"/>
          <w:color w:val="000000" w:themeColor="text1"/>
          <w:sz w:val="28"/>
        </w:rPr>
      </w:pPr>
    </w:p>
    <w:p w14:paraId="411376D4" w14:textId="77777777" w:rsidR="001E605A" w:rsidRDefault="001E605A" w:rsidP="001E605A">
      <w:pPr>
        <w:pStyle w:val="Heading1"/>
        <w:rPr>
          <w:rFonts w:ascii="Arial" w:hAnsi="Arial" w:cs="Arial"/>
          <w:b w:val="0"/>
          <w:color w:val="000000" w:themeColor="text1"/>
          <w:sz w:val="28"/>
        </w:rPr>
      </w:pPr>
    </w:p>
    <w:p w14:paraId="1C75D5A0" w14:textId="77777777" w:rsidR="001E605A" w:rsidRDefault="001E605A" w:rsidP="001E605A">
      <w:pPr>
        <w:pStyle w:val="Heading1"/>
        <w:rPr>
          <w:rFonts w:ascii="Arial" w:hAnsi="Arial" w:cs="Arial"/>
          <w:b w:val="0"/>
          <w:color w:val="000000" w:themeColor="text1"/>
          <w:sz w:val="28"/>
        </w:rPr>
      </w:pPr>
    </w:p>
    <w:p w14:paraId="2F0BCC07" w14:textId="77777777" w:rsidR="001E605A" w:rsidRDefault="001E605A" w:rsidP="001E605A">
      <w:pPr>
        <w:pStyle w:val="Heading1"/>
        <w:rPr>
          <w:rFonts w:ascii="Arial" w:hAnsi="Arial" w:cs="Arial"/>
          <w:b w:val="0"/>
          <w:color w:val="000000" w:themeColor="text1"/>
          <w:sz w:val="28"/>
        </w:rPr>
      </w:pPr>
    </w:p>
    <w:p w14:paraId="5611DEF7" w14:textId="77777777" w:rsidR="001E605A" w:rsidRDefault="001E605A" w:rsidP="001E605A">
      <w:pPr>
        <w:pStyle w:val="Heading1"/>
        <w:rPr>
          <w:rFonts w:ascii="Arial" w:hAnsi="Arial" w:cs="Arial"/>
          <w:b w:val="0"/>
          <w:color w:val="000000" w:themeColor="text1"/>
          <w:sz w:val="28"/>
        </w:rPr>
      </w:pPr>
    </w:p>
    <w:p w14:paraId="4DAA1F4B" w14:textId="77777777" w:rsidR="001E605A" w:rsidRDefault="001E605A" w:rsidP="001E605A">
      <w:pPr>
        <w:pStyle w:val="Heading1"/>
        <w:rPr>
          <w:rFonts w:ascii="Arial" w:hAnsi="Arial" w:cs="Arial"/>
          <w:b w:val="0"/>
          <w:color w:val="000000" w:themeColor="text1"/>
          <w:sz w:val="28"/>
        </w:rPr>
      </w:pPr>
    </w:p>
    <w:p w14:paraId="4A783EE6" w14:textId="77777777" w:rsidR="001E605A" w:rsidRDefault="001E605A" w:rsidP="001E605A">
      <w:pPr>
        <w:pStyle w:val="Heading1"/>
        <w:rPr>
          <w:rFonts w:ascii="Arial" w:hAnsi="Arial" w:cs="Arial"/>
          <w:b w:val="0"/>
          <w:color w:val="000000" w:themeColor="text1"/>
          <w:sz w:val="28"/>
        </w:rPr>
      </w:pPr>
    </w:p>
    <w:p w14:paraId="2BD52E5E" w14:textId="77777777" w:rsidR="001E605A" w:rsidRDefault="001E605A" w:rsidP="001E605A"/>
    <w:p w14:paraId="12DDEBCF" w14:textId="77777777" w:rsidR="001E605A" w:rsidRDefault="001E605A" w:rsidP="001E605A"/>
    <w:p w14:paraId="750F02C1" w14:textId="77777777" w:rsidR="001E605A" w:rsidRDefault="001E605A" w:rsidP="001E605A"/>
    <w:p w14:paraId="2E16FDBE" w14:textId="77777777" w:rsidR="001E605A" w:rsidRDefault="001E605A" w:rsidP="001E605A"/>
    <w:p w14:paraId="053B5598" w14:textId="77777777" w:rsidR="001E605A" w:rsidRDefault="001E605A" w:rsidP="001E605A"/>
    <w:p w14:paraId="0E443B70" w14:textId="77777777" w:rsidR="001E605A" w:rsidRDefault="001E605A" w:rsidP="001E605A"/>
    <w:p w14:paraId="6B94EFF9" w14:textId="77777777" w:rsidR="001E605A" w:rsidRPr="001E605A" w:rsidRDefault="001E605A" w:rsidP="001E605A"/>
    <w:p w14:paraId="030DBD85" w14:textId="412C5117" w:rsidR="001E605A" w:rsidRPr="001E605A" w:rsidRDefault="00000000" w:rsidP="001E605A">
      <w:pPr>
        <w:pStyle w:val="Heading1"/>
        <w:rPr>
          <w:rFonts w:ascii="Arial" w:hAnsi="Arial" w:cs="Arial"/>
          <w:b w:val="0"/>
          <w:color w:val="000000" w:themeColor="text1"/>
          <w:sz w:val="28"/>
        </w:rPr>
      </w:pPr>
      <w:r w:rsidRPr="0061471E">
        <w:rPr>
          <w:rFonts w:ascii="Arial" w:hAnsi="Arial" w:cs="Arial"/>
          <w:b w:val="0"/>
          <w:color w:val="000000" w:themeColor="text1"/>
          <w:sz w:val="28"/>
        </w:rPr>
        <w:lastRenderedPageBreak/>
        <w:t>Executive Summar</w:t>
      </w:r>
      <w:r w:rsidR="001E605A">
        <w:rPr>
          <w:rFonts w:ascii="Arial" w:hAnsi="Arial" w:cs="Arial"/>
          <w:b w:val="0"/>
          <w:color w:val="000000" w:themeColor="text1"/>
          <w:sz w:val="28"/>
        </w:rPr>
        <w:t>y</w:t>
      </w:r>
    </w:p>
    <w:p w14:paraId="21F90F6E" w14:textId="77777777" w:rsidR="001E605A" w:rsidRPr="001E605A" w:rsidRDefault="001E605A" w:rsidP="001E605A"/>
    <w:p w14:paraId="31BAA5CB" w14:textId="031BE3F2" w:rsidR="00113FED" w:rsidRPr="0061471E" w:rsidRDefault="00000000">
      <w:pPr>
        <w:rPr>
          <w:rFonts w:cs="Arial"/>
          <w:bCs/>
          <w:color w:val="000000" w:themeColor="text1"/>
          <w:sz w:val="28"/>
          <w:szCs w:val="28"/>
        </w:rPr>
      </w:pPr>
      <w:r w:rsidRPr="0061471E">
        <w:rPr>
          <w:rFonts w:cs="Arial"/>
          <w:bCs/>
          <w:color w:val="000000" w:themeColor="text1"/>
          <w:sz w:val="28"/>
          <w:szCs w:val="28"/>
        </w:rPr>
        <w:t>Primark is a major</w:t>
      </w:r>
      <w:r w:rsidR="001E605A">
        <w:rPr>
          <w:rFonts w:cs="Arial"/>
          <w:bCs/>
          <w:color w:val="000000" w:themeColor="text1"/>
          <w:sz w:val="28"/>
          <w:szCs w:val="28"/>
        </w:rPr>
        <w:t xml:space="preserve"> v</w:t>
      </w:r>
      <w:r w:rsidRPr="0061471E">
        <w:rPr>
          <w:rFonts w:cs="Arial"/>
          <w:bCs/>
          <w:color w:val="000000" w:themeColor="text1"/>
          <w:sz w:val="28"/>
          <w:szCs w:val="28"/>
        </w:rPr>
        <w:t>alue-fashion retailer whose competitive proposition is based on affordable fashion, everyday essentials and a large physical-store network. The business is part of Associated British Foods (ABF) and has grown into an international retailer with more than 500 stores across 20 countries. In the UK and Ireland, however, Primark recorded a 3.1% decline in like-for-like sales in 2025, indicating that increasing sales in the mature UK market requires more than simply opening additional stores (ABF, 2025; Primark, 2026a). This report therefore develops a marketing plan focused on strengthening customer relevance, digital engagement, store conversion and sustainable value while protecting Primark's low-price positioning.</w:t>
      </w:r>
    </w:p>
    <w:p w14:paraId="60772C9E"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The analysis uses PESTEL, SWOT and Porter's Five Forces to assess the external and competitive environment. Segmentation, targeting and positioning (STP) are then used to identify priority customer groups, followed by an integrated marketing strategy based on market penetration and selective product development. The 7Ps framework translates the strategy into actions covering product, price, place, promotion, people, process and physical evidence. Implementation is supported by a balanced scorecard and measurable KPIs. The central recommendation is to make Primark's value proposition broader than price alone by combining affordability, trend relevance, quality, accessibility, sustainability and a more connected digital-to-store customer journey.</w:t>
      </w:r>
    </w:p>
    <w:p w14:paraId="56F79B5D" w14:textId="77777777" w:rsidR="00113FED" w:rsidRPr="0061471E" w:rsidRDefault="00000000">
      <w:pPr>
        <w:pStyle w:val="Heading1"/>
        <w:rPr>
          <w:rFonts w:ascii="Arial" w:hAnsi="Arial" w:cs="Arial"/>
          <w:b w:val="0"/>
          <w:color w:val="000000" w:themeColor="text1"/>
          <w:sz w:val="28"/>
        </w:rPr>
      </w:pPr>
      <w:r w:rsidRPr="0061471E">
        <w:rPr>
          <w:rFonts w:ascii="Arial" w:hAnsi="Arial" w:cs="Arial"/>
          <w:b w:val="0"/>
          <w:color w:val="000000" w:themeColor="text1"/>
          <w:sz w:val="28"/>
        </w:rPr>
        <w:t>1. Introduction and Mission</w:t>
      </w:r>
    </w:p>
    <w:p w14:paraId="74102330"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 xml:space="preserve">Primark is a major value-fashion retailer within ABF's Retail division. Founded in Dublin in 1969, the company has developed a proposition centred on affordable fashion and everyday essentials. Primark describes its mission as helping everyone look and feel good without paying more, while its business model remains strongly focused on physical stores and high-volume retail (Primark, 2026a). ABF's 2025 Annual Report records 473 Primark stores and 19.5 million square feet of selling space at group level, with Primark generating £9.489 billion in revenue and £1.126 billion adjusted operating profit in the year (ABF, 2025). Primark has subsequently reported a network </w:t>
      </w:r>
      <w:r w:rsidRPr="0061471E">
        <w:rPr>
          <w:rFonts w:cs="Arial"/>
          <w:bCs/>
          <w:color w:val="000000" w:themeColor="text1"/>
          <w:sz w:val="28"/>
          <w:szCs w:val="28"/>
        </w:rPr>
        <w:lastRenderedPageBreak/>
        <w:t>of more than 500 stores across 20 countries, illustrating continued expansion (Primark, 2026a).</w:t>
      </w:r>
    </w:p>
    <w:p w14:paraId="2A22D190"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Primark sells womenswear, menswear, childrenswear, lingerie, beauty products, accessories and home-related products. Its distinctive position is the combination of fashion and very low prices, supported by scale, sourcing capability and a store-led model. ABF reports that approximately 85% of Primark products are priced at £10 or less, demonstrating how strongly affordability is embedded in the proposition (ABF, 2025). However, the UK market is mature and competitive. In 2025, UK and Ireland sales declined by 1% and like-for-like sales declined by 3.1%, while Primark's UK market share increased to 6.8% (ABF, 2025). The marketing challenge is therefore to increase sales per customer and store, strengthen repeat visits and make the brand more relevant to digitally engaged shoppers without undermining its value credentials.</w:t>
      </w:r>
    </w:p>
    <w:p w14:paraId="14CE5529"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The purpose of this report is to develop a practical marketing plan for increasing Primark's UK sales. It examines the external environment and internal capabilities, develops STP choices, proposes an integrated marketing strategy and applies the 7Ps marketing mix. Implementation, KPIs and a balanced scorecard are included to ensure that the recommendations can be monitored and adjusted. The plan also considers sustainability because Primark's Primark Cares programme has become increasingly central to product development and brand reputation.</w:t>
      </w:r>
    </w:p>
    <w:p w14:paraId="4AA5C330" w14:textId="77777777" w:rsidR="00113FED" w:rsidRPr="0061471E" w:rsidRDefault="00000000">
      <w:pPr>
        <w:pStyle w:val="Heading1"/>
        <w:rPr>
          <w:rFonts w:ascii="Arial" w:hAnsi="Arial" w:cs="Arial"/>
          <w:b w:val="0"/>
          <w:color w:val="000000" w:themeColor="text1"/>
          <w:sz w:val="28"/>
        </w:rPr>
      </w:pPr>
      <w:r w:rsidRPr="0061471E">
        <w:rPr>
          <w:rFonts w:ascii="Arial" w:hAnsi="Arial" w:cs="Arial"/>
          <w:b w:val="0"/>
          <w:color w:val="000000" w:themeColor="text1"/>
          <w:sz w:val="28"/>
        </w:rPr>
        <w:t>2. Situational Analysis</w:t>
      </w:r>
    </w:p>
    <w:p w14:paraId="543DD23E" w14:textId="77777777" w:rsidR="00113FED" w:rsidRPr="0061471E" w:rsidRDefault="00000000">
      <w:pPr>
        <w:pStyle w:val="Heading2"/>
        <w:rPr>
          <w:rFonts w:ascii="Arial" w:hAnsi="Arial" w:cs="Arial"/>
          <w:b w:val="0"/>
          <w:color w:val="000000" w:themeColor="text1"/>
          <w:sz w:val="28"/>
          <w:szCs w:val="28"/>
        </w:rPr>
      </w:pPr>
      <w:r w:rsidRPr="0061471E">
        <w:rPr>
          <w:rFonts w:ascii="Arial" w:hAnsi="Arial" w:cs="Arial"/>
          <w:b w:val="0"/>
          <w:color w:val="000000" w:themeColor="text1"/>
          <w:sz w:val="28"/>
          <w:szCs w:val="28"/>
        </w:rPr>
        <w:t>2.1 PESTEL Analysis</w:t>
      </w:r>
    </w:p>
    <w:tbl>
      <w:tblPr>
        <w:tblStyle w:val="TableGrid"/>
        <w:tblW w:w="0" w:type="auto"/>
        <w:jc w:val="center"/>
        <w:tblLook w:val="04A0" w:firstRow="1" w:lastRow="0" w:firstColumn="1" w:lastColumn="0" w:noHBand="0" w:noVBand="1"/>
      </w:tblPr>
      <w:tblGrid>
        <w:gridCol w:w="4824"/>
        <w:gridCol w:w="4824"/>
      </w:tblGrid>
      <w:tr w:rsidR="00113FED" w:rsidRPr="0061471E" w14:paraId="66E41398" w14:textId="77777777">
        <w:trPr>
          <w:jc w:val="center"/>
        </w:trPr>
        <w:tc>
          <w:tcPr>
            <w:tcW w:w="4824" w:type="dxa"/>
            <w:shd w:val="clear" w:color="auto" w:fill="D9EAF7"/>
            <w:vAlign w:val="center"/>
          </w:tcPr>
          <w:p w14:paraId="62B76B24"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PESTEL factor</w:t>
            </w:r>
          </w:p>
        </w:tc>
        <w:tc>
          <w:tcPr>
            <w:tcW w:w="4824" w:type="dxa"/>
            <w:shd w:val="clear" w:color="auto" w:fill="D9EAF7"/>
            <w:vAlign w:val="center"/>
          </w:tcPr>
          <w:p w14:paraId="31961D05"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Implications for Primark</w:t>
            </w:r>
          </w:p>
        </w:tc>
      </w:tr>
      <w:tr w:rsidR="00113FED" w:rsidRPr="0061471E" w14:paraId="6D42301F" w14:textId="77777777">
        <w:trPr>
          <w:jc w:val="center"/>
        </w:trPr>
        <w:tc>
          <w:tcPr>
            <w:tcW w:w="4824" w:type="dxa"/>
            <w:vAlign w:val="center"/>
          </w:tcPr>
          <w:p w14:paraId="56D092B2"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Political</w:t>
            </w:r>
          </w:p>
        </w:tc>
        <w:tc>
          <w:tcPr>
            <w:tcW w:w="4824" w:type="dxa"/>
            <w:vAlign w:val="center"/>
          </w:tcPr>
          <w:p w14:paraId="1A98A6C2"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 xml:space="preserve">Primark operates in a retail environment affected by UK trade policy, customs arrangements, employment policy and international supply-chain conditions. Because clothing is sourced through a global supply chain, changes in trade rules, geopolitical tensions and transport costs can affect product availability and margins. Political uncertainty </w:t>
            </w:r>
            <w:r w:rsidRPr="0061471E">
              <w:rPr>
                <w:rFonts w:cs="Arial"/>
                <w:bCs/>
                <w:color w:val="000000" w:themeColor="text1"/>
                <w:sz w:val="28"/>
                <w:szCs w:val="28"/>
              </w:rPr>
              <w:lastRenderedPageBreak/>
              <w:t>makes supplier diversification, forecasting and contingency planning important.</w:t>
            </w:r>
          </w:p>
        </w:tc>
      </w:tr>
      <w:tr w:rsidR="00113FED" w:rsidRPr="0061471E" w14:paraId="5245CB59" w14:textId="77777777">
        <w:trPr>
          <w:jc w:val="center"/>
        </w:trPr>
        <w:tc>
          <w:tcPr>
            <w:tcW w:w="4824" w:type="dxa"/>
            <w:vAlign w:val="center"/>
          </w:tcPr>
          <w:p w14:paraId="1F3D18B0"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lastRenderedPageBreak/>
              <w:t>Economic</w:t>
            </w:r>
          </w:p>
        </w:tc>
        <w:tc>
          <w:tcPr>
            <w:tcW w:w="4824" w:type="dxa"/>
            <w:vAlign w:val="center"/>
          </w:tcPr>
          <w:p w14:paraId="05E8E27F"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Household purchasing power is central to value fashion. Consumers looking for affordability create an opportunity for Primark, but inflationary pressure on wages, rent, logistics and raw materials can reduce margins. From April 2026, the UK National Living Wage for workers aged 21 and over is £12.71 per hour, a 4.1% increase (Low Pay Commission, 2026). Primark's response should be productivity-focused because price is a core part of its competitive identity. Its 2026 'Iconic Value' initiative, including lower prices on hundreds of products, demonstrates the importance placed on value (Primark, 2026b).</w:t>
            </w:r>
          </w:p>
        </w:tc>
      </w:tr>
      <w:tr w:rsidR="00113FED" w:rsidRPr="0061471E" w14:paraId="28FD23E4" w14:textId="77777777">
        <w:trPr>
          <w:jc w:val="center"/>
        </w:trPr>
        <w:tc>
          <w:tcPr>
            <w:tcW w:w="4824" w:type="dxa"/>
            <w:vAlign w:val="center"/>
          </w:tcPr>
          <w:p w14:paraId="5A96EB6C"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Social</w:t>
            </w:r>
          </w:p>
        </w:tc>
        <w:tc>
          <w:tcPr>
            <w:tcW w:w="4824" w:type="dxa"/>
            <w:vAlign w:val="center"/>
          </w:tcPr>
          <w:p w14:paraId="6AD2831F"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 xml:space="preserve">Customers increasingly combine price sensitivity with expectations around style, inclusivity, convenience and responsible consumption. Social-media trends can change rapidly, creating </w:t>
            </w:r>
            <w:proofErr w:type="gramStart"/>
            <w:r w:rsidRPr="0061471E">
              <w:rPr>
                <w:rFonts w:cs="Arial"/>
                <w:bCs/>
                <w:color w:val="000000" w:themeColor="text1"/>
                <w:sz w:val="28"/>
                <w:szCs w:val="28"/>
              </w:rPr>
              <w:t>opportunity</w:t>
            </w:r>
            <w:proofErr w:type="gramEnd"/>
            <w:r w:rsidRPr="0061471E">
              <w:rPr>
                <w:rFonts w:cs="Arial"/>
                <w:bCs/>
                <w:color w:val="000000" w:themeColor="text1"/>
                <w:sz w:val="28"/>
                <w:szCs w:val="28"/>
              </w:rPr>
              <w:t xml:space="preserve"> for Primark's frequent product refresh but also risk. Primark has introduced adaptive lingerie and stated ambitions to expand adaptive products and accessibility (Primark, 2024). Inclusion should therefore be part of mainstream product development.</w:t>
            </w:r>
          </w:p>
        </w:tc>
      </w:tr>
      <w:tr w:rsidR="00113FED" w:rsidRPr="0061471E" w14:paraId="18F1094F" w14:textId="77777777">
        <w:trPr>
          <w:jc w:val="center"/>
        </w:trPr>
        <w:tc>
          <w:tcPr>
            <w:tcW w:w="4824" w:type="dxa"/>
            <w:vAlign w:val="center"/>
          </w:tcPr>
          <w:p w14:paraId="12569D66"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Technological</w:t>
            </w:r>
          </w:p>
        </w:tc>
        <w:tc>
          <w:tcPr>
            <w:tcW w:w="4824" w:type="dxa"/>
            <w:vAlign w:val="center"/>
          </w:tcPr>
          <w:p w14:paraId="1FE1150B"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 xml:space="preserve">Digital discovery increasingly influences physical-store purchases. ONS data show internet sales accounted for 27.5% of total retail </w:t>
            </w:r>
            <w:r w:rsidRPr="0061471E">
              <w:rPr>
                <w:rFonts w:cs="Arial"/>
                <w:bCs/>
                <w:color w:val="000000" w:themeColor="text1"/>
                <w:sz w:val="28"/>
                <w:szCs w:val="28"/>
              </w:rPr>
              <w:lastRenderedPageBreak/>
              <w:t>sales in Great Britain in 2025 (ONS, 2026a). Primark's store-led model can remain a strength, but customers expect digital inspiration, stock information, social content and convenient information before visiting. Technology should therefore be used to drive store traffic and conversion.</w:t>
            </w:r>
          </w:p>
        </w:tc>
      </w:tr>
      <w:tr w:rsidR="00113FED" w:rsidRPr="0061471E" w14:paraId="4151B030" w14:textId="77777777">
        <w:trPr>
          <w:jc w:val="center"/>
        </w:trPr>
        <w:tc>
          <w:tcPr>
            <w:tcW w:w="4824" w:type="dxa"/>
            <w:vAlign w:val="center"/>
          </w:tcPr>
          <w:p w14:paraId="71FEEC05"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lastRenderedPageBreak/>
              <w:t>Environmental</w:t>
            </w:r>
          </w:p>
        </w:tc>
        <w:tc>
          <w:tcPr>
            <w:tcW w:w="4824" w:type="dxa"/>
            <w:vAlign w:val="center"/>
          </w:tcPr>
          <w:p w14:paraId="5BB1713A"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Fashion faces scrutiny over carbon emissions, resource use, waste and product longevity. Primark's Primark Cares strategy includes a target for all clothing to use recycled or more sustainably sourced materials by 2030 and a commitment to halve value-chain carbon emissions by 2030 (Primark, 2026c). In 2024/25, 74% of clothing units sold contained recycled or more sustainably sourced materials (Primark, 2025). Marketing should turn credible progress into customer value using specific, evidence-based claims.</w:t>
            </w:r>
          </w:p>
        </w:tc>
      </w:tr>
      <w:tr w:rsidR="00113FED" w:rsidRPr="0061471E" w14:paraId="2913BCED" w14:textId="77777777">
        <w:trPr>
          <w:jc w:val="center"/>
        </w:trPr>
        <w:tc>
          <w:tcPr>
            <w:tcW w:w="4824" w:type="dxa"/>
            <w:vAlign w:val="center"/>
          </w:tcPr>
          <w:p w14:paraId="75E0ED69"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Legal</w:t>
            </w:r>
          </w:p>
        </w:tc>
        <w:tc>
          <w:tcPr>
            <w:tcW w:w="4824" w:type="dxa"/>
            <w:vAlign w:val="center"/>
          </w:tcPr>
          <w:p w14:paraId="5100DC64"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Primark must comply with UK consumer, employment, product safety, advertising, data protection and environmental requirements. Digital marketing requires responsible handling of customer data and transparent promotional communications. Supply-chain due diligence and traceability are also increasingly important. Compliance should therefore be built into campaign approval, product claims and data-management processes.</w:t>
            </w:r>
          </w:p>
        </w:tc>
      </w:tr>
    </w:tbl>
    <w:p w14:paraId="75438658" w14:textId="77777777" w:rsidR="00113FED" w:rsidRPr="0061471E" w:rsidRDefault="00000000">
      <w:pPr>
        <w:pStyle w:val="Heading2"/>
        <w:rPr>
          <w:rFonts w:ascii="Arial" w:hAnsi="Arial" w:cs="Arial"/>
          <w:b w:val="0"/>
          <w:color w:val="000000" w:themeColor="text1"/>
          <w:sz w:val="28"/>
          <w:szCs w:val="28"/>
        </w:rPr>
      </w:pPr>
      <w:r w:rsidRPr="0061471E">
        <w:rPr>
          <w:rFonts w:ascii="Arial" w:hAnsi="Arial" w:cs="Arial"/>
          <w:b w:val="0"/>
          <w:color w:val="000000" w:themeColor="text1"/>
          <w:sz w:val="28"/>
          <w:szCs w:val="28"/>
        </w:rPr>
        <w:t>2.2 SWOT Analysis</w:t>
      </w:r>
    </w:p>
    <w:tbl>
      <w:tblPr>
        <w:tblStyle w:val="TableGrid"/>
        <w:tblW w:w="0" w:type="auto"/>
        <w:jc w:val="center"/>
        <w:tblLook w:val="04A0" w:firstRow="1" w:lastRow="0" w:firstColumn="1" w:lastColumn="0" w:noHBand="0" w:noVBand="1"/>
      </w:tblPr>
      <w:tblGrid>
        <w:gridCol w:w="4824"/>
        <w:gridCol w:w="4824"/>
      </w:tblGrid>
      <w:tr w:rsidR="00113FED" w:rsidRPr="0061471E" w14:paraId="2F7D1CD8" w14:textId="77777777">
        <w:trPr>
          <w:jc w:val="center"/>
        </w:trPr>
        <w:tc>
          <w:tcPr>
            <w:tcW w:w="4824" w:type="dxa"/>
            <w:shd w:val="clear" w:color="auto" w:fill="D9EAF7"/>
            <w:vAlign w:val="center"/>
          </w:tcPr>
          <w:p w14:paraId="3A85CB4A"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SWOT area</w:t>
            </w:r>
          </w:p>
        </w:tc>
        <w:tc>
          <w:tcPr>
            <w:tcW w:w="4824" w:type="dxa"/>
            <w:shd w:val="clear" w:color="auto" w:fill="D9EAF7"/>
            <w:vAlign w:val="center"/>
          </w:tcPr>
          <w:p w14:paraId="39D4B052"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Key findings</w:t>
            </w:r>
          </w:p>
        </w:tc>
      </w:tr>
      <w:tr w:rsidR="00113FED" w:rsidRPr="0061471E" w14:paraId="4A51EEAF" w14:textId="77777777">
        <w:trPr>
          <w:jc w:val="center"/>
        </w:trPr>
        <w:tc>
          <w:tcPr>
            <w:tcW w:w="4824" w:type="dxa"/>
            <w:vAlign w:val="center"/>
          </w:tcPr>
          <w:p w14:paraId="6DC86940"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lastRenderedPageBreak/>
              <w:t>Strengths</w:t>
            </w:r>
          </w:p>
        </w:tc>
        <w:tc>
          <w:tcPr>
            <w:tcW w:w="4824" w:type="dxa"/>
            <w:vAlign w:val="center"/>
          </w:tcPr>
          <w:p w14:paraId="3C7AB3D6"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Strong value proposition; very large store network; high brand awareness; purchasing and sourcing scale; broad family product range; established physical-store experience; growing sustainability programme.</w:t>
            </w:r>
          </w:p>
        </w:tc>
      </w:tr>
      <w:tr w:rsidR="00113FED" w:rsidRPr="0061471E" w14:paraId="109A15F8" w14:textId="77777777">
        <w:trPr>
          <w:jc w:val="center"/>
        </w:trPr>
        <w:tc>
          <w:tcPr>
            <w:tcW w:w="4824" w:type="dxa"/>
            <w:vAlign w:val="center"/>
          </w:tcPr>
          <w:p w14:paraId="443E9687"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Weaknesses</w:t>
            </w:r>
          </w:p>
        </w:tc>
        <w:tc>
          <w:tcPr>
            <w:tcW w:w="4824" w:type="dxa"/>
            <w:vAlign w:val="center"/>
          </w:tcPr>
          <w:p w14:paraId="3021828D"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UK like-for-like sales decline; limited traditional e-commerce role compared with digital-first rivals; dependence on store visits; very low prices can create perceptions of lower quality or sustainability; large stores can create stock and availability complexity.</w:t>
            </w:r>
          </w:p>
        </w:tc>
      </w:tr>
      <w:tr w:rsidR="00113FED" w:rsidRPr="0061471E" w14:paraId="461EC0C4" w14:textId="77777777">
        <w:trPr>
          <w:jc w:val="center"/>
        </w:trPr>
        <w:tc>
          <w:tcPr>
            <w:tcW w:w="4824" w:type="dxa"/>
            <w:vAlign w:val="center"/>
          </w:tcPr>
          <w:p w14:paraId="02498E29"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Opportunities</w:t>
            </w:r>
          </w:p>
        </w:tc>
        <w:tc>
          <w:tcPr>
            <w:tcW w:w="4824" w:type="dxa"/>
            <w:vAlign w:val="center"/>
          </w:tcPr>
          <w:p w14:paraId="5ADF5DCF"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Digital-to-store marketing; customer data and loyalty; inclusive/adaptive products; sustainable and durable ranges; personalised social content; stronger beauty/home cross-selling; growth in customer spend per visit.</w:t>
            </w:r>
          </w:p>
        </w:tc>
      </w:tr>
      <w:tr w:rsidR="00113FED" w:rsidRPr="0061471E" w14:paraId="1F1CB325" w14:textId="77777777">
        <w:trPr>
          <w:jc w:val="center"/>
        </w:trPr>
        <w:tc>
          <w:tcPr>
            <w:tcW w:w="4824" w:type="dxa"/>
            <w:vAlign w:val="center"/>
          </w:tcPr>
          <w:p w14:paraId="24D605A2"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Threats</w:t>
            </w:r>
          </w:p>
        </w:tc>
        <w:tc>
          <w:tcPr>
            <w:tcW w:w="4824" w:type="dxa"/>
            <w:vAlign w:val="center"/>
          </w:tcPr>
          <w:p w14:paraId="41A2D6F1"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Strong competition from H&amp;M, Zara, M&amp;S, New Look and online marketplaces; Shein and other digital-first competitors; wage and operating-cost inflation; supply-chain disruption; sustainability criticism; rapidly changing fashion trends.</w:t>
            </w:r>
          </w:p>
        </w:tc>
      </w:tr>
    </w:tbl>
    <w:p w14:paraId="2B1152E2" w14:textId="77777777" w:rsidR="00113FED" w:rsidRPr="0061471E" w:rsidRDefault="00000000">
      <w:pPr>
        <w:pStyle w:val="Heading2"/>
        <w:rPr>
          <w:rFonts w:ascii="Arial" w:hAnsi="Arial" w:cs="Arial"/>
          <w:b w:val="0"/>
          <w:color w:val="000000" w:themeColor="text1"/>
          <w:sz w:val="28"/>
          <w:szCs w:val="28"/>
        </w:rPr>
      </w:pPr>
      <w:r w:rsidRPr="0061471E">
        <w:rPr>
          <w:rFonts w:ascii="Arial" w:hAnsi="Arial" w:cs="Arial"/>
          <w:b w:val="0"/>
          <w:color w:val="000000" w:themeColor="text1"/>
          <w:sz w:val="28"/>
          <w:szCs w:val="28"/>
        </w:rPr>
        <w:t>2.3 Porter's Five Forces</w:t>
      </w:r>
    </w:p>
    <w:tbl>
      <w:tblPr>
        <w:tblStyle w:val="TableGrid"/>
        <w:tblW w:w="0" w:type="auto"/>
        <w:jc w:val="center"/>
        <w:tblLook w:val="04A0" w:firstRow="1" w:lastRow="0" w:firstColumn="1" w:lastColumn="0" w:noHBand="0" w:noVBand="1"/>
      </w:tblPr>
      <w:tblGrid>
        <w:gridCol w:w="4824"/>
        <w:gridCol w:w="4824"/>
      </w:tblGrid>
      <w:tr w:rsidR="00113FED" w:rsidRPr="0061471E" w14:paraId="0B666446" w14:textId="77777777">
        <w:trPr>
          <w:jc w:val="center"/>
        </w:trPr>
        <w:tc>
          <w:tcPr>
            <w:tcW w:w="4824" w:type="dxa"/>
            <w:shd w:val="clear" w:color="auto" w:fill="D9EAF7"/>
            <w:vAlign w:val="center"/>
          </w:tcPr>
          <w:p w14:paraId="52A563AB"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Force</w:t>
            </w:r>
          </w:p>
        </w:tc>
        <w:tc>
          <w:tcPr>
            <w:tcW w:w="4824" w:type="dxa"/>
            <w:shd w:val="clear" w:color="auto" w:fill="D9EAF7"/>
            <w:vAlign w:val="center"/>
          </w:tcPr>
          <w:p w14:paraId="2DED8079"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Assessment</w:t>
            </w:r>
          </w:p>
        </w:tc>
      </w:tr>
      <w:tr w:rsidR="00113FED" w:rsidRPr="0061471E" w14:paraId="2D6EA6FE" w14:textId="77777777">
        <w:trPr>
          <w:jc w:val="center"/>
        </w:trPr>
        <w:tc>
          <w:tcPr>
            <w:tcW w:w="4824" w:type="dxa"/>
            <w:vAlign w:val="center"/>
          </w:tcPr>
          <w:p w14:paraId="72217B63"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Competitive rivalry – High</w:t>
            </w:r>
          </w:p>
        </w:tc>
        <w:tc>
          <w:tcPr>
            <w:tcW w:w="4824" w:type="dxa"/>
            <w:vAlign w:val="center"/>
          </w:tcPr>
          <w:p w14:paraId="09877A62"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Primark competes with national chains, specialist fashion retailers, supermarkets and online marketplaces. Rivalry is intensified by frequent promotions, rapid trend cycles and low switching costs.</w:t>
            </w:r>
          </w:p>
        </w:tc>
      </w:tr>
      <w:tr w:rsidR="00113FED" w:rsidRPr="0061471E" w14:paraId="7A3F7EDE" w14:textId="77777777">
        <w:trPr>
          <w:jc w:val="center"/>
        </w:trPr>
        <w:tc>
          <w:tcPr>
            <w:tcW w:w="4824" w:type="dxa"/>
            <w:vAlign w:val="center"/>
          </w:tcPr>
          <w:p w14:paraId="09092A41"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Threat of new entrants – Moderate</w:t>
            </w:r>
          </w:p>
        </w:tc>
        <w:tc>
          <w:tcPr>
            <w:tcW w:w="4824" w:type="dxa"/>
            <w:vAlign w:val="center"/>
          </w:tcPr>
          <w:p w14:paraId="3FA6BA22"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 xml:space="preserve">Digital retail lowers the need for physical stores, but Primark's scale, </w:t>
            </w:r>
            <w:r w:rsidRPr="0061471E">
              <w:rPr>
                <w:rFonts w:cs="Arial"/>
                <w:bCs/>
                <w:color w:val="000000" w:themeColor="text1"/>
                <w:sz w:val="28"/>
                <w:szCs w:val="28"/>
              </w:rPr>
              <w:lastRenderedPageBreak/>
              <w:t>sourcing relationships and high-volume model create advantages that are difficult for a new entrant to reproduce.</w:t>
            </w:r>
          </w:p>
        </w:tc>
      </w:tr>
      <w:tr w:rsidR="00113FED" w:rsidRPr="0061471E" w14:paraId="2EECBA1C" w14:textId="77777777">
        <w:trPr>
          <w:jc w:val="center"/>
        </w:trPr>
        <w:tc>
          <w:tcPr>
            <w:tcW w:w="4824" w:type="dxa"/>
            <w:vAlign w:val="center"/>
          </w:tcPr>
          <w:p w14:paraId="70F306A7"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lastRenderedPageBreak/>
              <w:t>Supplier power – Moderate</w:t>
            </w:r>
          </w:p>
        </w:tc>
        <w:tc>
          <w:tcPr>
            <w:tcW w:w="4824" w:type="dxa"/>
            <w:vAlign w:val="center"/>
          </w:tcPr>
          <w:p w14:paraId="3653262F"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Primark's scale gives it substantial purchasing power, but global sourcing, raw materials and ethical/sustainability standards can increase costs and reduce flexibility.</w:t>
            </w:r>
          </w:p>
        </w:tc>
      </w:tr>
      <w:tr w:rsidR="00113FED" w:rsidRPr="0061471E" w14:paraId="580F9DA3" w14:textId="77777777">
        <w:trPr>
          <w:jc w:val="center"/>
        </w:trPr>
        <w:tc>
          <w:tcPr>
            <w:tcW w:w="4824" w:type="dxa"/>
            <w:vAlign w:val="center"/>
          </w:tcPr>
          <w:p w14:paraId="4AAC8044"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Buyer power – High</w:t>
            </w:r>
          </w:p>
        </w:tc>
        <w:tc>
          <w:tcPr>
            <w:tcW w:w="4824" w:type="dxa"/>
            <w:vAlign w:val="center"/>
          </w:tcPr>
          <w:p w14:paraId="56C17E1A"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Consumers have extensive choice and can compare prices and trends easily. Low switching costs mean Primark must continually communicate value and maintain availability.</w:t>
            </w:r>
          </w:p>
        </w:tc>
      </w:tr>
      <w:tr w:rsidR="00113FED" w:rsidRPr="0061471E" w14:paraId="25A8AFED" w14:textId="77777777">
        <w:trPr>
          <w:jc w:val="center"/>
        </w:trPr>
        <w:tc>
          <w:tcPr>
            <w:tcW w:w="4824" w:type="dxa"/>
            <w:vAlign w:val="center"/>
          </w:tcPr>
          <w:p w14:paraId="6A1F4929"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Threat of substitutes – High</w:t>
            </w:r>
          </w:p>
        </w:tc>
        <w:tc>
          <w:tcPr>
            <w:tcW w:w="4824" w:type="dxa"/>
            <w:vAlign w:val="center"/>
          </w:tcPr>
          <w:p w14:paraId="4D4686A8"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Second-hand platforms, resale, rental, supermarkets, specialist brands and digital marketplaces can substitute for new Primark purchases. Durability and circular initiatives can help Primark remain relevant.</w:t>
            </w:r>
          </w:p>
        </w:tc>
      </w:tr>
    </w:tbl>
    <w:p w14:paraId="5371E938" w14:textId="77777777" w:rsidR="00113FED" w:rsidRPr="0061471E" w:rsidRDefault="00000000">
      <w:pPr>
        <w:pStyle w:val="Heading1"/>
        <w:rPr>
          <w:rFonts w:ascii="Arial" w:hAnsi="Arial" w:cs="Arial"/>
          <w:b w:val="0"/>
          <w:color w:val="000000" w:themeColor="text1"/>
          <w:sz w:val="28"/>
        </w:rPr>
      </w:pPr>
      <w:r w:rsidRPr="0061471E">
        <w:rPr>
          <w:rFonts w:ascii="Arial" w:hAnsi="Arial" w:cs="Arial"/>
          <w:b w:val="0"/>
          <w:color w:val="000000" w:themeColor="text1"/>
          <w:sz w:val="28"/>
        </w:rPr>
        <w:t>3. Marketing Strategy</w:t>
      </w:r>
    </w:p>
    <w:p w14:paraId="540CE62E" w14:textId="77777777" w:rsidR="00113FED" w:rsidRPr="0061471E" w:rsidRDefault="00000000">
      <w:pPr>
        <w:pStyle w:val="Heading2"/>
        <w:rPr>
          <w:rFonts w:ascii="Arial" w:hAnsi="Arial" w:cs="Arial"/>
          <w:b w:val="0"/>
          <w:color w:val="000000" w:themeColor="text1"/>
          <w:sz w:val="28"/>
          <w:szCs w:val="28"/>
        </w:rPr>
      </w:pPr>
      <w:r w:rsidRPr="0061471E">
        <w:rPr>
          <w:rFonts w:ascii="Arial" w:hAnsi="Arial" w:cs="Arial"/>
          <w:b w:val="0"/>
          <w:color w:val="000000" w:themeColor="text1"/>
          <w:sz w:val="28"/>
          <w:szCs w:val="28"/>
        </w:rPr>
        <w:t>3.1 Segmentation, Targeting and Positioning (STP)</w:t>
      </w:r>
    </w:p>
    <w:p w14:paraId="0DE74E94"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Segmentation should combine demographic, geographic, psychographic and behavioural variables. Demographically, Primark serves women, men, children and households across age groups and income levels. Geographically, the UK network gives access to major cities, towns and shopping centres. Psychographically, customers can be segmented by attitudes to value, fashion, sustainability and convenience. Behaviourally, useful segments include frequent Primark shoppers, occasional trend shoppers, family/essential shoppers, beauty shoppers and customers who discover products through social media.</w:t>
      </w:r>
    </w:p>
    <w:p w14:paraId="7DBE2B66"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 xml:space="preserve">The priority target should be value-conscious 18–34-year-old consumers who are digitally engaged and combine trend-seeking with price sensitivity. A </w:t>
      </w:r>
      <w:r w:rsidRPr="0061471E">
        <w:rPr>
          <w:rFonts w:cs="Arial"/>
          <w:bCs/>
          <w:color w:val="000000" w:themeColor="text1"/>
          <w:sz w:val="28"/>
          <w:szCs w:val="28"/>
        </w:rPr>
        <w:lastRenderedPageBreak/>
        <w:t>second target should be family and essentials shoppers who value low prices, breadth and convenience. The strategy should not abandon older customers; instead, targeted messaging and accessible product presentation can increase relevance across age groups.</w:t>
      </w:r>
    </w:p>
    <w:p w14:paraId="0393EBA2"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 xml:space="preserve">Positioning should be: 'Primark is the accessible value-fashion destination where customers can discover current styles and reliable everyday essentials at prices that help their money go further.' This moves beyond 'cheap clothing' towards value, style, quality, inclusion and responsible product choices. The positioning is consistent with Primark's mission and its 2026 emphasis on value, quality, </w:t>
      </w:r>
      <w:proofErr w:type="gramStart"/>
      <w:r w:rsidRPr="0061471E">
        <w:rPr>
          <w:rFonts w:cs="Arial"/>
          <w:bCs/>
          <w:color w:val="000000" w:themeColor="text1"/>
          <w:sz w:val="28"/>
          <w:szCs w:val="28"/>
        </w:rPr>
        <w:t>fit</w:t>
      </w:r>
      <w:proofErr w:type="gramEnd"/>
      <w:r w:rsidRPr="0061471E">
        <w:rPr>
          <w:rFonts w:cs="Arial"/>
          <w:bCs/>
          <w:color w:val="000000" w:themeColor="text1"/>
          <w:sz w:val="28"/>
          <w:szCs w:val="28"/>
        </w:rPr>
        <w:t xml:space="preserve"> and style (Primark, 2026a; Primark, 2026b).</w:t>
      </w:r>
    </w:p>
    <w:p w14:paraId="5CC357D4" w14:textId="77777777" w:rsidR="00113FED" w:rsidRPr="0061471E" w:rsidRDefault="00000000">
      <w:pPr>
        <w:pStyle w:val="Heading2"/>
        <w:rPr>
          <w:rFonts w:ascii="Arial" w:hAnsi="Arial" w:cs="Arial"/>
          <w:b w:val="0"/>
          <w:color w:val="000000" w:themeColor="text1"/>
          <w:sz w:val="28"/>
          <w:szCs w:val="28"/>
        </w:rPr>
      </w:pPr>
      <w:r w:rsidRPr="0061471E">
        <w:rPr>
          <w:rFonts w:ascii="Arial" w:hAnsi="Arial" w:cs="Arial"/>
          <w:b w:val="0"/>
          <w:color w:val="000000" w:themeColor="text1"/>
          <w:sz w:val="28"/>
          <w:szCs w:val="28"/>
        </w:rPr>
        <w:t>3.2 Integrated Marketing Strategy</w:t>
      </w:r>
    </w:p>
    <w:p w14:paraId="4D0D3FC6"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 xml:space="preserve">The proposed campaign theme is 'More Style. More Value.' It should connect social media, creators, store displays, customer communications, public relations and in-store experiences. Weekly short-form </w:t>
      </w:r>
      <w:proofErr w:type="gramStart"/>
      <w:r w:rsidRPr="0061471E">
        <w:rPr>
          <w:rFonts w:cs="Arial"/>
          <w:bCs/>
          <w:color w:val="000000" w:themeColor="text1"/>
          <w:sz w:val="28"/>
          <w:szCs w:val="28"/>
        </w:rPr>
        <w:t>video</w:t>
      </w:r>
      <w:proofErr w:type="gramEnd"/>
      <w:r w:rsidRPr="0061471E">
        <w:rPr>
          <w:rFonts w:cs="Arial"/>
          <w:bCs/>
          <w:color w:val="000000" w:themeColor="text1"/>
          <w:sz w:val="28"/>
          <w:szCs w:val="28"/>
        </w:rPr>
        <w:t xml:space="preserve"> can showcase complete outfits at different budgets, while creators demonstrate styling and repeat-wear ideas. Rather than relying only on celebrity endorsements, Primark should use micro-creators, local creators and customer-generated content to make campaigns credible and geographically relevant.</w:t>
      </w:r>
    </w:p>
    <w:p w14:paraId="10546E04"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The digital strategy should act as a store-traffic engine. Customers should be able to discover products and collections online, identify nearby stores and receive practical information about ranges and availability where technology permits. QR codes in-store can connect customers to styling, care and sustainability information. Campaign performance should be tracked by channel so Primark can identify which content produces store visits, transactions and higher basket values.</w:t>
      </w:r>
    </w:p>
    <w:p w14:paraId="120D5630" w14:textId="77777777" w:rsidR="00113FED" w:rsidRPr="0061471E" w:rsidRDefault="00000000">
      <w:pPr>
        <w:pStyle w:val="Heading2"/>
        <w:rPr>
          <w:rFonts w:ascii="Arial" w:hAnsi="Arial" w:cs="Arial"/>
          <w:b w:val="0"/>
          <w:color w:val="000000" w:themeColor="text1"/>
          <w:sz w:val="28"/>
          <w:szCs w:val="28"/>
        </w:rPr>
      </w:pPr>
      <w:r w:rsidRPr="0061471E">
        <w:rPr>
          <w:rFonts w:ascii="Arial" w:hAnsi="Arial" w:cs="Arial"/>
          <w:b w:val="0"/>
          <w:color w:val="000000" w:themeColor="text1"/>
          <w:sz w:val="28"/>
          <w:szCs w:val="28"/>
        </w:rPr>
        <w:t>3.3 Ansoff Matrix</w:t>
      </w:r>
    </w:p>
    <w:tbl>
      <w:tblPr>
        <w:tblStyle w:val="TableGrid"/>
        <w:tblW w:w="0" w:type="auto"/>
        <w:jc w:val="center"/>
        <w:tblLook w:val="04A0" w:firstRow="1" w:lastRow="0" w:firstColumn="1" w:lastColumn="0" w:noHBand="0" w:noVBand="1"/>
      </w:tblPr>
      <w:tblGrid>
        <w:gridCol w:w="4824"/>
        <w:gridCol w:w="4824"/>
      </w:tblGrid>
      <w:tr w:rsidR="00113FED" w:rsidRPr="0061471E" w14:paraId="2E7FFE5C" w14:textId="77777777">
        <w:trPr>
          <w:jc w:val="center"/>
        </w:trPr>
        <w:tc>
          <w:tcPr>
            <w:tcW w:w="4824" w:type="dxa"/>
            <w:shd w:val="clear" w:color="auto" w:fill="D9EAF7"/>
            <w:vAlign w:val="center"/>
          </w:tcPr>
          <w:p w14:paraId="24B034E6"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Ansoff option</w:t>
            </w:r>
          </w:p>
        </w:tc>
        <w:tc>
          <w:tcPr>
            <w:tcW w:w="4824" w:type="dxa"/>
            <w:shd w:val="clear" w:color="auto" w:fill="D9EAF7"/>
            <w:vAlign w:val="center"/>
          </w:tcPr>
          <w:p w14:paraId="16EA1DA5"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Application to Primark</w:t>
            </w:r>
          </w:p>
        </w:tc>
      </w:tr>
      <w:tr w:rsidR="00113FED" w:rsidRPr="0061471E" w14:paraId="32FAD942" w14:textId="77777777">
        <w:trPr>
          <w:jc w:val="center"/>
        </w:trPr>
        <w:tc>
          <w:tcPr>
            <w:tcW w:w="4824" w:type="dxa"/>
            <w:vAlign w:val="center"/>
          </w:tcPr>
          <w:p w14:paraId="7F4DEAD5"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Market penetration</w:t>
            </w:r>
          </w:p>
        </w:tc>
        <w:tc>
          <w:tcPr>
            <w:tcW w:w="4824" w:type="dxa"/>
            <w:vAlign w:val="center"/>
          </w:tcPr>
          <w:p w14:paraId="6B36DE4B"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Primary strategy: increase sales from existing UK customers through stronger promotions, creator content, seasonal campaigns, improved store conversion and repeat visits.</w:t>
            </w:r>
          </w:p>
        </w:tc>
      </w:tr>
      <w:tr w:rsidR="00113FED" w:rsidRPr="0061471E" w14:paraId="604A5329" w14:textId="77777777">
        <w:trPr>
          <w:jc w:val="center"/>
        </w:trPr>
        <w:tc>
          <w:tcPr>
            <w:tcW w:w="4824" w:type="dxa"/>
            <w:vAlign w:val="center"/>
          </w:tcPr>
          <w:p w14:paraId="5C6D961C"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Product development</w:t>
            </w:r>
          </w:p>
        </w:tc>
        <w:tc>
          <w:tcPr>
            <w:tcW w:w="4824" w:type="dxa"/>
            <w:vAlign w:val="center"/>
          </w:tcPr>
          <w:p w14:paraId="7324A7E8"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 xml:space="preserve">Develop more adaptive, durable and sustainable ranges, plus coordinated beauty, accessories and home </w:t>
            </w:r>
            <w:r w:rsidRPr="0061471E">
              <w:rPr>
                <w:rFonts w:cs="Arial"/>
                <w:bCs/>
                <w:color w:val="000000" w:themeColor="text1"/>
                <w:sz w:val="28"/>
                <w:szCs w:val="28"/>
              </w:rPr>
              <w:lastRenderedPageBreak/>
              <w:t>collections that increase basket size.</w:t>
            </w:r>
          </w:p>
        </w:tc>
      </w:tr>
      <w:tr w:rsidR="00113FED" w:rsidRPr="0061471E" w14:paraId="21864645" w14:textId="77777777">
        <w:trPr>
          <w:jc w:val="center"/>
        </w:trPr>
        <w:tc>
          <w:tcPr>
            <w:tcW w:w="4824" w:type="dxa"/>
            <w:vAlign w:val="center"/>
          </w:tcPr>
          <w:p w14:paraId="1E652AAE"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lastRenderedPageBreak/>
              <w:t>Market development</w:t>
            </w:r>
          </w:p>
        </w:tc>
        <w:tc>
          <w:tcPr>
            <w:tcW w:w="4824" w:type="dxa"/>
            <w:vAlign w:val="center"/>
          </w:tcPr>
          <w:p w14:paraId="2A23266F"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Use localised campaigns and selective new stores in underserved UK catchments while improving awareness among customer groups with lower current penetration.</w:t>
            </w:r>
          </w:p>
        </w:tc>
      </w:tr>
      <w:tr w:rsidR="00113FED" w:rsidRPr="0061471E" w14:paraId="54DB33E0" w14:textId="77777777">
        <w:trPr>
          <w:jc w:val="center"/>
        </w:trPr>
        <w:tc>
          <w:tcPr>
            <w:tcW w:w="4824" w:type="dxa"/>
            <w:vAlign w:val="center"/>
          </w:tcPr>
          <w:p w14:paraId="374285A8"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Diversification</w:t>
            </w:r>
          </w:p>
        </w:tc>
        <w:tc>
          <w:tcPr>
            <w:tcW w:w="4824" w:type="dxa"/>
            <w:vAlign w:val="center"/>
          </w:tcPr>
          <w:p w14:paraId="0E0E478A"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Explore services such as repair education, resale partnerships or circular-fashion experiences only after core retail execution is strengthened.</w:t>
            </w:r>
          </w:p>
        </w:tc>
      </w:tr>
    </w:tbl>
    <w:p w14:paraId="786201CC" w14:textId="77777777" w:rsidR="00113FED" w:rsidRPr="0061471E" w:rsidRDefault="00000000">
      <w:pPr>
        <w:pStyle w:val="Heading1"/>
        <w:rPr>
          <w:rFonts w:ascii="Arial" w:hAnsi="Arial" w:cs="Arial"/>
          <w:b w:val="0"/>
          <w:color w:val="000000" w:themeColor="text1"/>
          <w:sz w:val="28"/>
        </w:rPr>
      </w:pPr>
      <w:r w:rsidRPr="0061471E">
        <w:rPr>
          <w:rFonts w:ascii="Arial" w:hAnsi="Arial" w:cs="Arial"/>
          <w:b w:val="0"/>
          <w:color w:val="000000" w:themeColor="text1"/>
          <w:sz w:val="28"/>
        </w:rPr>
        <w:t>4. Marketing Mix Strategies: 7Ps</w:t>
      </w:r>
    </w:p>
    <w:tbl>
      <w:tblPr>
        <w:tblStyle w:val="TableGrid"/>
        <w:tblW w:w="0" w:type="auto"/>
        <w:jc w:val="center"/>
        <w:tblLook w:val="04A0" w:firstRow="1" w:lastRow="0" w:firstColumn="1" w:lastColumn="0" w:noHBand="0" w:noVBand="1"/>
      </w:tblPr>
      <w:tblGrid>
        <w:gridCol w:w="4824"/>
        <w:gridCol w:w="4824"/>
      </w:tblGrid>
      <w:tr w:rsidR="00113FED" w:rsidRPr="0061471E" w14:paraId="1AADD898" w14:textId="77777777">
        <w:trPr>
          <w:jc w:val="center"/>
        </w:trPr>
        <w:tc>
          <w:tcPr>
            <w:tcW w:w="4824" w:type="dxa"/>
            <w:shd w:val="clear" w:color="auto" w:fill="D9EAF7"/>
            <w:vAlign w:val="center"/>
          </w:tcPr>
          <w:p w14:paraId="62EBDEC0"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7P</w:t>
            </w:r>
          </w:p>
        </w:tc>
        <w:tc>
          <w:tcPr>
            <w:tcW w:w="4824" w:type="dxa"/>
            <w:shd w:val="clear" w:color="auto" w:fill="D9EAF7"/>
            <w:vAlign w:val="center"/>
          </w:tcPr>
          <w:p w14:paraId="0DCD5E78"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Recommended strategy</w:t>
            </w:r>
          </w:p>
        </w:tc>
      </w:tr>
      <w:tr w:rsidR="00113FED" w:rsidRPr="0061471E" w14:paraId="3AE12E7B" w14:textId="77777777">
        <w:trPr>
          <w:jc w:val="center"/>
        </w:trPr>
        <w:tc>
          <w:tcPr>
            <w:tcW w:w="4824" w:type="dxa"/>
            <w:vAlign w:val="center"/>
          </w:tcPr>
          <w:p w14:paraId="1A5AFF23"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Product</w:t>
            </w:r>
          </w:p>
        </w:tc>
        <w:tc>
          <w:tcPr>
            <w:tcW w:w="4824" w:type="dxa"/>
            <w:vAlign w:val="center"/>
          </w:tcPr>
          <w:p w14:paraId="2FFA92DE"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Protect the breadth of affordable fashion while strengthening three propositions: trend-</w:t>
            </w:r>
            <w:proofErr w:type="gramStart"/>
            <w:r w:rsidRPr="0061471E">
              <w:rPr>
                <w:rFonts w:cs="Arial"/>
                <w:bCs/>
                <w:color w:val="000000" w:themeColor="text1"/>
                <w:sz w:val="28"/>
                <w:szCs w:val="28"/>
              </w:rPr>
              <w:t>led</w:t>
            </w:r>
            <w:proofErr w:type="gramEnd"/>
            <w:r w:rsidRPr="0061471E">
              <w:rPr>
                <w:rFonts w:cs="Arial"/>
                <w:bCs/>
                <w:color w:val="000000" w:themeColor="text1"/>
                <w:sz w:val="28"/>
                <w:szCs w:val="28"/>
              </w:rPr>
              <w:t xml:space="preserve"> drops, dependable everyday essentials and more sustainable/inclusive products. Use coordinated outfit merchandising to encourage multi-item purchases. Expand adaptive fashion and improve inclusive presentation. Promote durability and garment-care guidance as part of product value.</w:t>
            </w:r>
          </w:p>
        </w:tc>
      </w:tr>
      <w:tr w:rsidR="00113FED" w:rsidRPr="0061471E" w14:paraId="2714BE57" w14:textId="77777777">
        <w:trPr>
          <w:jc w:val="center"/>
        </w:trPr>
        <w:tc>
          <w:tcPr>
            <w:tcW w:w="4824" w:type="dxa"/>
            <w:vAlign w:val="center"/>
          </w:tcPr>
          <w:p w14:paraId="6BC10ABC"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Price</w:t>
            </w:r>
          </w:p>
        </w:tc>
        <w:tc>
          <w:tcPr>
            <w:tcW w:w="4824" w:type="dxa"/>
            <w:vAlign w:val="center"/>
          </w:tcPr>
          <w:p w14:paraId="67C5B745"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Maintain the low-price architecture and use selective price locks on high-volume essentials rather than continuous blanket discounting. Introduce clear value choices where appropriate, bundle complementary products and use seasonal promotions to stimulate demand without training customers to wait for discounts.</w:t>
            </w:r>
          </w:p>
        </w:tc>
      </w:tr>
      <w:tr w:rsidR="00113FED" w:rsidRPr="0061471E" w14:paraId="7B6EE902" w14:textId="77777777">
        <w:trPr>
          <w:jc w:val="center"/>
        </w:trPr>
        <w:tc>
          <w:tcPr>
            <w:tcW w:w="4824" w:type="dxa"/>
            <w:vAlign w:val="center"/>
          </w:tcPr>
          <w:p w14:paraId="61D6D523"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Place</w:t>
            </w:r>
          </w:p>
        </w:tc>
        <w:tc>
          <w:tcPr>
            <w:tcW w:w="4824" w:type="dxa"/>
            <w:vAlign w:val="center"/>
          </w:tcPr>
          <w:p w14:paraId="09BB8F23"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 xml:space="preserve">Continue the store-led strategy while improving the digital-to-store journey. </w:t>
            </w:r>
            <w:r w:rsidRPr="0061471E">
              <w:rPr>
                <w:rFonts w:cs="Arial"/>
                <w:bCs/>
                <w:color w:val="000000" w:themeColor="text1"/>
                <w:sz w:val="28"/>
                <w:szCs w:val="28"/>
              </w:rPr>
              <w:lastRenderedPageBreak/>
              <w:t>Use location-based social advertising around stores, better store signage and QR-led product discovery. Prioritise store productivity and catchment analysis before adding capacity.</w:t>
            </w:r>
          </w:p>
        </w:tc>
      </w:tr>
      <w:tr w:rsidR="00113FED" w:rsidRPr="0061471E" w14:paraId="3DFFD7C5" w14:textId="77777777">
        <w:trPr>
          <w:jc w:val="center"/>
        </w:trPr>
        <w:tc>
          <w:tcPr>
            <w:tcW w:w="4824" w:type="dxa"/>
            <w:vAlign w:val="center"/>
          </w:tcPr>
          <w:p w14:paraId="68EDF3E0"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lastRenderedPageBreak/>
              <w:t>Promotion</w:t>
            </w:r>
          </w:p>
        </w:tc>
        <w:tc>
          <w:tcPr>
            <w:tcW w:w="4824" w:type="dxa"/>
            <w:vAlign w:val="center"/>
          </w:tcPr>
          <w:p w14:paraId="0BB1C5D9"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 xml:space="preserve">Run an always-on social strategy across TikTok, Instagram and YouTube, supported by creator partnerships, customer-generated content, seasonal campaigns, PR and in-store displays. Content should demonstrate outfits, prices, quality, care and sustainability. Measure engagement </w:t>
            </w:r>
            <w:proofErr w:type="gramStart"/>
            <w:r w:rsidRPr="0061471E">
              <w:rPr>
                <w:rFonts w:cs="Arial"/>
                <w:bCs/>
                <w:color w:val="000000" w:themeColor="text1"/>
                <w:sz w:val="28"/>
                <w:szCs w:val="28"/>
              </w:rPr>
              <w:t>through to</w:t>
            </w:r>
            <w:proofErr w:type="gramEnd"/>
            <w:r w:rsidRPr="0061471E">
              <w:rPr>
                <w:rFonts w:cs="Arial"/>
                <w:bCs/>
                <w:color w:val="000000" w:themeColor="text1"/>
                <w:sz w:val="28"/>
                <w:szCs w:val="28"/>
              </w:rPr>
              <w:t xml:space="preserve"> transactions rather than using likes as the main objective.</w:t>
            </w:r>
          </w:p>
        </w:tc>
      </w:tr>
      <w:tr w:rsidR="00113FED" w:rsidRPr="0061471E" w14:paraId="7E175946" w14:textId="77777777">
        <w:trPr>
          <w:jc w:val="center"/>
        </w:trPr>
        <w:tc>
          <w:tcPr>
            <w:tcW w:w="4824" w:type="dxa"/>
            <w:vAlign w:val="center"/>
          </w:tcPr>
          <w:p w14:paraId="1B05746A"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People</w:t>
            </w:r>
          </w:p>
        </w:tc>
        <w:tc>
          <w:tcPr>
            <w:tcW w:w="4824" w:type="dxa"/>
            <w:vAlign w:val="center"/>
          </w:tcPr>
          <w:p w14:paraId="3B4FC3CD"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 xml:space="preserve">Train colleagues in product knowledge, inclusive service, styling suggestions and customer assistance. Reward teams </w:t>
            </w:r>
            <w:proofErr w:type="gramStart"/>
            <w:r w:rsidRPr="0061471E">
              <w:rPr>
                <w:rFonts w:cs="Arial"/>
                <w:bCs/>
                <w:color w:val="000000" w:themeColor="text1"/>
                <w:sz w:val="28"/>
                <w:szCs w:val="28"/>
              </w:rPr>
              <w:t>for</w:t>
            </w:r>
            <w:proofErr w:type="gramEnd"/>
            <w:r w:rsidRPr="0061471E">
              <w:rPr>
                <w:rFonts w:cs="Arial"/>
                <w:bCs/>
                <w:color w:val="000000" w:themeColor="text1"/>
                <w:sz w:val="28"/>
                <w:szCs w:val="28"/>
              </w:rPr>
              <w:t xml:space="preserve"> customer experience, availability and sales productivity. Staff should explain sustainability claims accurately.</w:t>
            </w:r>
          </w:p>
        </w:tc>
      </w:tr>
      <w:tr w:rsidR="00113FED" w:rsidRPr="0061471E" w14:paraId="620DBEC5" w14:textId="77777777">
        <w:trPr>
          <w:jc w:val="center"/>
        </w:trPr>
        <w:tc>
          <w:tcPr>
            <w:tcW w:w="4824" w:type="dxa"/>
            <w:vAlign w:val="center"/>
          </w:tcPr>
          <w:p w14:paraId="60C8CF69"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Process</w:t>
            </w:r>
          </w:p>
        </w:tc>
        <w:tc>
          <w:tcPr>
            <w:tcW w:w="4824" w:type="dxa"/>
            <w:vAlign w:val="center"/>
          </w:tcPr>
          <w:p w14:paraId="12C9C816"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 xml:space="preserve">Simplify navigation, reduce queues, improve replenishment and use data to identify fast-selling sizes and products. Establish a weekly </w:t>
            </w:r>
            <w:proofErr w:type="gramStart"/>
            <w:r w:rsidRPr="0061471E">
              <w:rPr>
                <w:rFonts w:cs="Arial"/>
                <w:bCs/>
                <w:color w:val="000000" w:themeColor="text1"/>
                <w:sz w:val="28"/>
                <w:szCs w:val="28"/>
              </w:rPr>
              <w:t>marketing-performance</w:t>
            </w:r>
            <w:proofErr w:type="gramEnd"/>
            <w:r w:rsidRPr="0061471E">
              <w:rPr>
                <w:rFonts w:cs="Arial"/>
                <w:bCs/>
                <w:color w:val="000000" w:themeColor="text1"/>
                <w:sz w:val="28"/>
                <w:szCs w:val="28"/>
              </w:rPr>
              <w:t xml:space="preserve"> cycle linking campaign data with store sales. Customer feedback should </w:t>
            </w:r>
            <w:proofErr w:type="gramStart"/>
            <w:r w:rsidRPr="0061471E">
              <w:rPr>
                <w:rFonts w:cs="Arial"/>
                <w:bCs/>
                <w:color w:val="000000" w:themeColor="text1"/>
                <w:sz w:val="28"/>
                <w:szCs w:val="28"/>
              </w:rPr>
              <w:t>feed</w:t>
            </w:r>
            <w:proofErr w:type="gramEnd"/>
            <w:r w:rsidRPr="0061471E">
              <w:rPr>
                <w:rFonts w:cs="Arial"/>
                <w:bCs/>
                <w:color w:val="000000" w:themeColor="text1"/>
                <w:sz w:val="28"/>
                <w:szCs w:val="28"/>
              </w:rPr>
              <w:t xml:space="preserve"> </w:t>
            </w:r>
            <w:proofErr w:type="gramStart"/>
            <w:r w:rsidRPr="0061471E">
              <w:rPr>
                <w:rFonts w:cs="Arial"/>
                <w:bCs/>
                <w:color w:val="000000" w:themeColor="text1"/>
                <w:sz w:val="28"/>
                <w:szCs w:val="28"/>
              </w:rPr>
              <w:t>into</w:t>
            </w:r>
            <w:proofErr w:type="gramEnd"/>
            <w:r w:rsidRPr="0061471E">
              <w:rPr>
                <w:rFonts w:cs="Arial"/>
                <w:bCs/>
                <w:color w:val="000000" w:themeColor="text1"/>
                <w:sz w:val="28"/>
                <w:szCs w:val="28"/>
              </w:rPr>
              <w:t xml:space="preserve"> merchandising and service decisions.</w:t>
            </w:r>
          </w:p>
        </w:tc>
      </w:tr>
      <w:tr w:rsidR="00113FED" w:rsidRPr="0061471E" w14:paraId="14E4B002" w14:textId="77777777">
        <w:trPr>
          <w:jc w:val="center"/>
        </w:trPr>
        <w:tc>
          <w:tcPr>
            <w:tcW w:w="4824" w:type="dxa"/>
            <w:vAlign w:val="center"/>
          </w:tcPr>
          <w:p w14:paraId="445C700C"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Physical evidence</w:t>
            </w:r>
          </w:p>
        </w:tc>
        <w:tc>
          <w:tcPr>
            <w:tcW w:w="4824" w:type="dxa"/>
            <w:vAlign w:val="center"/>
          </w:tcPr>
          <w:p w14:paraId="29434617"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 xml:space="preserve">Make stores easier to shop through outfit zones, clear price communication, seasonal focal points and visible sustainability information. Use accessible layouts and signage. Consistent visual </w:t>
            </w:r>
            <w:r w:rsidRPr="0061471E">
              <w:rPr>
                <w:rFonts w:cs="Arial"/>
                <w:bCs/>
                <w:color w:val="000000" w:themeColor="text1"/>
                <w:sz w:val="28"/>
                <w:szCs w:val="28"/>
              </w:rPr>
              <w:lastRenderedPageBreak/>
              <w:t>merchandising should reinforce 'value + style + choice'.</w:t>
            </w:r>
          </w:p>
        </w:tc>
      </w:tr>
    </w:tbl>
    <w:p w14:paraId="2440F36D" w14:textId="77777777" w:rsidR="00113FED" w:rsidRPr="0061471E" w:rsidRDefault="00000000">
      <w:pPr>
        <w:pStyle w:val="Heading1"/>
        <w:rPr>
          <w:rFonts w:ascii="Arial" w:hAnsi="Arial" w:cs="Arial"/>
          <w:b w:val="0"/>
          <w:color w:val="000000" w:themeColor="text1"/>
          <w:sz w:val="28"/>
        </w:rPr>
      </w:pPr>
      <w:r w:rsidRPr="0061471E">
        <w:rPr>
          <w:rFonts w:ascii="Arial" w:hAnsi="Arial" w:cs="Arial"/>
          <w:b w:val="0"/>
          <w:color w:val="000000" w:themeColor="text1"/>
          <w:sz w:val="28"/>
        </w:rPr>
        <w:lastRenderedPageBreak/>
        <w:t>5. Implementation and Control</w:t>
      </w:r>
    </w:p>
    <w:p w14:paraId="6AC76700" w14:textId="77777777" w:rsidR="00113FED" w:rsidRPr="0061471E" w:rsidRDefault="00000000">
      <w:pPr>
        <w:pStyle w:val="Heading2"/>
        <w:rPr>
          <w:rFonts w:ascii="Arial" w:hAnsi="Arial" w:cs="Arial"/>
          <w:b w:val="0"/>
          <w:color w:val="000000" w:themeColor="text1"/>
          <w:sz w:val="28"/>
          <w:szCs w:val="28"/>
        </w:rPr>
      </w:pPr>
      <w:r w:rsidRPr="0061471E">
        <w:rPr>
          <w:rFonts w:ascii="Arial" w:hAnsi="Arial" w:cs="Arial"/>
          <w:b w:val="0"/>
          <w:color w:val="000000" w:themeColor="text1"/>
          <w:sz w:val="28"/>
          <w:szCs w:val="28"/>
        </w:rPr>
        <w:t>5.1 Implementation Plan</w:t>
      </w:r>
    </w:p>
    <w:p w14:paraId="7EC752FF"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The marketing plan should be implemented over 12 months in four phases. Phase 1 (months 1–2) establishes baseline metrics, customer segments, creative assets, pilot stores and staff training. Phase 2 (months 3–5) launches the campaign in selected stores and digital channels. Phase 3 (months 6–9) scales the highest-performing content, products and store practices nationally. Phase 4 (months 10–12) evaluates performance, refines the proposition and sets the following year's priorities.</w:t>
      </w:r>
    </w:p>
    <w:tbl>
      <w:tblPr>
        <w:tblStyle w:val="TableGrid"/>
        <w:tblW w:w="0" w:type="auto"/>
        <w:jc w:val="center"/>
        <w:tblLook w:val="04A0" w:firstRow="1" w:lastRow="0" w:firstColumn="1" w:lastColumn="0" w:noHBand="0" w:noVBand="1"/>
      </w:tblPr>
      <w:tblGrid>
        <w:gridCol w:w="3216"/>
        <w:gridCol w:w="3216"/>
        <w:gridCol w:w="3216"/>
      </w:tblGrid>
      <w:tr w:rsidR="00113FED" w:rsidRPr="0061471E" w14:paraId="4F1B6E01" w14:textId="77777777">
        <w:trPr>
          <w:jc w:val="center"/>
        </w:trPr>
        <w:tc>
          <w:tcPr>
            <w:tcW w:w="3216" w:type="dxa"/>
            <w:shd w:val="clear" w:color="auto" w:fill="D9EAF7"/>
            <w:vAlign w:val="center"/>
          </w:tcPr>
          <w:p w14:paraId="3FC80556"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Period</w:t>
            </w:r>
          </w:p>
        </w:tc>
        <w:tc>
          <w:tcPr>
            <w:tcW w:w="3216" w:type="dxa"/>
            <w:shd w:val="clear" w:color="auto" w:fill="D9EAF7"/>
            <w:vAlign w:val="center"/>
          </w:tcPr>
          <w:p w14:paraId="77818217"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Actions</w:t>
            </w:r>
          </w:p>
        </w:tc>
        <w:tc>
          <w:tcPr>
            <w:tcW w:w="3216" w:type="dxa"/>
            <w:shd w:val="clear" w:color="auto" w:fill="D9EAF7"/>
            <w:vAlign w:val="center"/>
          </w:tcPr>
          <w:p w14:paraId="3E68A1FE"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Lead responsibility</w:t>
            </w:r>
          </w:p>
        </w:tc>
      </w:tr>
      <w:tr w:rsidR="00113FED" w:rsidRPr="0061471E" w14:paraId="481D8E52" w14:textId="77777777">
        <w:trPr>
          <w:jc w:val="center"/>
        </w:trPr>
        <w:tc>
          <w:tcPr>
            <w:tcW w:w="3216" w:type="dxa"/>
            <w:vAlign w:val="center"/>
          </w:tcPr>
          <w:p w14:paraId="6A58094F"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Months 1–2</w:t>
            </w:r>
          </w:p>
        </w:tc>
        <w:tc>
          <w:tcPr>
            <w:tcW w:w="3216" w:type="dxa"/>
            <w:vAlign w:val="center"/>
          </w:tcPr>
          <w:p w14:paraId="4E69F995"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Research, baseline KPIs, audience definition, creator selection, staff training and pilot stores</w:t>
            </w:r>
          </w:p>
        </w:tc>
        <w:tc>
          <w:tcPr>
            <w:tcW w:w="3216" w:type="dxa"/>
            <w:vAlign w:val="center"/>
          </w:tcPr>
          <w:p w14:paraId="5298B9D2"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Marketing; Customer Insights; Store Operations</w:t>
            </w:r>
          </w:p>
        </w:tc>
      </w:tr>
      <w:tr w:rsidR="00113FED" w:rsidRPr="0061471E" w14:paraId="6ABEAB0F" w14:textId="77777777">
        <w:trPr>
          <w:jc w:val="center"/>
        </w:trPr>
        <w:tc>
          <w:tcPr>
            <w:tcW w:w="3216" w:type="dxa"/>
            <w:vAlign w:val="center"/>
          </w:tcPr>
          <w:p w14:paraId="30E9C23F"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Months 3–5</w:t>
            </w:r>
          </w:p>
        </w:tc>
        <w:tc>
          <w:tcPr>
            <w:tcW w:w="3216" w:type="dxa"/>
            <w:vAlign w:val="center"/>
          </w:tcPr>
          <w:p w14:paraId="12CDB84A"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Launch integrated campaign; test content, bundles and store merchandising</w:t>
            </w:r>
          </w:p>
        </w:tc>
        <w:tc>
          <w:tcPr>
            <w:tcW w:w="3216" w:type="dxa"/>
            <w:vAlign w:val="center"/>
          </w:tcPr>
          <w:p w14:paraId="7923BAB5"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Marketing; Digital; Merchandising; Pilot Store Managers</w:t>
            </w:r>
          </w:p>
        </w:tc>
      </w:tr>
      <w:tr w:rsidR="00113FED" w:rsidRPr="0061471E" w14:paraId="523C14F9" w14:textId="77777777">
        <w:trPr>
          <w:jc w:val="center"/>
        </w:trPr>
        <w:tc>
          <w:tcPr>
            <w:tcW w:w="3216" w:type="dxa"/>
            <w:vAlign w:val="center"/>
          </w:tcPr>
          <w:p w14:paraId="2FB561A6"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Months 6–9</w:t>
            </w:r>
          </w:p>
        </w:tc>
        <w:tc>
          <w:tcPr>
            <w:tcW w:w="3216" w:type="dxa"/>
            <w:vAlign w:val="center"/>
          </w:tcPr>
          <w:p w14:paraId="5C6FF92A"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Scale successful activity; optimise media and stock; expand creator/customer content</w:t>
            </w:r>
          </w:p>
        </w:tc>
        <w:tc>
          <w:tcPr>
            <w:tcW w:w="3216" w:type="dxa"/>
            <w:vAlign w:val="center"/>
          </w:tcPr>
          <w:p w14:paraId="4EB6B49F"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Marketing; Trading; Supply Chain; Operations</w:t>
            </w:r>
          </w:p>
        </w:tc>
      </w:tr>
      <w:tr w:rsidR="00113FED" w:rsidRPr="0061471E" w14:paraId="08F97F08" w14:textId="77777777">
        <w:trPr>
          <w:jc w:val="center"/>
        </w:trPr>
        <w:tc>
          <w:tcPr>
            <w:tcW w:w="3216" w:type="dxa"/>
            <w:vAlign w:val="center"/>
          </w:tcPr>
          <w:p w14:paraId="65FD6CCC"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Months 10–12</w:t>
            </w:r>
          </w:p>
        </w:tc>
        <w:tc>
          <w:tcPr>
            <w:tcW w:w="3216" w:type="dxa"/>
            <w:vAlign w:val="center"/>
          </w:tcPr>
          <w:p w14:paraId="4643ADDE"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Review results; customer research; ROI assessment; next-year planning</w:t>
            </w:r>
          </w:p>
        </w:tc>
        <w:tc>
          <w:tcPr>
            <w:tcW w:w="3216" w:type="dxa"/>
            <w:vAlign w:val="center"/>
          </w:tcPr>
          <w:p w14:paraId="2D71FCBC"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Senior Management; Finance; Marketing; Insights</w:t>
            </w:r>
          </w:p>
        </w:tc>
      </w:tr>
    </w:tbl>
    <w:p w14:paraId="668B1B5D" w14:textId="77777777" w:rsidR="00113FED" w:rsidRPr="0061471E" w:rsidRDefault="00000000">
      <w:pPr>
        <w:pStyle w:val="Heading2"/>
        <w:rPr>
          <w:rFonts w:ascii="Arial" w:hAnsi="Arial" w:cs="Arial"/>
          <w:b w:val="0"/>
          <w:color w:val="000000" w:themeColor="text1"/>
          <w:sz w:val="28"/>
          <w:szCs w:val="28"/>
        </w:rPr>
      </w:pPr>
      <w:r w:rsidRPr="0061471E">
        <w:rPr>
          <w:rFonts w:ascii="Arial" w:hAnsi="Arial" w:cs="Arial"/>
          <w:b w:val="0"/>
          <w:color w:val="000000" w:themeColor="text1"/>
          <w:sz w:val="28"/>
          <w:szCs w:val="28"/>
        </w:rPr>
        <w:t>5.2 Key Performance Indicators (KPIs)</w:t>
      </w:r>
    </w:p>
    <w:tbl>
      <w:tblPr>
        <w:tblStyle w:val="TableGrid"/>
        <w:tblW w:w="0" w:type="auto"/>
        <w:jc w:val="center"/>
        <w:tblLook w:val="04A0" w:firstRow="1" w:lastRow="0" w:firstColumn="1" w:lastColumn="0" w:noHBand="0" w:noVBand="1"/>
      </w:tblPr>
      <w:tblGrid>
        <w:gridCol w:w="3216"/>
        <w:gridCol w:w="3216"/>
        <w:gridCol w:w="3216"/>
      </w:tblGrid>
      <w:tr w:rsidR="00113FED" w:rsidRPr="0061471E" w14:paraId="0CA759BB" w14:textId="77777777">
        <w:trPr>
          <w:jc w:val="center"/>
        </w:trPr>
        <w:tc>
          <w:tcPr>
            <w:tcW w:w="3216" w:type="dxa"/>
            <w:shd w:val="clear" w:color="auto" w:fill="D9EAF7"/>
            <w:vAlign w:val="center"/>
          </w:tcPr>
          <w:p w14:paraId="01A5A73D"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Area</w:t>
            </w:r>
          </w:p>
        </w:tc>
        <w:tc>
          <w:tcPr>
            <w:tcW w:w="3216" w:type="dxa"/>
            <w:shd w:val="clear" w:color="auto" w:fill="D9EAF7"/>
            <w:vAlign w:val="center"/>
          </w:tcPr>
          <w:p w14:paraId="4B0D8A94"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KPI</w:t>
            </w:r>
          </w:p>
        </w:tc>
        <w:tc>
          <w:tcPr>
            <w:tcW w:w="3216" w:type="dxa"/>
            <w:shd w:val="clear" w:color="auto" w:fill="D9EAF7"/>
            <w:vAlign w:val="center"/>
          </w:tcPr>
          <w:p w14:paraId="618A2B2D"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12-month target</w:t>
            </w:r>
          </w:p>
        </w:tc>
      </w:tr>
      <w:tr w:rsidR="00113FED" w:rsidRPr="0061471E" w14:paraId="29B081FE" w14:textId="77777777">
        <w:trPr>
          <w:jc w:val="center"/>
        </w:trPr>
        <w:tc>
          <w:tcPr>
            <w:tcW w:w="3216" w:type="dxa"/>
            <w:vAlign w:val="center"/>
          </w:tcPr>
          <w:p w14:paraId="0B2A227E"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Sales</w:t>
            </w:r>
          </w:p>
        </w:tc>
        <w:tc>
          <w:tcPr>
            <w:tcW w:w="3216" w:type="dxa"/>
            <w:vAlign w:val="center"/>
          </w:tcPr>
          <w:p w14:paraId="6A7A0128"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UK total sales growth</w:t>
            </w:r>
          </w:p>
        </w:tc>
        <w:tc>
          <w:tcPr>
            <w:tcW w:w="3216" w:type="dxa"/>
            <w:vAlign w:val="center"/>
          </w:tcPr>
          <w:p w14:paraId="658B3D03"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Increase year-on-year UK sales by 5%</w:t>
            </w:r>
          </w:p>
        </w:tc>
      </w:tr>
      <w:tr w:rsidR="00113FED" w:rsidRPr="0061471E" w14:paraId="58C48A27" w14:textId="77777777">
        <w:trPr>
          <w:jc w:val="center"/>
        </w:trPr>
        <w:tc>
          <w:tcPr>
            <w:tcW w:w="3216" w:type="dxa"/>
            <w:vAlign w:val="center"/>
          </w:tcPr>
          <w:p w14:paraId="7377C84F"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lastRenderedPageBreak/>
              <w:t>Store productivity</w:t>
            </w:r>
          </w:p>
        </w:tc>
        <w:tc>
          <w:tcPr>
            <w:tcW w:w="3216" w:type="dxa"/>
            <w:vAlign w:val="center"/>
          </w:tcPr>
          <w:p w14:paraId="554C7323"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Sales per square foot</w:t>
            </w:r>
          </w:p>
        </w:tc>
        <w:tc>
          <w:tcPr>
            <w:tcW w:w="3216" w:type="dxa"/>
            <w:vAlign w:val="center"/>
          </w:tcPr>
          <w:p w14:paraId="70E9EA0B"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Increase by 4% in pilot stores and track national trend</w:t>
            </w:r>
          </w:p>
        </w:tc>
      </w:tr>
      <w:tr w:rsidR="00113FED" w:rsidRPr="0061471E" w14:paraId="45156AD9" w14:textId="77777777">
        <w:trPr>
          <w:jc w:val="center"/>
        </w:trPr>
        <w:tc>
          <w:tcPr>
            <w:tcW w:w="3216" w:type="dxa"/>
            <w:vAlign w:val="center"/>
          </w:tcPr>
          <w:p w14:paraId="06F4D236"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Customer</w:t>
            </w:r>
          </w:p>
        </w:tc>
        <w:tc>
          <w:tcPr>
            <w:tcW w:w="3216" w:type="dxa"/>
            <w:vAlign w:val="center"/>
          </w:tcPr>
          <w:p w14:paraId="79312580"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Average transaction value</w:t>
            </w:r>
          </w:p>
        </w:tc>
        <w:tc>
          <w:tcPr>
            <w:tcW w:w="3216" w:type="dxa"/>
            <w:vAlign w:val="center"/>
          </w:tcPr>
          <w:p w14:paraId="6D788F11"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Increase by 5% through cross-selling and coordinated ranges</w:t>
            </w:r>
          </w:p>
        </w:tc>
      </w:tr>
      <w:tr w:rsidR="00113FED" w:rsidRPr="0061471E" w14:paraId="4CE720FD" w14:textId="77777777">
        <w:trPr>
          <w:jc w:val="center"/>
        </w:trPr>
        <w:tc>
          <w:tcPr>
            <w:tcW w:w="3216" w:type="dxa"/>
            <w:vAlign w:val="center"/>
          </w:tcPr>
          <w:p w14:paraId="61B0E16B"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Customer</w:t>
            </w:r>
          </w:p>
        </w:tc>
        <w:tc>
          <w:tcPr>
            <w:tcW w:w="3216" w:type="dxa"/>
            <w:vAlign w:val="center"/>
          </w:tcPr>
          <w:p w14:paraId="59C4B6DD"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Repeat visit rate</w:t>
            </w:r>
          </w:p>
        </w:tc>
        <w:tc>
          <w:tcPr>
            <w:tcW w:w="3216" w:type="dxa"/>
            <w:vAlign w:val="center"/>
          </w:tcPr>
          <w:p w14:paraId="6AA812D3"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Increase by 5 percentage points among identified CRM audiences</w:t>
            </w:r>
          </w:p>
        </w:tc>
      </w:tr>
      <w:tr w:rsidR="00113FED" w:rsidRPr="0061471E" w14:paraId="436470BF" w14:textId="77777777">
        <w:trPr>
          <w:jc w:val="center"/>
        </w:trPr>
        <w:tc>
          <w:tcPr>
            <w:tcW w:w="3216" w:type="dxa"/>
            <w:vAlign w:val="center"/>
          </w:tcPr>
          <w:p w14:paraId="59E958CF"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Digital</w:t>
            </w:r>
          </w:p>
        </w:tc>
        <w:tc>
          <w:tcPr>
            <w:tcW w:w="3216" w:type="dxa"/>
            <w:vAlign w:val="center"/>
          </w:tcPr>
          <w:p w14:paraId="6800E14D"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Campaign-to-store action</w:t>
            </w:r>
          </w:p>
        </w:tc>
        <w:tc>
          <w:tcPr>
            <w:tcW w:w="3216" w:type="dxa"/>
            <w:vAlign w:val="center"/>
          </w:tcPr>
          <w:p w14:paraId="04D03A97"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Increase measurable store-direction, product-search or offer interactions by 20%</w:t>
            </w:r>
          </w:p>
        </w:tc>
      </w:tr>
      <w:tr w:rsidR="00113FED" w:rsidRPr="0061471E" w14:paraId="10ECFD63" w14:textId="77777777">
        <w:trPr>
          <w:jc w:val="center"/>
        </w:trPr>
        <w:tc>
          <w:tcPr>
            <w:tcW w:w="3216" w:type="dxa"/>
            <w:vAlign w:val="center"/>
          </w:tcPr>
          <w:p w14:paraId="7F462A92"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Marketing</w:t>
            </w:r>
          </w:p>
        </w:tc>
        <w:tc>
          <w:tcPr>
            <w:tcW w:w="3216" w:type="dxa"/>
            <w:vAlign w:val="center"/>
          </w:tcPr>
          <w:p w14:paraId="41DC256A"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Return on marketing investment</w:t>
            </w:r>
          </w:p>
        </w:tc>
        <w:tc>
          <w:tcPr>
            <w:tcW w:w="3216" w:type="dxa"/>
            <w:vAlign w:val="center"/>
          </w:tcPr>
          <w:p w14:paraId="35942F72"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Positive incremental sales contribution against campaign cost</w:t>
            </w:r>
          </w:p>
        </w:tc>
      </w:tr>
      <w:tr w:rsidR="00113FED" w:rsidRPr="0061471E" w14:paraId="1F849DC8" w14:textId="77777777">
        <w:trPr>
          <w:jc w:val="center"/>
        </w:trPr>
        <w:tc>
          <w:tcPr>
            <w:tcW w:w="3216" w:type="dxa"/>
            <w:vAlign w:val="center"/>
          </w:tcPr>
          <w:p w14:paraId="6EC171B0"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Sustainability</w:t>
            </w:r>
          </w:p>
        </w:tc>
        <w:tc>
          <w:tcPr>
            <w:tcW w:w="3216" w:type="dxa"/>
            <w:vAlign w:val="center"/>
          </w:tcPr>
          <w:p w14:paraId="0E336C05"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Share of clothing using recycled/more sustainable fibres</w:t>
            </w:r>
          </w:p>
        </w:tc>
        <w:tc>
          <w:tcPr>
            <w:tcW w:w="3216" w:type="dxa"/>
            <w:vAlign w:val="center"/>
          </w:tcPr>
          <w:p w14:paraId="65C3B1B0"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Maintain progress toward 2030 commitment and report transparently</w:t>
            </w:r>
          </w:p>
        </w:tc>
      </w:tr>
      <w:tr w:rsidR="00113FED" w:rsidRPr="0061471E" w14:paraId="0502AE73" w14:textId="77777777">
        <w:trPr>
          <w:jc w:val="center"/>
        </w:trPr>
        <w:tc>
          <w:tcPr>
            <w:tcW w:w="3216" w:type="dxa"/>
            <w:vAlign w:val="center"/>
          </w:tcPr>
          <w:p w14:paraId="3DA5CA43"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People</w:t>
            </w:r>
          </w:p>
        </w:tc>
        <w:tc>
          <w:tcPr>
            <w:tcW w:w="3216" w:type="dxa"/>
            <w:vAlign w:val="center"/>
          </w:tcPr>
          <w:p w14:paraId="1C4D468E"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Customer-service training completion</w:t>
            </w:r>
          </w:p>
        </w:tc>
        <w:tc>
          <w:tcPr>
            <w:tcW w:w="3216" w:type="dxa"/>
            <w:vAlign w:val="center"/>
          </w:tcPr>
          <w:p w14:paraId="5B9883BC"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At least 95% of relevant colleagues complete training</w:t>
            </w:r>
          </w:p>
        </w:tc>
      </w:tr>
    </w:tbl>
    <w:p w14:paraId="52EB1B83" w14:textId="77777777" w:rsidR="00113FED" w:rsidRPr="0061471E" w:rsidRDefault="00000000">
      <w:pPr>
        <w:pStyle w:val="Heading2"/>
        <w:rPr>
          <w:rFonts w:ascii="Arial" w:hAnsi="Arial" w:cs="Arial"/>
          <w:b w:val="0"/>
          <w:color w:val="000000" w:themeColor="text1"/>
          <w:sz w:val="28"/>
          <w:szCs w:val="28"/>
        </w:rPr>
      </w:pPr>
      <w:r w:rsidRPr="0061471E">
        <w:rPr>
          <w:rFonts w:ascii="Arial" w:hAnsi="Arial" w:cs="Arial"/>
          <w:b w:val="0"/>
          <w:color w:val="000000" w:themeColor="text1"/>
          <w:sz w:val="28"/>
          <w:szCs w:val="28"/>
        </w:rPr>
        <w:t>5.3 Balanced Scorecard</w:t>
      </w:r>
    </w:p>
    <w:tbl>
      <w:tblPr>
        <w:tblStyle w:val="TableGrid"/>
        <w:tblW w:w="0" w:type="auto"/>
        <w:jc w:val="center"/>
        <w:tblLook w:val="04A0" w:firstRow="1" w:lastRow="0" w:firstColumn="1" w:lastColumn="0" w:noHBand="0" w:noVBand="1"/>
      </w:tblPr>
      <w:tblGrid>
        <w:gridCol w:w="3216"/>
        <w:gridCol w:w="3216"/>
        <w:gridCol w:w="3216"/>
      </w:tblGrid>
      <w:tr w:rsidR="00113FED" w:rsidRPr="0061471E" w14:paraId="713D81CB" w14:textId="77777777">
        <w:trPr>
          <w:jc w:val="center"/>
        </w:trPr>
        <w:tc>
          <w:tcPr>
            <w:tcW w:w="3216" w:type="dxa"/>
            <w:shd w:val="clear" w:color="auto" w:fill="D9EAF7"/>
            <w:vAlign w:val="center"/>
          </w:tcPr>
          <w:p w14:paraId="208B511A"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Perspective</w:t>
            </w:r>
          </w:p>
        </w:tc>
        <w:tc>
          <w:tcPr>
            <w:tcW w:w="3216" w:type="dxa"/>
            <w:shd w:val="clear" w:color="auto" w:fill="D9EAF7"/>
            <w:vAlign w:val="center"/>
          </w:tcPr>
          <w:p w14:paraId="1BB30420"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Measures</w:t>
            </w:r>
          </w:p>
        </w:tc>
        <w:tc>
          <w:tcPr>
            <w:tcW w:w="3216" w:type="dxa"/>
            <w:shd w:val="clear" w:color="auto" w:fill="D9EAF7"/>
            <w:vAlign w:val="center"/>
          </w:tcPr>
          <w:p w14:paraId="3DB20383"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Control frequency</w:t>
            </w:r>
          </w:p>
        </w:tc>
      </w:tr>
      <w:tr w:rsidR="00113FED" w:rsidRPr="0061471E" w14:paraId="6EC858BC" w14:textId="77777777">
        <w:trPr>
          <w:jc w:val="center"/>
        </w:trPr>
        <w:tc>
          <w:tcPr>
            <w:tcW w:w="3216" w:type="dxa"/>
            <w:vAlign w:val="center"/>
          </w:tcPr>
          <w:p w14:paraId="5FA93457"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Financial</w:t>
            </w:r>
          </w:p>
        </w:tc>
        <w:tc>
          <w:tcPr>
            <w:tcW w:w="3216" w:type="dxa"/>
            <w:vAlign w:val="center"/>
          </w:tcPr>
          <w:p w14:paraId="7949E783"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Revenue growth; like-for-like sales; sales per square foot; average transaction value; campaign ROI</w:t>
            </w:r>
          </w:p>
        </w:tc>
        <w:tc>
          <w:tcPr>
            <w:tcW w:w="3216" w:type="dxa"/>
            <w:vAlign w:val="center"/>
          </w:tcPr>
          <w:p w14:paraId="23437ABD"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Monthly and quarterly trading reviews</w:t>
            </w:r>
          </w:p>
        </w:tc>
      </w:tr>
      <w:tr w:rsidR="00113FED" w:rsidRPr="0061471E" w14:paraId="1CCDE702" w14:textId="77777777">
        <w:trPr>
          <w:jc w:val="center"/>
        </w:trPr>
        <w:tc>
          <w:tcPr>
            <w:tcW w:w="3216" w:type="dxa"/>
            <w:vAlign w:val="center"/>
          </w:tcPr>
          <w:p w14:paraId="1701075B"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Customer</w:t>
            </w:r>
          </w:p>
        </w:tc>
        <w:tc>
          <w:tcPr>
            <w:tcW w:w="3216" w:type="dxa"/>
            <w:vAlign w:val="center"/>
          </w:tcPr>
          <w:p w14:paraId="1D83E6A2"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Customer satisfaction; repeat visits; conversion; basket size; brand/value perception</w:t>
            </w:r>
          </w:p>
        </w:tc>
        <w:tc>
          <w:tcPr>
            <w:tcW w:w="3216" w:type="dxa"/>
            <w:vAlign w:val="center"/>
          </w:tcPr>
          <w:p w14:paraId="68338DA5"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Monthly dashboard and quarterly customer research</w:t>
            </w:r>
          </w:p>
        </w:tc>
      </w:tr>
      <w:tr w:rsidR="00113FED" w:rsidRPr="0061471E" w14:paraId="3EA36921" w14:textId="77777777">
        <w:trPr>
          <w:jc w:val="center"/>
        </w:trPr>
        <w:tc>
          <w:tcPr>
            <w:tcW w:w="3216" w:type="dxa"/>
            <w:vAlign w:val="center"/>
          </w:tcPr>
          <w:p w14:paraId="2223F911"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Internal process</w:t>
            </w:r>
          </w:p>
        </w:tc>
        <w:tc>
          <w:tcPr>
            <w:tcW w:w="3216" w:type="dxa"/>
            <w:vAlign w:val="center"/>
          </w:tcPr>
          <w:p w14:paraId="5916C3A3"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 xml:space="preserve">Stock availability; queue time; </w:t>
            </w:r>
            <w:r w:rsidRPr="0061471E">
              <w:rPr>
                <w:rFonts w:cs="Arial"/>
                <w:bCs/>
                <w:color w:val="000000" w:themeColor="text1"/>
                <w:sz w:val="28"/>
                <w:szCs w:val="28"/>
              </w:rPr>
              <w:lastRenderedPageBreak/>
              <w:t>replenishment accuracy; campaign execution; store standards</w:t>
            </w:r>
          </w:p>
        </w:tc>
        <w:tc>
          <w:tcPr>
            <w:tcW w:w="3216" w:type="dxa"/>
            <w:vAlign w:val="center"/>
          </w:tcPr>
          <w:p w14:paraId="595C2279"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lastRenderedPageBreak/>
              <w:t xml:space="preserve">Weekly operational </w:t>
            </w:r>
            <w:r w:rsidRPr="0061471E">
              <w:rPr>
                <w:rFonts w:cs="Arial"/>
                <w:bCs/>
                <w:color w:val="000000" w:themeColor="text1"/>
                <w:sz w:val="28"/>
                <w:szCs w:val="28"/>
              </w:rPr>
              <w:lastRenderedPageBreak/>
              <w:t>reporting</w:t>
            </w:r>
          </w:p>
        </w:tc>
      </w:tr>
      <w:tr w:rsidR="00113FED" w:rsidRPr="0061471E" w14:paraId="68CB7B72" w14:textId="77777777">
        <w:trPr>
          <w:jc w:val="center"/>
        </w:trPr>
        <w:tc>
          <w:tcPr>
            <w:tcW w:w="3216" w:type="dxa"/>
            <w:vAlign w:val="center"/>
          </w:tcPr>
          <w:p w14:paraId="1E04E36B"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lastRenderedPageBreak/>
              <w:t>Learning and growth</w:t>
            </w:r>
          </w:p>
        </w:tc>
        <w:tc>
          <w:tcPr>
            <w:tcW w:w="3216" w:type="dxa"/>
            <w:vAlign w:val="center"/>
          </w:tcPr>
          <w:p w14:paraId="3C953DD6"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Training completion; employee engagement; digital capability; innovation tests</w:t>
            </w:r>
          </w:p>
        </w:tc>
        <w:tc>
          <w:tcPr>
            <w:tcW w:w="3216" w:type="dxa"/>
            <w:vAlign w:val="center"/>
          </w:tcPr>
          <w:p w14:paraId="44721CE6"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Quarterly people and capability review</w:t>
            </w:r>
          </w:p>
        </w:tc>
      </w:tr>
    </w:tbl>
    <w:p w14:paraId="614BA0B9"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Control should use a test-and-learn approach. A small number of stores should act as pilots, with comparable stores used where possible as benchmarks. Campaigns should be assessed against pre-campaign baselines rather than simply social-media engagement. If a campaign generates high engagement but no measurable sales or store conversion, the creative or targeting should be changed. Products or messages producing higher basket values should receive additional merchandising and media support.</w:t>
      </w:r>
    </w:p>
    <w:p w14:paraId="2D61D105" w14:textId="77777777" w:rsidR="00113FED" w:rsidRPr="0061471E" w:rsidRDefault="00000000">
      <w:pPr>
        <w:pStyle w:val="Heading1"/>
        <w:rPr>
          <w:rFonts w:ascii="Arial" w:hAnsi="Arial" w:cs="Arial"/>
          <w:b w:val="0"/>
          <w:color w:val="000000" w:themeColor="text1"/>
          <w:sz w:val="28"/>
        </w:rPr>
      </w:pPr>
      <w:r w:rsidRPr="0061471E">
        <w:rPr>
          <w:rFonts w:ascii="Arial" w:hAnsi="Arial" w:cs="Arial"/>
          <w:b w:val="0"/>
          <w:color w:val="000000" w:themeColor="text1"/>
          <w:sz w:val="28"/>
        </w:rPr>
        <w:t>6. Conclusion</w:t>
      </w:r>
    </w:p>
    <w:p w14:paraId="1C9C714E"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The analysis shows that Primark has significant strengths for increasing UK sales: a clear value proposition, strong brand recognition, scale, extensive stores and a broad product range. However, the 2025 UK/Ireland like-for-like sales decline of 3.1% demonstrates that the existing proposition must continue to evolve in a mature and highly competitive market (ABF, 2025). Digital shopping behaviour, rising operating costs, changing expectations about sustainability and the growth of digital-first competitors increase the need for stronger customer engagement.</w:t>
      </w:r>
    </w:p>
    <w:p w14:paraId="38B37190"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The recommended strategy is to increase the value generated from existing UK customers rather than relying mainly on store expansion. Primark should prioritise digitally engaged value-conscious younger consumers alongside families and essentials shoppers, while maintaining broad accessibility. The brand should position itself around value, style and choice, supported by evidence of quality, durability, inclusion and responsible production.</w:t>
      </w:r>
    </w:p>
    <w:p w14:paraId="57186BF1"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 xml:space="preserve">Five recommendations follow. First, build an integrated digital-to-store customer journey using social content, creators, location-based advertising and product discovery. Second, increase basket size through coordinated outfit merchandising, beauty/accessory cross-selling and carefully designed </w:t>
      </w:r>
      <w:r w:rsidRPr="0061471E">
        <w:rPr>
          <w:rFonts w:cs="Arial"/>
          <w:bCs/>
          <w:color w:val="000000" w:themeColor="text1"/>
          <w:sz w:val="28"/>
          <w:szCs w:val="28"/>
        </w:rPr>
        <w:lastRenderedPageBreak/>
        <w:t>bundles. Third, strengthen inclusive and sustainable product development, building on Primark's existing Primark Cares commitments and adaptive-fashion work. Fourth, improve store productivity through better navigation, stock availability, staff training and customer service. Fifth, introduce disciplined KPI and balanced-scorecard control so marketing investment is linked to incremental sales, customer behaviour and long-term brand value.</w:t>
      </w:r>
    </w:p>
    <w:p w14:paraId="5EF1D317" w14:textId="77777777" w:rsidR="00113FED" w:rsidRPr="0061471E" w:rsidRDefault="00000000">
      <w:pPr>
        <w:rPr>
          <w:rFonts w:cs="Arial"/>
          <w:bCs/>
          <w:color w:val="000000" w:themeColor="text1"/>
          <w:sz w:val="28"/>
          <w:szCs w:val="28"/>
        </w:rPr>
      </w:pPr>
      <w:r w:rsidRPr="0061471E">
        <w:rPr>
          <w:rFonts w:cs="Arial"/>
          <w:bCs/>
          <w:color w:val="000000" w:themeColor="text1"/>
          <w:sz w:val="28"/>
          <w:szCs w:val="28"/>
        </w:rPr>
        <w:t>Overall, the proposed plan protects Primark's core competitive advantage—affordable fashion—while broadening the meaning of value. Connecting price with style, quality, accessibility, sustainability and a stronger digital customer experience can create additional reasons for UK consumers to visit, purchase more and return.</w:t>
      </w:r>
    </w:p>
    <w:p w14:paraId="7E3C11B0" w14:textId="77777777" w:rsidR="00113FED" w:rsidRPr="0061471E" w:rsidRDefault="00000000">
      <w:pPr>
        <w:pStyle w:val="Heading1"/>
        <w:rPr>
          <w:rFonts w:ascii="Arial" w:hAnsi="Arial" w:cs="Arial"/>
          <w:b w:val="0"/>
          <w:color w:val="000000" w:themeColor="text1"/>
          <w:sz w:val="28"/>
        </w:rPr>
      </w:pPr>
      <w:r w:rsidRPr="0061471E">
        <w:rPr>
          <w:rFonts w:ascii="Arial" w:hAnsi="Arial" w:cs="Arial"/>
          <w:b w:val="0"/>
          <w:color w:val="000000" w:themeColor="text1"/>
          <w:sz w:val="28"/>
        </w:rPr>
        <w:t>7. References</w:t>
      </w:r>
    </w:p>
    <w:p w14:paraId="617F8233" w14:textId="77777777" w:rsidR="00113FED" w:rsidRPr="0061471E" w:rsidRDefault="00000000">
      <w:pPr>
        <w:ind w:left="360" w:hanging="360"/>
        <w:rPr>
          <w:rFonts w:cs="Arial"/>
          <w:bCs/>
          <w:color w:val="000000" w:themeColor="text1"/>
          <w:sz w:val="28"/>
          <w:szCs w:val="28"/>
        </w:rPr>
      </w:pPr>
      <w:r w:rsidRPr="0061471E">
        <w:rPr>
          <w:rFonts w:cs="Arial"/>
          <w:bCs/>
          <w:color w:val="000000" w:themeColor="text1"/>
          <w:sz w:val="28"/>
          <w:szCs w:val="28"/>
        </w:rPr>
        <w:t>ABF (Associated British Foods plc) (2025) Annual Report 2025. London: Associated British Foods plc.</w:t>
      </w:r>
    </w:p>
    <w:p w14:paraId="73B2C2B4" w14:textId="77777777" w:rsidR="00113FED" w:rsidRPr="0061471E" w:rsidRDefault="00000000">
      <w:pPr>
        <w:ind w:left="360" w:hanging="360"/>
        <w:rPr>
          <w:rFonts w:cs="Arial"/>
          <w:bCs/>
          <w:color w:val="000000" w:themeColor="text1"/>
          <w:sz w:val="28"/>
          <w:szCs w:val="28"/>
        </w:rPr>
      </w:pPr>
      <w:r w:rsidRPr="0061471E">
        <w:rPr>
          <w:rFonts w:cs="Arial"/>
          <w:bCs/>
          <w:color w:val="000000" w:themeColor="text1"/>
          <w:sz w:val="28"/>
          <w:szCs w:val="28"/>
        </w:rPr>
        <w:t>Low Pay Commission (2026) National Living Wage increases to £12.71 per hour. GOV.UK, 1 April. Available at: https://www.gov.uk/government/news/national-living-wage-increases-to-1271-per-hour (Accessed: 2 October 2026).</w:t>
      </w:r>
    </w:p>
    <w:p w14:paraId="2BE46DFA" w14:textId="77777777" w:rsidR="00113FED" w:rsidRPr="0061471E" w:rsidRDefault="00000000">
      <w:pPr>
        <w:ind w:left="360" w:hanging="360"/>
        <w:rPr>
          <w:rFonts w:cs="Arial"/>
          <w:bCs/>
          <w:color w:val="000000" w:themeColor="text1"/>
          <w:sz w:val="28"/>
          <w:szCs w:val="28"/>
        </w:rPr>
      </w:pPr>
      <w:r w:rsidRPr="0061471E">
        <w:rPr>
          <w:rFonts w:cs="Arial"/>
          <w:bCs/>
          <w:color w:val="000000" w:themeColor="text1"/>
          <w:sz w:val="28"/>
          <w:szCs w:val="28"/>
        </w:rPr>
        <w:t>Office for National Statistics (ONS) (2026a) Internet sales as a percentage of total retail sales (ratio) (%). Retail Sales Index time series. Available at: https://www.ons.gov.uk/businessindustryandtrade/retailindustry/timeseries/j4mc (Accessed: 2 October 2026).</w:t>
      </w:r>
    </w:p>
    <w:p w14:paraId="755BC996" w14:textId="77777777" w:rsidR="00113FED" w:rsidRPr="0061471E" w:rsidRDefault="00000000">
      <w:pPr>
        <w:ind w:left="360" w:hanging="360"/>
        <w:rPr>
          <w:rFonts w:cs="Arial"/>
          <w:bCs/>
          <w:color w:val="000000" w:themeColor="text1"/>
          <w:sz w:val="28"/>
          <w:szCs w:val="28"/>
        </w:rPr>
      </w:pPr>
      <w:r w:rsidRPr="0061471E">
        <w:rPr>
          <w:rFonts w:cs="Arial"/>
          <w:bCs/>
          <w:color w:val="000000" w:themeColor="text1"/>
          <w:sz w:val="28"/>
          <w:szCs w:val="28"/>
        </w:rPr>
        <w:t>Office for National Statistics (ONS) (2026b) Retail Sales Index: internet sales. Available at: https://www.ons.gov.uk/businessindustryandtrade/retailindustry/datasets/retailsalesindexinternetsales (Accessed: 2 October 2026).</w:t>
      </w:r>
    </w:p>
    <w:p w14:paraId="5D51816B" w14:textId="77777777" w:rsidR="00113FED" w:rsidRPr="0061471E" w:rsidRDefault="00000000">
      <w:pPr>
        <w:ind w:left="360" w:hanging="360"/>
        <w:rPr>
          <w:rFonts w:cs="Arial"/>
          <w:bCs/>
          <w:color w:val="000000" w:themeColor="text1"/>
          <w:sz w:val="28"/>
          <w:szCs w:val="28"/>
        </w:rPr>
      </w:pPr>
      <w:r w:rsidRPr="0061471E">
        <w:rPr>
          <w:rFonts w:cs="Arial"/>
          <w:bCs/>
          <w:color w:val="000000" w:themeColor="text1"/>
          <w:sz w:val="28"/>
          <w:szCs w:val="28"/>
        </w:rPr>
        <w:t xml:space="preserve">Primark (2024) We're pledging to make adaptive fashion more affordable, and to make our stores and </w:t>
      </w:r>
      <w:proofErr w:type="gramStart"/>
      <w:r w:rsidRPr="0061471E">
        <w:rPr>
          <w:rFonts w:cs="Arial"/>
          <w:bCs/>
          <w:color w:val="000000" w:themeColor="text1"/>
          <w:sz w:val="28"/>
          <w:szCs w:val="28"/>
        </w:rPr>
        <w:t>business</w:t>
      </w:r>
      <w:proofErr w:type="gramEnd"/>
      <w:r w:rsidRPr="0061471E">
        <w:rPr>
          <w:rFonts w:cs="Arial"/>
          <w:bCs/>
          <w:color w:val="000000" w:themeColor="text1"/>
          <w:sz w:val="28"/>
          <w:szCs w:val="28"/>
        </w:rPr>
        <w:t xml:space="preserve"> more accessible. Primark Corporate, 18 January. Available at: https://corporate.primark.com/en-gb/a/news/our-stories/primark-pledges-to-make-adaptive-fashion-more-affordable-and-to-make-our-stores-and-business-more-accessible (Accessed: 2 October 2026).</w:t>
      </w:r>
    </w:p>
    <w:p w14:paraId="1ADEBE84" w14:textId="77777777" w:rsidR="00113FED" w:rsidRPr="0061471E" w:rsidRDefault="00000000">
      <w:pPr>
        <w:ind w:left="360" w:hanging="360"/>
        <w:rPr>
          <w:rFonts w:cs="Arial"/>
          <w:bCs/>
          <w:color w:val="000000" w:themeColor="text1"/>
          <w:sz w:val="28"/>
          <w:szCs w:val="28"/>
        </w:rPr>
      </w:pPr>
      <w:r w:rsidRPr="0061471E">
        <w:rPr>
          <w:rFonts w:cs="Arial"/>
          <w:bCs/>
          <w:color w:val="000000" w:themeColor="text1"/>
          <w:sz w:val="28"/>
          <w:szCs w:val="28"/>
        </w:rPr>
        <w:lastRenderedPageBreak/>
        <w:t>Primark (2025) Primark steps up sustainability progress as it scales up switch to preferred materials and circular design, new impact data shows. Primark Corporate, 27 November. Available at: https://corporate.primark.com/en-gb/a/news/sustainability-and-ethics-news/primark-has-published-its-fourth-sustainability-and-ethics-progress-report (Accessed: 2 October 2026).</w:t>
      </w:r>
    </w:p>
    <w:p w14:paraId="6E3F7CDB" w14:textId="77777777" w:rsidR="00113FED" w:rsidRPr="0061471E" w:rsidRDefault="00000000">
      <w:pPr>
        <w:ind w:left="360" w:hanging="360"/>
        <w:rPr>
          <w:rFonts w:cs="Arial"/>
          <w:bCs/>
          <w:color w:val="000000" w:themeColor="text1"/>
          <w:sz w:val="28"/>
          <w:szCs w:val="28"/>
        </w:rPr>
      </w:pPr>
      <w:r w:rsidRPr="0061471E">
        <w:rPr>
          <w:rFonts w:cs="Arial"/>
          <w:bCs/>
          <w:color w:val="000000" w:themeColor="text1"/>
          <w:sz w:val="28"/>
          <w:szCs w:val="28"/>
        </w:rPr>
        <w:t>Primark (2026a) Who we are. Primark Corporate. Available at: https://corporate.primark.com/en-gb/a/about-us/who-we-are (Accessed: 2 October 2026).</w:t>
      </w:r>
    </w:p>
    <w:p w14:paraId="14A5D286" w14:textId="77777777" w:rsidR="00113FED" w:rsidRPr="0061471E" w:rsidRDefault="00000000">
      <w:pPr>
        <w:ind w:left="360" w:hanging="360"/>
        <w:rPr>
          <w:rFonts w:cs="Arial"/>
          <w:bCs/>
          <w:color w:val="000000" w:themeColor="text1"/>
          <w:sz w:val="28"/>
          <w:szCs w:val="28"/>
        </w:rPr>
      </w:pPr>
      <w:r w:rsidRPr="0061471E">
        <w:rPr>
          <w:rFonts w:cs="Arial"/>
          <w:bCs/>
          <w:color w:val="000000" w:themeColor="text1"/>
          <w:sz w:val="28"/>
          <w:szCs w:val="28"/>
        </w:rPr>
        <w:t>Primark (2026b) Iconic Value: Primark lowers prices across hundreds of favourites. Primark Corporate, 20 July. Available at: https://corporate.primark.com/en-gb/a/news/corporate-news/iconic-value-primark-lowers-prices-across-hundreds-of-favourites (Accessed: 2 October 2026).</w:t>
      </w:r>
    </w:p>
    <w:p w14:paraId="388A26FC" w14:textId="77777777" w:rsidR="00113FED" w:rsidRPr="0061471E" w:rsidRDefault="00000000">
      <w:pPr>
        <w:ind w:left="360" w:hanging="360"/>
        <w:rPr>
          <w:rFonts w:cs="Arial"/>
          <w:bCs/>
          <w:color w:val="000000" w:themeColor="text1"/>
          <w:sz w:val="28"/>
          <w:szCs w:val="28"/>
        </w:rPr>
      </w:pPr>
      <w:r w:rsidRPr="0061471E">
        <w:rPr>
          <w:rFonts w:cs="Arial"/>
          <w:bCs/>
          <w:color w:val="000000" w:themeColor="text1"/>
          <w:sz w:val="28"/>
          <w:szCs w:val="28"/>
        </w:rPr>
        <w:t>Primark (2026c) Our Primark Cares commitments. Primark Corporate. Available at: https://corporate.primark.com/en-gb/a/our-approach/our-primark-cares-commitments (Accessed: 2 October 2026).</w:t>
      </w:r>
    </w:p>
    <w:p w14:paraId="27067641" w14:textId="77777777" w:rsidR="00113FED" w:rsidRPr="0061471E" w:rsidRDefault="00000000">
      <w:pPr>
        <w:ind w:left="360" w:hanging="360"/>
        <w:rPr>
          <w:rFonts w:cs="Arial"/>
          <w:bCs/>
          <w:color w:val="000000" w:themeColor="text1"/>
          <w:sz w:val="28"/>
          <w:szCs w:val="28"/>
        </w:rPr>
      </w:pPr>
      <w:r w:rsidRPr="0061471E">
        <w:rPr>
          <w:rFonts w:cs="Arial"/>
          <w:bCs/>
          <w:color w:val="000000" w:themeColor="text1"/>
          <w:sz w:val="28"/>
          <w:szCs w:val="28"/>
        </w:rPr>
        <w:t>Primark (2026d) Product. Primark Cares. Available at: https://corporate.primark.com/en-gb/a/primark-cares/product/product (Accessed: 2 October 2026).</w:t>
      </w:r>
    </w:p>
    <w:p w14:paraId="3DF353E3" w14:textId="77777777" w:rsidR="00113FED" w:rsidRPr="0061471E" w:rsidRDefault="00000000">
      <w:pPr>
        <w:ind w:left="360" w:hanging="360"/>
        <w:rPr>
          <w:rFonts w:cs="Arial"/>
          <w:bCs/>
          <w:color w:val="000000" w:themeColor="text1"/>
          <w:sz w:val="28"/>
          <w:szCs w:val="28"/>
        </w:rPr>
      </w:pPr>
      <w:r w:rsidRPr="0061471E">
        <w:rPr>
          <w:rFonts w:cs="Arial"/>
          <w:bCs/>
          <w:color w:val="000000" w:themeColor="text1"/>
          <w:sz w:val="28"/>
          <w:szCs w:val="28"/>
        </w:rPr>
        <w:t>Primark (2026e) Protecting our planet. Primark Cares. Available at: https://corporate.primark.com/en-gb/a/primark-cares/our-approach/protecting-our-planet (Accessed: 2 October 2026).</w:t>
      </w:r>
    </w:p>
    <w:sectPr w:rsidR="00113FED" w:rsidRPr="0061471E" w:rsidSect="00034616">
      <w:headerReference w:type="default" r:id="rId8"/>
      <w:footerReference w:type="default" r:id="rId9"/>
      <w:pgSz w:w="12240" w:h="15840"/>
      <w:pgMar w:top="1152" w:right="1296" w:bottom="1152"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1DEDDC" w14:textId="77777777" w:rsidR="002F5D7A" w:rsidRDefault="002F5D7A">
      <w:pPr>
        <w:spacing w:after="0" w:line="240" w:lineRule="auto"/>
      </w:pPr>
      <w:r>
        <w:separator/>
      </w:r>
    </w:p>
  </w:endnote>
  <w:endnote w:type="continuationSeparator" w:id="0">
    <w:p w14:paraId="1FDCC60C" w14:textId="77777777" w:rsidR="002F5D7A" w:rsidRDefault="002F5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F2A1A3" w14:textId="20FD91AE" w:rsidR="00113FED" w:rsidRDefault="00113FE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65759C" w14:textId="77777777" w:rsidR="002F5D7A" w:rsidRDefault="002F5D7A">
      <w:pPr>
        <w:spacing w:after="0" w:line="240" w:lineRule="auto"/>
      </w:pPr>
      <w:r>
        <w:separator/>
      </w:r>
    </w:p>
  </w:footnote>
  <w:footnote w:type="continuationSeparator" w:id="0">
    <w:p w14:paraId="2C676ECB" w14:textId="77777777" w:rsidR="002F5D7A" w:rsidRDefault="002F5D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FFE7AA" w14:textId="2CBFB08D" w:rsidR="00113FED" w:rsidRDefault="00113FED">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69C13FF"/>
    <w:multiLevelType w:val="hybridMultilevel"/>
    <w:tmpl w:val="8F345F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349513">
    <w:abstractNumId w:val="8"/>
  </w:num>
  <w:num w:numId="2" w16cid:durableId="60687189">
    <w:abstractNumId w:val="6"/>
  </w:num>
  <w:num w:numId="3" w16cid:durableId="460152301">
    <w:abstractNumId w:val="5"/>
  </w:num>
  <w:num w:numId="4" w16cid:durableId="558976458">
    <w:abstractNumId w:val="4"/>
  </w:num>
  <w:num w:numId="5" w16cid:durableId="1976064858">
    <w:abstractNumId w:val="7"/>
  </w:num>
  <w:num w:numId="6" w16cid:durableId="1691881186">
    <w:abstractNumId w:val="3"/>
  </w:num>
  <w:num w:numId="7" w16cid:durableId="960646324">
    <w:abstractNumId w:val="2"/>
  </w:num>
  <w:num w:numId="8" w16cid:durableId="105463736">
    <w:abstractNumId w:val="1"/>
  </w:num>
  <w:num w:numId="9" w16cid:durableId="1078402127">
    <w:abstractNumId w:val="0"/>
  </w:num>
  <w:num w:numId="10" w16cid:durableId="163960756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13FED"/>
    <w:rsid w:val="0015074B"/>
    <w:rsid w:val="001B7BD2"/>
    <w:rsid w:val="001E605A"/>
    <w:rsid w:val="0029639D"/>
    <w:rsid w:val="002C3034"/>
    <w:rsid w:val="002F5D7A"/>
    <w:rsid w:val="00326F90"/>
    <w:rsid w:val="00410E52"/>
    <w:rsid w:val="0061471E"/>
    <w:rsid w:val="00624D3D"/>
    <w:rsid w:val="007F6472"/>
    <w:rsid w:val="008C7C8E"/>
    <w:rsid w:val="0098131C"/>
    <w:rsid w:val="009E02E3"/>
    <w:rsid w:val="00AA1D8D"/>
    <w:rsid w:val="00B47730"/>
    <w:rsid w:val="00CB0664"/>
    <w:rsid w:val="00F4194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434B609"/>
  <w14:defaultImageDpi w14:val="300"/>
  <w15:docId w15:val="{354C2FA0-6336-4442-ADE4-EE3DEA9B4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16</Pages>
  <Words>3367</Words>
  <Characters>19195</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22517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HAZIR HUSSAIN</cp:lastModifiedBy>
  <cp:revision>3</cp:revision>
  <dcterms:created xsi:type="dcterms:W3CDTF">2013-12-23T23:15:00Z</dcterms:created>
  <dcterms:modified xsi:type="dcterms:W3CDTF">2026-10-15T09:36:00Z</dcterms:modified>
  <cp:category/>
</cp:coreProperties>
</file>