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957EF" w14:textId="77777777" w:rsidR="00340314" w:rsidRPr="00A90086" w:rsidRDefault="00340314" w:rsidP="00340314">
      <w:pPr>
        <w:spacing w:line="240" w:lineRule="auto"/>
        <w:rPr>
          <w:rFonts w:ascii="Arial" w:hAnsi="Arial" w:cs="Arial"/>
          <w:b/>
          <w:bCs/>
        </w:rPr>
      </w:pPr>
      <w:r w:rsidRPr="00A90086">
        <w:rPr>
          <w:rFonts w:ascii="Arial" w:hAnsi="Arial" w:cs="Arial"/>
          <w:noProof/>
        </w:rPr>
        <w:drawing>
          <wp:anchor distT="0" distB="0" distL="114300" distR="114300" simplePos="0" relativeHeight="251659264" behindDoc="0" locked="0" layoutInCell="1" allowOverlap="1" wp14:anchorId="201D3993" wp14:editId="1C366FE1">
            <wp:simplePos x="0" y="0"/>
            <wp:positionH relativeFrom="column">
              <wp:posOffset>-381000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8DF3721" w14:textId="77777777" w:rsidR="00340314" w:rsidRPr="00A90086" w:rsidRDefault="00340314" w:rsidP="00340314">
      <w:pPr>
        <w:spacing w:line="240" w:lineRule="auto"/>
        <w:rPr>
          <w:rFonts w:ascii="Arial" w:hAnsi="Arial" w:cs="Arial"/>
          <w:b/>
          <w:bCs/>
        </w:rPr>
      </w:pPr>
    </w:p>
    <w:p w14:paraId="4652B585" w14:textId="77777777" w:rsidR="00340314" w:rsidRPr="00A90086" w:rsidRDefault="00340314" w:rsidP="00340314">
      <w:pPr>
        <w:rPr>
          <w:rFonts w:ascii="Arial" w:hAnsi="Arial" w:cs="Arial"/>
          <w:b/>
          <w:bCs/>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40314" w:rsidRPr="00A90086" w14:paraId="42602BAA" w14:textId="77777777" w:rsidTr="000671A7">
        <w:tc>
          <w:tcPr>
            <w:tcW w:w="2093" w:type="dxa"/>
          </w:tcPr>
          <w:p w14:paraId="6E0A828F"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Student name:</w:t>
            </w:r>
          </w:p>
        </w:tc>
        <w:tc>
          <w:tcPr>
            <w:tcW w:w="3293" w:type="dxa"/>
          </w:tcPr>
          <w:p w14:paraId="243FA096" w14:textId="74B5B7C8" w:rsidR="00340314" w:rsidRPr="00A90086" w:rsidRDefault="00B908A9" w:rsidP="000671A7">
            <w:pPr>
              <w:spacing w:before="120" w:after="120"/>
              <w:jc w:val="both"/>
              <w:rPr>
                <w:rFonts w:ascii="Arial" w:hAnsi="Arial" w:cs="Arial"/>
                <w:b/>
                <w:sz w:val="22"/>
                <w:szCs w:val="22"/>
              </w:rPr>
            </w:pPr>
            <w:r>
              <w:rPr>
                <w:rStyle w:val="bumpedfont15"/>
                <w:rFonts w:eastAsia="Times New Roman"/>
                <w:color w:val="000000"/>
                <w:sz w:val="26"/>
                <w:szCs w:val="26"/>
              </w:rPr>
              <w:t>Vaidehi</w:t>
            </w:r>
            <w:r>
              <w:rPr>
                <w:rStyle w:val="apple-converted-space"/>
                <w:rFonts w:eastAsia="Times New Roman"/>
                <w:color w:val="000000"/>
                <w:sz w:val="26"/>
                <w:szCs w:val="26"/>
              </w:rPr>
              <w:t> </w:t>
            </w:r>
            <w:r>
              <w:rPr>
                <w:rStyle w:val="bumpedfont15"/>
                <w:rFonts w:eastAsia="Times New Roman"/>
                <w:color w:val="000000"/>
                <w:sz w:val="26"/>
                <w:szCs w:val="26"/>
              </w:rPr>
              <w:t>Jaymin</w:t>
            </w:r>
            <w:r>
              <w:rPr>
                <w:rStyle w:val="apple-converted-space"/>
                <w:rFonts w:eastAsia="Times New Roman"/>
                <w:color w:val="000000"/>
                <w:sz w:val="26"/>
                <w:szCs w:val="26"/>
              </w:rPr>
              <w:t> </w:t>
            </w:r>
            <w:r>
              <w:rPr>
                <w:rStyle w:val="bumpedfont15"/>
                <w:rFonts w:eastAsia="Times New Roman"/>
                <w:color w:val="000000"/>
                <w:sz w:val="26"/>
                <w:szCs w:val="26"/>
              </w:rPr>
              <w:t>Patel</w:t>
            </w:r>
          </w:p>
        </w:tc>
        <w:tc>
          <w:tcPr>
            <w:tcW w:w="2268" w:type="dxa"/>
            <w:shd w:val="clear" w:color="auto" w:fill="D9D9D9" w:themeFill="background1" w:themeFillShade="D9"/>
          </w:tcPr>
          <w:p w14:paraId="38005F0D"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Student ID number:</w:t>
            </w:r>
          </w:p>
        </w:tc>
        <w:tc>
          <w:tcPr>
            <w:tcW w:w="2268" w:type="dxa"/>
          </w:tcPr>
          <w:p w14:paraId="014B5749" w14:textId="131D66C1" w:rsidR="00340314" w:rsidRPr="00A90086" w:rsidRDefault="00AC6619" w:rsidP="000671A7">
            <w:pPr>
              <w:spacing w:before="120" w:after="120"/>
              <w:jc w:val="both"/>
              <w:rPr>
                <w:rFonts w:ascii="Arial" w:hAnsi="Arial" w:cs="Arial"/>
                <w:b/>
                <w:sz w:val="22"/>
                <w:szCs w:val="22"/>
              </w:rPr>
            </w:pPr>
            <w:r>
              <w:rPr>
                <w:rFonts w:eastAsia="Times New Roman"/>
                <w:color w:val="000000"/>
                <w:sz w:val="25"/>
                <w:szCs w:val="25"/>
              </w:rPr>
              <w:t>2534274</w:t>
            </w:r>
          </w:p>
        </w:tc>
      </w:tr>
      <w:tr w:rsidR="00340314" w:rsidRPr="00A90086" w14:paraId="6241A67A" w14:textId="77777777" w:rsidTr="000671A7">
        <w:tc>
          <w:tcPr>
            <w:tcW w:w="2093" w:type="dxa"/>
          </w:tcPr>
          <w:p w14:paraId="7E77EFAC"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Programme:</w:t>
            </w:r>
          </w:p>
        </w:tc>
        <w:tc>
          <w:tcPr>
            <w:tcW w:w="7829" w:type="dxa"/>
            <w:gridSpan w:val="3"/>
          </w:tcPr>
          <w:p w14:paraId="5A3299C3"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MSc Public Health and Social Care in Practice</w:t>
            </w:r>
          </w:p>
        </w:tc>
      </w:tr>
      <w:tr w:rsidR="00340314" w:rsidRPr="00A90086" w14:paraId="341A6EC1" w14:textId="77777777" w:rsidTr="000671A7">
        <w:tc>
          <w:tcPr>
            <w:tcW w:w="2093" w:type="dxa"/>
          </w:tcPr>
          <w:p w14:paraId="0B9C91F5"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Module:</w:t>
            </w:r>
          </w:p>
        </w:tc>
        <w:tc>
          <w:tcPr>
            <w:tcW w:w="7829" w:type="dxa"/>
            <w:gridSpan w:val="3"/>
          </w:tcPr>
          <w:p w14:paraId="10980C3E"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Health Care System Organisation and Leadership</w:t>
            </w:r>
          </w:p>
        </w:tc>
      </w:tr>
      <w:tr w:rsidR="00340314" w:rsidRPr="00A90086" w14:paraId="530C7FDF" w14:textId="77777777" w:rsidTr="000671A7">
        <w:tc>
          <w:tcPr>
            <w:tcW w:w="2093" w:type="dxa"/>
          </w:tcPr>
          <w:p w14:paraId="7517BFD8"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Module code:</w:t>
            </w:r>
          </w:p>
        </w:tc>
        <w:tc>
          <w:tcPr>
            <w:tcW w:w="3293" w:type="dxa"/>
          </w:tcPr>
          <w:p w14:paraId="2B27CA97"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LCHS7002</w:t>
            </w:r>
          </w:p>
        </w:tc>
        <w:tc>
          <w:tcPr>
            <w:tcW w:w="2268" w:type="dxa"/>
            <w:shd w:val="clear" w:color="auto" w:fill="D9D9D9" w:themeFill="background1" w:themeFillShade="D9"/>
          </w:tcPr>
          <w:p w14:paraId="3093C5EB" w14:textId="77777777" w:rsidR="00340314" w:rsidRPr="00A90086" w:rsidRDefault="00340314" w:rsidP="000671A7">
            <w:pPr>
              <w:pStyle w:val="Heading2"/>
              <w:rPr>
                <w:rFonts w:ascii="Arial" w:hAnsi="Arial" w:cs="Arial"/>
                <w:sz w:val="22"/>
                <w:szCs w:val="22"/>
              </w:rPr>
            </w:pPr>
            <w:r w:rsidRPr="00A90086">
              <w:rPr>
                <w:rFonts w:ascii="Arial" w:hAnsi="Arial" w:cs="Arial"/>
                <w:sz w:val="22"/>
                <w:szCs w:val="22"/>
              </w:rPr>
              <w:t>Contribution to Overall Module Assessment (%):</w:t>
            </w:r>
          </w:p>
        </w:tc>
        <w:tc>
          <w:tcPr>
            <w:tcW w:w="2268" w:type="dxa"/>
          </w:tcPr>
          <w:p w14:paraId="301C91A7"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100%</w:t>
            </w:r>
          </w:p>
        </w:tc>
      </w:tr>
      <w:tr w:rsidR="00340314" w:rsidRPr="00A90086" w14:paraId="2F8EDD63" w14:textId="77777777" w:rsidTr="000671A7">
        <w:tc>
          <w:tcPr>
            <w:tcW w:w="2093" w:type="dxa"/>
          </w:tcPr>
          <w:p w14:paraId="21925D70"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Lecturer:</w:t>
            </w:r>
          </w:p>
        </w:tc>
        <w:tc>
          <w:tcPr>
            <w:tcW w:w="3293" w:type="dxa"/>
          </w:tcPr>
          <w:p w14:paraId="071759D9" w14:textId="3F35EC78" w:rsidR="00340314" w:rsidRPr="00A90086" w:rsidRDefault="00D67132" w:rsidP="000671A7">
            <w:pPr>
              <w:spacing w:before="120" w:after="120"/>
              <w:jc w:val="both"/>
              <w:rPr>
                <w:rFonts w:ascii="Arial" w:hAnsi="Arial" w:cs="Arial"/>
                <w:b/>
                <w:sz w:val="22"/>
                <w:szCs w:val="22"/>
              </w:rPr>
            </w:pPr>
            <w:r w:rsidRPr="00D67132">
              <w:rPr>
                <w:rFonts w:ascii="Arial" w:hAnsi="Arial" w:cs="Arial"/>
                <w:b/>
                <w:sz w:val="22"/>
                <w:szCs w:val="22"/>
              </w:rPr>
              <w:t>Pascal Navelle</w:t>
            </w:r>
          </w:p>
        </w:tc>
        <w:tc>
          <w:tcPr>
            <w:tcW w:w="2268" w:type="dxa"/>
            <w:shd w:val="clear" w:color="auto" w:fill="D9D9D9" w:themeFill="background1" w:themeFillShade="D9"/>
          </w:tcPr>
          <w:p w14:paraId="25DE8A3D"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Internal Verifier:</w:t>
            </w:r>
          </w:p>
        </w:tc>
        <w:tc>
          <w:tcPr>
            <w:tcW w:w="2268" w:type="dxa"/>
          </w:tcPr>
          <w:p w14:paraId="656A06AC"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Dr Hamdi Hussain</w:t>
            </w:r>
          </w:p>
        </w:tc>
      </w:tr>
      <w:tr w:rsidR="00340314" w:rsidRPr="00A90086" w14:paraId="6BCA7409" w14:textId="77777777" w:rsidTr="000671A7">
        <w:tc>
          <w:tcPr>
            <w:tcW w:w="2093" w:type="dxa"/>
          </w:tcPr>
          <w:p w14:paraId="16CFDDD5"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Assignment Title:</w:t>
            </w:r>
          </w:p>
        </w:tc>
        <w:tc>
          <w:tcPr>
            <w:tcW w:w="3293" w:type="dxa"/>
          </w:tcPr>
          <w:p w14:paraId="3F7DF711" w14:textId="77777777" w:rsidR="00340314" w:rsidRPr="00A90086" w:rsidRDefault="00340314" w:rsidP="000671A7">
            <w:pPr>
              <w:spacing w:before="120" w:after="120"/>
              <w:rPr>
                <w:rFonts w:ascii="Arial" w:hAnsi="Arial" w:cs="Arial"/>
                <w:b/>
                <w:sz w:val="22"/>
                <w:szCs w:val="22"/>
              </w:rPr>
            </w:pPr>
            <w:r w:rsidRPr="00A90086">
              <w:rPr>
                <w:rFonts w:ascii="Arial" w:hAnsi="Arial" w:cs="Arial"/>
                <w:b/>
                <w:sz w:val="22"/>
                <w:szCs w:val="22"/>
              </w:rPr>
              <w:t>Case Study Analysis Report</w:t>
            </w:r>
          </w:p>
        </w:tc>
        <w:tc>
          <w:tcPr>
            <w:tcW w:w="2268" w:type="dxa"/>
          </w:tcPr>
          <w:p w14:paraId="5E7C13FA"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Word count (or equivalent):</w:t>
            </w:r>
          </w:p>
        </w:tc>
        <w:tc>
          <w:tcPr>
            <w:tcW w:w="2268" w:type="dxa"/>
          </w:tcPr>
          <w:p w14:paraId="59173EA0" w14:textId="77777777" w:rsidR="00340314" w:rsidRPr="00A90086" w:rsidRDefault="00340314" w:rsidP="000671A7">
            <w:pPr>
              <w:spacing w:before="120" w:after="120"/>
              <w:rPr>
                <w:rFonts w:ascii="Arial" w:hAnsi="Arial" w:cs="Arial"/>
                <w:b/>
                <w:sz w:val="22"/>
                <w:szCs w:val="22"/>
              </w:rPr>
            </w:pPr>
            <w:r w:rsidRPr="00A90086">
              <w:rPr>
                <w:rFonts w:ascii="Arial" w:hAnsi="Arial" w:cs="Arial"/>
                <w:b/>
                <w:sz w:val="22"/>
                <w:szCs w:val="22"/>
              </w:rPr>
              <w:t>5000 words (+/- 10%)</w:t>
            </w:r>
          </w:p>
        </w:tc>
      </w:tr>
      <w:tr w:rsidR="00340314" w:rsidRPr="00A90086" w14:paraId="0A7865DC" w14:textId="77777777" w:rsidTr="000671A7">
        <w:tc>
          <w:tcPr>
            <w:tcW w:w="2093" w:type="dxa"/>
          </w:tcPr>
          <w:p w14:paraId="50D27D65"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Submission deadline:</w:t>
            </w:r>
          </w:p>
        </w:tc>
        <w:tc>
          <w:tcPr>
            <w:tcW w:w="3293" w:type="dxa"/>
          </w:tcPr>
          <w:p w14:paraId="36217CE9" w14:textId="77777777" w:rsidR="00340314" w:rsidRPr="00A90086" w:rsidRDefault="00340314" w:rsidP="000671A7">
            <w:pPr>
              <w:spacing w:before="120" w:after="120"/>
              <w:jc w:val="both"/>
              <w:rPr>
                <w:rFonts w:ascii="Arial" w:hAnsi="Arial" w:cs="Arial"/>
                <w:b/>
                <w:bCs/>
                <w:sz w:val="22"/>
                <w:szCs w:val="22"/>
              </w:rPr>
            </w:pPr>
            <w:r w:rsidRPr="00A90086">
              <w:rPr>
                <w:rFonts w:ascii="Arial" w:hAnsi="Arial" w:cs="Arial"/>
                <w:b/>
                <w:bCs/>
                <w:sz w:val="22"/>
                <w:szCs w:val="22"/>
              </w:rPr>
              <w:t>11</w:t>
            </w:r>
            <w:r w:rsidRPr="00A90086">
              <w:rPr>
                <w:rFonts w:ascii="Arial" w:hAnsi="Arial" w:cs="Arial"/>
                <w:b/>
                <w:bCs/>
                <w:sz w:val="22"/>
                <w:szCs w:val="22"/>
                <w:vertAlign w:val="superscript"/>
              </w:rPr>
              <w:t>th</w:t>
            </w:r>
            <w:r w:rsidRPr="00A90086">
              <w:rPr>
                <w:rFonts w:ascii="Arial" w:hAnsi="Arial" w:cs="Arial"/>
                <w:b/>
                <w:bCs/>
                <w:sz w:val="22"/>
                <w:szCs w:val="22"/>
              </w:rPr>
              <w:t xml:space="preserve"> August 2026 </w:t>
            </w:r>
          </w:p>
          <w:p w14:paraId="3DC1BBBB" w14:textId="77777777" w:rsidR="00340314" w:rsidRPr="00A90086" w:rsidRDefault="00340314" w:rsidP="000671A7">
            <w:pPr>
              <w:spacing w:before="120" w:after="120"/>
              <w:jc w:val="both"/>
              <w:rPr>
                <w:rFonts w:ascii="Arial" w:hAnsi="Arial" w:cs="Arial"/>
                <w:b/>
                <w:bCs/>
                <w:sz w:val="22"/>
                <w:szCs w:val="22"/>
              </w:rPr>
            </w:pPr>
            <w:r w:rsidRPr="00A90086">
              <w:rPr>
                <w:rFonts w:ascii="Arial" w:hAnsi="Arial" w:cs="Arial"/>
                <w:b/>
                <w:bCs/>
                <w:sz w:val="22"/>
                <w:szCs w:val="22"/>
              </w:rPr>
              <w:t>14:00 (2 pm)</w:t>
            </w:r>
          </w:p>
        </w:tc>
        <w:tc>
          <w:tcPr>
            <w:tcW w:w="2268" w:type="dxa"/>
          </w:tcPr>
          <w:p w14:paraId="4C4BBA8B" w14:textId="77777777" w:rsidR="00340314" w:rsidRPr="00A90086" w:rsidRDefault="00340314" w:rsidP="000671A7">
            <w:pPr>
              <w:spacing w:before="120" w:after="120"/>
              <w:jc w:val="both"/>
              <w:rPr>
                <w:rFonts w:ascii="Arial" w:hAnsi="Arial" w:cs="Arial"/>
                <w:b/>
                <w:sz w:val="22"/>
                <w:szCs w:val="22"/>
              </w:rPr>
            </w:pPr>
            <w:r w:rsidRPr="00A90086">
              <w:rPr>
                <w:rFonts w:ascii="Arial" w:hAnsi="Arial" w:cs="Arial"/>
                <w:b/>
                <w:sz w:val="22"/>
                <w:szCs w:val="22"/>
              </w:rPr>
              <w:t>Return date of provisional marks &amp; written feedback:</w:t>
            </w:r>
          </w:p>
        </w:tc>
        <w:tc>
          <w:tcPr>
            <w:tcW w:w="2268" w:type="dxa"/>
          </w:tcPr>
          <w:p w14:paraId="10403686" w14:textId="77777777" w:rsidR="00340314" w:rsidRPr="00A90086" w:rsidRDefault="00340314" w:rsidP="000671A7">
            <w:pPr>
              <w:spacing w:before="120" w:after="120"/>
              <w:rPr>
                <w:rFonts w:ascii="Arial" w:hAnsi="Arial" w:cs="Arial"/>
                <w:b/>
                <w:bCs/>
                <w:sz w:val="22"/>
                <w:szCs w:val="22"/>
              </w:rPr>
            </w:pPr>
            <w:r w:rsidRPr="00A90086">
              <w:rPr>
                <w:rFonts w:ascii="Arial" w:hAnsi="Arial" w:cs="Arial"/>
                <w:b/>
                <w:bCs/>
                <w:sz w:val="22"/>
                <w:szCs w:val="22"/>
              </w:rPr>
              <w:t>2</w:t>
            </w:r>
            <w:r w:rsidRPr="00A90086">
              <w:rPr>
                <w:rFonts w:ascii="Arial" w:hAnsi="Arial" w:cs="Arial"/>
                <w:b/>
                <w:bCs/>
                <w:sz w:val="22"/>
                <w:szCs w:val="22"/>
                <w:vertAlign w:val="superscript"/>
              </w:rPr>
              <w:t>nd</w:t>
            </w:r>
            <w:r w:rsidRPr="00A90086">
              <w:rPr>
                <w:rFonts w:ascii="Arial" w:hAnsi="Arial" w:cs="Arial"/>
                <w:b/>
                <w:bCs/>
                <w:sz w:val="22"/>
                <w:szCs w:val="22"/>
              </w:rPr>
              <w:t xml:space="preserve"> of September  2026</w:t>
            </w:r>
          </w:p>
        </w:tc>
      </w:tr>
    </w:tbl>
    <w:p w14:paraId="47E85EB8" w14:textId="77777777" w:rsidR="00340314" w:rsidRPr="00A90086" w:rsidRDefault="00340314" w:rsidP="00340314">
      <w:pPr>
        <w:rPr>
          <w:rFonts w:ascii="Arial" w:hAnsi="Arial" w:cs="Arial"/>
          <w:b/>
          <w:bCs/>
        </w:rPr>
      </w:pPr>
    </w:p>
    <w:p w14:paraId="3886A2B8" w14:textId="77777777" w:rsidR="00340314" w:rsidRPr="00A90086" w:rsidRDefault="00340314" w:rsidP="00340314">
      <w:pPr>
        <w:rPr>
          <w:rFonts w:ascii="Arial" w:hAnsi="Arial" w:cs="Arial"/>
          <w:b/>
          <w:bCs/>
        </w:rPr>
      </w:pPr>
    </w:p>
    <w:p w14:paraId="4BCD9D85" w14:textId="77777777" w:rsidR="00340314" w:rsidRDefault="00340314" w:rsidP="00340314">
      <w:pPr>
        <w:spacing w:line="240" w:lineRule="auto"/>
        <w:rPr>
          <w:rFonts w:ascii="Arial" w:hAnsi="Arial" w:cs="Arial"/>
          <w:b/>
          <w:bCs/>
          <w:sz w:val="20"/>
          <w:szCs w:val="20"/>
        </w:rPr>
      </w:pPr>
    </w:p>
    <w:p w14:paraId="480D5CD1" w14:textId="77777777" w:rsidR="00340314" w:rsidRDefault="00340314">
      <w:pPr>
        <w:rPr>
          <w:rFonts w:ascii="Arial" w:hAnsi="Arial" w:cs="Arial"/>
          <w:b/>
          <w:bCs/>
          <w:sz w:val="20"/>
          <w:szCs w:val="20"/>
        </w:rPr>
      </w:pPr>
      <w:r>
        <w:rPr>
          <w:rFonts w:ascii="Arial" w:hAnsi="Arial" w:cs="Arial"/>
          <w:b/>
          <w:bCs/>
          <w:sz w:val="20"/>
          <w:szCs w:val="20"/>
        </w:rPr>
        <w:br w:type="page"/>
      </w:r>
    </w:p>
    <w:p w14:paraId="325747BF" w14:textId="2A20D162" w:rsidR="00340314" w:rsidRPr="00340314" w:rsidRDefault="00340314" w:rsidP="00340314">
      <w:pPr>
        <w:spacing w:line="240" w:lineRule="auto"/>
        <w:rPr>
          <w:rFonts w:ascii="Arial" w:hAnsi="Arial" w:cs="Arial"/>
          <w:b/>
          <w:bCs/>
          <w:sz w:val="20"/>
          <w:szCs w:val="20"/>
        </w:rPr>
      </w:pPr>
      <w:r w:rsidRPr="00340314">
        <w:rPr>
          <w:rFonts w:ascii="Arial" w:hAnsi="Arial" w:cs="Arial"/>
          <w:b/>
          <w:bCs/>
          <w:sz w:val="20"/>
          <w:szCs w:val="20"/>
        </w:rPr>
        <w:lastRenderedPageBreak/>
        <w:t>INDEX</w:t>
      </w:r>
    </w:p>
    <w:p w14:paraId="57B78583" w14:textId="239BFD75"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SECTION 1: INTRODUCTION</w:t>
      </w:r>
    </w:p>
    <w:p w14:paraId="3689D1AD"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1.1 Leadership, Governance, and Integrated Care Systems 1.2 Centralisation vs. Decentralisation in Healthcare 1.3 Leadership Theories (Transformational, Transactional, Situational) 1.4 Overview of the Lewis Blackman Case 1.5 Purpose and Analytical Frameworks Used (SSM, Swiss Cheese, Systems Thinking)</w:t>
      </w:r>
    </w:p>
    <w:p w14:paraId="603DA094"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SECTION 2: MAIN BODY AND ANALYSIS</w:t>
      </w:r>
    </w:p>
    <w:p w14:paraId="37463997"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2a. Identifying the Problem &amp; System Context</w:t>
      </w:r>
    </w:p>
    <w:p w14:paraId="1C1C17F2" w14:textId="77777777" w:rsidR="00340314" w:rsidRPr="00340314" w:rsidRDefault="00340314" w:rsidP="00340314">
      <w:pPr>
        <w:numPr>
          <w:ilvl w:val="0"/>
          <w:numId w:val="14"/>
        </w:numPr>
        <w:spacing w:line="240" w:lineRule="auto"/>
        <w:rPr>
          <w:rFonts w:ascii="Arial" w:hAnsi="Arial" w:cs="Arial"/>
          <w:sz w:val="20"/>
          <w:szCs w:val="20"/>
        </w:rPr>
      </w:pPr>
      <w:r w:rsidRPr="00340314">
        <w:rPr>
          <w:rFonts w:ascii="Arial" w:hAnsi="Arial" w:cs="Arial"/>
          <w:sz w:val="20"/>
          <w:szCs w:val="20"/>
        </w:rPr>
        <w:t>Definition of Failure to Rescue</w:t>
      </w:r>
    </w:p>
    <w:p w14:paraId="7CCF5A54" w14:textId="77777777" w:rsidR="00340314" w:rsidRPr="00340314" w:rsidRDefault="00340314" w:rsidP="00340314">
      <w:pPr>
        <w:numPr>
          <w:ilvl w:val="0"/>
          <w:numId w:val="14"/>
        </w:numPr>
        <w:spacing w:line="240" w:lineRule="auto"/>
        <w:rPr>
          <w:rFonts w:ascii="Arial" w:hAnsi="Arial" w:cs="Arial"/>
          <w:sz w:val="20"/>
          <w:szCs w:val="20"/>
        </w:rPr>
      </w:pPr>
      <w:r w:rsidRPr="00340314">
        <w:rPr>
          <w:rFonts w:ascii="Arial" w:hAnsi="Arial" w:cs="Arial"/>
          <w:sz w:val="20"/>
          <w:szCs w:val="20"/>
        </w:rPr>
        <w:t>Clinical Deterioration in the Lewis Blackman Case</w:t>
      </w:r>
    </w:p>
    <w:p w14:paraId="39C94A4B" w14:textId="77777777" w:rsidR="00340314" w:rsidRPr="00340314" w:rsidRDefault="00340314" w:rsidP="00340314">
      <w:pPr>
        <w:numPr>
          <w:ilvl w:val="0"/>
          <w:numId w:val="14"/>
        </w:numPr>
        <w:spacing w:line="240" w:lineRule="auto"/>
        <w:rPr>
          <w:rFonts w:ascii="Arial" w:hAnsi="Arial" w:cs="Arial"/>
          <w:sz w:val="20"/>
          <w:szCs w:val="20"/>
        </w:rPr>
      </w:pPr>
      <w:r w:rsidRPr="00340314">
        <w:rPr>
          <w:rFonts w:ascii="Arial" w:hAnsi="Arial" w:cs="Arial"/>
          <w:sz w:val="20"/>
          <w:szCs w:val="20"/>
        </w:rPr>
        <w:t>Diagnostic Anchoring &amp; Cognitive Biases</w:t>
      </w:r>
    </w:p>
    <w:p w14:paraId="7A33E9CC" w14:textId="77777777" w:rsidR="00340314" w:rsidRPr="00340314" w:rsidRDefault="00340314" w:rsidP="00340314">
      <w:pPr>
        <w:numPr>
          <w:ilvl w:val="0"/>
          <w:numId w:val="14"/>
        </w:numPr>
        <w:spacing w:line="240" w:lineRule="auto"/>
        <w:rPr>
          <w:rFonts w:ascii="Arial" w:hAnsi="Arial" w:cs="Arial"/>
          <w:sz w:val="20"/>
          <w:szCs w:val="20"/>
        </w:rPr>
      </w:pPr>
      <w:r w:rsidRPr="00340314">
        <w:rPr>
          <w:rFonts w:ascii="Arial" w:hAnsi="Arial" w:cs="Arial"/>
          <w:sz w:val="20"/>
          <w:szCs w:val="20"/>
        </w:rPr>
        <w:t>Global Patient Safety Evidence (WHO, NHS, IHI)</w:t>
      </w:r>
    </w:p>
    <w:p w14:paraId="349D2D0C" w14:textId="77777777" w:rsidR="00340314" w:rsidRPr="00340314" w:rsidRDefault="00340314" w:rsidP="00340314">
      <w:pPr>
        <w:numPr>
          <w:ilvl w:val="0"/>
          <w:numId w:val="14"/>
        </w:numPr>
        <w:spacing w:line="240" w:lineRule="auto"/>
        <w:rPr>
          <w:rFonts w:ascii="Arial" w:hAnsi="Arial" w:cs="Arial"/>
          <w:sz w:val="20"/>
          <w:szCs w:val="20"/>
        </w:rPr>
      </w:pPr>
      <w:r w:rsidRPr="00340314">
        <w:rPr>
          <w:rFonts w:ascii="Arial" w:hAnsi="Arial" w:cs="Arial"/>
          <w:sz w:val="20"/>
          <w:szCs w:val="20"/>
        </w:rPr>
        <w:t>Swiss Cheese Model Analysis</w:t>
      </w:r>
    </w:p>
    <w:p w14:paraId="0CD5FB9B" w14:textId="77777777" w:rsidR="00340314" w:rsidRPr="00340314" w:rsidRDefault="00340314" w:rsidP="00340314">
      <w:pPr>
        <w:numPr>
          <w:ilvl w:val="0"/>
          <w:numId w:val="14"/>
        </w:numPr>
        <w:spacing w:line="240" w:lineRule="auto"/>
        <w:rPr>
          <w:rFonts w:ascii="Arial" w:hAnsi="Arial" w:cs="Arial"/>
          <w:sz w:val="20"/>
          <w:szCs w:val="20"/>
        </w:rPr>
      </w:pPr>
      <w:r w:rsidRPr="00340314">
        <w:rPr>
          <w:rFonts w:ascii="Arial" w:hAnsi="Arial" w:cs="Arial"/>
          <w:sz w:val="20"/>
          <w:szCs w:val="20"/>
        </w:rPr>
        <w:t>Rich Picture Model of System Failures</w:t>
      </w:r>
    </w:p>
    <w:p w14:paraId="08221F69" w14:textId="77777777" w:rsidR="00340314" w:rsidRPr="00340314" w:rsidRDefault="00340314" w:rsidP="00340314">
      <w:pPr>
        <w:numPr>
          <w:ilvl w:val="1"/>
          <w:numId w:val="14"/>
        </w:numPr>
        <w:spacing w:line="240" w:lineRule="auto"/>
        <w:rPr>
          <w:rFonts w:ascii="Arial" w:hAnsi="Arial" w:cs="Arial"/>
          <w:sz w:val="20"/>
          <w:szCs w:val="20"/>
        </w:rPr>
      </w:pPr>
      <w:r w:rsidRPr="00340314">
        <w:rPr>
          <w:rFonts w:ascii="Arial" w:hAnsi="Arial" w:cs="Arial"/>
          <w:sz w:val="20"/>
          <w:szCs w:val="20"/>
        </w:rPr>
        <w:t>External &amp; Organisational Governance</w:t>
      </w:r>
    </w:p>
    <w:p w14:paraId="201BB82B" w14:textId="77777777" w:rsidR="00340314" w:rsidRPr="00340314" w:rsidRDefault="00340314" w:rsidP="00340314">
      <w:pPr>
        <w:numPr>
          <w:ilvl w:val="1"/>
          <w:numId w:val="14"/>
        </w:numPr>
        <w:spacing w:line="240" w:lineRule="auto"/>
        <w:rPr>
          <w:rFonts w:ascii="Arial" w:hAnsi="Arial" w:cs="Arial"/>
          <w:sz w:val="20"/>
          <w:szCs w:val="20"/>
        </w:rPr>
      </w:pPr>
      <w:r w:rsidRPr="00340314">
        <w:rPr>
          <w:rFonts w:ascii="Arial" w:hAnsi="Arial" w:cs="Arial"/>
          <w:sz w:val="20"/>
          <w:szCs w:val="20"/>
        </w:rPr>
        <w:t>Meso</w:t>
      </w:r>
      <w:r w:rsidRPr="00340314">
        <w:rPr>
          <w:rFonts w:ascii="Arial" w:hAnsi="Arial" w:cs="Arial"/>
          <w:sz w:val="20"/>
          <w:szCs w:val="20"/>
        </w:rPr>
        <w:noBreakHyphen/>
        <w:t>Level Hospital &amp; Ward System</w:t>
      </w:r>
    </w:p>
    <w:p w14:paraId="627505DD" w14:textId="77777777" w:rsidR="00340314" w:rsidRPr="00340314" w:rsidRDefault="00340314" w:rsidP="00340314">
      <w:pPr>
        <w:numPr>
          <w:ilvl w:val="1"/>
          <w:numId w:val="14"/>
        </w:numPr>
        <w:spacing w:line="240" w:lineRule="auto"/>
        <w:rPr>
          <w:rFonts w:ascii="Arial" w:hAnsi="Arial" w:cs="Arial"/>
          <w:sz w:val="20"/>
          <w:szCs w:val="20"/>
        </w:rPr>
      </w:pPr>
      <w:r w:rsidRPr="00340314">
        <w:rPr>
          <w:rFonts w:ascii="Arial" w:hAnsi="Arial" w:cs="Arial"/>
          <w:sz w:val="20"/>
          <w:szCs w:val="20"/>
        </w:rPr>
        <w:t>Physical &amp; Work Environment</w:t>
      </w:r>
    </w:p>
    <w:p w14:paraId="3E6ECAA0" w14:textId="77777777" w:rsidR="00340314" w:rsidRPr="00340314" w:rsidRDefault="00340314" w:rsidP="00340314">
      <w:pPr>
        <w:numPr>
          <w:ilvl w:val="1"/>
          <w:numId w:val="14"/>
        </w:numPr>
        <w:spacing w:line="240" w:lineRule="auto"/>
        <w:rPr>
          <w:rFonts w:ascii="Arial" w:hAnsi="Arial" w:cs="Arial"/>
          <w:sz w:val="20"/>
          <w:szCs w:val="20"/>
        </w:rPr>
      </w:pPr>
      <w:r w:rsidRPr="00340314">
        <w:rPr>
          <w:rFonts w:ascii="Arial" w:hAnsi="Arial" w:cs="Arial"/>
          <w:sz w:val="20"/>
          <w:szCs w:val="20"/>
        </w:rPr>
        <w:t>Cognitive &amp; Clinical Processes</w:t>
      </w:r>
    </w:p>
    <w:p w14:paraId="3B601FB6" w14:textId="77777777" w:rsidR="00340314" w:rsidRPr="00340314" w:rsidRDefault="00340314" w:rsidP="00340314">
      <w:pPr>
        <w:numPr>
          <w:ilvl w:val="1"/>
          <w:numId w:val="14"/>
        </w:numPr>
        <w:spacing w:line="240" w:lineRule="auto"/>
        <w:rPr>
          <w:rFonts w:ascii="Arial" w:hAnsi="Arial" w:cs="Arial"/>
          <w:sz w:val="20"/>
          <w:szCs w:val="20"/>
        </w:rPr>
      </w:pPr>
      <w:r w:rsidRPr="00340314">
        <w:rPr>
          <w:rFonts w:ascii="Arial" w:hAnsi="Arial" w:cs="Arial"/>
          <w:sz w:val="20"/>
          <w:szCs w:val="20"/>
        </w:rPr>
        <w:t>Human Resources &amp; Culture</w:t>
      </w:r>
    </w:p>
    <w:p w14:paraId="71AD5CCF" w14:textId="77777777" w:rsidR="00340314" w:rsidRPr="00340314" w:rsidRDefault="00340314" w:rsidP="00340314">
      <w:pPr>
        <w:numPr>
          <w:ilvl w:val="1"/>
          <w:numId w:val="14"/>
        </w:numPr>
        <w:spacing w:line="240" w:lineRule="auto"/>
        <w:rPr>
          <w:rFonts w:ascii="Arial" w:hAnsi="Arial" w:cs="Arial"/>
          <w:sz w:val="20"/>
          <w:szCs w:val="20"/>
        </w:rPr>
      </w:pPr>
      <w:r w:rsidRPr="00340314">
        <w:rPr>
          <w:rFonts w:ascii="Arial" w:hAnsi="Arial" w:cs="Arial"/>
          <w:sz w:val="20"/>
          <w:szCs w:val="20"/>
        </w:rPr>
        <w:t>Active Clinical Failure</w:t>
      </w:r>
    </w:p>
    <w:p w14:paraId="22CE6D48" w14:textId="77777777" w:rsidR="00340314" w:rsidRPr="00340314" w:rsidRDefault="00340314" w:rsidP="00340314">
      <w:pPr>
        <w:numPr>
          <w:ilvl w:val="1"/>
          <w:numId w:val="14"/>
        </w:numPr>
        <w:spacing w:line="240" w:lineRule="auto"/>
        <w:rPr>
          <w:rFonts w:ascii="Arial" w:hAnsi="Arial" w:cs="Arial"/>
          <w:sz w:val="20"/>
          <w:szCs w:val="20"/>
        </w:rPr>
      </w:pPr>
      <w:r w:rsidRPr="00340314">
        <w:rPr>
          <w:rFonts w:ascii="Arial" w:hAnsi="Arial" w:cs="Arial"/>
          <w:sz w:val="20"/>
          <w:szCs w:val="20"/>
        </w:rPr>
        <w:t>Catastrophic Outcome</w:t>
      </w:r>
    </w:p>
    <w:p w14:paraId="64433533"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2b. Centralisation or Decentralisation in the Case Study</w:t>
      </w:r>
    </w:p>
    <w:p w14:paraId="015CE1C3" w14:textId="77777777" w:rsidR="00340314" w:rsidRPr="00340314" w:rsidRDefault="00340314" w:rsidP="00340314">
      <w:pPr>
        <w:numPr>
          <w:ilvl w:val="0"/>
          <w:numId w:val="15"/>
        </w:numPr>
        <w:spacing w:line="240" w:lineRule="auto"/>
        <w:rPr>
          <w:rFonts w:ascii="Arial" w:hAnsi="Arial" w:cs="Arial"/>
          <w:sz w:val="20"/>
          <w:szCs w:val="20"/>
        </w:rPr>
      </w:pPr>
      <w:r w:rsidRPr="00340314">
        <w:rPr>
          <w:rFonts w:ascii="Arial" w:hAnsi="Arial" w:cs="Arial"/>
          <w:sz w:val="20"/>
          <w:szCs w:val="20"/>
        </w:rPr>
        <w:t>Structural Paradox: Centralised Senior Authority + Decentralised Weekend Frontline</w:t>
      </w:r>
    </w:p>
    <w:p w14:paraId="634DAF75" w14:textId="77777777" w:rsidR="00340314" w:rsidRPr="00340314" w:rsidRDefault="00340314" w:rsidP="00340314">
      <w:pPr>
        <w:numPr>
          <w:ilvl w:val="0"/>
          <w:numId w:val="15"/>
        </w:numPr>
        <w:spacing w:line="240" w:lineRule="auto"/>
        <w:rPr>
          <w:rFonts w:ascii="Arial" w:hAnsi="Arial" w:cs="Arial"/>
          <w:sz w:val="20"/>
          <w:szCs w:val="20"/>
        </w:rPr>
      </w:pPr>
      <w:r w:rsidRPr="00340314">
        <w:rPr>
          <w:rFonts w:ascii="Arial" w:hAnsi="Arial" w:cs="Arial"/>
          <w:sz w:val="20"/>
          <w:szCs w:val="20"/>
        </w:rPr>
        <w:t>Centralised Systems: Advantages &amp; Failures</w:t>
      </w:r>
    </w:p>
    <w:p w14:paraId="36510F7F" w14:textId="77777777" w:rsidR="00340314" w:rsidRPr="00340314" w:rsidRDefault="00340314" w:rsidP="00340314">
      <w:pPr>
        <w:numPr>
          <w:ilvl w:val="0"/>
          <w:numId w:val="15"/>
        </w:numPr>
        <w:spacing w:line="240" w:lineRule="auto"/>
        <w:rPr>
          <w:rFonts w:ascii="Arial" w:hAnsi="Arial" w:cs="Arial"/>
          <w:sz w:val="20"/>
          <w:szCs w:val="20"/>
        </w:rPr>
      </w:pPr>
      <w:r w:rsidRPr="00340314">
        <w:rPr>
          <w:rFonts w:ascii="Arial" w:hAnsi="Arial" w:cs="Arial"/>
          <w:sz w:val="20"/>
          <w:szCs w:val="20"/>
        </w:rPr>
        <w:t>Decentralised Systems: Advantages &amp; Failures</w:t>
      </w:r>
    </w:p>
    <w:p w14:paraId="5ECC40F8" w14:textId="77777777" w:rsidR="00340314" w:rsidRPr="00340314" w:rsidRDefault="00340314" w:rsidP="00340314">
      <w:pPr>
        <w:numPr>
          <w:ilvl w:val="0"/>
          <w:numId w:val="15"/>
        </w:numPr>
        <w:spacing w:line="240" w:lineRule="auto"/>
        <w:rPr>
          <w:rFonts w:ascii="Arial" w:hAnsi="Arial" w:cs="Arial"/>
          <w:sz w:val="20"/>
          <w:szCs w:val="20"/>
        </w:rPr>
      </w:pPr>
      <w:r w:rsidRPr="00340314">
        <w:rPr>
          <w:rFonts w:ascii="Arial" w:hAnsi="Arial" w:cs="Arial"/>
          <w:sz w:val="20"/>
          <w:szCs w:val="20"/>
        </w:rPr>
        <w:t>Critical Evaluation of Structural Misalignment</w:t>
      </w:r>
    </w:p>
    <w:p w14:paraId="5CE54F05" w14:textId="77777777" w:rsidR="00340314" w:rsidRPr="00340314" w:rsidRDefault="00340314" w:rsidP="00340314">
      <w:pPr>
        <w:numPr>
          <w:ilvl w:val="0"/>
          <w:numId w:val="15"/>
        </w:numPr>
        <w:spacing w:line="240" w:lineRule="auto"/>
        <w:rPr>
          <w:rFonts w:ascii="Arial" w:hAnsi="Arial" w:cs="Arial"/>
          <w:sz w:val="20"/>
          <w:szCs w:val="20"/>
        </w:rPr>
      </w:pPr>
      <w:r w:rsidRPr="00340314">
        <w:rPr>
          <w:rFonts w:ascii="Arial" w:hAnsi="Arial" w:cs="Arial"/>
          <w:sz w:val="20"/>
          <w:szCs w:val="20"/>
        </w:rPr>
        <w:t>TABLE: Structural System Dynamics (Centralised vs. Decentralised)</w:t>
      </w:r>
    </w:p>
    <w:p w14:paraId="6415665B" w14:textId="77777777" w:rsidR="00340314" w:rsidRPr="00340314" w:rsidRDefault="00340314" w:rsidP="00340314">
      <w:pPr>
        <w:numPr>
          <w:ilvl w:val="0"/>
          <w:numId w:val="15"/>
        </w:numPr>
        <w:spacing w:line="240" w:lineRule="auto"/>
        <w:rPr>
          <w:rFonts w:ascii="Arial" w:hAnsi="Arial" w:cs="Arial"/>
          <w:sz w:val="20"/>
          <w:szCs w:val="20"/>
        </w:rPr>
      </w:pPr>
      <w:r w:rsidRPr="00340314">
        <w:rPr>
          <w:rFonts w:ascii="Arial" w:hAnsi="Arial" w:cs="Arial"/>
          <w:sz w:val="20"/>
          <w:szCs w:val="20"/>
        </w:rPr>
        <w:t>Weekend Effect Evidence (Aylin et al., Bell &amp; Redelmeier)</w:t>
      </w:r>
    </w:p>
    <w:p w14:paraId="24048E59"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2c. Leadership Theories &amp; Application</w:t>
      </w:r>
    </w:p>
    <w:p w14:paraId="5DD5A547" w14:textId="77777777" w:rsidR="00340314" w:rsidRPr="00340314" w:rsidRDefault="00340314" w:rsidP="00340314">
      <w:pPr>
        <w:numPr>
          <w:ilvl w:val="0"/>
          <w:numId w:val="16"/>
        </w:numPr>
        <w:spacing w:line="240" w:lineRule="auto"/>
        <w:rPr>
          <w:rFonts w:ascii="Arial" w:hAnsi="Arial" w:cs="Arial"/>
          <w:sz w:val="20"/>
          <w:szCs w:val="20"/>
        </w:rPr>
      </w:pPr>
      <w:r w:rsidRPr="00340314">
        <w:rPr>
          <w:rFonts w:ascii="Arial" w:hAnsi="Arial" w:cs="Arial"/>
          <w:sz w:val="20"/>
          <w:szCs w:val="20"/>
        </w:rPr>
        <w:t>Transformational Leadership</w:t>
      </w:r>
    </w:p>
    <w:p w14:paraId="6832706E" w14:textId="77777777" w:rsidR="00340314" w:rsidRPr="00340314" w:rsidRDefault="00340314" w:rsidP="00340314">
      <w:pPr>
        <w:numPr>
          <w:ilvl w:val="1"/>
          <w:numId w:val="16"/>
        </w:numPr>
        <w:spacing w:line="240" w:lineRule="auto"/>
        <w:rPr>
          <w:rFonts w:ascii="Arial" w:hAnsi="Arial" w:cs="Arial"/>
          <w:sz w:val="20"/>
          <w:szCs w:val="20"/>
        </w:rPr>
      </w:pPr>
      <w:r w:rsidRPr="00340314">
        <w:rPr>
          <w:rFonts w:ascii="Arial" w:hAnsi="Arial" w:cs="Arial"/>
          <w:sz w:val="20"/>
          <w:szCs w:val="20"/>
        </w:rPr>
        <w:t>Absence of Vision, Psychological Safety, Empowerment</w:t>
      </w:r>
    </w:p>
    <w:p w14:paraId="72100B6B" w14:textId="77777777" w:rsidR="00340314" w:rsidRPr="00340314" w:rsidRDefault="00340314" w:rsidP="00340314">
      <w:pPr>
        <w:numPr>
          <w:ilvl w:val="0"/>
          <w:numId w:val="16"/>
        </w:numPr>
        <w:spacing w:line="240" w:lineRule="auto"/>
        <w:rPr>
          <w:rFonts w:ascii="Arial" w:hAnsi="Arial" w:cs="Arial"/>
          <w:sz w:val="20"/>
          <w:szCs w:val="20"/>
        </w:rPr>
      </w:pPr>
      <w:r w:rsidRPr="00340314">
        <w:rPr>
          <w:rFonts w:ascii="Arial" w:hAnsi="Arial" w:cs="Arial"/>
          <w:sz w:val="20"/>
          <w:szCs w:val="20"/>
        </w:rPr>
        <w:t>Transactional Leadership</w:t>
      </w:r>
    </w:p>
    <w:p w14:paraId="6C92F171" w14:textId="77777777" w:rsidR="00340314" w:rsidRPr="00340314" w:rsidRDefault="00340314" w:rsidP="00340314">
      <w:pPr>
        <w:numPr>
          <w:ilvl w:val="1"/>
          <w:numId w:val="16"/>
        </w:numPr>
        <w:spacing w:line="240" w:lineRule="auto"/>
        <w:rPr>
          <w:rFonts w:ascii="Arial" w:hAnsi="Arial" w:cs="Arial"/>
          <w:sz w:val="20"/>
          <w:szCs w:val="20"/>
        </w:rPr>
      </w:pPr>
      <w:r w:rsidRPr="00340314">
        <w:rPr>
          <w:rFonts w:ascii="Arial" w:hAnsi="Arial" w:cs="Arial"/>
          <w:sz w:val="20"/>
          <w:szCs w:val="20"/>
        </w:rPr>
        <w:t>Passive Management</w:t>
      </w:r>
      <w:r w:rsidRPr="00340314">
        <w:rPr>
          <w:rFonts w:ascii="Arial" w:hAnsi="Arial" w:cs="Arial"/>
          <w:sz w:val="20"/>
          <w:szCs w:val="20"/>
        </w:rPr>
        <w:noBreakHyphen/>
        <w:t>by</w:t>
      </w:r>
      <w:r w:rsidRPr="00340314">
        <w:rPr>
          <w:rFonts w:ascii="Arial" w:hAnsi="Arial" w:cs="Arial"/>
          <w:sz w:val="20"/>
          <w:szCs w:val="20"/>
        </w:rPr>
        <w:noBreakHyphen/>
        <w:t>Exception</w:t>
      </w:r>
    </w:p>
    <w:p w14:paraId="5C4579B4" w14:textId="77777777" w:rsidR="00340314" w:rsidRPr="00340314" w:rsidRDefault="00340314" w:rsidP="00340314">
      <w:pPr>
        <w:numPr>
          <w:ilvl w:val="1"/>
          <w:numId w:val="16"/>
        </w:numPr>
        <w:spacing w:line="240" w:lineRule="auto"/>
        <w:rPr>
          <w:rFonts w:ascii="Arial" w:hAnsi="Arial" w:cs="Arial"/>
          <w:sz w:val="20"/>
          <w:szCs w:val="20"/>
        </w:rPr>
      </w:pPr>
      <w:r w:rsidRPr="00340314">
        <w:rPr>
          <w:rFonts w:ascii="Arial" w:hAnsi="Arial" w:cs="Arial"/>
          <w:sz w:val="20"/>
          <w:szCs w:val="20"/>
        </w:rPr>
        <w:t>Autonomy Rewarded Over Safety</w:t>
      </w:r>
    </w:p>
    <w:p w14:paraId="705ADFC1" w14:textId="77777777" w:rsidR="00340314" w:rsidRPr="00340314" w:rsidRDefault="00340314" w:rsidP="00340314">
      <w:pPr>
        <w:numPr>
          <w:ilvl w:val="0"/>
          <w:numId w:val="16"/>
        </w:numPr>
        <w:spacing w:line="240" w:lineRule="auto"/>
        <w:rPr>
          <w:rFonts w:ascii="Arial" w:hAnsi="Arial" w:cs="Arial"/>
          <w:sz w:val="20"/>
          <w:szCs w:val="20"/>
        </w:rPr>
      </w:pPr>
      <w:r w:rsidRPr="00340314">
        <w:rPr>
          <w:rFonts w:ascii="Arial" w:hAnsi="Arial" w:cs="Arial"/>
          <w:sz w:val="20"/>
          <w:szCs w:val="20"/>
        </w:rPr>
        <w:t>Situational Leadership</w:t>
      </w:r>
    </w:p>
    <w:p w14:paraId="6946E87F" w14:textId="77777777" w:rsidR="00340314" w:rsidRPr="00340314" w:rsidRDefault="00340314" w:rsidP="00340314">
      <w:pPr>
        <w:numPr>
          <w:ilvl w:val="1"/>
          <w:numId w:val="16"/>
        </w:numPr>
        <w:spacing w:line="240" w:lineRule="auto"/>
        <w:rPr>
          <w:rFonts w:ascii="Arial" w:hAnsi="Arial" w:cs="Arial"/>
          <w:sz w:val="20"/>
          <w:szCs w:val="20"/>
        </w:rPr>
      </w:pPr>
      <w:r w:rsidRPr="00340314">
        <w:rPr>
          <w:rFonts w:ascii="Arial" w:hAnsi="Arial" w:cs="Arial"/>
          <w:sz w:val="20"/>
          <w:szCs w:val="20"/>
        </w:rPr>
        <w:t>Misapplied Delegation to Inexperienced Interns</w:t>
      </w:r>
    </w:p>
    <w:p w14:paraId="605233DD" w14:textId="77777777" w:rsidR="00340314" w:rsidRPr="00340314" w:rsidRDefault="00340314" w:rsidP="00340314">
      <w:pPr>
        <w:numPr>
          <w:ilvl w:val="0"/>
          <w:numId w:val="16"/>
        </w:numPr>
        <w:spacing w:line="240" w:lineRule="auto"/>
        <w:rPr>
          <w:rFonts w:ascii="Arial" w:hAnsi="Arial" w:cs="Arial"/>
          <w:sz w:val="20"/>
          <w:szCs w:val="20"/>
        </w:rPr>
      </w:pPr>
      <w:r w:rsidRPr="00340314">
        <w:rPr>
          <w:rFonts w:ascii="Arial" w:hAnsi="Arial" w:cs="Arial"/>
          <w:sz w:val="20"/>
          <w:szCs w:val="20"/>
        </w:rPr>
        <w:lastRenderedPageBreak/>
        <w:t>TABLE: Leadership Styles in the Lewis Blackman Case</w:t>
      </w:r>
    </w:p>
    <w:p w14:paraId="4C9C9C6C" w14:textId="77777777" w:rsidR="00340314" w:rsidRPr="00340314" w:rsidRDefault="00340314" w:rsidP="00340314">
      <w:pPr>
        <w:numPr>
          <w:ilvl w:val="0"/>
          <w:numId w:val="16"/>
        </w:numPr>
        <w:spacing w:line="240" w:lineRule="auto"/>
        <w:rPr>
          <w:rFonts w:ascii="Arial" w:hAnsi="Arial" w:cs="Arial"/>
          <w:sz w:val="20"/>
          <w:szCs w:val="20"/>
        </w:rPr>
      </w:pPr>
      <w:r w:rsidRPr="00340314">
        <w:rPr>
          <w:rFonts w:ascii="Arial" w:hAnsi="Arial" w:cs="Arial"/>
          <w:sz w:val="20"/>
          <w:szCs w:val="20"/>
        </w:rPr>
        <w:t>Command</w:t>
      </w:r>
      <w:r w:rsidRPr="00340314">
        <w:rPr>
          <w:rFonts w:ascii="Arial" w:hAnsi="Arial" w:cs="Arial"/>
          <w:sz w:val="20"/>
          <w:szCs w:val="20"/>
        </w:rPr>
        <w:noBreakHyphen/>
        <w:t>Driven vs. Distributed Leadership</w:t>
      </w:r>
    </w:p>
    <w:p w14:paraId="2F29ADBB" w14:textId="77777777" w:rsidR="00340314" w:rsidRPr="00340314" w:rsidRDefault="00340314" w:rsidP="00340314">
      <w:pPr>
        <w:numPr>
          <w:ilvl w:val="0"/>
          <w:numId w:val="16"/>
        </w:numPr>
        <w:spacing w:line="240" w:lineRule="auto"/>
        <w:rPr>
          <w:rFonts w:ascii="Arial" w:hAnsi="Arial" w:cs="Arial"/>
          <w:sz w:val="20"/>
          <w:szCs w:val="20"/>
        </w:rPr>
      </w:pPr>
      <w:r w:rsidRPr="00340314">
        <w:rPr>
          <w:rFonts w:ascii="Arial" w:hAnsi="Arial" w:cs="Arial"/>
          <w:sz w:val="20"/>
          <w:szCs w:val="20"/>
        </w:rPr>
        <w:t>Impact of Authority Gradient on Escalation Failure</w:t>
      </w:r>
    </w:p>
    <w:p w14:paraId="6CFAB83F"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2d. Improvement &amp; Lessons Learned</w:t>
      </w:r>
    </w:p>
    <w:p w14:paraId="697B3681" w14:textId="77777777" w:rsidR="00340314" w:rsidRPr="00340314" w:rsidRDefault="00340314" w:rsidP="00340314">
      <w:pPr>
        <w:numPr>
          <w:ilvl w:val="0"/>
          <w:numId w:val="17"/>
        </w:numPr>
        <w:spacing w:line="240" w:lineRule="auto"/>
        <w:rPr>
          <w:rFonts w:ascii="Arial" w:hAnsi="Arial" w:cs="Arial"/>
          <w:sz w:val="20"/>
          <w:szCs w:val="20"/>
        </w:rPr>
      </w:pPr>
      <w:r w:rsidRPr="00340314">
        <w:rPr>
          <w:rFonts w:ascii="Arial" w:hAnsi="Arial" w:cs="Arial"/>
          <w:sz w:val="20"/>
          <w:szCs w:val="20"/>
        </w:rPr>
        <w:t>Interaction of Leadership, Governance, and Feedback Loops</w:t>
      </w:r>
    </w:p>
    <w:p w14:paraId="36E6E92D" w14:textId="77777777" w:rsidR="00340314" w:rsidRPr="00340314" w:rsidRDefault="00340314" w:rsidP="00340314">
      <w:pPr>
        <w:numPr>
          <w:ilvl w:val="0"/>
          <w:numId w:val="17"/>
        </w:numPr>
        <w:spacing w:line="240" w:lineRule="auto"/>
        <w:rPr>
          <w:rFonts w:ascii="Arial" w:hAnsi="Arial" w:cs="Arial"/>
          <w:sz w:val="20"/>
          <w:szCs w:val="20"/>
        </w:rPr>
      </w:pPr>
      <w:r w:rsidRPr="00340314">
        <w:rPr>
          <w:rFonts w:ascii="Arial" w:hAnsi="Arial" w:cs="Arial"/>
          <w:sz w:val="20"/>
          <w:szCs w:val="20"/>
        </w:rPr>
        <w:t>Single</w:t>
      </w:r>
      <w:r w:rsidRPr="00340314">
        <w:rPr>
          <w:rFonts w:ascii="Arial" w:hAnsi="Arial" w:cs="Arial"/>
          <w:sz w:val="20"/>
          <w:szCs w:val="20"/>
        </w:rPr>
        <w:noBreakHyphen/>
        <w:t>Loop vs. Double</w:t>
      </w:r>
      <w:r w:rsidRPr="00340314">
        <w:rPr>
          <w:rFonts w:ascii="Arial" w:hAnsi="Arial" w:cs="Arial"/>
          <w:sz w:val="20"/>
          <w:szCs w:val="20"/>
        </w:rPr>
        <w:noBreakHyphen/>
        <w:t>Loop Learning Failures</w:t>
      </w:r>
    </w:p>
    <w:p w14:paraId="538C35EB" w14:textId="77777777" w:rsidR="00340314" w:rsidRPr="00340314" w:rsidRDefault="00340314" w:rsidP="00340314">
      <w:pPr>
        <w:numPr>
          <w:ilvl w:val="0"/>
          <w:numId w:val="17"/>
        </w:numPr>
        <w:spacing w:line="240" w:lineRule="auto"/>
        <w:rPr>
          <w:rFonts w:ascii="Arial" w:hAnsi="Arial" w:cs="Arial"/>
          <w:sz w:val="20"/>
          <w:szCs w:val="20"/>
        </w:rPr>
      </w:pPr>
      <w:r w:rsidRPr="00340314">
        <w:rPr>
          <w:rFonts w:ascii="Arial" w:hAnsi="Arial" w:cs="Arial"/>
          <w:sz w:val="20"/>
          <w:szCs w:val="20"/>
        </w:rPr>
        <w:t>CHART: Feedback Loop Dynamics of Failure to Rescue</w:t>
      </w:r>
    </w:p>
    <w:p w14:paraId="44FD58A7" w14:textId="77777777" w:rsidR="00340314" w:rsidRPr="00340314" w:rsidRDefault="00340314" w:rsidP="00340314">
      <w:pPr>
        <w:numPr>
          <w:ilvl w:val="0"/>
          <w:numId w:val="17"/>
        </w:numPr>
        <w:spacing w:line="240" w:lineRule="auto"/>
        <w:rPr>
          <w:rFonts w:ascii="Arial" w:hAnsi="Arial" w:cs="Arial"/>
          <w:sz w:val="20"/>
          <w:szCs w:val="20"/>
        </w:rPr>
      </w:pPr>
      <w:r w:rsidRPr="00340314">
        <w:rPr>
          <w:rFonts w:ascii="Arial" w:hAnsi="Arial" w:cs="Arial"/>
          <w:sz w:val="20"/>
          <w:szCs w:val="20"/>
        </w:rPr>
        <w:t>Missed Opportunities</w:t>
      </w:r>
    </w:p>
    <w:p w14:paraId="463EE82B" w14:textId="77777777" w:rsidR="00340314" w:rsidRPr="00340314" w:rsidRDefault="00340314" w:rsidP="00340314">
      <w:pPr>
        <w:numPr>
          <w:ilvl w:val="1"/>
          <w:numId w:val="17"/>
        </w:numPr>
        <w:spacing w:line="240" w:lineRule="auto"/>
        <w:rPr>
          <w:rFonts w:ascii="Arial" w:hAnsi="Arial" w:cs="Arial"/>
          <w:sz w:val="20"/>
          <w:szCs w:val="20"/>
        </w:rPr>
      </w:pPr>
      <w:r w:rsidRPr="00340314">
        <w:rPr>
          <w:rFonts w:ascii="Arial" w:hAnsi="Arial" w:cs="Arial"/>
          <w:sz w:val="20"/>
          <w:szCs w:val="20"/>
        </w:rPr>
        <w:t>PEWS</w:t>
      </w:r>
    </w:p>
    <w:p w14:paraId="765D89DE" w14:textId="77777777" w:rsidR="00340314" w:rsidRPr="00340314" w:rsidRDefault="00340314" w:rsidP="00340314">
      <w:pPr>
        <w:numPr>
          <w:ilvl w:val="1"/>
          <w:numId w:val="17"/>
        </w:numPr>
        <w:spacing w:line="240" w:lineRule="auto"/>
        <w:rPr>
          <w:rFonts w:ascii="Arial" w:hAnsi="Arial" w:cs="Arial"/>
          <w:sz w:val="20"/>
          <w:szCs w:val="20"/>
        </w:rPr>
      </w:pPr>
      <w:r w:rsidRPr="00340314">
        <w:rPr>
          <w:rFonts w:ascii="Arial" w:hAnsi="Arial" w:cs="Arial"/>
          <w:sz w:val="20"/>
          <w:szCs w:val="20"/>
        </w:rPr>
        <w:t>Rapid Response Teams</w:t>
      </w:r>
    </w:p>
    <w:p w14:paraId="7D7EF817" w14:textId="77777777" w:rsidR="00340314" w:rsidRPr="00340314" w:rsidRDefault="00340314" w:rsidP="00340314">
      <w:pPr>
        <w:numPr>
          <w:ilvl w:val="1"/>
          <w:numId w:val="17"/>
        </w:numPr>
        <w:spacing w:line="240" w:lineRule="auto"/>
        <w:rPr>
          <w:rFonts w:ascii="Arial" w:hAnsi="Arial" w:cs="Arial"/>
          <w:sz w:val="20"/>
          <w:szCs w:val="20"/>
        </w:rPr>
      </w:pPr>
      <w:r w:rsidRPr="00340314">
        <w:rPr>
          <w:rFonts w:ascii="Arial" w:hAnsi="Arial" w:cs="Arial"/>
          <w:sz w:val="20"/>
          <w:szCs w:val="20"/>
        </w:rPr>
        <w:t>Mandatory Attending Contact Rules</w:t>
      </w:r>
    </w:p>
    <w:p w14:paraId="0B0080AC" w14:textId="77777777" w:rsidR="00340314" w:rsidRPr="00340314" w:rsidRDefault="00340314" w:rsidP="00340314">
      <w:pPr>
        <w:numPr>
          <w:ilvl w:val="0"/>
          <w:numId w:val="17"/>
        </w:numPr>
        <w:spacing w:line="240" w:lineRule="auto"/>
        <w:rPr>
          <w:rFonts w:ascii="Arial" w:hAnsi="Arial" w:cs="Arial"/>
          <w:sz w:val="20"/>
          <w:szCs w:val="20"/>
        </w:rPr>
      </w:pPr>
      <w:r w:rsidRPr="00340314">
        <w:rPr>
          <w:rFonts w:ascii="Arial" w:hAnsi="Arial" w:cs="Arial"/>
          <w:sz w:val="20"/>
          <w:szCs w:val="20"/>
        </w:rPr>
        <w:t>Generalisable Lessons for Global Healthcare</w:t>
      </w:r>
    </w:p>
    <w:p w14:paraId="2D54F2C5" w14:textId="77777777" w:rsidR="00340314" w:rsidRPr="00340314" w:rsidRDefault="00340314" w:rsidP="00340314">
      <w:pPr>
        <w:numPr>
          <w:ilvl w:val="1"/>
          <w:numId w:val="17"/>
        </w:numPr>
        <w:spacing w:line="240" w:lineRule="auto"/>
        <w:rPr>
          <w:rFonts w:ascii="Arial" w:hAnsi="Arial" w:cs="Arial"/>
          <w:sz w:val="20"/>
          <w:szCs w:val="20"/>
        </w:rPr>
      </w:pPr>
      <w:r w:rsidRPr="00340314">
        <w:rPr>
          <w:rFonts w:ascii="Arial" w:hAnsi="Arial" w:cs="Arial"/>
          <w:sz w:val="20"/>
          <w:szCs w:val="20"/>
        </w:rPr>
        <w:t>Condition H</w:t>
      </w:r>
    </w:p>
    <w:p w14:paraId="2EF23075" w14:textId="77777777" w:rsidR="00340314" w:rsidRPr="00340314" w:rsidRDefault="00340314" w:rsidP="00340314">
      <w:pPr>
        <w:numPr>
          <w:ilvl w:val="1"/>
          <w:numId w:val="17"/>
        </w:numPr>
        <w:spacing w:line="240" w:lineRule="auto"/>
        <w:rPr>
          <w:rFonts w:ascii="Arial" w:hAnsi="Arial" w:cs="Arial"/>
          <w:sz w:val="20"/>
          <w:szCs w:val="20"/>
        </w:rPr>
      </w:pPr>
      <w:r w:rsidRPr="00340314">
        <w:rPr>
          <w:rFonts w:ascii="Arial" w:hAnsi="Arial" w:cs="Arial"/>
          <w:sz w:val="20"/>
          <w:szCs w:val="20"/>
        </w:rPr>
        <w:t>Just Culture</w:t>
      </w:r>
    </w:p>
    <w:p w14:paraId="1C39B785" w14:textId="77777777" w:rsidR="00340314" w:rsidRPr="00340314" w:rsidRDefault="00340314" w:rsidP="00340314">
      <w:pPr>
        <w:numPr>
          <w:ilvl w:val="1"/>
          <w:numId w:val="17"/>
        </w:numPr>
        <w:spacing w:line="240" w:lineRule="auto"/>
        <w:rPr>
          <w:rFonts w:ascii="Arial" w:hAnsi="Arial" w:cs="Arial"/>
          <w:sz w:val="20"/>
          <w:szCs w:val="20"/>
        </w:rPr>
      </w:pPr>
      <w:r w:rsidRPr="00340314">
        <w:rPr>
          <w:rFonts w:ascii="Arial" w:hAnsi="Arial" w:cs="Arial"/>
          <w:sz w:val="20"/>
          <w:szCs w:val="20"/>
        </w:rPr>
        <w:t>Human Factors &amp; Cognitive Bias Awareness</w:t>
      </w:r>
    </w:p>
    <w:p w14:paraId="6D4239F0"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SECTION 3: RECOMMENDATIONS</w:t>
      </w:r>
    </w:p>
    <w:p w14:paraId="20B5971D"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1. Leadership &amp; Governance Restructuring</w:t>
      </w:r>
    </w:p>
    <w:p w14:paraId="7172EECD" w14:textId="77777777" w:rsidR="00340314" w:rsidRPr="00340314" w:rsidRDefault="00340314" w:rsidP="00340314">
      <w:pPr>
        <w:numPr>
          <w:ilvl w:val="0"/>
          <w:numId w:val="18"/>
        </w:numPr>
        <w:spacing w:line="240" w:lineRule="auto"/>
        <w:rPr>
          <w:rFonts w:ascii="Arial" w:hAnsi="Arial" w:cs="Arial"/>
          <w:sz w:val="20"/>
          <w:szCs w:val="20"/>
        </w:rPr>
      </w:pPr>
      <w:r w:rsidRPr="00340314">
        <w:rPr>
          <w:rFonts w:ascii="Arial" w:hAnsi="Arial" w:cs="Arial"/>
          <w:sz w:val="20"/>
          <w:szCs w:val="20"/>
        </w:rPr>
        <w:t>Distributed Transformational Safety Leadership</w:t>
      </w:r>
    </w:p>
    <w:p w14:paraId="6140224F" w14:textId="77777777" w:rsidR="00340314" w:rsidRPr="00340314" w:rsidRDefault="00340314" w:rsidP="00340314">
      <w:pPr>
        <w:numPr>
          <w:ilvl w:val="0"/>
          <w:numId w:val="18"/>
        </w:numPr>
        <w:spacing w:line="240" w:lineRule="auto"/>
        <w:rPr>
          <w:rFonts w:ascii="Arial" w:hAnsi="Arial" w:cs="Arial"/>
          <w:sz w:val="20"/>
          <w:szCs w:val="20"/>
        </w:rPr>
      </w:pPr>
      <w:r w:rsidRPr="00340314">
        <w:rPr>
          <w:rFonts w:ascii="Arial" w:hAnsi="Arial" w:cs="Arial"/>
          <w:sz w:val="20"/>
          <w:szCs w:val="20"/>
        </w:rPr>
        <w:t>Just Culture &amp; Open Disclosure</w:t>
      </w:r>
    </w:p>
    <w:p w14:paraId="74712A01" w14:textId="77777777" w:rsidR="00340314" w:rsidRPr="00340314" w:rsidRDefault="00340314" w:rsidP="00340314">
      <w:pPr>
        <w:numPr>
          <w:ilvl w:val="0"/>
          <w:numId w:val="18"/>
        </w:numPr>
        <w:spacing w:line="240" w:lineRule="auto"/>
        <w:rPr>
          <w:rFonts w:ascii="Arial" w:hAnsi="Arial" w:cs="Arial"/>
          <w:sz w:val="20"/>
          <w:szCs w:val="20"/>
        </w:rPr>
      </w:pPr>
      <w:r w:rsidRPr="00340314">
        <w:rPr>
          <w:rFonts w:ascii="Arial" w:hAnsi="Arial" w:cs="Arial"/>
          <w:sz w:val="20"/>
          <w:szCs w:val="20"/>
        </w:rPr>
        <w:t>Executive Safety Walkrounds</w:t>
      </w:r>
    </w:p>
    <w:p w14:paraId="34656B7D"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2. Mandatory Clinical Controls</w:t>
      </w:r>
    </w:p>
    <w:p w14:paraId="31D96F74" w14:textId="77777777" w:rsidR="00340314" w:rsidRPr="00340314" w:rsidRDefault="00340314" w:rsidP="00340314">
      <w:pPr>
        <w:numPr>
          <w:ilvl w:val="0"/>
          <w:numId w:val="19"/>
        </w:numPr>
        <w:spacing w:line="240" w:lineRule="auto"/>
        <w:rPr>
          <w:rFonts w:ascii="Arial" w:hAnsi="Arial" w:cs="Arial"/>
          <w:sz w:val="20"/>
          <w:szCs w:val="20"/>
        </w:rPr>
      </w:pPr>
      <w:r w:rsidRPr="00340314">
        <w:rPr>
          <w:rFonts w:ascii="Arial" w:hAnsi="Arial" w:cs="Arial"/>
          <w:sz w:val="20"/>
          <w:szCs w:val="20"/>
        </w:rPr>
        <w:t>Automated PEWS Integration</w:t>
      </w:r>
    </w:p>
    <w:p w14:paraId="7D959532" w14:textId="77777777" w:rsidR="00340314" w:rsidRPr="00340314" w:rsidRDefault="00340314" w:rsidP="00340314">
      <w:pPr>
        <w:numPr>
          <w:ilvl w:val="0"/>
          <w:numId w:val="19"/>
        </w:numPr>
        <w:spacing w:line="240" w:lineRule="auto"/>
        <w:rPr>
          <w:rFonts w:ascii="Arial" w:hAnsi="Arial" w:cs="Arial"/>
          <w:sz w:val="20"/>
          <w:szCs w:val="20"/>
        </w:rPr>
      </w:pPr>
      <w:r w:rsidRPr="00340314">
        <w:rPr>
          <w:rFonts w:ascii="Arial" w:hAnsi="Arial" w:cs="Arial"/>
          <w:sz w:val="20"/>
          <w:szCs w:val="20"/>
        </w:rPr>
        <w:t>Independent Rapid Response Teams</w:t>
      </w:r>
    </w:p>
    <w:p w14:paraId="6E899A1E" w14:textId="77777777" w:rsidR="00340314" w:rsidRPr="00340314" w:rsidRDefault="00340314" w:rsidP="00340314">
      <w:pPr>
        <w:numPr>
          <w:ilvl w:val="0"/>
          <w:numId w:val="19"/>
        </w:numPr>
        <w:spacing w:line="240" w:lineRule="auto"/>
        <w:rPr>
          <w:rFonts w:ascii="Arial" w:hAnsi="Arial" w:cs="Arial"/>
          <w:sz w:val="20"/>
          <w:szCs w:val="20"/>
        </w:rPr>
      </w:pPr>
      <w:r w:rsidRPr="00340314">
        <w:rPr>
          <w:rFonts w:ascii="Arial" w:hAnsi="Arial" w:cs="Arial"/>
          <w:sz w:val="20"/>
          <w:szCs w:val="20"/>
        </w:rPr>
        <w:t>Hard</w:t>
      </w:r>
      <w:r w:rsidRPr="00340314">
        <w:rPr>
          <w:rFonts w:ascii="Arial" w:hAnsi="Arial" w:cs="Arial"/>
          <w:sz w:val="20"/>
          <w:szCs w:val="20"/>
        </w:rPr>
        <w:noBreakHyphen/>
        <w:t>Stop Attending Escalation Triggers</w:t>
      </w:r>
    </w:p>
    <w:p w14:paraId="2FEA73F3"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3. Workflow, Systems Integration &amp; Team Training</w:t>
      </w:r>
    </w:p>
    <w:p w14:paraId="506EFF47" w14:textId="77777777" w:rsidR="00340314" w:rsidRPr="00340314" w:rsidRDefault="00340314" w:rsidP="00340314">
      <w:pPr>
        <w:numPr>
          <w:ilvl w:val="0"/>
          <w:numId w:val="20"/>
        </w:numPr>
        <w:spacing w:line="240" w:lineRule="auto"/>
        <w:rPr>
          <w:rFonts w:ascii="Arial" w:hAnsi="Arial" w:cs="Arial"/>
          <w:sz w:val="20"/>
          <w:szCs w:val="20"/>
        </w:rPr>
      </w:pPr>
      <w:r w:rsidRPr="00340314">
        <w:rPr>
          <w:rFonts w:ascii="Arial" w:hAnsi="Arial" w:cs="Arial"/>
          <w:sz w:val="20"/>
          <w:szCs w:val="20"/>
        </w:rPr>
        <w:t>Weekend/Night Coverage Reform</w:t>
      </w:r>
    </w:p>
    <w:p w14:paraId="4D442401" w14:textId="77777777" w:rsidR="00340314" w:rsidRPr="00340314" w:rsidRDefault="00340314" w:rsidP="00340314">
      <w:pPr>
        <w:numPr>
          <w:ilvl w:val="0"/>
          <w:numId w:val="20"/>
        </w:numPr>
        <w:spacing w:line="240" w:lineRule="auto"/>
        <w:rPr>
          <w:rFonts w:ascii="Arial" w:hAnsi="Arial" w:cs="Arial"/>
          <w:sz w:val="20"/>
          <w:szCs w:val="20"/>
        </w:rPr>
      </w:pPr>
      <w:r w:rsidRPr="00340314">
        <w:rPr>
          <w:rFonts w:ascii="Arial" w:hAnsi="Arial" w:cs="Arial"/>
          <w:sz w:val="20"/>
          <w:szCs w:val="20"/>
        </w:rPr>
        <w:t>Crew Resource Management (CRM) Training</w:t>
      </w:r>
    </w:p>
    <w:p w14:paraId="4A2612B4" w14:textId="77777777" w:rsidR="00340314" w:rsidRPr="00340314" w:rsidRDefault="00340314" w:rsidP="00340314">
      <w:pPr>
        <w:numPr>
          <w:ilvl w:val="0"/>
          <w:numId w:val="20"/>
        </w:numPr>
        <w:spacing w:line="240" w:lineRule="auto"/>
        <w:rPr>
          <w:rFonts w:ascii="Arial" w:hAnsi="Arial" w:cs="Arial"/>
          <w:sz w:val="20"/>
          <w:szCs w:val="20"/>
        </w:rPr>
      </w:pPr>
      <w:r w:rsidRPr="00340314">
        <w:rPr>
          <w:rFonts w:ascii="Arial" w:hAnsi="Arial" w:cs="Arial"/>
          <w:sz w:val="20"/>
          <w:szCs w:val="20"/>
        </w:rPr>
        <w:t>CUSS Assertion Framework</w:t>
      </w:r>
    </w:p>
    <w:p w14:paraId="31A86326" w14:textId="77777777" w:rsidR="00340314" w:rsidRPr="00340314" w:rsidRDefault="00340314" w:rsidP="00340314">
      <w:pPr>
        <w:numPr>
          <w:ilvl w:val="0"/>
          <w:numId w:val="20"/>
        </w:numPr>
        <w:spacing w:line="240" w:lineRule="auto"/>
        <w:rPr>
          <w:rFonts w:ascii="Arial" w:hAnsi="Arial" w:cs="Arial"/>
          <w:sz w:val="20"/>
          <w:szCs w:val="20"/>
        </w:rPr>
      </w:pPr>
      <w:r w:rsidRPr="00340314">
        <w:rPr>
          <w:rFonts w:ascii="Arial" w:hAnsi="Arial" w:cs="Arial"/>
          <w:sz w:val="20"/>
          <w:szCs w:val="20"/>
        </w:rPr>
        <w:t>SBAR Communication Tools</w:t>
      </w:r>
    </w:p>
    <w:p w14:paraId="23F087E4"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TABLE: Organisational Transformation Roadmap</w:t>
      </w:r>
    </w:p>
    <w:p w14:paraId="5D99FC8F" w14:textId="77777777" w:rsidR="00340314" w:rsidRPr="00340314" w:rsidRDefault="00340314" w:rsidP="00340314">
      <w:pPr>
        <w:numPr>
          <w:ilvl w:val="0"/>
          <w:numId w:val="21"/>
        </w:numPr>
        <w:spacing w:line="240" w:lineRule="auto"/>
        <w:rPr>
          <w:rFonts w:ascii="Arial" w:hAnsi="Arial" w:cs="Arial"/>
          <w:sz w:val="20"/>
          <w:szCs w:val="20"/>
        </w:rPr>
      </w:pPr>
      <w:r w:rsidRPr="00340314">
        <w:rPr>
          <w:rFonts w:ascii="Arial" w:hAnsi="Arial" w:cs="Arial"/>
          <w:sz w:val="20"/>
          <w:szCs w:val="20"/>
        </w:rPr>
        <w:t>Phase 1 (Months 1–3)</w:t>
      </w:r>
    </w:p>
    <w:p w14:paraId="777AE5C5" w14:textId="77777777" w:rsidR="00340314" w:rsidRPr="00340314" w:rsidRDefault="00340314" w:rsidP="00340314">
      <w:pPr>
        <w:numPr>
          <w:ilvl w:val="0"/>
          <w:numId w:val="21"/>
        </w:numPr>
        <w:spacing w:line="240" w:lineRule="auto"/>
        <w:rPr>
          <w:rFonts w:ascii="Arial" w:hAnsi="Arial" w:cs="Arial"/>
          <w:sz w:val="20"/>
          <w:szCs w:val="20"/>
        </w:rPr>
      </w:pPr>
      <w:r w:rsidRPr="00340314">
        <w:rPr>
          <w:rFonts w:ascii="Arial" w:hAnsi="Arial" w:cs="Arial"/>
          <w:sz w:val="20"/>
          <w:szCs w:val="20"/>
        </w:rPr>
        <w:t>Phase 2 (Months 4–6)</w:t>
      </w:r>
    </w:p>
    <w:p w14:paraId="40CD9F04" w14:textId="77777777" w:rsidR="00340314" w:rsidRPr="00340314" w:rsidRDefault="00340314" w:rsidP="00340314">
      <w:pPr>
        <w:numPr>
          <w:ilvl w:val="0"/>
          <w:numId w:val="21"/>
        </w:numPr>
        <w:spacing w:line="240" w:lineRule="auto"/>
        <w:rPr>
          <w:rFonts w:ascii="Arial" w:hAnsi="Arial" w:cs="Arial"/>
          <w:sz w:val="20"/>
          <w:szCs w:val="20"/>
        </w:rPr>
      </w:pPr>
      <w:r w:rsidRPr="00340314">
        <w:rPr>
          <w:rFonts w:ascii="Arial" w:hAnsi="Arial" w:cs="Arial"/>
          <w:sz w:val="20"/>
          <w:szCs w:val="20"/>
        </w:rPr>
        <w:t>Phase 3 (Months 7–12)</w:t>
      </w:r>
    </w:p>
    <w:p w14:paraId="2B5A3E63"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SECTION 4: CONCLUSION</w:t>
      </w:r>
    </w:p>
    <w:p w14:paraId="40181EF3" w14:textId="77777777" w:rsidR="00340314" w:rsidRPr="00340314" w:rsidRDefault="00340314" w:rsidP="00340314">
      <w:pPr>
        <w:numPr>
          <w:ilvl w:val="0"/>
          <w:numId w:val="22"/>
        </w:numPr>
        <w:spacing w:line="240" w:lineRule="auto"/>
        <w:rPr>
          <w:rFonts w:ascii="Arial" w:hAnsi="Arial" w:cs="Arial"/>
          <w:sz w:val="20"/>
          <w:szCs w:val="20"/>
        </w:rPr>
      </w:pPr>
      <w:r w:rsidRPr="00340314">
        <w:rPr>
          <w:rFonts w:ascii="Arial" w:hAnsi="Arial" w:cs="Arial"/>
          <w:sz w:val="20"/>
          <w:szCs w:val="20"/>
        </w:rPr>
        <w:t>Summary of Structural, Cultural, and Leadership Failures</w:t>
      </w:r>
    </w:p>
    <w:p w14:paraId="786838F3" w14:textId="77777777" w:rsidR="00340314" w:rsidRPr="00340314" w:rsidRDefault="00340314" w:rsidP="00340314">
      <w:pPr>
        <w:numPr>
          <w:ilvl w:val="0"/>
          <w:numId w:val="22"/>
        </w:numPr>
        <w:spacing w:line="240" w:lineRule="auto"/>
        <w:rPr>
          <w:rFonts w:ascii="Arial" w:hAnsi="Arial" w:cs="Arial"/>
          <w:sz w:val="20"/>
          <w:szCs w:val="20"/>
        </w:rPr>
      </w:pPr>
      <w:r w:rsidRPr="00340314">
        <w:rPr>
          <w:rFonts w:ascii="Arial" w:hAnsi="Arial" w:cs="Arial"/>
          <w:sz w:val="20"/>
          <w:szCs w:val="20"/>
        </w:rPr>
        <w:lastRenderedPageBreak/>
        <w:t>Importance of Transformational Leadership &amp; Psychological Safety</w:t>
      </w:r>
    </w:p>
    <w:p w14:paraId="515DB8F7" w14:textId="77777777" w:rsidR="00340314" w:rsidRPr="00340314" w:rsidRDefault="00340314" w:rsidP="00340314">
      <w:pPr>
        <w:numPr>
          <w:ilvl w:val="0"/>
          <w:numId w:val="22"/>
        </w:numPr>
        <w:spacing w:line="240" w:lineRule="auto"/>
        <w:rPr>
          <w:rFonts w:ascii="Arial" w:hAnsi="Arial" w:cs="Arial"/>
          <w:sz w:val="20"/>
          <w:szCs w:val="20"/>
        </w:rPr>
      </w:pPr>
      <w:r w:rsidRPr="00340314">
        <w:rPr>
          <w:rFonts w:ascii="Arial" w:hAnsi="Arial" w:cs="Arial"/>
          <w:sz w:val="20"/>
          <w:szCs w:val="20"/>
        </w:rPr>
        <w:t>Need for High Reliability Organisation (HRO) Principles</w:t>
      </w:r>
    </w:p>
    <w:p w14:paraId="138DAAC8" w14:textId="77777777" w:rsidR="00340314" w:rsidRPr="00340314" w:rsidRDefault="00340314" w:rsidP="00340314">
      <w:pPr>
        <w:numPr>
          <w:ilvl w:val="0"/>
          <w:numId w:val="22"/>
        </w:numPr>
        <w:spacing w:line="240" w:lineRule="auto"/>
        <w:rPr>
          <w:rFonts w:ascii="Arial" w:hAnsi="Arial" w:cs="Arial"/>
          <w:sz w:val="20"/>
          <w:szCs w:val="20"/>
        </w:rPr>
      </w:pPr>
      <w:r w:rsidRPr="00340314">
        <w:rPr>
          <w:rFonts w:ascii="Arial" w:hAnsi="Arial" w:cs="Arial"/>
          <w:sz w:val="20"/>
          <w:szCs w:val="20"/>
        </w:rPr>
        <w:t>Integration of Technology, Governance, and Human Factors</w:t>
      </w:r>
    </w:p>
    <w:p w14:paraId="3CDD8656" w14:textId="77777777" w:rsidR="00340314" w:rsidRPr="00340314" w:rsidRDefault="00340314" w:rsidP="00340314">
      <w:pPr>
        <w:spacing w:line="240" w:lineRule="auto"/>
        <w:rPr>
          <w:rFonts w:ascii="Arial" w:hAnsi="Arial" w:cs="Arial"/>
          <w:sz w:val="20"/>
          <w:szCs w:val="20"/>
        </w:rPr>
      </w:pPr>
      <w:r w:rsidRPr="00340314">
        <w:rPr>
          <w:rFonts w:ascii="Arial" w:hAnsi="Arial" w:cs="Arial"/>
          <w:sz w:val="20"/>
          <w:szCs w:val="20"/>
        </w:rPr>
        <w:t>SECTION 5: REFERENCES</w:t>
      </w:r>
    </w:p>
    <w:p w14:paraId="74E922F1" w14:textId="7A6CD396" w:rsidR="00340314" w:rsidRDefault="00340314" w:rsidP="002462CA">
      <w:pPr>
        <w:spacing w:line="360" w:lineRule="auto"/>
        <w:rPr>
          <w:rFonts w:ascii="Arial" w:hAnsi="Arial" w:cs="Arial"/>
          <w:b/>
          <w:bCs/>
        </w:rPr>
      </w:pPr>
    </w:p>
    <w:p w14:paraId="0ED0C924" w14:textId="77777777" w:rsidR="00340314" w:rsidRDefault="00340314">
      <w:pPr>
        <w:rPr>
          <w:rFonts w:ascii="Arial" w:hAnsi="Arial" w:cs="Arial"/>
          <w:b/>
          <w:bCs/>
        </w:rPr>
      </w:pPr>
      <w:r>
        <w:rPr>
          <w:rFonts w:ascii="Arial" w:hAnsi="Arial" w:cs="Arial"/>
          <w:b/>
          <w:bCs/>
        </w:rPr>
        <w:br w:type="page"/>
      </w:r>
    </w:p>
    <w:p w14:paraId="4071AFB0" w14:textId="2EEE80D2" w:rsidR="002462CA" w:rsidRPr="002462CA" w:rsidRDefault="002462CA" w:rsidP="002462CA">
      <w:pPr>
        <w:spacing w:line="360" w:lineRule="auto"/>
        <w:rPr>
          <w:rFonts w:ascii="Arial" w:hAnsi="Arial" w:cs="Arial"/>
          <w:b/>
          <w:bCs/>
        </w:rPr>
      </w:pPr>
      <w:r w:rsidRPr="002462CA">
        <w:rPr>
          <w:rFonts w:ascii="Arial" w:hAnsi="Arial" w:cs="Arial"/>
          <w:b/>
          <w:bCs/>
        </w:rPr>
        <w:lastRenderedPageBreak/>
        <w:t xml:space="preserve">1. INTRODUCTION </w:t>
      </w:r>
    </w:p>
    <w:p w14:paraId="646DD850" w14:textId="77777777" w:rsidR="002462CA" w:rsidRPr="002462CA" w:rsidRDefault="002462CA" w:rsidP="002462CA">
      <w:pPr>
        <w:spacing w:line="360" w:lineRule="auto"/>
        <w:rPr>
          <w:rFonts w:ascii="Arial" w:hAnsi="Arial" w:cs="Arial"/>
        </w:rPr>
      </w:pPr>
      <w:r w:rsidRPr="002462CA">
        <w:rPr>
          <w:rFonts w:ascii="Arial" w:hAnsi="Arial" w:cs="Arial"/>
        </w:rPr>
        <w:t>The delivery of safe, high-quality healthcare is intrinsically dependent on effective healthcare leadership, robust organizational governance, and integrated care systems. Within complex healthcare environments, leadership is defined as the process of influencing and motivating individuals, multidisciplinary teams, and institutional structures toward achieving shared clinical, operational, and patient-safety goals (Northouse, 2021). In acute hospital settings, organizational leadership serves as the structural foundation that dictates workplace culture, escalation protocols, communication channels, and clinical governance frameworks (West et al., 2015).</w:t>
      </w:r>
    </w:p>
    <w:p w14:paraId="65106C0C" w14:textId="77777777" w:rsidR="002462CA" w:rsidRPr="002462CA" w:rsidRDefault="002462CA" w:rsidP="002462CA">
      <w:pPr>
        <w:spacing w:line="360" w:lineRule="auto"/>
        <w:rPr>
          <w:rFonts w:ascii="Arial" w:hAnsi="Arial" w:cs="Arial"/>
        </w:rPr>
      </w:pPr>
      <w:r w:rsidRPr="002462CA">
        <w:rPr>
          <w:rFonts w:ascii="Arial" w:hAnsi="Arial" w:cs="Arial"/>
        </w:rPr>
        <w:t>Healthcare organizations operate across a spectrum of structural designs, ranging from centralized, hierarchical command-and-control models to decentralized, distributed governance frameworks. Centralized authority concentrates decision-making power within top-level administrative or senior medical tiers, promoting standardized policies; however, it often restricts frontline adaptability and stifles open interprofessional communication (Mintzberg, 1983; Mannion and Davies, 2018). Conversely, decentralized governance distributes decision-making authority closer to frontline clinical teams, enhancing responsiveness, though it requires robust oversight to prevent fragmented quality standards and care gaps (Glouberman and Mintzberg, 2001).</w:t>
      </w:r>
    </w:p>
    <w:p w14:paraId="420DF348" w14:textId="77777777" w:rsidR="002462CA" w:rsidRPr="002462CA" w:rsidRDefault="002462CA" w:rsidP="002462CA">
      <w:pPr>
        <w:spacing w:line="360" w:lineRule="auto"/>
        <w:rPr>
          <w:rFonts w:ascii="Arial" w:hAnsi="Arial" w:cs="Arial"/>
        </w:rPr>
      </w:pPr>
      <w:r w:rsidRPr="002462CA">
        <w:rPr>
          <w:rFonts w:ascii="Arial" w:hAnsi="Arial" w:cs="Arial"/>
        </w:rPr>
        <w:t>Leadership style plays a pivotal role in dictating institutional outcomes during routine operations and acute clinical deterioration events. Transformational leadership fosters psychological safety, empowers multidisciplinary teams, and encourages continuous organizational learning (Bass and Avolio, 1994). Transactional leadership relies on rigid compliance, performance monitoring, and contingent punishment structures, which can maintain basic operational order but often fails to address complex, systemic safety threats (Avolio and Yammarino, 2013). Situational leadership requires leaders to adapt their approach dynamically based on task complexity, environmental stress, and team maturity (Hersey and Blanchard, 1988). Choosing an inappropriate leadership style during operational strain can exacerbate systemic vulnerabilities, suppress error reporting, and result in catastrophic clinical failures (Reason, 2000).</w:t>
      </w:r>
    </w:p>
    <w:p w14:paraId="2C3AF2B7" w14:textId="77777777" w:rsidR="002462CA" w:rsidRPr="002462CA" w:rsidRDefault="002462CA" w:rsidP="002462CA">
      <w:pPr>
        <w:spacing w:line="360" w:lineRule="auto"/>
        <w:rPr>
          <w:rFonts w:ascii="Arial" w:hAnsi="Arial" w:cs="Arial"/>
        </w:rPr>
      </w:pPr>
      <w:r w:rsidRPr="002462CA">
        <w:rPr>
          <w:rFonts w:ascii="Arial" w:hAnsi="Arial" w:cs="Arial"/>
        </w:rPr>
        <w:lastRenderedPageBreak/>
        <w:t xml:space="preserve">This report presents a comprehensive Level 7 critical case study analysis of the tragic adverse event known as </w:t>
      </w:r>
      <w:r w:rsidRPr="002462CA">
        <w:rPr>
          <w:rFonts w:ascii="Arial" w:hAnsi="Arial" w:cs="Arial"/>
          <w:i/>
          <w:iCs/>
        </w:rPr>
        <w:t>The Lewis Blackman Story</w:t>
      </w:r>
      <w:r w:rsidRPr="002462CA">
        <w:rPr>
          <w:rFonts w:ascii="Arial" w:hAnsi="Arial" w:cs="Arial"/>
        </w:rPr>
        <w:t>. Lewis Blackman, a healthy 15-year-old boy, underwent elective minimally invasive chest surgery (Nuss procedure) but developed unrecognized, fatal internal hemorrhage due to severe postoperative gastrointestinal ulceration linked to Toradol (ketorolac) administration. Over 30 hours of progressive shock, junior house staff and nurses failed to escalate care to an attending physician due to cognitive biases, steep authority gradients, weekend staffing deficits, and fragmented communication. This analysis applies systems thinking, Checkland’s Soft Systems Methodology (Rich Picture analysis), Reason’s Swiss Cheese Model, centralisation versus decentralisation frameworks, and leadership theory to evaluate the systemic weaknesses that permitted this event, concluding with evidence-based recommendations for sustainable transformation.</w:t>
      </w:r>
    </w:p>
    <w:p w14:paraId="6C7E1CFC" w14:textId="187A173A" w:rsidR="002462CA" w:rsidRPr="002462CA" w:rsidRDefault="002462CA" w:rsidP="002462CA">
      <w:pPr>
        <w:spacing w:line="360" w:lineRule="auto"/>
        <w:rPr>
          <w:rFonts w:ascii="Arial" w:hAnsi="Arial" w:cs="Arial"/>
          <w:b/>
          <w:bCs/>
        </w:rPr>
      </w:pPr>
      <w:r w:rsidRPr="002462CA">
        <w:rPr>
          <w:rFonts w:ascii="Arial" w:hAnsi="Arial" w:cs="Arial"/>
          <w:b/>
          <w:bCs/>
        </w:rPr>
        <w:t xml:space="preserve">2. MAIN BODY AND ANALYSIS </w:t>
      </w:r>
    </w:p>
    <w:p w14:paraId="3D2AECD4" w14:textId="459A8D18" w:rsidR="002462CA" w:rsidRPr="002462CA" w:rsidRDefault="002462CA" w:rsidP="002462CA">
      <w:pPr>
        <w:spacing w:line="360" w:lineRule="auto"/>
        <w:rPr>
          <w:rFonts w:ascii="Arial" w:hAnsi="Arial" w:cs="Arial"/>
          <w:b/>
          <w:bCs/>
        </w:rPr>
      </w:pPr>
      <w:r w:rsidRPr="002462CA">
        <w:rPr>
          <w:rFonts w:ascii="Arial" w:hAnsi="Arial" w:cs="Arial"/>
          <w:b/>
          <w:bCs/>
        </w:rPr>
        <w:t xml:space="preserve">2a. Identifying the Problem and Setting the System Context: Applying Systems Thinking and the Rich Picture </w:t>
      </w:r>
    </w:p>
    <w:p w14:paraId="32CC4F77" w14:textId="77777777" w:rsidR="002462CA" w:rsidRPr="002462CA" w:rsidRDefault="002462CA" w:rsidP="002462CA">
      <w:pPr>
        <w:spacing w:line="360" w:lineRule="auto"/>
        <w:rPr>
          <w:rFonts w:ascii="Arial" w:hAnsi="Arial" w:cs="Arial"/>
        </w:rPr>
      </w:pPr>
      <w:r w:rsidRPr="002462CA">
        <w:rPr>
          <w:rFonts w:ascii="Arial" w:hAnsi="Arial" w:cs="Arial"/>
        </w:rPr>
        <w:t>"Failure to rescue"—defined as the inability of healthcare providers or institutional systems to prevent death in a patient who develops a treatable post-surgical complication—represents a profound indicator of systemic organizational vulnerability (Silber et al., 1992; Taenzer, Pyke and McGrath, 2010). The Lewis Blackman case stands as an iconic international example of failure to rescue. Following an elective Nuss procedure for pectus excavatum, Lewis was administered Toradol (ketorolac), a potent nonsteroidal anti-inflammatory drug (NSAID) known to cause gastric ulceration. Over the weekend, Lewis suffered massive, concealed gastrointestinal bleeding, leading to hypovolemic shock. His clinical presentation exhibited classical signs of acute hemodynamic collapse: persistent severe abdominal pain, profound oliguria (zero urine output for over 18 hours), severe hypotension, pale/mottled skin, and intractable nausea (Haskell, 2008).</w:t>
      </w:r>
    </w:p>
    <w:p w14:paraId="631168E3" w14:textId="77777777" w:rsidR="002462CA" w:rsidRPr="002462CA" w:rsidRDefault="002462CA" w:rsidP="002462CA">
      <w:pPr>
        <w:spacing w:line="360" w:lineRule="auto"/>
        <w:rPr>
          <w:rFonts w:ascii="Arial" w:hAnsi="Arial" w:cs="Arial"/>
        </w:rPr>
      </w:pPr>
      <w:r w:rsidRPr="002462CA">
        <w:rPr>
          <w:rFonts w:ascii="Arial" w:hAnsi="Arial" w:cs="Arial"/>
        </w:rPr>
        <w:t xml:space="preserve">Despite these overt signs of severe deterioration, the frontline care team—comprising junior resident physicians and ward nurses—consistently misattributed his symptoms to benign causes, such as postoperative ileus, side effects of epidural analgesia, or pain-induced distress. Critically, over a 30-hour window of continuous </w:t>
      </w:r>
      <w:r w:rsidRPr="002462CA">
        <w:rPr>
          <w:rFonts w:ascii="Arial" w:hAnsi="Arial" w:cs="Arial"/>
        </w:rPr>
        <w:lastRenderedPageBreak/>
        <w:t>decline, the attending pediatric surgeon was never directly contacted or brought to the bedside to evaluate the patient (Haskell, 2008; Joint Commission, 2017). The trajectory ended in cardiac arrest and unrecoverable hemorrhagic shock.</w:t>
      </w:r>
    </w:p>
    <w:p w14:paraId="2DF1B272" w14:textId="77777777" w:rsidR="002462CA" w:rsidRPr="002462CA" w:rsidRDefault="002462CA" w:rsidP="002462CA">
      <w:pPr>
        <w:spacing w:line="360" w:lineRule="auto"/>
        <w:rPr>
          <w:rFonts w:ascii="Arial" w:hAnsi="Arial" w:cs="Arial"/>
        </w:rPr>
      </w:pPr>
      <w:r w:rsidRPr="002462CA">
        <w:rPr>
          <w:rFonts w:ascii="Arial" w:hAnsi="Arial" w:cs="Arial"/>
        </w:rPr>
        <w:t>To understand how such an event occurred in a prestigious tertiary teaching hospital, it must be contextualized within global and national patient safety metrics. The World Health Organization (WHO, 2020) estimates that failure to recognize and escalate patient deterioration contributes to up to 40% of preventable hospital deaths worldwide. In the United Kingdom, National Health Service (NHS) inquiries, such as the Mid Staffordshire NHS Foundation Trust Public Inquiry (Francis, 2013), highlighted that diagnostic anchoring, uncalibrated early warning scoring, and weekend staffing deficits regularly lead to avoidable mortality. Similarly, the Institute for Healthcare Improvement (IHI, 2020) emphasizes that failure to rescue is rarely caused by individual clinical incompetence; rather, it reflects latent systemic failures across interprofessional communication, diagnostic anchoring, hierarchical intimidation, and structural care fragmentation.</w:t>
      </w:r>
    </w:p>
    <w:p w14:paraId="2C577B0F" w14:textId="77777777" w:rsidR="002462CA" w:rsidRPr="002462CA" w:rsidRDefault="002462CA" w:rsidP="002462CA">
      <w:pPr>
        <w:spacing w:line="360" w:lineRule="auto"/>
        <w:rPr>
          <w:rFonts w:ascii="Arial" w:hAnsi="Arial" w:cs="Arial"/>
          <w:b/>
          <w:bCs/>
        </w:rPr>
      </w:pPr>
      <w:r w:rsidRPr="002462CA">
        <w:rPr>
          <w:rFonts w:ascii="Arial" w:hAnsi="Arial" w:cs="Arial"/>
          <w:b/>
          <w:bCs/>
        </w:rPr>
        <w:t>Diagnostic Anchoring and Cognitive Biases</w:t>
      </w:r>
    </w:p>
    <w:p w14:paraId="3318B868" w14:textId="77777777" w:rsidR="002462CA" w:rsidRPr="002462CA" w:rsidRDefault="002462CA" w:rsidP="002462CA">
      <w:pPr>
        <w:spacing w:line="360" w:lineRule="auto"/>
        <w:rPr>
          <w:rFonts w:ascii="Arial" w:hAnsi="Arial" w:cs="Arial"/>
        </w:rPr>
      </w:pPr>
      <w:r w:rsidRPr="002462CA">
        <w:rPr>
          <w:rFonts w:ascii="Arial" w:hAnsi="Arial" w:cs="Arial"/>
        </w:rPr>
        <w:t xml:space="preserve">At the individual and team micro-system levels, the clinical judgment of the junior resident physicians was compromised by cognitive biases—specifically </w:t>
      </w:r>
      <w:r w:rsidRPr="002462CA">
        <w:rPr>
          <w:rFonts w:ascii="Arial" w:hAnsi="Arial" w:cs="Arial"/>
          <w:i/>
          <w:iCs/>
        </w:rPr>
        <w:t>anchoring bias</w:t>
      </w:r>
      <w:r w:rsidRPr="002462CA">
        <w:rPr>
          <w:rFonts w:ascii="Arial" w:hAnsi="Arial" w:cs="Arial"/>
        </w:rPr>
        <w:t xml:space="preserve"> and </w:t>
      </w:r>
      <w:r w:rsidRPr="002462CA">
        <w:rPr>
          <w:rFonts w:ascii="Arial" w:hAnsi="Arial" w:cs="Arial"/>
          <w:i/>
          <w:iCs/>
        </w:rPr>
        <w:t>confirmation bias</w:t>
      </w:r>
      <w:r w:rsidRPr="002462CA">
        <w:rPr>
          <w:rFonts w:ascii="Arial" w:hAnsi="Arial" w:cs="Arial"/>
        </w:rPr>
        <w:t xml:space="preserve"> (Kahneman, 2011; Croskerry, 2003). The initial clinical hypothesis formed by the house staff was that Lewis was suffering from benign narcotic-induced bowel dysfunction or surgical pain. As new, alarming vital signs emerged (e.g., blood pressure dropping to undetectable levels on standard cuffs), the team exhibited anchoring bias by sticking firmly to their initial diagnostic anchor. They displayed confirmation bias by interpreting low blood pressure as a measurement artifact or a side effect of the epidural, completely ignoring the converging clinical evidence of acute intravascular fluid loss and hypovolemia (Reason, 2000).</w:t>
      </w:r>
    </w:p>
    <w:p w14:paraId="56672BF8" w14:textId="77777777" w:rsidR="002462CA" w:rsidRPr="002462CA" w:rsidRDefault="002462CA" w:rsidP="002462CA">
      <w:pPr>
        <w:spacing w:line="360" w:lineRule="auto"/>
        <w:rPr>
          <w:rFonts w:ascii="Arial" w:hAnsi="Arial" w:cs="Arial"/>
          <w:b/>
          <w:bCs/>
        </w:rPr>
      </w:pPr>
      <w:r w:rsidRPr="002462CA">
        <w:rPr>
          <w:rFonts w:ascii="Arial" w:hAnsi="Arial" w:cs="Arial"/>
          <w:b/>
          <w:bCs/>
        </w:rPr>
        <w:t>Systems Thinking Framework: Swiss Cheese Model &amp; Causal Loops</w:t>
      </w:r>
    </w:p>
    <w:p w14:paraId="4F0EC027" w14:textId="77777777" w:rsidR="002462CA" w:rsidRPr="002462CA" w:rsidRDefault="002462CA" w:rsidP="002462CA">
      <w:pPr>
        <w:spacing w:line="360" w:lineRule="auto"/>
        <w:rPr>
          <w:rFonts w:ascii="Arial" w:hAnsi="Arial" w:cs="Arial"/>
        </w:rPr>
      </w:pPr>
      <w:r w:rsidRPr="002462CA">
        <w:rPr>
          <w:rFonts w:ascii="Arial" w:hAnsi="Arial" w:cs="Arial"/>
        </w:rPr>
        <w:t>Applying Reason’s (1990, 2000) Swiss Cheese Model reveals how multiple latent systemic conditions combined with active frontline failures to create a fatal trajectory:</w:t>
      </w:r>
    </w:p>
    <w:p w14:paraId="03EE8A10" w14:textId="77777777" w:rsidR="002462CA" w:rsidRPr="002462CA" w:rsidRDefault="002462CA" w:rsidP="002462CA">
      <w:pPr>
        <w:numPr>
          <w:ilvl w:val="0"/>
          <w:numId w:val="1"/>
        </w:numPr>
        <w:spacing w:line="360" w:lineRule="auto"/>
        <w:rPr>
          <w:rFonts w:ascii="Arial" w:hAnsi="Arial" w:cs="Arial"/>
        </w:rPr>
      </w:pPr>
      <w:r w:rsidRPr="002462CA">
        <w:rPr>
          <w:rFonts w:ascii="Arial" w:hAnsi="Arial" w:cs="Arial"/>
          <w:b/>
          <w:bCs/>
        </w:rPr>
        <w:lastRenderedPageBreak/>
        <w:t>Latent Condition 1 (Organizational Policy &amp; Staffing):</w:t>
      </w:r>
      <w:r w:rsidRPr="002462CA">
        <w:rPr>
          <w:rFonts w:ascii="Arial" w:hAnsi="Arial" w:cs="Arial"/>
        </w:rPr>
        <w:t xml:space="preserve"> Severe weekend cross-coverage structures, where first-year residents (interns) covered dozens of unfamiliar patients across multiple surgical services without direct, on-site attending supervision.</w:t>
      </w:r>
    </w:p>
    <w:p w14:paraId="71333EE2" w14:textId="77777777" w:rsidR="002462CA" w:rsidRPr="002462CA" w:rsidRDefault="002462CA" w:rsidP="002462CA">
      <w:pPr>
        <w:numPr>
          <w:ilvl w:val="0"/>
          <w:numId w:val="1"/>
        </w:numPr>
        <w:spacing w:line="360" w:lineRule="auto"/>
        <w:rPr>
          <w:rFonts w:ascii="Arial" w:hAnsi="Arial" w:cs="Arial"/>
        </w:rPr>
      </w:pPr>
      <w:r w:rsidRPr="002462CA">
        <w:rPr>
          <w:rFonts w:ascii="Arial" w:hAnsi="Arial" w:cs="Arial"/>
          <w:b/>
          <w:bCs/>
        </w:rPr>
        <w:t>Latent Condition 2 (Culture &amp; Authority Gradient):</w:t>
      </w:r>
      <w:r w:rsidRPr="002462CA">
        <w:rPr>
          <w:rFonts w:ascii="Arial" w:hAnsi="Arial" w:cs="Arial"/>
        </w:rPr>
        <w:t xml:space="preserve"> A rigid institutional hierarchy that punished junior staff for "bothering" attending consultants at home, creating an environment of fear and reluctance to escalate care.</w:t>
      </w:r>
    </w:p>
    <w:p w14:paraId="56005159" w14:textId="77777777" w:rsidR="002462CA" w:rsidRPr="002462CA" w:rsidRDefault="002462CA" w:rsidP="002462CA">
      <w:pPr>
        <w:numPr>
          <w:ilvl w:val="0"/>
          <w:numId w:val="1"/>
        </w:numPr>
        <w:spacing w:line="360" w:lineRule="auto"/>
        <w:rPr>
          <w:rFonts w:ascii="Arial" w:hAnsi="Arial" w:cs="Arial"/>
        </w:rPr>
      </w:pPr>
      <w:r w:rsidRPr="002462CA">
        <w:rPr>
          <w:rFonts w:ascii="Arial" w:hAnsi="Arial" w:cs="Arial"/>
          <w:b/>
          <w:bCs/>
        </w:rPr>
        <w:t>Latent Condition 3 (Protocol Deficit):</w:t>
      </w:r>
      <w:r w:rsidRPr="002462CA">
        <w:rPr>
          <w:rFonts w:ascii="Arial" w:hAnsi="Arial" w:cs="Arial"/>
        </w:rPr>
        <w:t xml:space="preserve"> Absence of a standardized Pediatric Early Warning Score (PEWS) protocol with mandatory, hard-stop escalation criteria that legally bound nurses to bypass resident physicians when patient deterioration persisted.</w:t>
      </w:r>
    </w:p>
    <w:p w14:paraId="653D96E0" w14:textId="77777777" w:rsidR="002462CA" w:rsidRPr="002462CA" w:rsidRDefault="002462CA" w:rsidP="002462CA">
      <w:pPr>
        <w:numPr>
          <w:ilvl w:val="0"/>
          <w:numId w:val="1"/>
        </w:numPr>
        <w:spacing w:line="360" w:lineRule="auto"/>
        <w:rPr>
          <w:rFonts w:ascii="Arial" w:hAnsi="Arial" w:cs="Arial"/>
        </w:rPr>
      </w:pPr>
      <w:r w:rsidRPr="002462CA">
        <w:rPr>
          <w:rFonts w:ascii="Arial" w:hAnsi="Arial" w:cs="Arial"/>
          <w:b/>
          <w:bCs/>
        </w:rPr>
        <w:t>Active Failure 1 (Nursing &amp; House Staff Level):</w:t>
      </w:r>
      <w:r w:rsidRPr="002462CA">
        <w:rPr>
          <w:rFonts w:ascii="Arial" w:hAnsi="Arial" w:cs="Arial"/>
        </w:rPr>
        <w:t xml:space="preserve"> Repeated failure by ward nurses to insist on an attending evaluation despite total anuria and unmeasurable blood pressure.</w:t>
      </w:r>
    </w:p>
    <w:p w14:paraId="644CD3EC" w14:textId="2961D089" w:rsidR="00AF5516" w:rsidRPr="00AF5516" w:rsidRDefault="002462CA" w:rsidP="00AF5516">
      <w:pPr>
        <w:numPr>
          <w:ilvl w:val="0"/>
          <w:numId w:val="1"/>
        </w:numPr>
        <w:spacing w:line="360" w:lineRule="auto"/>
        <w:rPr>
          <w:rFonts w:ascii="Arial" w:hAnsi="Arial" w:cs="Arial"/>
        </w:rPr>
      </w:pPr>
      <w:r w:rsidRPr="002462CA">
        <w:rPr>
          <w:rFonts w:ascii="Arial" w:hAnsi="Arial" w:cs="Arial"/>
          <w:b/>
          <w:bCs/>
        </w:rPr>
        <w:t>Active Failure 2 (Medical Resident Level):</w:t>
      </w:r>
      <w:r w:rsidRPr="002462CA">
        <w:rPr>
          <w:rFonts w:ascii="Arial" w:hAnsi="Arial" w:cs="Arial"/>
        </w:rPr>
        <w:t xml:space="preserve"> Junior residents repeatedly reassessed the patient, altered pain management regimes, and attributed shock to narcotic side effects without obtaining urgent diagnostic imaging, hematocrit levels, or senior surgical consultation.</w:t>
      </w:r>
    </w:p>
    <w:p w14:paraId="4C6275E4" w14:textId="726AF307" w:rsidR="002462CA" w:rsidRDefault="00AF5516" w:rsidP="00AF5516">
      <w:pPr>
        <w:spacing w:line="360" w:lineRule="auto"/>
        <w:rPr>
          <w:rFonts w:ascii="Arial" w:hAnsi="Arial" w:cs="Arial"/>
        </w:rPr>
      </w:pPr>
      <w:r w:rsidRPr="00AF5516">
        <w:rPr>
          <w:rFonts w:ascii="Arial" w:hAnsi="Arial" w:cs="Arial"/>
          <w:b/>
          <w:bCs/>
        </w:rPr>
        <w:t>CHART</w:t>
      </w:r>
      <w:r w:rsidRPr="00AF5516">
        <w:rPr>
          <w:rFonts w:ascii="Arial" w:hAnsi="Arial" w:cs="Arial"/>
        </w:rPr>
        <w:t>: SYSTEM FAILURES IN THE LEWIS BLACKMAN CASE</w:t>
      </w:r>
    </w:p>
    <w:p w14:paraId="4F5FD351" w14:textId="7B7180AD" w:rsidR="002462CA" w:rsidRPr="002462CA" w:rsidRDefault="002462CA" w:rsidP="002462CA">
      <w:pPr>
        <w:spacing w:line="360" w:lineRule="auto"/>
        <w:rPr>
          <w:rFonts w:ascii="Arial" w:hAnsi="Arial" w:cs="Arial"/>
        </w:rPr>
      </w:pPr>
      <w:r>
        <w:rPr>
          <w:rFonts w:ascii="Arial" w:hAnsi="Arial" w:cs="Arial"/>
        </w:rPr>
        <w:t>(</w:t>
      </w:r>
      <w:r w:rsidRPr="002462CA">
        <w:rPr>
          <w:rFonts w:ascii="Arial" w:hAnsi="Arial" w:cs="Arial"/>
        </w:rPr>
        <w:t>EXTERNAL &amp; ORGANIZATIONAL GOVERNANCE</w:t>
      </w:r>
      <w:r>
        <w:rPr>
          <w:rFonts w:ascii="Arial" w:hAnsi="Arial" w:cs="Arial"/>
        </w:rPr>
        <w:t>)</w:t>
      </w:r>
    </w:p>
    <w:p w14:paraId="2A3AA278" w14:textId="77777777" w:rsidR="002462CA" w:rsidRPr="002462CA" w:rsidRDefault="002462CA" w:rsidP="002462CA">
      <w:pPr>
        <w:spacing w:line="360" w:lineRule="auto"/>
        <w:rPr>
          <w:rFonts w:ascii="Arial" w:hAnsi="Arial" w:cs="Arial"/>
        </w:rPr>
      </w:pPr>
      <w:r w:rsidRPr="002462CA">
        <w:rPr>
          <w:rFonts w:ascii="Arial" w:hAnsi="Arial" w:cs="Arial"/>
        </w:rPr>
        <w:t xml:space="preserve">    ↓</w:t>
      </w:r>
    </w:p>
    <w:p w14:paraId="2677997B" w14:textId="77777777" w:rsidR="002462CA" w:rsidRPr="002462CA" w:rsidRDefault="002462CA" w:rsidP="002462CA">
      <w:pPr>
        <w:spacing w:line="360" w:lineRule="auto"/>
        <w:rPr>
          <w:rFonts w:ascii="Arial" w:hAnsi="Arial" w:cs="Arial"/>
        </w:rPr>
      </w:pPr>
      <w:r w:rsidRPr="002462CA">
        <w:rPr>
          <w:rFonts w:ascii="Arial" w:hAnsi="Arial" w:cs="Arial"/>
        </w:rPr>
        <w:t>- Academic teaching hospital culture prioritising resident autonomy over supervision</w:t>
      </w:r>
    </w:p>
    <w:p w14:paraId="5547CCE3" w14:textId="77777777" w:rsidR="002462CA" w:rsidRPr="002462CA" w:rsidRDefault="002462CA" w:rsidP="002462CA">
      <w:pPr>
        <w:spacing w:line="360" w:lineRule="auto"/>
        <w:rPr>
          <w:rFonts w:ascii="Arial" w:hAnsi="Arial" w:cs="Arial"/>
        </w:rPr>
      </w:pPr>
      <w:r w:rsidRPr="002462CA">
        <w:rPr>
          <w:rFonts w:ascii="Arial" w:hAnsi="Arial" w:cs="Arial"/>
        </w:rPr>
        <w:t>- Weekend coverage models causing attending</w:t>
      </w:r>
      <w:r w:rsidRPr="002462CA">
        <w:rPr>
          <w:rFonts w:ascii="Cambria Math" w:hAnsi="Cambria Math" w:cs="Cambria Math"/>
        </w:rPr>
        <w:t>‑</w:t>
      </w:r>
      <w:r w:rsidRPr="002462CA">
        <w:rPr>
          <w:rFonts w:ascii="Arial" w:hAnsi="Arial" w:cs="Arial"/>
        </w:rPr>
        <w:t>physician absence</w:t>
      </w:r>
    </w:p>
    <w:p w14:paraId="3E8C0C10" w14:textId="77777777" w:rsidR="002462CA" w:rsidRPr="002462CA" w:rsidRDefault="002462CA" w:rsidP="002462CA">
      <w:pPr>
        <w:spacing w:line="360" w:lineRule="auto"/>
        <w:rPr>
          <w:rFonts w:ascii="Arial" w:hAnsi="Arial" w:cs="Arial"/>
        </w:rPr>
      </w:pPr>
      <w:r w:rsidRPr="002462CA">
        <w:rPr>
          <w:rFonts w:ascii="Arial" w:hAnsi="Arial" w:cs="Arial"/>
        </w:rPr>
        <w:t>- No mandated hard</w:t>
      </w:r>
      <w:r w:rsidRPr="002462CA">
        <w:rPr>
          <w:rFonts w:ascii="Cambria Math" w:hAnsi="Cambria Math" w:cs="Cambria Math"/>
        </w:rPr>
        <w:t>‑</w:t>
      </w:r>
      <w:r w:rsidRPr="002462CA">
        <w:rPr>
          <w:rFonts w:ascii="Arial" w:hAnsi="Arial" w:cs="Arial"/>
        </w:rPr>
        <w:t>stop early warning escalation legislation</w:t>
      </w:r>
    </w:p>
    <w:p w14:paraId="26E9B234" w14:textId="2A82EAAC" w:rsidR="002462CA" w:rsidRPr="002462CA" w:rsidRDefault="002462CA" w:rsidP="002462CA">
      <w:pPr>
        <w:spacing w:line="360" w:lineRule="auto"/>
        <w:rPr>
          <w:rFonts w:ascii="Arial" w:hAnsi="Arial" w:cs="Arial"/>
        </w:rPr>
      </w:pPr>
      <w:r w:rsidRPr="002462CA">
        <w:rPr>
          <w:rFonts w:ascii="Arial" w:hAnsi="Arial" w:cs="Arial"/>
        </w:rPr>
        <w:t xml:space="preserve">    ↓</w:t>
      </w:r>
    </w:p>
    <w:p w14:paraId="6E664F2D" w14:textId="1CE30F03" w:rsidR="002462CA" w:rsidRPr="002462CA" w:rsidRDefault="002462CA" w:rsidP="002462CA">
      <w:pPr>
        <w:spacing w:line="360" w:lineRule="auto"/>
        <w:rPr>
          <w:rFonts w:ascii="Arial" w:hAnsi="Arial" w:cs="Arial"/>
        </w:rPr>
      </w:pPr>
      <w:r>
        <w:rPr>
          <w:rFonts w:ascii="Arial" w:hAnsi="Arial" w:cs="Arial"/>
        </w:rPr>
        <w:t>(</w:t>
      </w:r>
      <w:r w:rsidRPr="002462CA">
        <w:rPr>
          <w:rFonts w:ascii="Arial" w:hAnsi="Arial" w:cs="Arial"/>
        </w:rPr>
        <w:t>MESO</w:t>
      </w:r>
      <w:r w:rsidRPr="002462CA">
        <w:rPr>
          <w:rFonts w:ascii="Cambria Math" w:hAnsi="Cambria Math" w:cs="Cambria Math"/>
        </w:rPr>
        <w:t>‑</w:t>
      </w:r>
      <w:r w:rsidRPr="002462CA">
        <w:rPr>
          <w:rFonts w:ascii="Arial" w:hAnsi="Arial" w:cs="Arial"/>
        </w:rPr>
        <w:t>LEVEL HOSPITAL &amp; WARD SYSTEM</w:t>
      </w:r>
      <w:r>
        <w:rPr>
          <w:rFonts w:ascii="Arial" w:hAnsi="Arial" w:cs="Arial"/>
        </w:rPr>
        <w:t>)</w:t>
      </w:r>
    </w:p>
    <w:p w14:paraId="65F86CD4" w14:textId="77777777" w:rsidR="002462CA" w:rsidRPr="002462CA" w:rsidRDefault="002462CA" w:rsidP="002462CA">
      <w:pPr>
        <w:spacing w:line="360" w:lineRule="auto"/>
        <w:rPr>
          <w:rFonts w:ascii="Arial" w:hAnsi="Arial" w:cs="Arial"/>
        </w:rPr>
      </w:pPr>
      <w:r w:rsidRPr="002462CA">
        <w:rPr>
          <w:rFonts w:ascii="Arial" w:hAnsi="Arial" w:cs="Arial"/>
        </w:rPr>
        <w:t xml:space="preserve">    ↓</w:t>
      </w:r>
    </w:p>
    <w:p w14:paraId="0673E80C" w14:textId="77777777" w:rsidR="002462CA" w:rsidRPr="002462CA" w:rsidRDefault="002462CA" w:rsidP="002462CA">
      <w:pPr>
        <w:spacing w:line="360" w:lineRule="auto"/>
        <w:rPr>
          <w:rFonts w:ascii="Arial" w:hAnsi="Arial" w:cs="Arial"/>
        </w:rPr>
      </w:pPr>
      <w:r w:rsidRPr="002462CA">
        <w:rPr>
          <w:rFonts w:ascii="Arial" w:hAnsi="Arial" w:cs="Arial"/>
        </w:rPr>
        <w:t>- Steep hierarchical authority gradient (fear of “bothering” attendings)</w:t>
      </w:r>
    </w:p>
    <w:p w14:paraId="2799BE79" w14:textId="77777777" w:rsidR="002462CA" w:rsidRPr="002462CA" w:rsidRDefault="002462CA" w:rsidP="002462CA">
      <w:pPr>
        <w:spacing w:line="360" w:lineRule="auto"/>
        <w:rPr>
          <w:rFonts w:ascii="Arial" w:hAnsi="Arial" w:cs="Arial"/>
        </w:rPr>
      </w:pPr>
      <w:r w:rsidRPr="002462CA">
        <w:rPr>
          <w:rFonts w:ascii="Arial" w:hAnsi="Arial" w:cs="Arial"/>
        </w:rPr>
        <w:lastRenderedPageBreak/>
        <w:t>- Siloed interprofessional communication (nurses vs. house staff vs. attendings)</w:t>
      </w:r>
    </w:p>
    <w:p w14:paraId="6463BD90" w14:textId="5F06FF74" w:rsidR="002462CA" w:rsidRPr="002462CA" w:rsidRDefault="002462CA" w:rsidP="002462CA">
      <w:pPr>
        <w:spacing w:line="360" w:lineRule="auto"/>
        <w:rPr>
          <w:rFonts w:ascii="Arial" w:hAnsi="Arial" w:cs="Arial"/>
        </w:rPr>
      </w:pPr>
      <w:r w:rsidRPr="002462CA">
        <w:rPr>
          <w:rFonts w:ascii="Arial" w:hAnsi="Arial" w:cs="Arial"/>
        </w:rPr>
        <w:t>- No standardised Pediatric Early Warning Score (PEWS) escalation rules</w:t>
      </w:r>
    </w:p>
    <w:p w14:paraId="0D7E654A" w14:textId="554225F8" w:rsidR="002462CA" w:rsidRPr="002462CA" w:rsidRDefault="002462CA" w:rsidP="002462CA">
      <w:pPr>
        <w:spacing w:line="360" w:lineRule="auto"/>
        <w:rPr>
          <w:rFonts w:ascii="Arial" w:hAnsi="Arial" w:cs="Arial"/>
        </w:rPr>
      </w:pPr>
      <w:r w:rsidRPr="002462CA">
        <w:rPr>
          <w:rFonts w:ascii="Arial" w:hAnsi="Arial" w:cs="Arial"/>
        </w:rPr>
        <w:t xml:space="preserve">    ↓</w:t>
      </w:r>
    </w:p>
    <w:p w14:paraId="450072D1" w14:textId="58A3084C" w:rsidR="002462CA" w:rsidRPr="002462CA" w:rsidRDefault="002462CA" w:rsidP="002462CA">
      <w:pPr>
        <w:spacing w:line="360" w:lineRule="auto"/>
        <w:rPr>
          <w:rFonts w:ascii="Arial" w:hAnsi="Arial" w:cs="Arial"/>
        </w:rPr>
      </w:pPr>
      <w:r>
        <w:rPr>
          <w:rFonts w:ascii="Arial" w:hAnsi="Arial" w:cs="Arial"/>
        </w:rPr>
        <w:t>(</w:t>
      </w:r>
      <w:r w:rsidRPr="002462CA">
        <w:rPr>
          <w:rFonts w:ascii="Arial" w:hAnsi="Arial" w:cs="Arial"/>
        </w:rPr>
        <w:t>PHYSICAL &amp; WORK ENVIRONMENT</w:t>
      </w:r>
      <w:r>
        <w:rPr>
          <w:rFonts w:ascii="Arial" w:hAnsi="Arial" w:cs="Arial"/>
        </w:rPr>
        <w:t>)</w:t>
      </w:r>
    </w:p>
    <w:p w14:paraId="3D4198D6" w14:textId="77777777" w:rsidR="002462CA" w:rsidRPr="002462CA" w:rsidRDefault="002462CA" w:rsidP="002462CA">
      <w:pPr>
        <w:spacing w:line="360" w:lineRule="auto"/>
        <w:rPr>
          <w:rFonts w:ascii="Arial" w:hAnsi="Arial" w:cs="Arial"/>
        </w:rPr>
      </w:pPr>
      <w:r w:rsidRPr="002462CA">
        <w:rPr>
          <w:rFonts w:ascii="Arial" w:hAnsi="Arial" w:cs="Arial"/>
        </w:rPr>
        <w:t xml:space="preserve">    ↓</w:t>
      </w:r>
    </w:p>
    <w:p w14:paraId="18912C93" w14:textId="77777777" w:rsidR="002462CA" w:rsidRPr="002462CA" w:rsidRDefault="002462CA" w:rsidP="002462CA">
      <w:pPr>
        <w:spacing w:line="360" w:lineRule="auto"/>
        <w:rPr>
          <w:rFonts w:ascii="Arial" w:hAnsi="Arial" w:cs="Arial"/>
        </w:rPr>
      </w:pPr>
      <w:r w:rsidRPr="002462CA">
        <w:rPr>
          <w:rFonts w:ascii="Arial" w:hAnsi="Arial" w:cs="Arial"/>
        </w:rPr>
        <w:t>- Weekend reduced staffing</w:t>
      </w:r>
    </w:p>
    <w:p w14:paraId="1467CD49" w14:textId="77777777" w:rsidR="002462CA" w:rsidRPr="002462CA" w:rsidRDefault="002462CA" w:rsidP="002462CA">
      <w:pPr>
        <w:spacing w:line="360" w:lineRule="auto"/>
        <w:rPr>
          <w:rFonts w:ascii="Arial" w:hAnsi="Arial" w:cs="Arial"/>
        </w:rPr>
      </w:pPr>
      <w:r w:rsidRPr="002462CA">
        <w:rPr>
          <w:rFonts w:ascii="Arial" w:hAnsi="Arial" w:cs="Arial"/>
        </w:rPr>
        <w:t>- Uncalibrated BP cuffs</w:t>
      </w:r>
    </w:p>
    <w:p w14:paraId="6D3B20BD" w14:textId="77777777" w:rsidR="002462CA" w:rsidRPr="002462CA" w:rsidRDefault="002462CA" w:rsidP="002462CA">
      <w:pPr>
        <w:spacing w:line="360" w:lineRule="auto"/>
        <w:rPr>
          <w:rFonts w:ascii="Arial" w:hAnsi="Arial" w:cs="Arial"/>
        </w:rPr>
      </w:pPr>
      <w:r w:rsidRPr="002462CA">
        <w:rPr>
          <w:rFonts w:ascii="Arial" w:hAnsi="Arial" w:cs="Arial"/>
        </w:rPr>
        <w:t>- Lack of direct attending contact</w:t>
      </w:r>
    </w:p>
    <w:p w14:paraId="64A8429F" w14:textId="428DCEC5" w:rsidR="002462CA" w:rsidRPr="002462CA" w:rsidRDefault="002462CA" w:rsidP="002462CA">
      <w:pPr>
        <w:spacing w:line="360" w:lineRule="auto"/>
        <w:rPr>
          <w:rFonts w:ascii="Arial" w:hAnsi="Arial" w:cs="Arial"/>
        </w:rPr>
      </w:pPr>
      <w:r w:rsidRPr="002462CA">
        <w:rPr>
          <w:rFonts w:ascii="Arial" w:hAnsi="Arial" w:cs="Arial"/>
        </w:rPr>
        <w:t xml:space="preserve">    ↓</w:t>
      </w:r>
    </w:p>
    <w:p w14:paraId="2610AEB9" w14:textId="2257C712" w:rsidR="002462CA" w:rsidRPr="002462CA" w:rsidRDefault="002462CA" w:rsidP="002462CA">
      <w:pPr>
        <w:spacing w:line="360" w:lineRule="auto"/>
        <w:rPr>
          <w:rFonts w:ascii="Arial" w:hAnsi="Arial" w:cs="Arial"/>
        </w:rPr>
      </w:pPr>
      <w:r>
        <w:rPr>
          <w:rFonts w:ascii="Arial" w:hAnsi="Arial" w:cs="Arial"/>
        </w:rPr>
        <w:t>(</w:t>
      </w:r>
      <w:r w:rsidRPr="002462CA">
        <w:rPr>
          <w:rFonts w:ascii="Arial" w:hAnsi="Arial" w:cs="Arial"/>
        </w:rPr>
        <w:t>COGNITIVE &amp; CLINICAL PROCESS</w:t>
      </w:r>
      <w:r>
        <w:rPr>
          <w:rFonts w:ascii="Arial" w:hAnsi="Arial" w:cs="Arial"/>
        </w:rPr>
        <w:t>)</w:t>
      </w:r>
    </w:p>
    <w:p w14:paraId="690BA454" w14:textId="77777777" w:rsidR="002462CA" w:rsidRPr="002462CA" w:rsidRDefault="002462CA" w:rsidP="002462CA">
      <w:pPr>
        <w:spacing w:line="360" w:lineRule="auto"/>
        <w:rPr>
          <w:rFonts w:ascii="Arial" w:hAnsi="Arial" w:cs="Arial"/>
        </w:rPr>
      </w:pPr>
      <w:r w:rsidRPr="002462CA">
        <w:rPr>
          <w:rFonts w:ascii="Arial" w:hAnsi="Arial" w:cs="Arial"/>
        </w:rPr>
        <w:t xml:space="preserve">    ↓</w:t>
      </w:r>
    </w:p>
    <w:p w14:paraId="7EAC2266" w14:textId="77777777" w:rsidR="002462CA" w:rsidRPr="002462CA" w:rsidRDefault="002462CA" w:rsidP="002462CA">
      <w:pPr>
        <w:spacing w:line="360" w:lineRule="auto"/>
        <w:rPr>
          <w:rFonts w:ascii="Arial" w:hAnsi="Arial" w:cs="Arial"/>
        </w:rPr>
      </w:pPr>
      <w:r w:rsidRPr="002462CA">
        <w:rPr>
          <w:rFonts w:ascii="Arial" w:hAnsi="Arial" w:cs="Arial"/>
        </w:rPr>
        <w:t>- Diagnostic anchoring bias</w:t>
      </w:r>
    </w:p>
    <w:p w14:paraId="2CB094DF" w14:textId="77777777" w:rsidR="002462CA" w:rsidRPr="002462CA" w:rsidRDefault="002462CA" w:rsidP="002462CA">
      <w:pPr>
        <w:spacing w:line="360" w:lineRule="auto"/>
        <w:rPr>
          <w:rFonts w:ascii="Arial" w:hAnsi="Arial" w:cs="Arial"/>
        </w:rPr>
      </w:pPr>
      <w:r w:rsidRPr="002462CA">
        <w:rPr>
          <w:rFonts w:ascii="Arial" w:hAnsi="Arial" w:cs="Arial"/>
        </w:rPr>
        <w:t>- Misinterpretation of oliguria</w:t>
      </w:r>
    </w:p>
    <w:p w14:paraId="0D4C058F" w14:textId="77777777" w:rsidR="002462CA" w:rsidRPr="002462CA" w:rsidRDefault="002462CA" w:rsidP="002462CA">
      <w:pPr>
        <w:spacing w:line="360" w:lineRule="auto"/>
        <w:rPr>
          <w:rFonts w:ascii="Arial" w:hAnsi="Arial" w:cs="Arial"/>
        </w:rPr>
      </w:pPr>
      <w:r w:rsidRPr="002462CA">
        <w:rPr>
          <w:rFonts w:ascii="Arial" w:hAnsi="Arial" w:cs="Arial"/>
        </w:rPr>
        <w:t>- Omission of hematocrit labs</w:t>
      </w:r>
    </w:p>
    <w:p w14:paraId="519C3ED9" w14:textId="3E259339" w:rsidR="002462CA" w:rsidRPr="002462CA" w:rsidRDefault="002462CA" w:rsidP="002462CA">
      <w:pPr>
        <w:spacing w:line="360" w:lineRule="auto"/>
        <w:rPr>
          <w:rFonts w:ascii="Arial" w:hAnsi="Arial" w:cs="Arial"/>
        </w:rPr>
      </w:pPr>
      <w:r w:rsidRPr="002462CA">
        <w:rPr>
          <w:rFonts w:ascii="Arial" w:hAnsi="Arial" w:cs="Arial"/>
        </w:rPr>
        <w:t xml:space="preserve">    ↓</w:t>
      </w:r>
    </w:p>
    <w:p w14:paraId="7223EEEF" w14:textId="4C86BE1E" w:rsidR="002462CA" w:rsidRPr="002462CA" w:rsidRDefault="002462CA" w:rsidP="002462CA">
      <w:pPr>
        <w:spacing w:line="360" w:lineRule="auto"/>
        <w:rPr>
          <w:rFonts w:ascii="Arial" w:hAnsi="Arial" w:cs="Arial"/>
        </w:rPr>
      </w:pPr>
      <w:r>
        <w:rPr>
          <w:rFonts w:ascii="Arial" w:hAnsi="Arial" w:cs="Arial"/>
        </w:rPr>
        <w:t>(</w:t>
      </w:r>
      <w:r w:rsidRPr="002462CA">
        <w:rPr>
          <w:rFonts w:ascii="Arial" w:hAnsi="Arial" w:cs="Arial"/>
        </w:rPr>
        <w:t>HUMAN RESOURCES &amp; CULTURE</w:t>
      </w:r>
      <w:r>
        <w:rPr>
          <w:rFonts w:ascii="Arial" w:hAnsi="Arial" w:cs="Arial"/>
        </w:rPr>
        <w:t>)</w:t>
      </w:r>
    </w:p>
    <w:p w14:paraId="67923A70" w14:textId="77777777" w:rsidR="002462CA" w:rsidRPr="002462CA" w:rsidRDefault="002462CA" w:rsidP="002462CA">
      <w:pPr>
        <w:spacing w:line="360" w:lineRule="auto"/>
        <w:rPr>
          <w:rFonts w:ascii="Arial" w:hAnsi="Arial" w:cs="Arial"/>
        </w:rPr>
      </w:pPr>
      <w:r w:rsidRPr="002462CA">
        <w:rPr>
          <w:rFonts w:ascii="Arial" w:hAnsi="Arial" w:cs="Arial"/>
        </w:rPr>
        <w:t xml:space="preserve">    ↓</w:t>
      </w:r>
    </w:p>
    <w:p w14:paraId="6FD8BF04" w14:textId="77777777" w:rsidR="002462CA" w:rsidRPr="002462CA" w:rsidRDefault="002462CA" w:rsidP="002462CA">
      <w:pPr>
        <w:spacing w:line="360" w:lineRule="auto"/>
        <w:rPr>
          <w:rFonts w:ascii="Arial" w:hAnsi="Arial" w:cs="Arial"/>
        </w:rPr>
      </w:pPr>
      <w:r w:rsidRPr="002462CA">
        <w:rPr>
          <w:rFonts w:ascii="Arial" w:hAnsi="Arial" w:cs="Arial"/>
        </w:rPr>
        <w:t>- Inexperienced first</w:t>
      </w:r>
      <w:r w:rsidRPr="002462CA">
        <w:rPr>
          <w:rFonts w:ascii="Cambria Math" w:hAnsi="Cambria Math" w:cs="Cambria Math"/>
        </w:rPr>
        <w:t>‑</w:t>
      </w:r>
      <w:r w:rsidRPr="002462CA">
        <w:rPr>
          <w:rFonts w:ascii="Arial" w:hAnsi="Arial" w:cs="Arial"/>
        </w:rPr>
        <w:t>year residents</w:t>
      </w:r>
    </w:p>
    <w:p w14:paraId="6924DE9B" w14:textId="77777777" w:rsidR="002462CA" w:rsidRPr="002462CA" w:rsidRDefault="002462CA" w:rsidP="002462CA">
      <w:pPr>
        <w:spacing w:line="360" w:lineRule="auto"/>
        <w:rPr>
          <w:rFonts w:ascii="Arial" w:hAnsi="Arial" w:cs="Arial"/>
        </w:rPr>
      </w:pPr>
      <w:r w:rsidRPr="002462CA">
        <w:rPr>
          <w:rFonts w:ascii="Arial" w:hAnsi="Arial" w:cs="Arial"/>
        </w:rPr>
        <w:t>- Severe nurse intimidation</w:t>
      </w:r>
    </w:p>
    <w:p w14:paraId="467CDEB6" w14:textId="77777777" w:rsidR="002462CA" w:rsidRPr="002462CA" w:rsidRDefault="002462CA" w:rsidP="002462CA">
      <w:pPr>
        <w:spacing w:line="360" w:lineRule="auto"/>
        <w:rPr>
          <w:rFonts w:ascii="Arial" w:hAnsi="Arial" w:cs="Arial"/>
        </w:rPr>
      </w:pPr>
      <w:r w:rsidRPr="002462CA">
        <w:rPr>
          <w:rFonts w:ascii="Arial" w:hAnsi="Arial" w:cs="Arial"/>
        </w:rPr>
        <w:t>- Lack of psychological safety</w:t>
      </w:r>
    </w:p>
    <w:p w14:paraId="19C49D5B" w14:textId="04BC12B0" w:rsidR="002462CA" w:rsidRPr="002462CA" w:rsidRDefault="002462CA" w:rsidP="002462CA">
      <w:pPr>
        <w:spacing w:line="360" w:lineRule="auto"/>
        <w:rPr>
          <w:rFonts w:ascii="Arial" w:hAnsi="Arial" w:cs="Arial"/>
        </w:rPr>
      </w:pPr>
      <w:r w:rsidRPr="002462CA">
        <w:rPr>
          <w:rFonts w:ascii="Arial" w:hAnsi="Arial" w:cs="Arial"/>
        </w:rPr>
        <w:t xml:space="preserve">    ↓</w:t>
      </w:r>
    </w:p>
    <w:p w14:paraId="26D5714B" w14:textId="75AFE0B9" w:rsidR="002462CA" w:rsidRPr="002462CA" w:rsidRDefault="002462CA" w:rsidP="002462CA">
      <w:pPr>
        <w:spacing w:line="360" w:lineRule="auto"/>
        <w:rPr>
          <w:rFonts w:ascii="Arial" w:hAnsi="Arial" w:cs="Arial"/>
        </w:rPr>
      </w:pPr>
      <w:r>
        <w:rPr>
          <w:rFonts w:ascii="Arial" w:hAnsi="Arial" w:cs="Arial"/>
        </w:rPr>
        <w:t>(</w:t>
      </w:r>
      <w:r w:rsidRPr="002462CA">
        <w:rPr>
          <w:rFonts w:ascii="Arial" w:hAnsi="Arial" w:cs="Arial"/>
        </w:rPr>
        <w:t>ACTIVE CLINICAL FAILURE</w:t>
      </w:r>
      <w:r>
        <w:rPr>
          <w:rFonts w:ascii="Arial" w:hAnsi="Arial" w:cs="Arial"/>
        </w:rPr>
        <w:t>)</w:t>
      </w:r>
    </w:p>
    <w:p w14:paraId="65681DCA" w14:textId="77777777" w:rsidR="002462CA" w:rsidRPr="002462CA" w:rsidRDefault="002462CA" w:rsidP="002462CA">
      <w:pPr>
        <w:spacing w:line="360" w:lineRule="auto"/>
        <w:rPr>
          <w:rFonts w:ascii="Arial" w:hAnsi="Arial" w:cs="Arial"/>
        </w:rPr>
      </w:pPr>
      <w:r w:rsidRPr="002462CA">
        <w:rPr>
          <w:rFonts w:ascii="Arial" w:hAnsi="Arial" w:cs="Arial"/>
        </w:rPr>
        <w:t xml:space="preserve">    ↓</w:t>
      </w:r>
    </w:p>
    <w:p w14:paraId="664BBC86" w14:textId="77777777" w:rsidR="002462CA" w:rsidRPr="002462CA" w:rsidRDefault="002462CA" w:rsidP="002462CA">
      <w:pPr>
        <w:spacing w:line="360" w:lineRule="auto"/>
        <w:rPr>
          <w:rFonts w:ascii="Arial" w:hAnsi="Arial" w:cs="Arial"/>
        </w:rPr>
      </w:pPr>
      <w:r w:rsidRPr="002462CA">
        <w:rPr>
          <w:rFonts w:ascii="Arial" w:hAnsi="Arial" w:cs="Arial"/>
        </w:rPr>
        <w:t>- 15</w:t>
      </w:r>
      <w:r w:rsidRPr="002462CA">
        <w:rPr>
          <w:rFonts w:ascii="Cambria Math" w:hAnsi="Cambria Math" w:cs="Cambria Math"/>
        </w:rPr>
        <w:t>‑</w:t>
      </w:r>
      <w:r w:rsidRPr="002462CA">
        <w:rPr>
          <w:rFonts w:ascii="Arial" w:hAnsi="Arial" w:cs="Arial"/>
        </w:rPr>
        <w:t>year</w:t>
      </w:r>
      <w:r w:rsidRPr="002462CA">
        <w:rPr>
          <w:rFonts w:ascii="Cambria Math" w:hAnsi="Cambria Math" w:cs="Cambria Math"/>
        </w:rPr>
        <w:t>‑</w:t>
      </w:r>
      <w:r w:rsidRPr="002462CA">
        <w:rPr>
          <w:rFonts w:ascii="Arial" w:hAnsi="Arial" w:cs="Arial"/>
        </w:rPr>
        <w:t>old post</w:t>
      </w:r>
      <w:r w:rsidRPr="002462CA">
        <w:rPr>
          <w:rFonts w:ascii="Cambria Math" w:hAnsi="Cambria Math" w:cs="Cambria Math"/>
        </w:rPr>
        <w:t>‑</w:t>
      </w:r>
      <w:r w:rsidRPr="002462CA">
        <w:rPr>
          <w:rFonts w:ascii="Arial" w:hAnsi="Arial" w:cs="Arial"/>
        </w:rPr>
        <w:t>op patient suffers massive Toradol</w:t>
      </w:r>
      <w:r w:rsidRPr="002462CA">
        <w:rPr>
          <w:rFonts w:ascii="Cambria Math" w:hAnsi="Cambria Math" w:cs="Cambria Math"/>
        </w:rPr>
        <w:t>‑</w:t>
      </w:r>
      <w:r w:rsidRPr="002462CA">
        <w:rPr>
          <w:rFonts w:ascii="Arial" w:hAnsi="Arial" w:cs="Arial"/>
        </w:rPr>
        <w:t>induced GI haemorrhage</w:t>
      </w:r>
    </w:p>
    <w:p w14:paraId="028C6156" w14:textId="77777777" w:rsidR="002462CA" w:rsidRPr="002462CA" w:rsidRDefault="002462CA" w:rsidP="002462CA">
      <w:pPr>
        <w:spacing w:line="360" w:lineRule="auto"/>
        <w:rPr>
          <w:rFonts w:ascii="Arial" w:hAnsi="Arial" w:cs="Arial"/>
        </w:rPr>
      </w:pPr>
      <w:r w:rsidRPr="002462CA">
        <w:rPr>
          <w:rFonts w:ascii="Arial" w:hAnsi="Arial" w:cs="Arial"/>
        </w:rPr>
        <w:lastRenderedPageBreak/>
        <w:t>- Persistent oliguria (18+ hours), undetectable BP, severe pain ignored/misattributed</w:t>
      </w:r>
    </w:p>
    <w:p w14:paraId="5E7ECEFF" w14:textId="77777777" w:rsidR="002462CA" w:rsidRPr="002462CA" w:rsidRDefault="002462CA" w:rsidP="002462CA">
      <w:pPr>
        <w:spacing w:line="360" w:lineRule="auto"/>
        <w:rPr>
          <w:rFonts w:ascii="Arial" w:hAnsi="Arial" w:cs="Arial"/>
        </w:rPr>
      </w:pPr>
      <w:r w:rsidRPr="002462CA">
        <w:rPr>
          <w:rFonts w:ascii="Arial" w:hAnsi="Arial" w:cs="Arial"/>
        </w:rPr>
        <w:t>- Junior residents manage deterioration for 30+ hours without contacting attending</w:t>
      </w:r>
    </w:p>
    <w:p w14:paraId="41D7F3AA" w14:textId="77777777" w:rsidR="002462CA" w:rsidRPr="002462CA" w:rsidRDefault="002462CA" w:rsidP="002462CA">
      <w:pPr>
        <w:spacing w:line="360" w:lineRule="auto"/>
        <w:rPr>
          <w:rFonts w:ascii="Arial" w:hAnsi="Arial" w:cs="Arial"/>
        </w:rPr>
      </w:pPr>
      <w:r w:rsidRPr="002462CA">
        <w:rPr>
          <w:rFonts w:ascii="Arial" w:hAnsi="Arial" w:cs="Arial"/>
        </w:rPr>
        <w:t>- Nurses unable to bypass residents due to rigid escalation barriers</w:t>
      </w:r>
    </w:p>
    <w:p w14:paraId="1861D9B8" w14:textId="312F7584" w:rsidR="002462CA" w:rsidRPr="002462CA" w:rsidRDefault="002462CA" w:rsidP="002462CA">
      <w:pPr>
        <w:spacing w:line="360" w:lineRule="auto"/>
        <w:rPr>
          <w:rFonts w:ascii="Arial" w:hAnsi="Arial" w:cs="Arial"/>
        </w:rPr>
      </w:pPr>
      <w:r w:rsidRPr="002462CA">
        <w:rPr>
          <w:rFonts w:ascii="Arial" w:hAnsi="Arial" w:cs="Arial"/>
        </w:rPr>
        <w:t xml:space="preserve">    ↓</w:t>
      </w:r>
    </w:p>
    <w:p w14:paraId="7CEA2C1A" w14:textId="059C520E" w:rsidR="002462CA" w:rsidRPr="002462CA" w:rsidRDefault="002462CA" w:rsidP="002462CA">
      <w:pPr>
        <w:spacing w:line="360" w:lineRule="auto"/>
        <w:rPr>
          <w:rFonts w:ascii="Arial" w:hAnsi="Arial" w:cs="Arial"/>
        </w:rPr>
      </w:pPr>
      <w:r>
        <w:rPr>
          <w:rFonts w:ascii="Arial" w:hAnsi="Arial" w:cs="Arial"/>
        </w:rPr>
        <w:t>(</w:t>
      </w:r>
      <w:r w:rsidRPr="002462CA">
        <w:rPr>
          <w:rFonts w:ascii="Arial" w:hAnsi="Arial" w:cs="Arial"/>
        </w:rPr>
        <w:t>CATASTROPHIC PATIENT OUTCOME</w:t>
      </w:r>
      <w:r>
        <w:rPr>
          <w:rFonts w:ascii="Arial" w:hAnsi="Arial" w:cs="Arial"/>
        </w:rPr>
        <w:t>)</w:t>
      </w:r>
    </w:p>
    <w:p w14:paraId="3EAACD7E" w14:textId="77777777" w:rsidR="002462CA" w:rsidRPr="002462CA" w:rsidRDefault="002462CA" w:rsidP="002462CA">
      <w:pPr>
        <w:spacing w:line="360" w:lineRule="auto"/>
        <w:rPr>
          <w:rFonts w:ascii="Arial" w:hAnsi="Arial" w:cs="Arial"/>
        </w:rPr>
      </w:pPr>
      <w:r w:rsidRPr="002462CA">
        <w:rPr>
          <w:rFonts w:ascii="Arial" w:hAnsi="Arial" w:cs="Arial"/>
        </w:rPr>
        <w:t xml:space="preserve">    ↓</w:t>
      </w:r>
    </w:p>
    <w:p w14:paraId="399A31EA" w14:textId="77777777" w:rsidR="002462CA" w:rsidRPr="002462CA" w:rsidRDefault="002462CA" w:rsidP="002462CA">
      <w:pPr>
        <w:spacing w:line="360" w:lineRule="auto"/>
        <w:rPr>
          <w:rFonts w:ascii="Arial" w:hAnsi="Arial" w:cs="Arial"/>
        </w:rPr>
      </w:pPr>
      <w:r w:rsidRPr="002462CA">
        <w:rPr>
          <w:rFonts w:ascii="Arial" w:hAnsi="Arial" w:cs="Arial"/>
        </w:rPr>
        <w:t>- Unrecognised hypovolemic shock → preventable cardiac arrest and death</w:t>
      </w:r>
    </w:p>
    <w:p w14:paraId="6B79C15C" w14:textId="77777777" w:rsidR="002462CA" w:rsidRPr="002462CA" w:rsidRDefault="002462CA" w:rsidP="002462CA">
      <w:pPr>
        <w:spacing w:line="360" w:lineRule="auto"/>
        <w:rPr>
          <w:rFonts w:ascii="Arial" w:hAnsi="Arial" w:cs="Arial"/>
        </w:rPr>
      </w:pPr>
      <w:r w:rsidRPr="002462CA">
        <w:rPr>
          <w:rFonts w:ascii="Arial" w:hAnsi="Arial" w:cs="Arial"/>
        </w:rPr>
        <w:t>- Devastating family trauma</w:t>
      </w:r>
    </w:p>
    <w:p w14:paraId="6A32929D" w14:textId="77777777" w:rsidR="002462CA" w:rsidRDefault="002462CA" w:rsidP="002462CA">
      <w:pPr>
        <w:spacing w:line="360" w:lineRule="auto"/>
        <w:rPr>
          <w:rFonts w:ascii="Arial" w:hAnsi="Arial" w:cs="Arial"/>
        </w:rPr>
      </w:pPr>
      <w:r w:rsidRPr="002462CA">
        <w:rPr>
          <w:rFonts w:ascii="Arial" w:hAnsi="Arial" w:cs="Arial"/>
        </w:rPr>
        <w:t>- Global patient safety policy redesign</w:t>
      </w:r>
    </w:p>
    <w:p w14:paraId="44B74556" w14:textId="61C1FDCD" w:rsidR="002462CA" w:rsidRPr="002462CA" w:rsidRDefault="002462CA" w:rsidP="002462CA">
      <w:pPr>
        <w:spacing w:line="360" w:lineRule="auto"/>
        <w:rPr>
          <w:rFonts w:ascii="Arial" w:hAnsi="Arial" w:cs="Arial"/>
        </w:rPr>
      </w:pPr>
      <w:r w:rsidRPr="002462CA">
        <w:rPr>
          <w:rFonts w:ascii="Arial" w:hAnsi="Arial" w:cs="Arial"/>
        </w:rPr>
        <w:t>Checkland’s (1999) Soft Systems Methodology utilizes "Rich Pictures" to capture the complex, messy human relationships, cultural dynamics, structural flaws, and feedback loops within an institution. The Rich Picture above illustrates how academic institutional norms created a reinforcement loop of isolation: junior doctors attempted to prove their independence by managing complex complications alone, while nurses felt powerless to overrule resident decisions, culminating in a complete collapse of patient safety defenses.</w:t>
      </w:r>
    </w:p>
    <w:p w14:paraId="45EBBE6C" w14:textId="77777777" w:rsidR="002462CA" w:rsidRPr="002462CA" w:rsidRDefault="002462CA" w:rsidP="002462CA">
      <w:pPr>
        <w:spacing w:line="360" w:lineRule="auto"/>
        <w:rPr>
          <w:rFonts w:ascii="Arial" w:hAnsi="Arial" w:cs="Arial"/>
          <w:b/>
          <w:bCs/>
        </w:rPr>
      </w:pPr>
      <w:r w:rsidRPr="002462CA">
        <w:rPr>
          <w:rFonts w:ascii="Arial" w:hAnsi="Arial" w:cs="Arial"/>
          <w:b/>
          <w:bCs/>
        </w:rPr>
        <w:t>2b. Centralisation or Decentralisation within the Case Study (900 words)</w:t>
      </w:r>
    </w:p>
    <w:p w14:paraId="7FF50854" w14:textId="77777777" w:rsidR="002462CA" w:rsidRPr="002462CA" w:rsidRDefault="002462CA" w:rsidP="002462CA">
      <w:pPr>
        <w:spacing w:line="360" w:lineRule="auto"/>
        <w:rPr>
          <w:rFonts w:ascii="Arial" w:hAnsi="Arial" w:cs="Arial"/>
        </w:rPr>
      </w:pPr>
      <w:r w:rsidRPr="002462CA">
        <w:rPr>
          <w:rFonts w:ascii="Arial" w:hAnsi="Arial" w:cs="Arial"/>
        </w:rPr>
        <w:t>Organizational structure dictates how decision-making authority, clinical accountability, and operational control are distributed across a healthcare institution. A critical analysis of the Lewis Blackman case reveals that the hospital suffered from a highly dysfunctional structural paradox: extreme administrative and medical centralisation at the top, combined with unmonitored, fragmented decentralisation at the frontline over the weekend.</w:t>
      </w:r>
    </w:p>
    <w:p w14:paraId="764D6936" w14:textId="77777777" w:rsidR="002462CA" w:rsidRPr="002462CA" w:rsidRDefault="002462CA" w:rsidP="002462CA">
      <w:pPr>
        <w:spacing w:line="360" w:lineRule="auto"/>
        <w:rPr>
          <w:rFonts w:ascii="Arial" w:hAnsi="Arial" w:cs="Arial"/>
          <w:b/>
          <w:bCs/>
        </w:rPr>
      </w:pPr>
      <w:r w:rsidRPr="002462CA">
        <w:rPr>
          <w:rFonts w:ascii="Arial" w:hAnsi="Arial" w:cs="Arial"/>
          <w:b/>
          <w:bCs/>
        </w:rPr>
        <w:t>Centralised Systems: Analysis &amp; Impact</w:t>
      </w:r>
    </w:p>
    <w:p w14:paraId="12CA2FA3" w14:textId="77777777" w:rsidR="002462CA" w:rsidRPr="002462CA" w:rsidRDefault="002462CA" w:rsidP="002462CA">
      <w:pPr>
        <w:spacing w:line="360" w:lineRule="auto"/>
        <w:rPr>
          <w:rFonts w:ascii="Arial" w:hAnsi="Arial" w:cs="Arial"/>
        </w:rPr>
      </w:pPr>
      <w:r w:rsidRPr="002462CA">
        <w:rPr>
          <w:rFonts w:ascii="Arial" w:hAnsi="Arial" w:cs="Arial"/>
        </w:rPr>
        <w:t>In a centralized healthcare system, clinical governance, policy creation, and ultimate diagnostic/treatment authority are concentrated within senior executive leadership and attending consultant physicians (Mintzberg, 1983).</w:t>
      </w:r>
    </w:p>
    <w:p w14:paraId="71922CCB" w14:textId="77777777" w:rsidR="002462CA" w:rsidRPr="002462CA" w:rsidRDefault="002462CA" w:rsidP="002462CA">
      <w:pPr>
        <w:numPr>
          <w:ilvl w:val="0"/>
          <w:numId w:val="2"/>
        </w:numPr>
        <w:spacing w:line="360" w:lineRule="auto"/>
        <w:rPr>
          <w:rFonts w:ascii="Arial" w:hAnsi="Arial" w:cs="Arial"/>
        </w:rPr>
      </w:pPr>
      <w:r w:rsidRPr="002462CA">
        <w:rPr>
          <w:rFonts w:ascii="Arial" w:hAnsi="Arial" w:cs="Arial"/>
          <w:b/>
          <w:bCs/>
        </w:rPr>
        <w:lastRenderedPageBreak/>
        <w:t>Advantages of Centralisation:</w:t>
      </w:r>
      <w:r w:rsidRPr="002462CA">
        <w:rPr>
          <w:rFonts w:ascii="Arial" w:hAnsi="Arial" w:cs="Arial"/>
        </w:rPr>
        <w:t xml:space="preserve"> Centralised structures can enforce macro-level clinical guidelines, standardize surgical protocols, ensure clear lines of ultimate medicolegal responsibility, and optimize resource allocation across hospital departments (Saltman, Bankauskaite and Vrangbaek, 2007).</w:t>
      </w:r>
    </w:p>
    <w:p w14:paraId="0FCD6AE0" w14:textId="77777777" w:rsidR="002462CA" w:rsidRPr="002462CA" w:rsidRDefault="002462CA" w:rsidP="002462CA">
      <w:pPr>
        <w:numPr>
          <w:ilvl w:val="0"/>
          <w:numId w:val="2"/>
        </w:numPr>
        <w:spacing w:line="360" w:lineRule="auto"/>
        <w:rPr>
          <w:rFonts w:ascii="Arial" w:hAnsi="Arial" w:cs="Arial"/>
        </w:rPr>
      </w:pPr>
      <w:r w:rsidRPr="002462CA">
        <w:rPr>
          <w:rFonts w:ascii="Arial" w:hAnsi="Arial" w:cs="Arial"/>
          <w:b/>
          <w:bCs/>
        </w:rPr>
        <w:t>Disadvantages in the Case Study:</w:t>
      </w:r>
      <w:r w:rsidRPr="002462CA">
        <w:rPr>
          <w:rFonts w:ascii="Arial" w:hAnsi="Arial" w:cs="Arial"/>
        </w:rPr>
        <w:t xml:space="preserve"> In the Lewis Blackman case, senior medical authority was excessively centralized in the attending surgical consultant. However, this centralisation existed only in theory, as the attending physician was physically absent from the hospital during the weekend. The institutional culture created a severe barrier around this centralized authority: attending physicians were viewed as an inaccessible tier reserved only for extreme, catastrophic emergencies (Haskell, 2008). Junior residents operated under the implicit expectation that part of their professional role was to "protect" attending physicians from routine weekend calls. Consequently, centralized clinical authority became a distant, unreachable layer rather than an active supervisory mechanism.</w:t>
      </w:r>
    </w:p>
    <w:p w14:paraId="5689C20E" w14:textId="77777777" w:rsidR="002462CA" w:rsidRPr="002462CA" w:rsidRDefault="002462CA" w:rsidP="002462CA">
      <w:pPr>
        <w:spacing w:line="360" w:lineRule="auto"/>
        <w:rPr>
          <w:rFonts w:ascii="Arial" w:hAnsi="Arial" w:cs="Arial"/>
          <w:b/>
          <w:bCs/>
        </w:rPr>
      </w:pPr>
      <w:r w:rsidRPr="002462CA">
        <w:rPr>
          <w:rFonts w:ascii="Arial" w:hAnsi="Arial" w:cs="Arial"/>
          <w:b/>
          <w:bCs/>
        </w:rPr>
        <w:t>Decentralised Systems: Analysis &amp; Impact</w:t>
      </w:r>
    </w:p>
    <w:p w14:paraId="7DE67324" w14:textId="77777777" w:rsidR="002462CA" w:rsidRPr="002462CA" w:rsidRDefault="002462CA" w:rsidP="002462CA">
      <w:pPr>
        <w:spacing w:line="360" w:lineRule="auto"/>
        <w:rPr>
          <w:rFonts w:ascii="Arial" w:hAnsi="Arial" w:cs="Arial"/>
        </w:rPr>
      </w:pPr>
      <w:r w:rsidRPr="002462CA">
        <w:rPr>
          <w:rFonts w:ascii="Arial" w:hAnsi="Arial" w:cs="Arial"/>
        </w:rPr>
        <w:t>Decentralisation involves dispersing decision-making power, operational control, and clinical management to frontline healthcare teams and individual ward units (Peckham et al., 2008).</w:t>
      </w:r>
    </w:p>
    <w:p w14:paraId="0CDC270A" w14:textId="77777777" w:rsidR="002462CA" w:rsidRPr="002462CA" w:rsidRDefault="002462CA" w:rsidP="002462CA">
      <w:pPr>
        <w:numPr>
          <w:ilvl w:val="0"/>
          <w:numId w:val="3"/>
        </w:numPr>
        <w:spacing w:line="360" w:lineRule="auto"/>
        <w:rPr>
          <w:rFonts w:ascii="Arial" w:hAnsi="Arial" w:cs="Arial"/>
        </w:rPr>
      </w:pPr>
      <w:r w:rsidRPr="002462CA">
        <w:rPr>
          <w:rFonts w:ascii="Arial" w:hAnsi="Arial" w:cs="Arial"/>
          <w:b/>
          <w:bCs/>
        </w:rPr>
        <w:t>Advantages of Decentralisation:</w:t>
      </w:r>
      <w:r w:rsidRPr="002462CA">
        <w:rPr>
          <w:rFonts w:ascii="Arial" w:hAnsi="Arial" w:cs="Arial"/>
        </w:rPr>
        <w:t xml:space="preserve"> Decentralisation fosters clinical responsiveness, empowers nurses and resident physicians to make rapid bedside interventions, and encourages localized problem-solving without waiting for lengthy administrative approvals (Charns and Tewksbury, 1993).</w:t>
      </w:r>
    </w:p>
    <w:p w14:paraId="74D260F4" w14:textId="77777777" w:rsidR="002462CA" w:rsidRPr="002462CA" w:rsidRDefault="002462CA" w:rsidP="002462CA">
      <w:pPr>
        <w:numPr>
          <w:ilvl w:val="0"/>
          <w:numId w:val="3"/>
        </w:numPr>
        <w:spacing w:line="360" w:lineRule="auto"/>
        <w:rPr>
          <w:rFonts w:ascii="Arial" w:hAnsi="Arial" w:cs="Arial"/>
        </w:rPr>
      </w:pPr>
      <w:r w:rsidRPr="002462CA">
        <w:rPr>
          <w:rFonts w:ascii="Arial" w:hAnsi="Arial" w:cs="Arial"/>
          <w:b/>
          <w:bCs/>
        </w:rPr>
        <w:t>Disadvantages in the Case Study:</w:t>
      </w:r>
      <w:r w:rsidRPr="002462CA">
        <w:rPr>
          <w:rFonts w:ascii="Arial" w:hAnsi="Arial" w:cs="Arial"/>
        </w:rPr>
        <w:t xml:space="preserve"> Over the weekend, the hospital effectively operated in an unmonitored, decentralized state. Decision-making authority over deteriorating, highly complex post-surgical patients was completely delegated to first-year resident physicians (interns) who lacked the clinical experience required to recognize atypical presentations of shock (Reason, 2000). This frontline decentralisation occurred without any safety guardrails, standardized escalation protocols, or mandatory attending check-ins. Furthermore, interprofessional silos between the nursing staff and house </w:t>
      </w:r>
      <w:r w:rsidRPr="002462CA">
        <w:rPr>
          <w:rFonts w:ascii="Arial" w:hAnsi="Arial" w:cs="Arial"/>
        </w:rPr>
        <w:lastRenderedPageBreak/>
        <w:t>staff created a fragmented environment where nurses deferred to resident authority, even when their clinical intuition signaled that the patient was dying.</w:t>
      </w:r>
    </w:p>
    <w:p w14:paraId="45DE64EE" w14:textId="77777777" w:rsidR="002462CA" w:rsidRPr="002462CA" w:rsidRDefault="002462CA" w:rsidP="002462CA">
      <w:pPr>
        <w:spacing w:line="360" w:lineRule="auto"/>
        <w:rPr>
          <w:rFonts w:ascii="Arial" w:hAnsi="Arial" w:cs="Arial"/>
          <w:b/>
          <w:bCs/>
        </w:rPr>
      </w:pPr>
      <w:r w:rsidRPr="002462CA">
        <w:rPr>
          <w:rFonts w:ascii="Arial" w:hAnsi="Arial" w:cs="Arial"/>
          <w:b/>
          <w:bCs/>
        </w:rPr>
        <w:t>Critical Evaluation: Structural Misalignment and Failure Analysis</w:t>
      </w:r>
    </w:p>
    <w:p w14:paraId="7FD2D4B3" w14:textId="77777777" w:rsidR="002462CA" w:rsidRDefault="002462CA" w:rsidP="002462CA">
      <w:pPr>
        <w:spacing w:line="360" w:lineRule="auto"/>
        <w:rPr>
          <w:rFonts w:ascii="Arial" w:hAnsi="Arial" w:cs="Arial"/>
        </w:rPr>
      </w:pPr>
      <w:r w:rsidRPr="002462CA">
        <w:rPr>
          <w:rFonts w:ascii="Arial" w:hAnsi="Arial" w:cs="Arial"/>
        </w:rPr>
        <w:t>A critical comparison reveals that the hospital structure failed because it relied on an uncoordinated hybrid model. It maintained the rigid, intimidating authority gradient of a centralized hierarchy during normal hours, but abandoned frontline staff to unguided, decentralized decision-making during nights and weekends.</w:t>
      </w:r>
    </w:p>
    <w:p w14:paraId="6FF8439C" w14:textId="2BE9CBC6" w:rsidR="00AF5516" w:rsidRPr="002462CA" w:rsidRDefault="00AF5516" w:rsidP="002462CA">
      <w:pPr>
        <w:spacing w:line="360" w:lineRule="auto"/>
        <w:rPr>
          <w:rFonts w:ascii="Arial" w:hAnsi="Arial" w:cs="Arial"/>
        </w:rPr>
      </w:pPr>
      <w:r w:rsidRPr="00AF5516">
        <w:rPr>
          <w:rFonts w:ascii="Arial" w:hAnsi="Arial" w:cs="Arial"/>
          <w:b/>
          <w:bCs/>
        </w:rPr>
        <w:t>TABLE</w:t>
      </w:r>
      <w:r w:rsidRPr="00AF5516">
        <w:rPr>
          <w:rFonts w:ascii="Arial" w:hAnsi="Arial" w:cs="Arial"/>
        </w:rPr>
        <w:t>: Evaluation of Structural System Dynamics in the Lewis Blackman Case</w:t>
      </w:r>
    </w:p>
    <w:tbl>
      <w:tblPr>
        <w:tblStyle w:val="TableGrid"/>
        <w:tblW w:w="0" w:type="auto"/>
        <w:tblLook w:val="04A0" w:firstRow="1" w:lastRow="0" w:firstColumn="1" w:lastColumn="0" w:noHBand="0" w:noVBand="1"/>
      </w:tblPr>
      <w:tblGrid>
        <w:gridCol w:w="2395"/>
        <w:gridCol w:w="3139"/>
        <w:gridCol w:w="3482"/>
      </w:tblGrid>
      <w:tr w:rsidR="002462CA" w:rsidRPr="002462CA" w14:paraId="1F9380DB" w14:textId="77777777" w:rsidTr="002462CA">
        <w:tc>
          <w:tcPr>
            <w:tcW w:w="0" w:type="auto"/>
            <w:hideMark/>
          </w:tcPr>
          <w:p w14:paraId="641E5371"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Structural Dimension</w:t>
            </w:r>
          </w:p>
        </w:tc>
        <w:tc>
          <w:tcPr>
            <w:tcW w:w="0" w:type="auto"/>
            <w:hideMark/>
          </w:tcPr>
          <w:p w14:paraId="7A73F163"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Centralized Senior Medical Tier</w:t>
            </w:r>
          </w:p>
        </w:tc>
        <w:tc>
          <w:tcPr>
            <w:tcW w:w="0" w:type="auto"/>
            <w:hideMark/>
          </w:tcPr>
          <w:p w14:paraId="4D004CEA"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Decentralized Weekend Frontline</w:t>
            </w:r>
          </w:p>
        </w:tc>
      </w:tr>
      <w:tr w:rsidR="002462CA" w:rsidRPr="002462CA" w14:paraId="50664749" w14:textId="77777777" w:rsidTr="002462CA">
        <w:tc>
          <w:tcPr>
            <w:tcW w:w="0" w:type="auto"/>
            <w:hideMark/>
          </w:tcPr>
          <w:p w14:paraId="78C30ED9"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Decision Authority</w:t>
            </w:r>
          </w:p>
        </w:tc>
        <w:tc>
          <w:tcPr>
            <w:tcW w:w="0" w:type="auto"/>
            <w:hideMark/>
          </w:tcPr>
          <w:p w14:paraId="6E1D8AFF" w14:textId="77777777" w:rsidR="002462CA" w:rsidRPr="002462CA" w:rsidRDefault="002462CA" w:rsidP="002462CA">
            <w:pPr>
              <w:spacing w:after="160" w:line="360" w:lineRule="auto"/>
              <w:rPr>
                <w:rFonts w:ascii="Arial" w:hAnsi="Arial" w:cs="Arial"/>
              </w:rPr>
            </w:pPr>
            <w:r w:rsidRPr="002462CA">
              <w:rPr>
                <w:rFonts w:ascii="Arial" w:hAnsi="Arial" w:cs="Arial"/>
              </w:rPr>
              <w:t>Concentrated in attending surgeon</w:t>
            </w:r>
          </w:p>
        </w:tc>
        <w:tc>
          <w:tcPr>
            <w:tcW w:w="0" w:type="auto"/>
            <w:hideMark/>
          </w:tcPr>
          <w:p w14:paraId="7E6A55B0" w14:textId="77777777" w:rsidR="002462CA" w:rsidRPr="002462CA" w:rsidRDefault="002462CA" w:rsidP="002462CA">
            <w:pPr>
              <w:spacing w:after="160" w:line="360" w:lineRule="auto"/>
              <w:rPr>
                <w:rFonts w:ascii="Arial" w:hAnsi="Arial" w:cs="Arial"/>
              </w:rPr>
            </w:pPr>
            <w:r w:rsidRPr="002462CA">
              <w:rPr>
                <w:rFonts w:ascii="Arial" w:hAnsi="Arial" w:cs="Arial"/>
              </w:rPr>
              <w:t>Delegated to first</w:t>
            </w:r>
            <w:r w:rsidRPr="002462CA">
              <w:rPr>
                <w:rFonts w:ascii="Arial" w:hAnsi="Arial" w:cs="Arial"/>
              </w:rPr>
              <w:noBreakHyphen/>
              <w:t>year residents</w:t>
            </w:r>
          </w:p>
        </w:tc>
      </w:tr>
      <w:tr w:rsidR="002462CA" w:rsidRPr="002462CA" w14:paraId="2156458D" w14:textId="77777777" w:rsidTr="002462CA">
        <w:tc>
          <w:tcPr>
            <w:tcW w:w="0" w:type="auto"/>
            <w:hideMark/>
          </w:tcPr>
          <w:p w14:paraId="7EC98937"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Primary Focus</w:t>
            </w:r>
          </w:p>
        </w:tc>
        <w:tc>
          <w:tcPr>
            <w:tcW w:w="0" w:type="auto"/>
            <w:hideMark/>
          </w:tcPr>
          <w:p w14:paraId="14A2110C" w14:textId="77777777" w:rsidR="002462CA" w:rsidRPr="002462CA" w:rsidRDefault="002462CA" w:rsidP="002462CA">
            <w:pPr>
              <w:spacing w:after="160" w:line="360" w:lineRule="auto"/>
              <w:rPr>
                <w:rFonts w:ascii="Arial" w:hAnsi="Arial" w:cs="Arial"/>
              </w:rPr>
            </w:pPr>
            <w:r w:rsidRPr="002462CA">
              <w:rPr>
                <w:rFonts w:ascii="Arial" w:hAnsi="Arial" w:cs="Arial"/>
              </w:rPr>
              <w:t>Academic oversight; high</w:t>
            </w:r>
            <w:r w:rsidRPr="002462CA">
              <w:rPr>
                <w:rFonts w:ascii="Arial" w:hAnsi="Arial" w:cs="Arial"/>
              </w:rPr>
              <w:noBreakHyphen/>
              <w:t>level policy</w:t>
            </w:r>
          </w:p>
        </w:tc>
        <w:tc>
          <w:tcPr>
            <w:tcW w:w="0" w:type="auto"/>
            <w:hideMark/>
          </w:tcPr>
          <w:p w14:paraId="2874BBD3" w14:textId="77777777" w:rsidR="002462CA" w:rsidRPr="002462CA" w:rsidRDefault="002462CA" w:rsidP="002462CA">
            <w:pPr>
              <w:spacing w:after="160" w:line="360" w:lineRule="auto"/>
              <w:rPr>
                <w:rFonts w:ascii="Arial" w:hAnsi="Arial" w:cs="Arial"/>
              </w:rPr>
            </w:pPr>
            <w:r w:rsidRPr="002462CA">
              <w:rPr>
                <w:rFonts w:ascii="Arial" w:hAnsi="Arial" w:cs="Arial"/>
              </w:rPr>
              <w:t>Routine bed management; task execution</w:t>
            </w:r>
          </w:p>
        </w:tc>
      </w:tr>
      <w:tr w:rsidR="002462CA" w:rsidRPr="002462CA" w14:paraId="5FA56469" w14:textId="77777777" w:rsidTr="002462CA">
        <w:tc>
          <w:tcPr>
            <w:tcW w:w="0" w:type="auto"/>
            <w:hideMark/>
          </w:tcPr>
          <w:p w14:paraId="05B6F909"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Supervisory Status</w:t>
            </w:r>
          </w:p>
        </w:tc>
        <w:tc>
          <w:tcPr>
            <w:tcW w:w="0" w:type="auto"/>
            <w:hideMark/>
          </w:tcPr>
          <w:p w14:paraId="577C7455" w14:textId="77777777" w:rsidR="002462CA" w:rsidRPr="002462CA" w:rsidRDefault="002462CA" w:rsidP="002462CA">
            <w:pPr>
              <w:spacing w:after="160" w:line="360" w:lineRule="auto"/>
              <w:rPr>
                <w:rFonts w:ascii="Arial" w:hAnsi="Arial" w:cs="Arial"/>
              </w:rPr>
            </w:pPr>
            <w:r w:rsidRPr="002462CA">
              <w:rPr>
                <w:rFonts w:ascii="Arial" w:hAnsi="Arial" w:cs="Arial"/>
              </w:rPr>
              <w:t>Physically absent over weekend</w:t>
            </w:r>
          </w:p>
        </w:tc>
        <w:tc>
          <w:tcPr>
            <w:tcW w:w="0" w:type="auto"/>
            <w:hideMark/>
          </w:tcPr>
          <w:p w14:paraId="5C87C535" w14:textId="77777777" w:rsidR="002462CA" w:rsidRPr="002462CA" w:rsidRDefault="002462CA" w:rsidP="002462CA">
            <w:pPr>
              <w:spacing w:after="160" w:line="360" w:lineRule="auto"/>
              <w:rPr>
                <w:rFonts w:ascii="Arial" w:hAnsi="Arial" w:cs="Arial"/>
              </w:rPr>
            </w:pPr>
            <w:r w:rsidRPr="002462CA">
              <w:rPr>
                <w:rFonts w:ascii="Arial" w:hAnsi="Arial" w:cs="Arial"/>
              </w:rPr>
              <w:t>Unsupervised clinical discretion</w:t>
            </w:r>
          </w:p>
        </w:tc>
      </w:tr>
      <w:tr w:rsidR="002462CA" w:rsidRPr="002462CA" w14:paraId="6D1F8840" w14:textId="77777777" w:rsidTr="002462CA">
        <w:tc>
          <w:tcPr>
            <w:tcW w:w="0" w:type="auto"/>
            <w:hideMark/>
          </w:tcPr>
          <w:p w14:paraId="6709E809"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Communication Flow</w:t>
            </w:r>
          </w:p>
        </w:tc>
        <w:tc>
          <w:tcPr>
            <w:tcW w:w="0" w:type="auto"/>
            <w:hideMark/>
          </w:tcPr>
          <w:p w14:paraId="02177D96" w14:textId="77777777" w:rsidR="002462CA" w:rsidRPr="002462CA" w:rsidRDefault="002462CA" w:rsidP="002462CA">
            <w:pPr>
              <w:spacing w:after="160" w:line="360" w:lineRule="auto"/>
              <w:rPr>
                <w:rFonts w:ascii="Arial" w:hAnsi="Arial" w:cs="Arial"/>
              </w:rPr>
            </w:pPr>
            <w:r w:rsidRPr="002462CA">
              <w:rPr>
                <w:rFonts w:ascii="Arial" w:hAnsi="Arial" w:cs="Arial"/>
              </w:rPr>
              <w:t>Distant, intimidating, restricted</w:t>
            </w:r>
          </w:p>
        </w:tc>
        <w:tc>
          <w:tcPr>
            <w:tcW w:w="0" w:type="auto"/>
            <w:hideMark/>
          </w:tcPr>
          <w:p w14:paraId="5A398E93" w14:textId="77777777" w:rsidR="002462CA" w:rsidRPr="002462CA" w:rsidRDefault="002462CA" w:rsidP="002462CA">
            <w:pPr>
              <w:spacing w:after="160" w:line="360" w:lineRule="auto"/>
              <w:rPr>
                <w:rFonts w:ascii="Arial" w:hAnsi="Arial" w:cs="Arial"/>
              </w:rPr>
            </w:pPr>
            <w:r w:rsidRPr="002462CA">
              <w:rPr>
                <w:rFonts w:ascii="Arial" w:hAnsi="Arial" w:cs="Arial"/>
              </w:rPr>
              <w:t>Fragmented, informal, deferential</w:t>
            </w:r>
          </w:p>
        </w:tc>
      </w:tr>
      <w:tr w:rsidR="002462CA" w:rsidRPr="002462CA" w14:paraId="0BE4A133" w14:textId="77777777" w:rsidTr="002462CA">
        <w:tc>
          <w:tcPr>
            <w:tcW w:w="0" w:type="auto"/>
            <w:hideMark/>
          </w:tcPr>
          <w:p w14:paraId="6DBAF0D7"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Impact on Safety</w:t>
            </w:r>
          </w:p>
        </w:tc>
        <w:tc>
          <w:tcPr>
            <w:tcW w:w="0" w:type="auto"/>
            <w:hideMark/>
          </w:tcPr>
          <w:p w14:paraId="37B65008" w14:textId="77777777" w:rsidR="002462CA" w:rsidRPr="002462CA" w:rsidRDefault="002462CA" w:rsidP="002462CA">
            <w:pPr>
              <w:spacing w:after="160" w:line="360" w:lineRule="auto"/>
              <w:rPr>
                <w:rFonts w:ascii="Arial" w:hAnsi="Arial" w:cs="Arial"/>
              </w:rPr>
            </w:pPr>
            <w:r w:rsidRPr="002462CA">
              <w:rPr>
                <w:rFonts w:ascii="Arial" w:hAnsi="Arial" w:cs="Arial"/>
              </w:rPr>
              <w:t>Inaccessible safety valve</w:t>
            </w:r>
          </w:p>
        </w:tc>
        <w:tc>
          <w:tcPr>
            <w:tcW w:w="0" w:type="auto"/>
            <w:hideMark/>
          </w:tcPr>
          <w:p w14:paraId="68291A58" w14:textId="77777777" w:rsidR="002462CA" w:rsidRPr="002462CA" w:rsidRDefault="002462CA" w:rsidP="002462CA">
            <w:pPr>
              <w:spacing w:after="160" w:line="360" w:lineRule="auto"/>
              <w:rPr>
                <w:rFonts w:ascii="Arial" w:hAnsi="Arial" w:cs="Arial"/>
              </w:rPr>
            </w:pPr>
            <w:r w:rsidRPr="002462CA">
              <w:rPr>
                <w:rFonts w:ascii="Arial" w:hAnsi="Arial" w:cs="Arial"/>
              </w:rPr>
              <w:t>Diagnostic anchoring; failed escalation</w:t>
            </w:r>
          </w:p>
        </w:tc>
      </w:tr>
    </w:tbl>
    <w:p w14:paraId="332F15C4" w14:textId="2DEF03BD" w:rsidR="002462CA" w:rsidRPr="002462CA" w:rsidRDefault="002462CA" w:rsidP="002462CA">
      <w:pPr>
        <w:spacing w:line="360" w:lineRule="auto"/>
        <w:rPr>
          <w:rFonts w:ascii="Arial" w:hAnsi="Arial" w:cs="Arial"/>
        </w:rPr>
      </w:pPr>
    </w:p>
    <w:p w14:paraId="3062C8A9" w14:textId="77777777" w:rsidR="002462CA" w:rsidRPr="002462CA" w:rsidRDefault="002462CA" w:rsidP="002462CA">
      <w:pPr>
        <w:spacing w:line="360" w:lineRule="auto"/>
        <w:rPr>
          <w:rFonts w:ascii="Arial" w:hAnsi="Arial" w:cs="Arial"/>
        </w:rPr>
      </w:pPr>
      <w:r w:rsidRPr="002462CA">
        <w:rPr>
          <w:rFonts w:ascii="Arial" w:hAnsi="Arial" w:cs="Arial"/>
        </w:rPr>
        <w:t xml:space="preserve">Empirical data from health system evaluations demonstrate the mortality risks associated with this structural mismatch. Studies evaluating the "weekend effect" in acute hospitals show a 15% to 20% increase in patient mortality during weekend admissions and post-operative recovery periods, directly attributable to reduced senior medical staffing, fragmented decentralisation, and delayed escalation of care (Aylin et al., 2010; Bell and Redelmeier, 2001). At the hospital where Lewis was treated, the structural separation between the centralized attending authority and the decentralized weekend house staff created a fatal communication vacuum. The </w:t>
      </w:r>
      <w:r w:rsidRPr="002462CA">
        <w:rPr>
          <w:rFonts w:ascii="Arial" w:hAnsi="Arial" w:cs="Arial"/>
        </w:rPr>
        <w:lastRenderedPageBreak/>
        <w:t>system lacked a mechanism to bridge this structural gap, such as a mandatory attending bedside round policy or an independent Rapid Response Team (RRT) that nurses could activate autonomously (Taenzer, Pyke and McGrath, 2010).</w:t>
      </w:r>
    </w:p>
    <w:p w14:paraId="58B8C7AC" w14:textId="77777777" w:rsidR="002462CA" w:rsidRPr="002462CA" w:rsidRDefault="002462CA" w:rsidP="002462CA">
      <w:pPr>
        <w:spacing w:line="360" w:lineRule="auto"/>
        <w:rPr>
          <w:rFonts w:ascii="Arial" w:hAnsi="Arial" w:cs="Arial"/>
          <w:b/>
          <w:bCs/>
        </w:rPr>
      </w:pPr>
      <w:r w:rsidRPr="002462CA">
        <w:rPr>
          <w:rFonts w:ascii="Arial" w:hAnsi="Arial" w:cs="Arial"/>
          <w:b/>
          <w:bCs/>
        </w:rPr>
        <w:t>2c. Leadership Theories and Application to the Case Study (900 words)</w:t>
      </w:r>
    </w:p>
    <w:p w14:paraId="43D0E7E0" w14:textId="77777777" w:rsidR="002462CA" w:rsidRPr="002462CA" w:rsidRDefault="002462CA" w:rsidP="002462CA">
      <w:pPr>
        <w:spacing w:line="360" w:lineRule="auto"/>
        <w:rPr>
          <w:rFonts w:ascii="Arial" w:hAnsi="Arial" w:cs="Arial"/>
        </w:rPr>
      </w:pPr>
      <w:r w:rsidRPr="002462CA">
        <w:rPr>
          <w:rFonts w:ascii="Arial" w:hAnsi="Arial" w:cs="Arial"/>
        </w:rPr>
        <w:t>Leadership style directly shapes organizational culture, psychological safety, and clinical outcomes in healthcare settings (West et al., 2015). To evaluate the leadership breakdowns in the Lewis Blackman case, three prominent leadership theories must be critically analyzed: Transformational Leadership, Transactional Leadership, and Situational Leadership.</w:t>
      </w:r>
    </w:p>
    <w:p w14:paraId="405C66C6" w14:textId="77777777" w:rsidR="002462CA" w:rsidRPr="002462CA" w:rsidRDefault="002462CA" w:rsidP="002462CA">
      <w:pPr>
        <w:spacing w:line="360" w:lineRule="auto"/>
        <w:rPr>
          <w:rFonts w:ascii="Arial" w:hAnsi="Arial" w:cs="Arial"/>
          <w:b/>
          <w:bCs/>
        </w:rPr>
      </w:pPr>
      <w:r w:rsidRPr="002462CA">
        <w:rPr>
          <w:rFonts w:ascii="Arial" w:hAnsi="Arial" w:cs="Arial"/>
          <w:b/>
          <w:bCs/>
        </w:rPr>
        <w:t>1. Transformational Leadership Theory</w:t>
      </w:r>
    </w:p>
    <w:p w14:paraId="33DF9113" w14:textId="77777777" w:rsidR="002462CA" w:rsidRPr="002462CA" w:rsidRDefault="002462CA" w:rsidP="002462CA">
      <w:pPr>
        <w:spacing w:line="360" w:lineRule="auto"/>
        <w:rPr>
          <w:rFonts w:ascii="Arial" w:hAnsi="Arial" w:cs="Arial"/>
        </w:rPr>
      </w:pPr>
      <w:r w:rsidRPr="002462CA">
        <w:rPr>
          <w:rFonts w:ascii="Arial" w:hAnsi="Arial" w:cs="Arial"/>
        </w:rPr>
        <w:t>Transformational leadership, conceptualized by Burns (1978) and expanded by Bass and Avolio (1994), posits that leaders transform organizational performance by inspiring followers through four core dimensions: Idealized Influence (acting as a role model), Inspirational Motivation (articulating a compelling vision), Intellectual Stimulation (encouraging innovation and critical questioning), and Individualized Consideration (supporting individual team member development).</w:t>
      </w:r>
    </w:p>
    <w:p w14:paraId="22CD42E5" w14:textId="77777777" w:rsidR="002462CA" w:rsidRPr="002462CA" w:rsidRDefault="002462CA" w:rsidP="002462CA">
      <w:pPr>
        <w:numPr>
          <w:ilvl w:val="0"/>
          <w:numId w:val="4"/>
        </w:numPr>
        <w:spacing w:line="360" w:lineRule="auto"/>
        <w:rPr>
          <w:rFonts w:ascii="Arial" w:hAnsi="Arial" w:cs="Arial"/>
        </w:rPr>
      </w:pPr>
      <w:r w:rsidRPr="002462CA">
        <w:rPr>
          <w:rFonts w:ascii="Arial" w:hAnsi="Arial" w:cs="Arial"/>
          <w:b/>
          <w:bCs/>
        </w:rPr>
        <w:t>Critique and Application:</w:t>
      </w:r>
      <w:r w:rsidRPr="002462CA">
        <w:rPr>
          <w:rFonts w:ascii="Arial" w:hAnsi="Arial" w:cs="Arial"/>
        </w:rPr>
        <w:t xml:space="preserve"> In healthcare, transformational leadership is strongly correlated with open communication, high psychological safety, reduced patient mortality, and effective interprofessional teamwork (Wong, Cummings and Ducharme, 2013). In the Lewis Blackman case, transformational leadership was entirely absent across senior medical and nursing hierarchies. Attending physicians failed to cultivate an environment of intellectual stimulation that would encourage junior residents to challenge their own diagnostic assumptions or seek senior guidance. Furthermore, nursing leadership failed to empower ward nurses to voice clinical concerns assertively. Had transformational leadership been embedded within the department, attending physicians would have actively fostered an environment where calling a consultant at 3:00 AM was praised as a safety-conscious behavior rather than feared as a sign of incompetence (Edmondson, 2018).</w:t>
      </w:r>
    </w:p>
    <w:p w14:paraId="378C1F7D" w14:textId="77777777" w:rsidR="002462CA" w:rsidRPr="002462CA" w:rsidRDefault="002462CA" w:rsidP="002462CA">
      <w:pPr>
        <w:spacing w:line="360" w:lineRule="auto"/>
        <w:rPr>
          <w:rFonts w:ascii="Arial" w:hAnsi="Arial" w:cs="Arial"/>
          <w:b/>
          <w:bCs/>
        </w:rPr>
      </w:pPr>
      <w:r w:rsidRPr="002462CA">
        <w:rPr>
          <w:rFonts w:ascii="Arial" w:hAnsi="Arial" w:cs="Arial"/>
          <w:b/>
          <w:bCs/>
        </w:rPr>
        <w:t>2. Transactional Leadership Theory</w:t>
      </w:r>
    </w:p>
    <w:p w14:paraId="15A0BF27" w14:textId="77777777" w:rsidR="002462CA" w:rsidRPr="002462CA" w:rsidRDefault="002462CA" w:rsidP="002462CA">
      <w:pPr>
        <w:spacing w:line="360" w:lineRule="auto"/>
        <w:rPr>
          <w:rFonts w:ascii="Arial" w:hAnsi="Arial" w:cs="Arial"/>
        </w:rPr>
      </w:pPr>
      <w:r w:rsidRPr="002462CA">
        <w:rPr>
          <w:rFonts w:ascii="Arial" w:hAnsi="Arial" w:cs="Arial"/>
        </w:rPr>
        <w:lastRenderedPageBreak/>
        <w:t>Transactional leadership operates on a foundation of contingent reward and management-by-exception (Avolio and Yammarino, 2013). Leaders establish clear transactional rules: compliance yields approval, while errors or non-compliance result in criticism, disciplinary action, or loss of professional status. Active management-by-exception involves continuous monitoring for deviations, whereas passive management-by-exception involves intervening only after an explicit failure occurs.</w:t>
      </w:r>
    </w:p>
    <w:p w14:paraId="52D1EC3F" w14:textId="77777777" w:rsidR="002462CA" w:rsidRPr="002462CA" w:rsidRDefault="002462CA" w:rsidP="002462CA">
      <w:pPr>
        <w:numPr>
          <w:ilvl w:val="0"/>
          <w:numId w:val="5"/>
        </w:numPr>
        <w:spacing w:line="360" w:lineRule="auto"/>
        <w:rPr>
          <w:rFonts w:ascii="Arial" w:hAnsi="Arial" w:cs="Arial"/>
        </w:rPr>
      </w:pPr>
      <w:r w:rsidRPr="002462CA">
        <w:rPr>
          <w:rFonts w:ascii="Arial" w:hAnsi="Arial" w:cs="Arial"/>
          <w:b/>
          <w:bCs/>
        </w:rPr>
        <w:t>Critique and Application:</w:t>
      </w:r>
      <w:r w:rsidRPr="002462CA">
        <w:rPr>
          <w:rFonts w:ascii="Arial" w:hAnsi="Arial" w:cs="Arial"/>
        </w:rPr>
        <w:t xml:space="preserve"> The institutional culture surrounding the house staff at the hospital was heavily dominated by a destructive form of passive transactional leadership. Senior physicians evaluated junior residents based on their ability to manage ward problems independently without causing administrative disruptions or bothering senior staff (Haskell, 2008). This created a implicit transactional contract: junior residents earned professional praise and autonomy by "handling" patient issues quietly. Consequently, when faced with Lewis's severe deterioration, the junior resident exhibited passive management-by-exception—persisting with minor adjustments to fluid rates and analgesia to avoid escalating the issue to the attending level. Transactional dynamics reinforced a culture of self-reliance over patient safety, driving staff to conceal clinical uncertainty (Reason, 2000; Mannion and Davies, 2018).</w:t>
      </w:r>
    </w:p>
    <w:p w14:paraId="5A6105C0" w14:textId="77777777" w:rsidR="002462CA" w:rsidRPr="002462CA" w:rsidRDefault="002462CA" w:rsidP="002462CA">
      <w:pPr>
        <w:spacing w:line="360" w:lineRule="auto"/>
        <w:rPr>
          <w:rFonts w:ascii="Arial" w:hAnsi="Arial" w:cs="Arial"/>
          <w:b/>
          <w:bCs/>
        </w:rPr>
      </w:pPr>
      <w:r w:rsidRPr="002462CA">
        <w:rPr>
          <w:rFonts w:ascii="Arial" w:hAnsi="Arial" w:cs="Arial"/>
          <w:b/>
          <w:bCs/>
        </w:rPr>
        <w:t>3. Situational Leadership Theory</w:t>
      </w:r>
    </w:p>
    <w:p w14:paraId="572680EC" w14:textId="77777777" w:rsidR="002462CA" w:rsidRPr="002462CA" w:rsidRDefault="002462CA" w:rsidP="002462CA">
      <w:pPr>
        <w:spacing w:line="360" w:lineRule="auto"/>
        <w:rPr>
          <w:rFonts w:ascii="Arial" w:hAnsi="Arial" w:cs="Arial"/>
        </w:rPr>
      </w:pPr>
      <w:r w:rsidRPr="002462CA">
        <w:rPr>
          <w:rFonts w:ascii="Arial" w:hAnsi="Arial" w:cs="Arial"/>
        </w:rPr>
        <w:t>Hersey and Blanchard’s (1988) Situational Leadership Model contends that no single leadership style is optimal in all situations; effective leaders must dynamically adapt their style (Directing, Coaching, Supporting, or Delegating) based on the readiness, competence, and confidence of their followers regarding a specific task.</w:t>
      </w:r>
    </w:p>
    <w:p w14:paraId="7B2CC655" w14:textId="77777777" w:rsidR="002462CA" w:rsidRDefault="002462CA" w:rsidP="002462CA">
      <w:pPr>
        <w:numPr>
          <w:ilvl w:val="0"/>
          <w:numId w:val="6"/>
        </w:numPr>
        <w:spacing w:line="360" w:lineRule="auto"/>
        <w:rPr>
          <w:rFonts w:ascii="Arial" w:hAnsi="Arial" w:cs="Arial"/>
        </w:rPr>
      </w:pPr>
      <w:r w:rsidRPr="002462CA">
        <w:rPr>
          <w:rFonts w:ascii="Arial" w:hAnsi="Arial" w:cs="Arial"/>
          <w:b/>
          <w:bCs/>
        </w:rPr>
        <w:t>Critique and Application:</w:t>
      </w:r>
      <w:r w:rsidRPr="002462CA">
        <w:rPr>
          <w:rFonts w:ascii="Arial" w:hAnsi="Arial" w:cs="Arial"/>
        </w:rPr>
        <w:t xml:space="preserve"> In high-risk clinical environments, situational leadership requires senior clinicians to maintain a highly directive and supportive role when junior staff are managing complex, unstable patients (Sexton et al., 2000). In the Lewis Blackman case, senior surgical leadership misapplied situational leadership catastrophically. Attending physicians adopted a </w:t>
      </w:r>
      <w:r w:rsidRPr="002462CA">
        <w:rPr>
          <w:rFonts w:ascii="Arial" w:hAnsi="Arial" w:cs="Arial"/>
          <w:i/>
          <w:iCs/>
        </w:rPr>
        <w:t>Delegating</w:t>
      </w:r>
      <w:r w:rsidRPr="002462CA">
        <w:rPr>
          <w:rFonts w:ascii="Arial" w:hAnsi="Arial" w:cs="Arial"/>
        </w:rPr>
        <w:t xml:space="preserve"> style toward first-year residents who were managing a major post-operative complication—a task for which the residents possessed </w:t>
      </w:r>
      <w:r w:rsidRPr="002462CA">
        <w:rPr>
          <w:rFonts w:ascii="Arial" w:hAnsi="Arial" w:cs="Arial"/>
        </w:rPr>
        <w:lastRenderedPageBreak/>
        <w:t xml:space="preserve">low clinical readiness and insufficient competence. The attending physicians failed to recognize that managing a deteriorating patient in shock requires immediate transition to a </w:t>
      </w:r>
      <w:r w:rsidRPr="002462CA">
        <w:rPr>
          <w:rFonts w:ascii="Arial" w:hAnsi="Arial" w:cs="Arial"/>
          <w:i/>
          <w:iCs/>
        </w:rPr>
        <w:t>Directing</w:t>
      </w:r>
      <w:r w:rsidRPr="002462CA">
        <w:rPr>
          <w:rFonts w:ascii="Arial" w:hAnsi="Arial" w:cs="Arial"/>
        </w:rPr>
        <w:t xml:space="preserve"> and </w:t>
      </w:r>
      <w:r w:rsidRPr="002462CA">
        <w:rPr>
          <w:rFonts w:ascii="Arial" w:hAnsi="Arial" w:cs="Arial"/>
          <w:i/>
          <w:iCs/>
        </w:rPr>
        <w:t>Coaching</w:t>
      </w:r>
      <w:r w:rsidRPr="002462CA">
        <w:rPr>
          <w:rFonts w:ascii="Arial" w:hAnsi="Arial" w:cs="Arial"/>
        </w:rPr>
        <w:t xml:space="preserve"> style, marked by direct bedside attending presence and hands-on evaluation (Cosby and Croskerry, 2004).</w:t>
      </w:r>
    </w:p>
    <w:p w14:paraId="25DE334B" w14:textId="0B09791E" w:rsidR="00AF5516" w:rsidRPr="002462CA" w:rsidRDefault="00AF5516" w:rsidP="00AF5516">
      <w:pPr>
        <w:spacing w:line="360" w:lineRule="auto"/>
        <w:ind w:left="720"/>
        <w:rPr>
          <w:rFonts w:ascii="Arial" w:hAnsi="Arial" w:cs="Arial"/>
        </w:rPr>
      </w:pPr>
      <w:r w:rsidRPr="00AF5516">
        <w:rPr>
          <w:b/>
          <w:bCs/>
        </w:rPr>
        <w:t xml:space="preserve">Table </w:t>
      </w:r>
      <w:r>
        <w:t xml:space="preserve">: </w:t>
      </w:r>
      <w:r w:rsidRPr="00AF5516">
        <w:t>Evaluation</w:t>
      </w:r>
      <w:r w:rsidRPr="00AF5516">
        <w:rPr>
          <w:rFonts w:ascii="Arial" w:hAnsi="Arial" w:cs="Arial"/>
        </w:rPr>
        <w:t xml:space="preserve"> of Leadership Styles in the Lewis Blackman Case Study</w:t>
      </w:r>
    </w:p>
    <w:tbl>
      <w:tblPr>
        <w:tblStyle w:val="TableGrid"/>
        <w:tblW w:w="0" w:type="auto"/>
        <w:tblLook w:val="04A0" w:firstRow="1" w:lastRow="0" w:firstColumn="1" w:lastColumn="0" w:noHBand="0" w:noVBand="1"/>
      </w:tblPr>
      <w:tblGrid>
        <w:gridCol w:w="2285"/>
        <w:gridCol w:w="4018"/>
        <w:gridCol w:w="2713"/>
      </w:tblGrid>
      <w:tr w:rsidR="002462CA" w:rsidRPr="002462CA" w14:paraId="4179494F" w14:textId="77777777" w:rsidTr="002462CA">
        <w:tc>
          <w:tcPr>
            <w:tcW w:w="0" w:type="auto"/>
            <w:hideMark/>
          </w:tcPr>
          <w:p w14:paraId="6556BE2A"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Leadership Theory</w:t>
            </w:r>
          </w:p>
        </w:tc>
        <w:tc>
          <w:tcPr>
            <w:tcW w:w="0" w:type="auto"/>
            <w:hideMark/>
          </w:tcPr>
          <w:p w14:paraId="4BCA3F1A"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Observed Institutional Manifestation</w:t>
            </w:r>
          </w:p>
        </w:tc>
        <w:tc>
          <w:tcPr>
            <w:tcW w:w="0" w:type="auto"/>
            <w:hideMark/>
          </w:tcPr>
          <w:p w14:paraId="28E3AD3A"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Impact on Patient Safety</w:t>
            </w:r>
          </w:p>
        </w:tc>
      </w:tr>
      <w:tr w:rsidR="002462CA" w:rsidRPr="002462CA" w14:paraId="0436F6EE" w14:textId="77777777" w:rsidTr="002462CA">
        <w:tc>
          <w:tcPr>
            <w:tcW w:w="0" w:type="auto"/>
            <w:hideMark/>
          </w:tcPr>
          <w:p w14:paraId="64FE413A"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Transformational Leadership</w:t>
            </w:r>
          </w:p>
        </w:tc>
        <w:tc>
          <w:tcPr>
            <w:tcW w:w="0" w:type="auto"/>
            <w:hideMark/>
          </w:tcPr>
          <w:p w14:paraId="09192CA2"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Absent; no organisational vision for psychological safety or interprofessional voice.</w:t>
            </w:r>
          </w:p>
        </w:tc>
        <w:tc>
          <w:tcPr>
            <w:tcW w:w="0" w:type="auto"/>
            <w:hideMark/>
          </w:tcPr>
          <w:p w14:paraId="25D1FF2C"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High fear of escalation; nurses deferred to residents instead of contacting attendings.</w:t>
            </w:r>
          </w:p>
        </w:tc>
      </w:tr>
      <w:tr w:rsidR="002462CA" w:rsidRPr="002462CA" w14:paraId="31DD87BB" w14:textId="77777777" w:rsidTr="002462CA">
        <w:tc>
          <w:tcPr>
            <w:tcW w:w="0" w:type="auto"/>
            <w:hideMark/>
          </w:tcPr>
          <w:p w14:paraId="4BABC7ED"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Transactional Leadership</w:t>
            </w:r>
          </w:p>
        </w:tc>
        <w:tc>
          <w:tcPr>
            <w:tcW w:w="0" w:type="auto"/>
            <w:hideMark/>
          </w:tcPr>
          <w:p w14:paraId="1821A32C"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Present as passive management</w:t>
            </w:r>
            <w:r w:rsidRPr="002462CA">
              <w:rPr>
                <w:rFonts w:ascii="Arial" w:hAnsi="Arial" w:cs="Arial"/>
                <w:b/>
                <w:bCs/>
              </w:rPr>
              <w:noBreakHyphen/>
              <w:t>by</w:t>
            </w:r>
            <w:r w:rsidRPr="002462CA">
              <w:rPr>
                <w:rFonts w:ascii="Arial" w:hAnsi="Arial" w:cs="Arial"/>
                <w:b/>
                <w:bCs/>
              </w:rPr>
              <w:noBreakHyphen/>
              <w:t>exception; autonomy rewarded over safety.</w:t>
            </w:r>
          </w:p>
        </w:tc>
        <w:tc>
          <w:tcPr>
            <w:tcW w:w="0" w:type="auto"/>
            <w:hideMark/>
          </w:tcPr>
          <w:p w14:paraId="5D7D7AD1"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Residents avoided calling senior staff to prove competence, delaying critical escalation.</w:t>
            </w:r>
          </w:p>
        </w:tc>
      </w:tr>
      <w:tr w:rsidR="002462CA" w:rsidRPr="002462CA" w14:paraId="5FD1BBDD" w14:textId="77777777" w:rsidTr="002462CA">
        <w:tc>
          <w:tcPr>
            <w:tcW w:w="0" w:type="auto"/>
            <w:hideMark/>
          </w:tcPr>
          <w:p w14:paraId="1AACE8AD"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Situational Leadership</w:t>
            </w:r>
          </w:p>
        </w:tc>
        <w:tc>
          <w:tcPr>
            <w:tcW w:w="0" w:type="auto"/>
            <w:hideMark/>
          </w:tcPr>
          <w:p w14:paraId="76670338"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Misapplied; total delegation of complex postoperative care to inexperienced first</w:t>
            </w:r>
            <w:r w:rsidRPr="002462CA">
              <w:rPr>
                <w:rFonts w:ascii="Arial" w:hAnsi="Arial" w:cs="Arial"/>
                <w:b/>
                <w:bCs/>
              </w:rPr>
              <w:noBreakHyphen/>
              <w:t>year interns.</w:t>
            </w:r>
          </w:p>
        </w:tc>
        <w:tc>
          <w:tcPr>
            <w:tcW w:w="0" w:type="auto"/>
            <w:hideMark/>
          </w:tcPr>
          <w:p w14:paraId="68F37B65" w14:textId="77777777" w:rsidR="002462CA" w:rsidRPr="002462CA" w:rsidRDefault="002462CA" w:rsidP="002462CA">
            <w:pPr>
              <w:spacing w:after="160" w:line="360" w:lineRule="auto"/>
              <w:rPr>
                <w:rFonts w:ascii="Arial" w:hAnsi="Arial" w:cs="Arial"/>
                <w:b/>
                <w:bCs/>
              </w:rPr>
            </w:pPr>
            <w:r w:rsidRPr="002462CA">
              <w:rPr>
                <w:rFonts w:ascii="Arial" w:hAnsi="Arial" w:cs="Arial"/>
                <w:b/>
                <w:bCs/>
              </w:rPr>
              <w:t>Inexperienced residents left to manage evolving shock unsupervised, leading to fatal deterioration.</w:t>
            </w:r>
          </w:p>
        </w:tc>
      </w:tr>
    </w:tbl>
    <w:p w14:paraId="5A6EF698" w14:textId="77777777" w:rsidR="002462CA" w:rsidRPr="002462CA" w:rsidRDefault="002462CA" w:rsidP="002462CA">
      <w:pPr>
        <w:spacing w:line="360" w:lineRule="auto"/>
        <w:rPr>
          <w:rFonts w:ascii="Arial" w:hAnsi="Arial" w:cs="Arial"/>
          <w:b/>
          <w:bCs/>
        </w:rPr>
      </w:pPr>
      <w:r w:rsidRPr="002462CA">
        <w:rPr>
          <w:rFonts w:ascii="Arial" w:hAnsi="Arial" w:cs="Arial"/>
          <w:b/>
          <w:bCs/>
        </w:rPr>
        <w:t>Analytical Synthesis: Command-Driven vs. Distributed Leadership</w:t>
      </w:r>
    </w:p>
    <w:p w14:paraId="6DF70918" w14:textId="77777777" w:rsidR="002462CA" w:rsidRPr="002462CA" w:rsidRDefault="002462CA" w:rsidP="002462CA">
      <w:pPr>
        <w:spacing w:line="360" w:lineRule="auto"/>
        <w:rPr>
          <w:rFonts w:ascii="Arial" w:hAnsi="Arial" w:cs="Arial"/>
        </w:rPr>
      </w:pPr>
      <w:r w:rsidRPr="002462CA">
        <w:rPr>
          <w:rFonts w:ascii="Arial" w:hAnsi="Arial" w:cs="Arial"/>
        </w:rPr>
        <w:t xml:space="preserve">The leadership structure in the Lewis Blackman story was characterized by a rigid, command-driven hierarchy that paradoxically detached itself from frontline operations during critical weekend hours. Data from international health safety audits reveal that hospital units operating under steep authority gradients experience significantly higher rates of unescalated patient deterioration compared to units utilizing distributed, emotionally intelligent leadership models (West et al., 2015; NHS </w:t>
      </w:r>
      <w:r w:rsidRPr="002462CA">
        <w:rPr>
          <w:rFonts w:ascii="Arial" w:hAnsi="Arial" w:cs="Arial"/>
        </w:rPr>
        <w:lastRenderedPageBreak/>
        <w:t>Improvement, 2021). Distributed leadership distributes safety ownership across nurses, residents, and senior consultants, establishing that any team member, regardless of rank, possesses the authority and obligation to halt care and summon senior assistance (Spillane, 2006).</w:t>
      </w:r>
    </w:p>
    <w:p w14:paraId="3924E2CB" w14:textId="5378FE88" w:rsidR="002462CA" w:rsidRPr="002462CA" w:rsidRDefault="002462CA" w:rsidP="002462CA">
      <w:pPr>
        <w:spacing w:line="360" w:lineRule="auto"/>
        <w:rPr>
          <w:rFonts w:ascii="Arial" w:hAnsi="Arial" w:cs="Arial"/>
          <w:b/>
          <w:bCs/>
        </w:rPr>
      </w:pPr>
      <w:r w:rsidRPr="002462CA">
        <w:rPr>
          <w:rFonts w:ascii="Arial" w:hAnsi="Arial" w:cs="Arial"/>
          <w:b/>
          <w:bCs/>
        </w:rPr>
        <w:t xml:space="preserve">2d. Improvement and Lessons Learned </w:t>
      </w:r>
    </w:p>
    <w:p w14:paraId="571D5000" w14:textId="77777777" w:rsidR="002462CA" w:rsidRPr="002462CA" w:rsidRDefault="002462CA" w:rsidP="002462CA">
      <w:pPr>
        <w:spacing w:line="360" w:lineRule="auto"/>
        <w:rPr>
          <w:rFonts w:ascii="Arial" w:hAnsi="Arial" w:cs="Arial"/>
        </w:rPr>
      </w:pPr>
      <w:r w:rsidRPr="002462CA">
        <w:rPr>
          <w:rFonts w:ascii="Arial" w:hAnsi="Arial" w:cs="Arial"/>
        </w:rPr>
        <w:t>The preventable death of Lewis Blackman exposes profound vulnerabilities in how healthcare systems manage clinical deterioration, interprofessional communication, and leadership governance. Analyzing this case provides essential lessons for transforming hospital safety management, human factors integration, and organizational learning.</w:t>
      </w:r>
    </w:p>
    <w:p w14:paraId="1A92EA11" w14:textId="77777777" w:rsidR="002462CA" w:rsidRPr="002462CA" w:rsidRDefault="002462CA" w:rsidP="002462CA">
      <w:pPr>
        <w:spacing w:line="360" w:lineRule="auto"/>
        <w:rPr>
          <w:rFonts w:ascii="Arial" w:hAnsi="Arial" w:cs="Arial"/>
          <w:b/>
          <w:bCs/>
        </w:rPr>
      </w:pPr>
      <w:r w:rsidRPr="002462CA">
        <w:rPr>
          <w:rFonts w:ascii="Arial" w:hAnsi="Arial" w:cs="Arial"/>
          <w:b/>
          <w:bCs/>
        </w:rPr>
        <w:t>Interaction of Leadership, Governance, and Feedback Loops</w:t>
      </w:r>
    </w:p>
    <w:p w14:paraId="112A4E64" w14:textId="77777777" w:rsidR="002462CA" w:rsidRPr="002462CA" w:rsidRDefault="002462CA" w:rsidP="002462CA">
      <w:pPr>
        <w:spacing w:line="360" w:lineRule="auto"/>
        <w:rPr>
          <w:rFonts w:ascii="Arial" w:hAnsi="Arial" w:cs="Arial"/>
        </w:rPr>
      </w:pPr>
      <w:r w:rsidRPr="002462CA">
        <w:rPr>
          <w:rFonts w:ascii="Arial" w:hAnsi="Arial" w:cs="Arial"/>
        </w:rPr>
        <w:t>Organisational failure in acute healthcare is driven by uncorrected feedback loops and structural learning deficits (Sterman, 2000). At the hospital where Lewis was treated, the governance system failed at both single-loop and double-loop organizational learning (Argyris and Schön, 1978).</w:t>
      </w:r>
    </w:p>
    <w:p w14:paraId="1F0E1F5B" w14:textId="77777777" w:rsidR="002462CA" w:rsidRPr="002462CA" w:rsidRDefault="002462CA" w:rsidP="002462CA">
      <w:pPr>
        <w:numPr>
          <w:ilvl w:val="0"/>
          <w:numId w:val="7"/>
        </w:numPr>
        <w:spacing w:line="360" w:lineRule="auto"/>
        <w:rPr>
          <w:rFonts w:ascii="Arial" w:hAnsi="Arial" w:cs="Arial"/>
        </w:rPr>
      </w:pPr>
      <w:r w:rsidRPr="002462CA">
        <w:rPr>
          <w:rFonts w:ascii="Arial" w:hAnsi="Arial" w:cs="Arial"/>
          <w:b/>
          <w:bCs/>
        </w:rPr>
        <w:t>Single-Loop Learning Failure:</w:t>
      </w:r>
      <w:r w:rsidRPr="002462CA">
        <w:rPr>
          <w:rFonts w:ascii="Arial" w:hAnsi="Arial" w:cs="Arial"/>
        </w:rPr>
        <w:t xml:space="preserve"> Single-loop learning involves detecting an operational deviation and taking immediate corrective action without questioning underlying institutional norms. In the days leading up to Lewis's death, multiple warning signs—unmeasurable blood pressure, continuous oliguria, and parental distress—were treated as isolated operational anomalies rather than urgent safety breaches. The team repeatedly applied superficial fixes (e.g., flushing IV lines, adjusting epidural rates) without stepping back to re-evaluate the primary diagnostic hypothesis.</w:t>
      </w:r>
    </w:p>
    <w:p w14:paraId="7BD5B568" w14:textId="77777777" w:rsidR="002462CA" w:rsidRPr="002462CA" w:rsidRDefault="002462CA" w:rsidP="002462CA">
      <w:pPr>
        <w:numPr>
          <w:ilvl w:val="0"/>
          <w:numId w:val="7"/>
        </w:numPr>
        <w:spacing w:line="360" w:lineRule="auto"/>
        <w:rPr>
          <w:rFonts w:ascii="Arial" w:hAnsi="Arial" w:cs="Arial"/>
        </w:rPr>
      </w:pPr>
      <w:r w:rsidRPr="002462CA">
        <w:rPr>
          <w:rFonts w:ascii="Arial" w:hAnsi="Arial" w:cs="Arial"/>
          <w:b/>
          <w:bCs/>
        </w:rPr>
        <w:t>Double-Loop Learning Failure:</w:t>
      </w:r>
      <w:r w:rsidRPr="002462CA">
        <w:rPr>
          <w:rFonts w:ascii="Arial" w:hAnsi="Arial" w:cs="Arial"/>
        </w:rPr>
        <w:t xml:space="preserve"> Double-loop learning requires an organization to critically reflect on its core assumptions, authority structures, and governance policies following a safety breach. For years prior to the incident, academic medical centers implicitly accepted weekend coverage models that left inexperienced interns unsupervised. Institutional governance failed to re-evaluate whether this operational model was compatible with fundamental patient safety principles.</w:t>
      </w:r>
    </w:p>
    <w:p w14:paraId="09BD53A1" w14:textId="77777777" w:rsidR="00AF5516" w:rsidRDefault="00AF5516" w:rsidP="002462CA">
      <w:pPr>
        <w:spacing w:line="360" w:lineRule="auto"/>
        <w:rPr>
          <w:rFonts w:ascii="Arial" w:hAnsi="Arial" w:cs="Arial"/>
          <w:b/>
          <w:bCs/>
        </w:rPr>
      </w:pPr>
    </w:p>
    <w:p w14:paraId="3E64A3AF" w14:textId="3C02CBE6" w:rsidR="00AF5516" w:rsidRDefault="00AF5516" w:rsidP="002462CA">
      <w:pPr>
        <w:spacing w:line="360" w:lineRule="auto"/>
        <w:rPr>
          <w:rFonts w:ascii="Arial" w:hAnsi="Arial" w:cs="Arial"/>
        </w:rPr>
      </w:pPr>
      <w:r w:rsidRPr="00AF5516">
        <w:rPr>
          <w:rFonts w:ascii="Arial" w:hAnsi="Arial" w:cs="Arial"/>
          <w:b/>
          <w:bCs/>
        </w:rPr>
        <w:lastRenderedPageBreak/>
        <w:t xml:space="preserve">Chart </w:t>
      </w:r>
      <w:r>
        <w:rPr>
          <w:rFonts w:ascii="Arial" w:hAnsi="Arial" w:cs="Arial"/>
        </w:rPr>
        <w:t xml:space="preserve">: </w:t>
      </w:r>
      <w:r w:rsidRPr="00AF5516">
        <w:rPr>
          <w:rFonts w:ascii="Arial" w:hAnsi="Arial" w:cs="Arial"/>
        </w:rPr>
        <w:t>Feedback Loop Dynamics of Failure to Rescue in Acute Care</w:t>
      </w:r>
      <w:r>
        <w:rPr>
          <w:rFonts w:ascii="Arial" w:hAnsi="Arial" w:cs="Arial"/>
        </w:rPr>
        <w:t xml:space="preserve"> </w:t>
      </w:r>
    </w:p>
    <w:p w14:paraId="585CBD91" w14:textId="4EB9865E" w:rsidR="002462CA" w:rsidRPr="00AF5516" w:rsidRDefault="00AF5516" w:rsidP="002462CA">
      <w:pPr>
        <w:spacing w:line="360" w:lineRule="auto"/>
        <w:rPr>
          <w:rFonts w:ascii="Arial" w:hAnsi="Arial" w:cs="Arial"/>
        </w:rPr>
      </w:pPr>
      <w:r w:rsidRPr="00AF5516">
        <w:rPr>
          <w:rFonts w:ascii="Arial" w:hAnsi="Arial" w:cs="Arial"/>
        </w:rPr>
        <w:t>(</w:t>
      </w:r>
      <w:r w:rsidR="002462CA" w:rsidRPr="00AF5516">
        <w:rPr>
          <w:rFonts w:ascii="Arial" w:hAnsi="Arial" w:cs="Arial"/>
        </w:rPr>
        <w:t>WEEKEND REDUCED SENIOR STAFFING</w:t>
      </w:r>
      <w:r w:rsidRPr="00AF5516">
        <w:rPr>
          <w:rFonts w:ascii="Arial" w:hAnsi="Arial" w:cs="Arial"/>
        </w:rPr>
        <w:t>)</w:t>
      </w:r>
    </w:p>
    <w:p w14:paraId="78E15976" w14:textId="77777777" w:rsidR="002462CA" w:rsidRPr="00AF5516" w:rsidRDefault="002462CA" w:rsidP="002462CA">
      <w:pPr>
        <w:spacing w:line="360" w:lineRule="auto"/>
        <w:rPr>
          <w:rFonts w:ascii="Arial" w:hAnsi="Arial" w:cs="Arial"/>
        </w:rPr>
      </w:pPr>
      <w:r w:rsidRPr="00AF5516">
        <w:rPr>
          <w:rFonts w:ascii="Arial" w:hAnsi="Arial" w:cs="Arial"/>
        </w:rPr>
        <w:t xml:space="preserve">        ↓</w:t>
      </w:r>
    </w:p>
    <w:p w14:paraId="7831F262" w14:textId="5A99674B" w:rsidR="002462CA" w:rsidRPr="00AF5516" w:rsidRDefault="00AF5516" w:rsidP="002462CA">
      <w:pPr>
        <w:spacing w:line="360" w:lineRule="auto"/>
        <w:rPr>
          <w:rFonts w:ascii="Arial" w:hAnsi="Arial" w:cs="Arial"/>
        </w:rPr>
      </w:pPr>
      <w:r w:rsidRPr="00AF5516">
        <w:rPr>
          <w:rFonts w:ascii="Arial" w:hAnsi="Arial" w:cs="Arial"/>
        </w:rPr>
        <w:t>(</w:t>
      </w:r>
      <w:r w:rsidR="002462CA" w:rsidRPr="00AF5516">
        <w:rPr>
          <w:rFonts w:ascii="Arial" w:hAnsi="Arial" w:cs="Arial"/>
        </w:rPr>
        <w:t>1ST</w:t>
      </w:r>
      <w:r w:rsidR="002462CA" w:rsidRPr="00AF5516">
        <w:rPr>
          <w:rFonts w:ascii="Cambria Math" w:hAnsi="Cambria Math" w:cs="Cambria Math"/>
        </w:rPr>
        <w:t>‑</w:t>
      </w:r>
      <w:r w:rsidR="002462CA" w:rsidRPr="00AF5516">
        <w:rPr>
          <w:rFonts w:ascii="Arial" w:hAnsi="Arial" w:cs="Arial"/>
        </w:rPr>
        <w:t>YEAR RESIDENTS LEFT UNSUPERVISED</w:t>
      </w:r>
      <w:r w:rsidRPr="00AF5516">
        <w:rPr>
          <w:rFonts w:ascii="Arial" w:hAnsi="Arial" w:cs="Arial"/>
        </w:rPr>
        <w:t>)</w:t>
      </w:r>
    </w:p>
    <w:p w14:paraId="2F2C96CF" w14:textId="77777777" w:rsidR="002462CA" w:rsidRPr="00AF5516" w:rsidRDefault="002462CA" w:rsidP="002462CA">
      <w:pPr>
        <w:spacing w:line="360" w:lineRule="auto"/>
        <w:rPr>
          <w:rFonts w:ascii="Arial" w:hAnsi="Arial" w:cs="Arial"/>
        </w:rPr>
      </w:pPr>
      <w:r w:rsidRPr="00AF5516">
        <w:rPr>
          <w:rFonts w:ascii="Arial" w:hAnsi="Arial" w:cs="Arial"/>
        </w:rPr>
        <w:t xml:space="preserve">        ↓</w:t>
      </w:r>
    </w:p>
    <w:p w14:paraId="5CA24AC1" w14:textId="77777777" w:rsidR="002462CA" w:rsidRPr="00AF5516" w:rsidRDefault="002462CA" w:rsidP="002462CA">
      <w:pPr>
        <w:spacing w:line="360" w:lineRule="auto"/>
        <w:rPr>
          <w:rFonts w:ascii="Arial" w:hAnsi="Arial" w:cs="Arial"/>
        </w:rPr>
      </w:pPr>
      <w:r w:rsidRPr="00AF5516">
        <w:rPr>
          <w:rFonts w:ascii="Arial" w:hAnsi="Arial" w:cs="Arial"/>
        </w:rPr>
        <w:t xml:space="preserve">        ↑</w:t>
      </w:r>
    </w:p>
    <w:p w14:paraId="71590E67" w14:textId="46D7219F" w:rsidR="002462CA" w:rsidRPr="00AF5516" w:rsidRDefault="002462CA" w:rsidP="002462CA">
      <w:pPr>
        <w:spacing w:line="360" w:lineRule="auto"/>
        <w:rPr>
          <w:rFonts w:ascii="Arial" w:hAnsi="Arial" w:cs="Arial"/>
        </w:rPr>
      </w:pPr>
      <w:r w:rsidRPr="00AF5516">
        <w:rPr>
          <w:rFonts w:ascii="Arial" w:hAnsi="Arial" w:cs="Arial"/>
        </w:rPr>
        <w:t xml:space="preserve">        |   Steep authority gradient reinforces resident hesitation</w:t>
      </w:r>
    </w:p>
    <w:p w14:paraId="008A6B53" w14:textId="2C8228D1" w:rsidR="002462CA" w:rsidRPr="00AF5516" w:rsidRDefault="00AF5516" w:rsidP="002462CA">
      <w:pPr>
        <w:spacing w:line="360" w:lineRule="auto"/>
        <w:rPr>
          <w:rFonts w:ascii="Arial" w:hAnsi="Arial" w:cs="Arial"/>
        </w:rPr>
      </w:pPr>
      <w:r w:rsidRPr="00AF5516">
        <w:rPr>
          <w:rFonts w:ascii="Arial" w:hAnsi="Arial" w:cs="Arial"/>
        </w:rPr>
        <w:t>(</w:t>
      </w:r>
      <w:r w:rsidR="002462CA" w:rsidRPr="00AF5516">
        <w:rPr>
          <w:rFonts w:ascii="Arial" w:hAnsi="Arial" w:cs="Arial"/>
        </w:rPr>
        <w:t>STEEP AUTHORITY GRADIENT &amp; FEAR</w:t>
      </w:r>
      <w:r w:rsidRPr="00AF5516">
        <w:rPr>
          <w:rFonts w:ascii="Arial" w:hAnsi="Arial" w:cs="Arial"/>
        </w:rPr>
        <w:t>)</w:t>
      </w:r>
    </w:p>
    <w:p w14:paraId="594403D3" w14:textId="77777777" w:rsidR="002462CA" w:rsidRPr="00AF5516" w:rsidRDefault="002462CA" w:rsidP="002462CA">
      <w:pPr>
        <w:spacing w:line="360" w:lineRule="auto"/>
        <w:rPr>
          <w:rFonts w:ascii="Arial" w:hAnsi="Arial" w:cs="Arial"/>
        </w:rPr>
      </w:pPr>
      <w:r w:rsidRPr="00AF5516">
        <w:rPr>
          <w:rFonts w:ascii="Arial" w:hAnsi="Arial" w:cs="Arial"/>
        </w:rPr>
        <w:t xml:space="preserve">        ↓</w:t>
      </w:r>
    </w:p>
    <w:p w14:paraId="2153AA18" w14:textId="21320F97" w:rsidR="002462CA" w:rsidRPr="00AF5516" w:rsidRDefault="00AF5516" w:rsidP="002462CA">
      <w:pPr>
        <w:spacing w:line="360" w:lineRule="auto"/>
        <w:rPr>
          <w:rFonts w:ascii="Arial" w:hAnsi="Arial" w:cs="Arial"/>
        </w:rPr>
      </w:pPr>
      <w:r w:rsidRPr="00AF5516">
        <w:rPr>
          <w:rFonts w:ascii="Arial" w:hAnsi="Arial" w:cs="Arial"/>
        </w:rPr>
        <w:t>(</w:t>
      </w:r>
      <w:r w:rsidR="002462CA" w:rsidRPr="00AF5516">
        <w:rPr>
          <w:rFonts w:ascii="Arial" w:hAnsi="Arial" w:cs="Arial"/>
        </w:rPr>
        <w:t>DIAGNOSTIC ANCHORING &amp; MISATTRIBUTED SHOCK</w:t>
      </w:r>
      <w:r w:rsidRPr="00AF5516">
        <w:rPr>
          <w:rFonts w:ascii="Arial" w:hAnsi="Arial" w:cs="Arial"/>
        </w:rPr>
        <w:t>)</w:t>
      </w:r>
    </w:p>
    <w:p w14:paraId="21B12400" w14:textId="77777777" w:rsidR="002462CA" w:rsidRPr="00AF5516" w:rsidRDefault="002462CA" w:rsidP="002462CA">
      <w:pPr>
        <w:spacing w:line="360" w:lineRule="auto"/>
        <w:rPr>
          <w:rFonts w:ascii="Arial" w:hAnsi="Arial" w:cs="Arial"/>
        </w:rPr>
      </w:pPr>
      <w:r w:rsidRPr="00AF5516">
        <w:rPr>
          <w:rFonts w:ascii="Arial" w:hAnsi="Arial" w:cs="Arial"/>
        </w:rPr>
        <w:t xml:space="preserve">        ↓</w:t>
      </w:r>
    </w:p>
    <w:p w14:paraId="23BEE034" w14:textId="77777777" w:rsidR="002462CA" w:rsidRPr="00AF5516" w:rsidRDefault="002462CA" w:rsidP="002462CA">
      <w:pPr>
        <w:spacing w:line="360" w:lineRule="auto"/>
        <w:rPr>
          <w:rFonts w:ascii="Arial" w:hAnsi="Arial" w:cs="Arial"/>
        </w:rPr>
      </w:pPr>
      <w:r w:rsidRPr="00AF5516">
        <w:rPr>
          <w:rFonts w:ascii="Arial" w:hAnsi="Arial" w:cs="Arial"/>
        </w:rPr>
        <w:t xml:space="preserve">        ↑</w:t>
      </w:r>
    </w:p>
    <w:p w14:paraId="6CABFA50" w14:textId="2AA180B7" w:rsidR="002462CA" w:rsidRPr="00AF5516" w:rsidRDefault="002462CA" w:rsidP="002462CA">
      <w:pPr>
        <w:spacing w:line="360" w:lineRule="auto"/>
        <w:rPr>
          <w:rFonts w:ascii="Arial" w:hAnsi="Arial" w:cs="Arial"/>
        </w:rPr>
      </w:pPr>
      <w:r w:rsidRPr="00AF5516">
        <w:rPr>
          <w:rFonts w:ascii="Arial" w:hAnsi="Arial" w:cs="Arial"/>
        </w:rPr>
        <w:t xml:space="preserve"> Anchoring bias increases fear of escalation,</w:t>
      </w:r>
    </w:p>
    <w:p w14:paraId="76ABD3F8" w14:textId="6208A4D0" w:rsidR="002462CA" w:rsidRPr="00AF5516" w:rsidRDefault="002462CA" w:rsidP="002462CA">
      <w:pPr>
        <w:spacing w:line="360" w:lineRule="auto"/>
        <w:rPr>
          <w:rFonts w:ascii="Arial" w:hAnsi="Arial" w:cs="Arial"/>
        </w:rPr>
      </w:pPr>
      <w:r w:rsidRPr="00AF5516">
        <w:rPr>
          <w:rFonts w:ascii="Arial" w:hAnsi="Arial" w:cs="Arial"/>
        </w:rPr>
        <w:t>fear increases anchoring bias (reinforcing loop)</w:t>
      </w:r>
    </w:p>
    <w:p w14:paraId="607CE21D" w14:textId="2CD5D89C" w:rsidR="002462CA" w:rsidRPr="00AF5516" w:rsidRDefault="002462CA" w:rsidP="002462CA">
      <w:pPr>
        <w:spacing w:line="360" w:lineRule="auto"/>
        <w:rPr>
          <w:rFonts w:ascii="Arial" w:hAnsi="Arial" w:cs="Arial"/>
        </w:rPr>
      </w:pPr>
      <w:r w:rsidRPr="00AF5516">
        <w:rPr>
          <w:rFonts w:ascii="Arial" w:hAnsi="Arial" w:cs="Arial"/>
        </w:rPr>
        <w:t xml:space="preserve">        ↓</w:t>
      </w:r>
    </w:p>
    <w:p w14:paraId="31FB6613" w14:textId="7D90889D" w:rsidR="002462CA" w:rsidRPr="00AF5516" w:rsidRDefault="002462CA" w:rsidP="002462CA">
      <w:pPr>
        <w:spacing w:line="360" w:lineRule="auto"/>
        <w:rPr>
          <w:rFonts w:ascii="Arial" w:hAnsi="Arial" w:cs="Arial"/>
        </w:rPr>
      </w:pPr>
      <w:r w:rsidRPr="00AF5516">
        <w:rPr>
          <w:rFonts w:ascii="Arial" w:hAnsi="Arial" w:cs="Arial"/>
        </w:rPr>
        <w:t>(FAILURE TO ESCALATE TO ATTENDING)</w:t>
      </w:r>
    </w:p>
    <w:p w14:paraId="1487C431" w14:textId="77777777" w:rsidR="002462CA" w:rsidRPr="00AF5516" w:rsidRDefault="002462CA" w:rsidP="002462CA">
      <w:pPr>
        <w:spacing w:line="360" w:lineRule="auto"/>
        <w:rPr>
          <w:rFonts w:ascii="Arial" w:hAnsi="Arial" w:cs="Arial"/>
        </w:rPr>
      </w:pPr>
      <w:r w:rsidRPr="00AF5516">
        <w:rPr>
          <w:rFonts w:ascii="Arial" w:hAnsi="Arial" w:cs="Arial"/>
        </w:rPr>
        <w:t xml:space="preserve">        ↓</w:t>
      </w:r>
    </w:p>
    <w:p w14:paraId="7ADAC292" w14:textId="68E02EED" w:rsidR="002462CA" w:rsidRPr="00AF5516" w:rsidRDefault="002462CA" w:rsidP="002462CA">
      <w:pPr>
        <w:spacing w:line="360" w:lineRule="auto"/>
        <w:rPr>
          <w:rFonts w:ascii="Arial" w:hAnsi="Arial" w:cs="Arial"/>
        </w:rPr>
      </w:pPr>
      <w:r w:rsidRPr="00AF5516">
        <w:rPr>
          <w:rFonts w:ascii="Arial" w:hAnsi="Arial" w:cs="Arial"/>
        </w:rPr>
        <w:t>(CATASTROPHIC FAILURE</w:t>
      </w:r>
      <w:r w:rsidRPr="00AF5516">
        <w:rPr>
          <w:rFonts w:ascii="Cambria Math" w:hAnsi="Cambria Math" w:cs="Cambria Math"/>
        </w:rPr>
        <w:t>‑</w:t>
      </w:r>
      <w:r w:rsidRPr="00AF5516">
        <w:rPr>
          <w:rFonts w:ascii="Arial" w:hAnsi="Arial" w:cs="Arial"/>
        </w:rPr>
        <w:t>TO</w:t>
      </w:r>
      <w:r w:rsidRPr="00AF5516">
        <w:rPr>
          <w:rFonts w:ascii="Cambria Math" w:hAnsi="Cambria Math" w:cs="Cambria Math"/>
        </w:rPr>
        <w:t>‑</w:t>
      </w:r>
      <w:r w:rsidRPr="00AF5516">
        <w:rPr>
          <w:rFonts w:ascii="Arial" w:hAnsi="Arial" w:cs="Arial"/>
        </w:rPr>
        <w:t>RESCUE EVENT)</w:t>
      </w:r>
    </w:p>
    <w:p w14:paraId="26D18037" w14:textId="4631AD86" w:rsidR="002462CA" w:rsidRPr="002462CA" w:rsidRDefault="002462CA" w:rsidP="002462CA">
      <w:pPr>
        <w:spacing w:line="360" w:lineRule="auto"/>
        <w:rPr>
          <w:rFonts w:ascii="Arial" w:hAnsi="Arial" w:cs="Arial"/>
          <w:b/>
          <w:bCs/>
        </w:rPr>
      </w:pPr>
      <w:r w:rsidRPr="002462CA">
        <w:rPr>
          <w:rFonts w:ascii="Arial" w:hAnsi="Arial" w:cs="Arial"/>
          <w:b/>
          <w:bCs/>
        </w:rPr>
        <w:t>Missed Opportunities and Evidence-Based Solutions</w:t>
      </w:r>
    </w:p>
    <w:p w14:paraId="4E30986B" w14:textId="77777777" w:rsidR="002462CA" w:rsidRPr="002462CA" w:rsidRDefault="002462CA" w:rsidP="002462CA">
      <w:pPr>
        <w:spacing w:line="360" w:lineRule="auto"/>
        <w:rPr>
          <w:rFonts w:ascii="Arial" w:hAnsi="Arial" w:cs="Arial"/>
        </w:rPr>
      </w:pPr>
      <w:r w:rsidRPr="002462CA">
        <w:rPr>
          <w:rFonts w:ascii="Arial" w:hAnsi="Arial" w:cs="Arial"/>
        </w:rPr>
        <w:t>The investigation into the Lewis Blackman case revealed several critical points where evidence-based systems engineering solutions could have successfully intercepted the trajectory of harm:</w:t>
      </w:r>
    </w:p>
    <w:p w14:paraId="395423ED" w14:textId="77777777" w:rsidR="002462CA" w:rsidRPr="002462CA" w:rsidRDefault="002462CA" w:rsidP="002462CA">
      <w:pPr>
        <w:numPr>
          <w:ilvl w:val="0"/>
          <w:numId w:val="8"/>
        </w:numPr>
        <w:spacing w:line="360" w:lineRule="auto"/>
        <w:rPr>
          <w:rFonts w:ascii="Arial" w:hAnsi="Arial" w:cs="Arial"/>
        </w:rPr>
      </w:pPr>
      <w:r w:rsidRPr="002462CA">
        <w:rPr>
          <w:rFonts w:ascii="Arial" w:hAnsi="Arial" w:cs="Arial"/>
          <w:b/>
          <w:bCs/>
        </w:rPr>
        <w:t>Implementation of Pediatric Early Warning Scores (PEWS):</w:t>
      </w:r>
      <w:r w:rsidRPr="002462CA">
        <w:rPr>
          <w:rFonts w:ascii="Arial" w:hAnsi="Arial" w:cs="Arial"/>
        </w:rPr>
        <w:t xml:space="preserve"> A standardized, objective PEWS system tracks physiological parameters (heart rate, blood pressure, respiratory rate, capillary refill, urine output, and neurological status) to calculate a cumulative risk score (Monaghan, 2005). </w:t>
      </w:r>
      <w:r w:rsidRPr="002462CA">
        <w:rPr>
          <w:rFonts w:ascii="Arial" w:hAnsi="Arial" w:cs="Arial"/>
        </w:rPr>
        <w:lastRenderedPageBreak/>
        <w:t>Had a validated PEWS protocol been in place, Lewis's persistent oliguria and severe hypotension would have triggered an automatic, color-coded "Red Flag" alert requiring mandatory, immediate bedside assessment by an attending physician or Rapid Response Team within 15 minutes.</w:t>
      </w:r>
    </w:p>
    <w:p w14:paraId="6BF319E1" w14:textId="77777777" w:rsidR="002462CA" w:rsidRPr="002462CA" w:rsidRDefault="002462CA" w:rsidP="002462CA">
      <w:pPr>
        <w:numPr>
          <w:ilvl w:val="0"/>
          <w:numId w:val="8"/>
        </w:numPr>
        <w:spacing w:line="360" w:lineRule="auto"/>
        <w:rPr>
          <w:rFonts w:ascii="Arial" w:hAnsi="Arial" w:cs="Arial"/>
        </w:rPr>
      </w:pPr>
      <w:r w:rsidRPr="002462CA">
        <w:rPr>
          <w:rFonts w:ascii="Arial" w:hAnsi="Arial" w:cs="Arial"/>
          <w:b/>
          <w:bCs/>
        </w:rPr>
        <w:t>Establishment of Independent Medical Emergency Teams (MET) / Rapid Response Teams (RRT):</w:t>
      </w:r>
      <w:r w:rsidRPr="002462CA">
        <w:rPr>
          <w:rFonts w:ascii="Arial" w:hAnsi="Arial" w:cs="Arial"/>
        </w:rPr>
        <w:t xml:space="preserve"> RRT models decouple patient escalation from the traditional physician hierarchy (DeVita et al., 2006). An RRT allows bedside nurses—or concerned family members—to activate an expert critical care team independently, bypassing resident physicians entirely if they feel clinical deterioration is not being adequately addressed.</w:t>
      </w:r>
    </w:p>
    <w:p w14:paraId="6834C452" w14:textId="77777777" w:rsidR="002462CA" w:rsidRPr="002462CA" w:rsidRDefault="002462CA" w:rsidP="002462CA">
      <w:pPr>
        <w:numPr>
          <w:ilvl w:val="0"/>
          <w:numId w:val="8"/>
        </w:numPr>
        <w:spacing w:line="360" w:lineRule="auto"/>
        <w:rPr>
          <w:rFonts w:ascii="Arial" w:hAnsi="Arial" w:cs="Arial"/>
        </w:rPr>
      </w:pPr>
      <w:r w:rsidRPr="002462CA">
        <w:rPr>
          <w:rFonts w:ascii="Arial" w:hAnsi="Arial" w:cs="Arial"/>
          <w:b/>
          <w:bCs/>
        </w:rPr>
        <w:t>Mandatory Attending Bedside Contact Rules:</w:t>
      </w:r>
      <w:r w:rsidRPr="002462CA">
        <w:rPr>
          <w:rFonts w:ascii="Arial" w:hAnsi="Arial" w:cs="Arial"/>
        </w:rPr>
        <w:t xml:space="preserve"> Institutional governance must enforce strict, non-negotiable "Hard-Stop" triggers that legally require resident staff to contact the attending physician. These triggers include: any patient requiring transfer to an intensive care environment, persistent oliguria exceeding 6 hours, unexplained blood pressure drop greater than 20%, or explicit parental request for senior review (Joint Commission, 2017).</w:t>
      </w:r>
    </w:p>
    <w:p w14:paraId="4B5C7A18" w14:textId="77777777" w:rsidR="002462CA" w:rsidRPr="002462CA" w:rsidRDefault="002462CA" w:rsidP="002462CA">
      <w:pPr>
        <w:spacing w:line="360" w:lineRule="auto"/>
        <w:rPr>
          <w:rFonts w:ascii="Arial" w:hAnsi="Arial" w:cs="Arial"/>
          <w:b/>
          <w:bCs/>
        </w:rPr>
      </w:pPr>
      <w:r w:rsidRPr="002462CA">
        <w:rPr>
          <w:rFonts w:ascii="Arial" w:hAnsi="Arial" w:cs="Arial"/>
          <w:b/>
          <w:bCs/>
        </w:rPr>
        <w:t>Generalizable Lessons for Global Healthcare Organisations</w:t>
      </w:r>
    </w:p>
    <w:p w14:paraId="35C4D1AC" w14:textId="77777777" w:rsidR="002462CA" w:rsidRPr="002462CA" w:rsidRDefault="002462CA" w:rsidP="002462CA">
      <w:pPr>
        <w:spacing w:line="360" w:lineRule="auto"/>
        <w:rPr>
          <w:rFonts w:ascii="Arial" w:hAnsi="Arial" w:cs="Arial"/>
        </w:rPr>
      </w:pPr>
      <w:r w:rsidRPr="002462CA">
        <w:rPr>
          <w:rFonts w:ascii="Arial" w:hAnsi="Arial" w:cs="Arial"/>
        </w:rPr>
        <w:t>The Lewis Blackman case provides foundational lessons for health systems worldwide:</w:t>
      </w:r>
    </w:p>
    <w:p w14:paraId="5AAC7CFD" w14:textId="77777777" w:rsidR="002462CA" w:rsidRPr="002462CA" w:rsidRDefault="002462CA" w:rsidP="002462CA">
      <w:pPr>
        <w:numPr>
          <w:ilvl w:val="0"/>
          <w:numId w:val="9"/>
        </w:numPr>
        <w:spacing w:line="360" w:lineRule="auto"/>
        <w:rPr>
          <w:rFonts w:ascii="Arial" w:hAnsi="Arial" w:cs="Arial"/>
        </w:rPr>
      </w:pPr>
      <w:r w:rsidRPr="002462CA">
        <w:rPr>
          <w:rFonts w:ascii="Arial" w:hAnsi="Arial" w:cs="Arial"/>
          <w:b/>
          <w:bCs/>
        </w:rPr>
        <w:t>Lesson 1: Value Parental and Caregiver Escalation:</w:t>
      </w:r>
      <w:r w:rsidRPr="002462CA">
        <w:rPr>
          <w:rFonts w:ascii="Arial" w:hAnsi="Arial" w:cs="Arial"/>
        </w:rPr>
        <w:t xml:space="preserve"> Family members are often the most sensitive monitors of a patient's baseline and subtle deterioration. Modern healthcare governance must integrate the "Condition H" (Condition Help) protocol, enabling patients and family members to directly trigger an emergency clinical review when they feel their concerns are being dismissed by the frontline care team (Subbe et al., 2013).</w:t>
      </w:r>
    </w:p>
    <w:p w14:paraId="2643D705" w14:textId="77777777" w:rsidR="002462CA" w:rsidRPr="002462CA" w:rsidRDefault="002462CA" w:rsidP="002462CA">
      <w:pPr>
        <w:numPr>
          <w:ilvl w:val="0"/>
          <w:numId w:val="9"/>
        </w:numPr>
        <w:spacing w:line="360" w:lineRule="auto"/>
        <w:rPr>
          <w:rFonts w:ascii="Arial" w:hAnsi="Arial" w:cs="Arial"/>
        </w:rPr>
      </w:pPr>
      <w:r w:rsidRPr="002462CA">
        <w:rPr>
          <w:rFonts w:ascii="Arial" w:hAnsi="Arial" w:cs="Arial"/>
          <w:b/>
          <w:bCs/>
        </w:rPr>
        <w:t>Lesson 2: Cultivate a "Just Culture" and Eliminate Intimidation:</w:t>
      </w:r>
      <w:r w:rsidRPr="002462CA">
        <w:rPr>
          <w:rFonts w:ascii="Arial" w:hAnsi="Arial" w:cs="Arial"/>
        </w:rPr>
        <w:t xml:space="preserve"> Healthcare institutions must transition from blame-oriented or hierarchically oppressive cultures to a "Just Culture" (Reason, 1997; Marx, 2001). A Just Culture creates psychological safety, establishing that escalating clinical concerns is a professional duty and protecting staff from retribution when raising safety alarms.</w:t>
      </w:r>
    </w:p>
    <w:p w14:paraId="139C9DE1" w14:textId="77777777" w:rsidR="002462CA" w:rsidRPr="002462CA" w:rsidRDefault="002462CA" w:rsidP="002462CA">
      <w:pPr>
        <w:numPr>
          <w:ilvl w:val="0"/>
          <w:numId w:val="9"/>
        </w:numPr>
        <w:spacing w:line="360" w:lineRule="auto"/>
        <w:rPr>
          <w:rFonts w:ascii="Arial" w:hAnsi="Arial" w:cs="Arial"/>
        </w:rPr>
      </w:pPr>
      <w:r w:rsidRPr="002462CA">
        <w:rPr>
          <w:rFonts w:ascii="Arial" w:hAnsi="Arial" w:cs="Arial"/>
          <w:b/>
          <w:bCs/>
        </w:rPr>
        <w:lastRenderedPageBreak/>
        <w:t>Lesson 3: Human Factors and Cognitive Bias Awareness:</w:t>
      </w:r>
      <w:r w:rsidRPr="002462CA">
        <w:rPr>
          <w:rFonts w:ascii="Arial" w:hAnsi="Arial" w:cs="Arial"/>
        </w:rPr>
        <w:t xml:space="preserve"> Medical education and healthcare leadership training must explicitly incorporate Human Factors and Ergonomics (HFE) principles (Carayon et al., 2014). Clinicians must be trained to recognize cognitive biases such as diagnostic anchoring, using structured debiasing checklists during multidisciplinary handovers (e.g., SBAR: Situation, Background, Assessment, Recommendation) to re-evaluate diagnostic assumptions systematically.</w:t>
      </w:r>
    </w:p>
    <w:p w14:paraId="7A618A04" w14:textId="1FEB7278" w:rsidR="002462CA" w:rsidRPr="002462CA" w:rsidRDefault="002462CA" w:rsidP="002462CA">
      <w:pPr>
        <w:spacing w:line="360" w:lineRule="auto"/>
        <w:rPr>
          <w:rFonts w:ascii="Arial" w:hAnsi="Arial" w:cs="Arial"/>
          <w:b/>
          <w:bCs/>
        </w:rPr>
      </w:pPr>
      <w:r w:rsidRPr="002462CA">
        <w:rPr>
          <w:rFonts w:ascii="Arial" w:hAnsi="Arial" w:cs="Arial"/>
          <w:b/>
          <w:bCs/>
        </w:rPr>
        <w:t xml:space="preserve">3. RECOMMENDATIONS </w:t>
      </w:r>
    </w:p>
    <w:p w14:paraId="0AF8AE06" w14:textId="77777777" w:rsidR="002462CA" w:rsidRPr="002462CA" w:rsidRDefault="002462CA" w:rsidP="002462CA">
      <w:pPr>
        <w:spacing w:line="360" w:lineRule="auto"/>
        <w:rPr>
          <w:rFonts w:ascii="Arial" w:hAnsi="Arial" w:cs="Arial"/>
        </w:rPr>
      </w:pPr>
      <w:r w:rsidRPr="002462CA">
        <w:rPr>
          <w:rFonts w:ascii="Arial" w:hAnsi="Arial" w:cs="Arial"/>
        </w:rPr>
        <w:t>To ensure sustainable organizational transformation, rebuild institutional safety culture, and permanently eliminate preventable failure-to-rescue events, acute hospital organizations must implement the following evidence-based recommendations across leadership, governance, systems technology, and operational practice:</w:t>
      </w:r>
    </w:p>
    <w:p w14:paraId="0138C552" w14:textId="77777777" w:rsidR="002462CA" w:rsidRPr="002462CA" w:rsidRDefault="002462CA" w:rsidP="002462CA">
      <w:pPr>
        <w:spacing w:line="360" w:lineRule="auto"/>
        <w:rPr>
          <w:rFonts w:ascii="Arial" w:hAnsi="Arial" w:cs="Arial"/>
          <w:b/>
          <w:bCs/>
        </w:rPr>
      </w:pPr>
      <w:r w:rsidRPr="002462CA">
        <w:rPr>
          <w:rFonts w:ascii="Arial" w:hAnsi="Arial" w:cs="Arial"/>
          <w:b/>
          <w:bCs/>
        </w:rPr>
        <w:t>1. Leadership and Governance Restructuring</w:t>
      </w:r>
    </w:p>
    <w:p w14:paraId="79F6838C" w14:textId="77777777" w:rsidR="002462CA" w:rsidRPr="002462CA" w:rsidRDefault="002462CA" w:rsidP="002462CA">
      <w:pPr>
        <w:numPr>
          <w:ilvl w:val="0"/>
          <w:numId w:val="10"/>
        </w:numPr>
        <w:spacing w:line="360" w:lineRule="auto"/>
        <w:rPr>
          <w:rFonts w:ascii="Arial" w:hAnsi="Arial" w:cs="Arial"/>
        </w:rPr>
      </w:pPr>
      <w:r w:rsidRPr="002462CA">
        <w:rPr>
          <w:rFonts w:ascii="Arial" w:hAnsi="Arial" w:cs="Arial"/>
          <w:b/>
          <w:bCs/>
        </w:rPr>
        <w:t>Establish a Distributed, Transformational Safety Leadership Model:</w:t>
      </w:r>
      <w:r w:rsidRPr="002462CA">
        <w:rPr>
          <w:rFonts w:ascii="Arial" w:hAnsi="Arial" w:cs="Arial"/>
        </w:rPr>
        <w:t xml:space="preserve"> Restructure clinical departments to establish shared safety accountability among attending consultants, nurse managers, and resident leads. Senior leadership must actively foster psychological safety, empowering nurses and junior staff to voice safety concerns without fear of administrative or professional retribution (West et al., 2015; Edmondson, 2018).</w:t>
      </w:r>
    </w:p>
    <w:p w14:paraId="01218AE0" w14:textId="77777777" w:rsidR="002462CA" w:rsidRPr="002462CA" w:rsidRDefault="002462CA" w:rsidP="002462CA">
      <w:pPr>
        <w:numPr>
          <w:ilvl w:val="0"/>
          <w:numId w:val="10"/>
        </w:numPr>
        <w:spacing w:line="360" w:lineRule="auto"/>
        <w:rPr>
          <w:rFonts w:ascii="Arial" w:hAnsi="Arial" w:cs="Arial"/>
        </w:rPr>
      </w:pPr>
      <w:r w:rsidRPr="002462CA">
        <w:rPr>
          <w:rFonts w:ascii="Arial" w:hAnsi="Arial" w:cs="Arial"/>
          <w:b/>
          <w:bCs/>
        </w:rPr>
        <w:t>Implement a Formal "Just Culture" and Open Disclosure Policy:</w:t>
      </w:r>
      <w:r w:rsidRPr="002462CA">
        <w:rPr>
          <w:rFonts w:ascii="Arial" w:hAnsi="Arial" w:cs="Arial"/>
        </w:rPr>
        <w:t xml:space="preserve"> Adopt a standardized Just Culture framework (Marx, 2001) that protects clinicians who escalate safety concerns, while enforcing transparent, mandatory open disclosure protocols with patients and families following adverse events.</w:t>
      </w:r>
    </w:p>
    <w:p w14:paraId="7ED95983" w14:textId="77777777" w:rsidR="002462CA" w:rsidRPr="002462CA" w:rsidRDefault="002462CA" w:rsidP="002462CA">
      <w:pPr>
        <w:numPr>
          <w:ilvl w:val="0"/>
          <w:numId w:val="10"/>
        </w:numPr>
        <w:spacing w:line="360" w:lineRule="auto"/>
        <w:rPr>
          <w:rFonts w:ascii="Arial" w:hAnsi="Arial" w:cs="Arial"/>
        </w:rPr>
      </w:pPr>
      <w:r w:rsidRPr="002462CA">
        <w:rPr>
          <w:rFonts w:ascii="Arial" w:hAnsi="Arial" w:cs="Arial"/>
          <w:b/>
          <w:bCs/>
        </w:rPr>
        <w:t>Mandate Executive Safety Walkrounds:</w:t>
      </w:r>
      <w:r w:rsidRPr="002462CA">
        <w:rPr>
          <w:rFonts w:ascii="Arial" w:hAnsi="Arial" w:cs="Arial"/>
        </w:rPr>
        <w:t xml:space="preserve"> Conduct weekly, structured Executive Walkrounds (Thomas et al., 2005) involving senior executives, chief medical officers, and nursing directors visiting inpatient wards to assess weekend staffing adequacy, review early warning score compliance, and identify latent communication barriers directly from frontline staff.</w:t>
      </w:r>
    </w:p>
    <w:p w14:paraId="734BE1E3" w14:textId="77777777" w:rsidR="002462CA" w:rsidRPr="002462CA" w:rsidRDefault="002462CA" w:rsidP="002462CA">
      <w:pPr>
        <w:spacing w:line="360" w:lineRule="auto"/>
        <w:rPr>
          <w:rFonts w:ascii="Arial" w:hAnsi="Arial" w:cs="Arial"/>
          <w:b/>
          <w:bCs/>
        </w:rPr>
      </w:pPr>
      <w:r w:rsidRPr="002462CA">
        <w:rPr>
          <w:rFonts w:ascii="Arial" w:hAnsi="Arial" w:cs="Arial"/>
          <w:b/>
          <w:bCs/>
        </w:rPr>
        <w:t>2. Mandatory Clinical Controls and Forcing Functions</w:t>
      </w:r>
    </w:p>
    <w:p w14:paraId="4125AB0A" w14:textId="77777777" w:rsidR="002462CA" w:rsidRPr="002462CA" w:rsidRDefault="002462CA" w:rsidP="002462CA">
      <w:pPr>
        <w:numPr>
          <w:ilvl w:val="0"/>
          <w:numId w:val="11"/>
        </w:numPr>
        <w:spacing w:line="360" w:lineRule="auto"/>
        <w:rPr>
          <w:rFonts w:ascii="Arial" w:hAnsi="Arial" w:cs="Arial"/>
        </w:rPr>
      </w:pPr>
      <w:r w:rsidRPr="002462CA">
        <w:rPr>
          <w:rFonts w:ascii="Arial" w:hAnsi="Arial" w:cs="Arial"/>
          <w:b/>
          <w:bCs/>
        </w:rPr>
        <w:lastRenderedPageBreak/>
        <w:t>Mandate Automated Pediatric Early Warning Score (PEWS) Integration:</w:t>
      </w:r>
      <w:r w:rsidRPr="002462CA">
        <w:rPr>
          <w:rFonts w:ascii="Arial" w:hAnsi="Arial" w:cs="Arial"/>
        </w:rPr>
        <w:t xml:space="preserve"> Fully integrate an automated PEWS system within the hospital’s Electronic Health Record (EHR). The system must feature hard-stop digital alerts that automatically notify the attending consultant and critical care team whenever physiological parameters breach predefined safety thresholds (Monaghan, 2005).</w:t>
      </w:r>
    </w:p>
    <w:p w14:paraId="5D1F75EC" w14:textId="77777777" w:rsidR="002462CA" w:rsidRPr="002462CA" w:rsidRDefault="002462CA" w:rsidP="002462CA">
      <w:pPr>
        <w:numPr>
          <w:ilvl w:val="0"/>
          <w:numId w:val="11"/>
        </w:numPr>
        <w:spacing w:line="360" w:lineRule="auto"/>
        <w:rPr>
          <w:rFonts w:ascii="Arial" w:hAnsi="Arial" w:cs="Arial"/>
        </w:rPr>
      </w:pPr>
      <w:r w:rsidRPr="002462CA">
        <w:rPr>
          <w:rFonts w:ascii="Arial" w:hAnsi="Arial" w:cs="Arial"/>
          <w:b/>
          <w:bCs/>
        </w:rPr>
        <w:t>Establish Independent Rapid Response Teams (RRT) and "Condition H":</w:t>
      </w:r>
      <w:r w:rsidRPr="002462CA">
        <w:rPr>
          <w:rFonts w:ascii="Arial" w:hAnsi="Arial" w:cs="Arial"/>
        </w:rPr>
        <w:t xml:space="preserve"> Deploy a 24/7 independent RRT led by senior critical care specialists. Implement a "Condition H" protocol allowing bedside nurses, patients, and family members to independently activate the RRT, completely bypassing ward resident hierarchies (DeVita et al., 2006; Subbe et al., 2013).</w:t>
      </w:r>
    </w:p>
    <w:p w14:paraId="1AFBD007" w14:textId="77777777" w:rsidR="002462CA" w:rsidRPr="002462CA" w:rsidRDefault="002462CA" w:rsidP="002462CA">
      <w:pPr>
        <w:numPr>
          <w:ilvl w:val="0"/>
          <w:numId w:val="11"/>
        </w:numPr>
        <w:spacing w:line="360" w:lineRule="auto"/>
        <w:rPr>
          <w:rFonts w:ascii="Arial" w:hAnsi="Arial" w:cs="Arial"/>
        </w:rPr>
      </w:pPr>
      <w:r w:rsidRPr="002462CA">
        <w:rPr>
          <w:rFonts w:ascii="Arial" w:hAnsi="Arial" w:cs="Arial"/>
          <w:b/>
          <w:bCs/>
        </w:rPr>
        <w:t>Enforce Non-Negotiable Attending Escalation Triggers:</w:t>
      </w:r>
      <w:r w:rsidRPr="002462CA">
        <w:rPr>
          <w:rFonts w:ascii="Arial" w:hAnsi="Arial" w:cs="Arial"/>
        </w:rPr>
        <w:t xml:space="preserve"> Institutional governance must establish mandatory "Hard-Stop" clinical triggers requiring direct attending physician bedside evaluation within 30 minutes. Triggers must include: persistent oliguria (&lt;0.5 mL/kg/hr for &gt;4 hours), unresolving hypotension, repeated fluid bolus administration, or direct parental request for senior evaluation.</w:t>
      </w:r>
    </w:p>
    <w:p w14:paraId="49686898" w14:textId="77777777" w:rsidR="002462CA" w:rsidRPr="002462CA" w:rsidRDefault="002462CA" w:rsidP="002462CA">
      <w:pPr>
        <w:spacing w:line="360" w:lineRule="auto"/>
        <w:rPr>
          <w:rFonts w:ascii="Arial" w:hAnsi="Arial" w:cs="Arial"/>
          <w:b/>
          <w:bCs/>
        </w:rPr>
      </w:pPr>
      <w:r w:rsidRPr="002462CA">
        <w:rPr>
          <w:rFonts w:ascii="Arial" w:hAnsi="Arial" w:cs="Arial"/>
          <w:b/>
          <w:bCs/>
        </w:rPr>
        <w:t>3. Workflow, Systems Integration, and Team Training</w:t>
      </w:r>
    </w:p>
    <w:p w14:paraId="45817712" w14:textId="77777777" w:rsidR="002462CA" w:rsidRPr="002462CA" w:rsidRDefault="002462CA" w:rsidP="002462CA">
      <w:pPr>
        <w:numPr>
          <w:ilvl w:val="0"/>
          <w:numId w:val="12"/>
        </w:numPr>
        <w:spacing w:line="360" w:lineRule="auto"/>
        <w:rPr>
          <w:rFonts w:ascii="Arial" w:hAnsi="Arial" w:cs="Arial"/>
        </w:rPr>
      </w:pPr>
      <w:r w:rsidRPr="002462CA">
        <w:rPr>
          <w:rFonts w:ascii="Arial" w:hAnsi="Arial" w:cs="Arial"/>
          <w:b/>
          <w:bCs/>
        </w:rPr>
        <w:t>Restructure Weekend and Night Coverage Models:</w:t>
      </w:r>
      <w:r w:rsidRPr="002462CA">
        <w:rPr>
          <w:rFonts w:ascii="Arial" w:hAnsi="Arial" w:cs="Arial"/>
        </w:rPr>
        <w:t xml:space="preserve"> Eliminate single-resident cross-coverage of complex post-operative wards. Mandate on-site, dedicated attending or senior registrar supervision 24 hours a day, 7 days a week, eliminating the "weekend effect" (Aylin et al., 2010).</w:t>
      </w:r>
    </w:p>
    <w:p w14:paraId="12C1BDF1" w14:textId="77777777" w:rsidR="002462CA" w:rsidRDefault="002462CA" w:rsidP="002462CA">
      <w:pPr>
        <w:numPr>
          <w:ilvl w:val="0"/>
          <w:numId w:val="12"/>
        </w:numPr>
        <w:spacing w:line="360" w:lineRule="auto"/>
        <w:rPr>
          <w:rFonts w:ascii="Arial" w:hAnsi="Arial" w:cs="Arial"/>
        </w:rPr>
      </w:pPr>
      <w:r w:rsidRPr="002462CA">
        <w:rPr>
          <w:rFonts w:ascii="Arial" w:hAnsi="Arial" w:cs="Arial"/>
          <w:b/>
          <w:bCs/>
        </w:rPr>
        <w:t>Roll out Multidisciplinary Crew Resource Management (CRM) Training:</w:t>
      </w:r>
      <w:r w:rsidRPr="002462CA">
        <w:rPr>
          <w:rFonts w:ascii="Arial" w:hAnsi="Arial" w:cs="Arial"/>
        </w:rPr>
        <w:t xml:space="preserve"> Conduct mandatory, simulation-based CRM training for all medical, nursing, and surgical staff. Training must explicitly focus on flattening authority gradients, adopting structured SBAR handovers, and utilizing the CUSS assertion framework (Concerned, Uncomfortable, Unsafe, Stop) to challenge senior clinical decisions assertively (Musson and Helmreich, 2004).</w:t>
      </w:r>
    </w:p>
    <w:p w14:paraId="5901F39E" w14:textId="77777777" w:rsidR="00AF5516" w:rsidRDefault="00AF5516" w:rsidP="00AF5516">
      <w:pPr>
        <w:spacing w:line="360" w:lineRule="auto"/>
        <w:ind w:left="360"/>
        <w:rPr>
          <w:rFonts w:ascii="Arial" w:hAnsi="Arial" w:cs="Arial"/>
        </w:rPr>
      </w:pPr>
    </w:p>
    <w:p w14:paraId="04DABA3F" w14:textId="77777777" w:rsidR="00AF5516" w:rsidRDefault="00AF5516" w:rsidP="00AF5516">
      <w:pPr>
        <w:spacing w:line="360" w:lineRule="auto"/>
        <w:ind w:left="360"/>
        <w:rPr>
          <w:rFonts w:ascii="Arial" w:hAnsi="Arial" w:cs="Arial"/>
        </w:rPr>
      </w:pPr>
    </w:p>
    <w:p w14:paraId="60446D91" w14:textId="5627C4E6" w:rsidR="00AF5516" w:rsidRPr="002462CA" w:rsidRDefault="00AF5516" w:rsidP="00AF5516">
      <w:pPr>
        <w:spacing w:line="360" w:lineRule="auto"/>
        <w:ind w:left="360"/>
        <w:rPr>
          <w:rFonts w:ascii="Arial" w:hAnsi="Arial" w:cs="Arial"/>
        </w:rPr>
      </w:pPr>
      <w:r>
        <w:rPr>
          <w:rFonts w:ascii="Arial" w:hAnsi="Arial" w:cs="Arial"/>
        </w:rPr>
        <w:lastRenderedPageBreak/>
        <w:t xml:space="preserve">TABLE : </w:t>
      </w:r>
      <w:r w:rsidRPr="00AF5516">
        <w:rPr>
          <w:rFonts w:ascii="Arial" w:hAnsi="Arial" w:cs="Arial"/>
        </w:rPr>
        <w:t>Recommended Organisational Transformation Roadmap</w:t>
      </w:r>
    </w:p>
    <w:tbl>
      <w:tblPr>
        <w:tblStyle w:val="TableGrid"/>
        <w:tblW w:w="0" w:type="auto"/>
        <w:tblLook w:val="04A0" w:firstRow="1" w:lastRow="0" w:firstColumn="1" w:lastColumn="0" w:noHBand="0" w:noVBand="1"/>
      </w:tblPr>
      <w:tblGrid>
        <w:gridCol w:w="1448"/>
        <w:gridCol w:w="3298"/>
        <w:gridCol w:w="4270"/>
      </w:tblGrid>
      <w:tr w:rsidR="00AF5516" w:rsidRPr="00AF5516" w14:paraId="57101FC1" w14:textId="77777777" w:rsidTr="00AF5516">
        <w:tc>
          <w:tcPr>
            <w:tcW w:w="0" w:type="auto"/>
            <w:hideMark/>
          </w:tcPr>
          <w:p w14:paraId="1D1F6F24"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Timeline</w:t>
            </w:r>
          </w:p>
        </w:tc>
        <w:tc>
          <w:tcPr>
            <w:tcW w:w="0" w:type="auto"/>
            <w:hideMark/>
          </w:tcPr>
          <w:p w14:paraId="59F78554"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Governance &amp; Leadership</w:t>
            </w:r>
          </w:p>
        </w:tc>
        <w:tc>
          <w:tcPr>
            <w:tcW w:w="0" w:type="auto"/>
            <w:hideMark/>
          </w:tcPr>
          <w:p w14:paraId="07C2CBC6"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Systems &amp; Technology Enablers</w:t>
            </w:r>
          </w:p>
        </w:tc>
      </w:tr>
      <w:tr w:rsidR="00AF5516" w:rsidRPr="00AF5516" w14:paraId="69081E3E" w14:textId="77777777" w:rsidTr="00AF5516">
        <w:tc>
          <w:tcPr>
            <w:tcW w:w="0" w:type="auto"/>
            <w:hideMark/>
          </w:tcPr>
          <w:p w14:paraId="209F0B21"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Phase 1 (Months 1–3)</w:t>
            </w:r>
          </w:p>
        </w:tc>
        <w:tc>
          <w:tcPr>
            <w:tcW w:w="0" w:type="auto"/>
            <w:hideMark/>
          </w:tcPr>
          <w:p w14:paraId="107AA691"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Adopt Just Culture Policy. Establish Executive Walkrounds.</w:t>
            </w:r>
          </w:p>
        </w:tc>
        <w:tc>
          <w:tcPr>
            <w:tcW w:w="0" w:type="auto"/>
            <w:hideMark/>
          </w:tcPr>
          <w:p w14:paraId="4C54B748"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Deploy automated EHR</w:t>
            </w:r>
            <w:r w:rsidRPr="00AF5516">
              <w:rPr>
                <w:rFonts w:ascii="Arial" w:hAnsi="Arial" w:cs="Arial"/>
                <w:b/>
                <w:bCs/>
              </w:rPr>
              <w:noBreakHyphen/>
              <w:t>PEWS alerts. Implement mandatory attending</w:t>
            </w:r>
            <w:r w:rsidRPr="00AF5516">
              <w:rPr>
                <w:rFonts w:ascii="Arial" w:hAnsi="Arial" w:cs="Arial"/>
                <w:b/>
                <w:bCs/>
              </w:rPr>
              <w:noBreakHyphen/>
              <w:t>physician escalation triggers.</w:t>
            </w:r>
          </w:p>
        </w:tc>
      </w:tr>
      <w:tr w:rsidR="00AF5516" w:rsidRPr="00AF5516" w14:paraId="2988AC10" w14:textId="77777777" w:rsidTr="00AF5516">
        <w:tc>
          <w:tcPr>
            <w:tcW w:w="0" w:type="auto"/>
            <w:hideMark/>
          </w:tcPr>
          <w:p w14:paraId="777D2F99"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Phase 2 (Months 4–6)</w:t>
            </w:r>
          </w:p>
        </w:tc>
        <w:tc>
          <w:tcPr>
            <w:tcW w:w="0" w:type="auto"/>
            <w:hideMark/>
          </w:tcPr>
          <w:p w14:paraId="1898032F"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Roll out CRM team</w:t>
            </w:r>
            <w:r w:rsidRPr="00AF5516">
              <w:rPr>
                <w:rFonts w:ascii="Arial" w:hAnsi="Arial" w:cs="Arial"/>
                <w:b/>
                <w:bCs/>
              </w:rPr>
              <w:noBreakHyphen/>
              <w:t>based communication training. Embed CUSS assertion framework.</w:t>
            </w:r>
          </w:p>
        </w:tc>
        <w:tc>
          <w:tcPr>
            <w:tcW w:w="0" w:type="auto"/>
            <w:hideMark/>
          </w:tcPr>
          <w:p w14:paraId="1ABEECA1"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Establish independent 24/7 Rapid Response Team (RRT). Launch family</w:t>
            </w:r>
            <w:r w:rsidRPr="00AF5516">
              <w:rPr>
                <w:rFonts w:ascii="Arial" w:hAnsi="Arial" w:cs="Arial"/>
                <w:b/>
                <w:bCs/>
              </w:rPr>
              <w:noBreakHyphen/>
              <w:t>activated “Condition H” escalation pathway.</w:t>
            </w:r>
          </w:p>
        </w:tc>
      </w:tr>
      <w:tr w:rsidR="00AF5516" w:rsidRPr="00AF5516" w14:paraId="52B9B3B9" w14:textId="77777777" w:rsidTr="00AF5516">
        <w:tc>
          <w:tcPr>
            <w:tcW w:w="0" w:type="auto"/>
            <w:hideMark/>
          </w:tcPr>
          <w:p w14:paraId="7B3DB7E7"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Phase 3 (Months 7–12)</w:t>
            </w:r>
          </w:p>
        </w:tc>
        <w:tc>
          <w:tcPr>
            <w:tcW w:w="0" w:type="auto"/>
            <w:hideMark/>
          </w:tcPr>
          <w:p w14:paraId="09C50DCF"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Institutionalise continuous audit cycles and organisational safety</w:t>
            </w:r>
            <w:r w:rsidRPr="00AF5516">
              <w:rPr>
                <w:rFonts w:ascii="Arial" w:hAnsi="Arial" w:cs="Arial"/>
                <w:b/>
                <w:bCs/>
              </w:rPr>
              <w:noBreakHyphen/>
              <w:t>learning loops.</w:t>
            </w:r>
          </w:p>
        </w:tc>
        <w:tc>
          <w:tcPr>
            <w:tcW w:w="0" w:type="auto"/>
            <w:hideMark/>
          </w:tcPr>
          <w:p w14:paraId="67AF7F76" w14:textId="77777777" w:rsidR="00AF5516" w:rsidRPr="00AF5516" w:rsidRDefault="00AF5516" w:rsidP="00AF5516">
            <w:pPr>
              <w:spacing w:after="160" w:line="360" w:lineRule="auto"/>
              <w:rPr>
                <w:rFonts w:ascii="Arial" w:hAnsi="Arial" w:cs="Arial"/>
                <w:b/>
                <w:bCs/>
              </w:rPr>
            </w:pPr>
            <w:r w:rsidRPr="00AF5516">
              <w:rPr>
                <w:rFonts w:ascii="Arial" w:hAnsi="Arial" w:cs="Arial"/>
                <w:b/>
                <w:bCs/>
              </w:rPr>
              <w:t>Eliminate weekend senior</w:t>
            </w:r>
            <w:r w:rsidRPr="00AF5516">
              <w:rPr>
                <w:rFonts w:ascii="Arial" w:hAnsi="Arial" w:cs="Arial"/>
                <w:b/>
                <w:bCs/>
              </w:rPr>
              <w:noBreakHyphen/>
              <w:t>staffing deficits. Achieve national patient</w:t>
            </w:r>
            <w:r w:rsidRPr="00AF5516">
              <w:rPr>
                <w:rFonts w:ascii="Arial" w:hAnsi="Arial" w:cs="Arial"/>
                <w:b/>
                <w:bCs/>
              </w:rPr>
              <w:noBreakHyphen/>
              <w:t>safety accreditation.</w:t>
            </w:r>
          </w:p>
        </w:tc>
      </w:tr>
    </w:tbl>
    <w:p w14:paraId="196CA310" w14:textId="77777777" w:rsidR="00AF5516" w:rsidRDefault="00AF5516" w:rsidP="00AF5516">
      <w:pPr>
        <w:spacing w:line="360" w:lineRule="auto"/>
        <w:rPr>
          <w:rFonts w:ascii="Arial" w:hAnsi="Arial" w:cs="Arial"/>
          <w:b/>
          <w:bCs/>
        </w:rPr>
      </w:pPr>
    </w:p>
    <w:p w14:paraId="05DAF2A1" w14:textId="50D695BB" w:rsidR="00AF5516" w:rsidRPr="00AF5516" w:rsidRDefault="00AF5516" w:rsidP="00AF5516">
      <w:pPr>
        <w:spacing w:line="360" w:lineRule="auto"/>
        <w:rPr>
          <w:rFonts w:ascii="Arial" w:hAnsi="Arial" w:cs="Arial"/>
          <w:b/>
          <w:bCs/>
        </w:rPr>
      </w:pPr>
      <w:r w:rsidRPr="00AF5516">
        <w:rPr>
          <w:rFonts w:ascii="Arial" w:hAnsi="Arial" w:cs="Arial"/>
          <w:b/>
          <w:bCs/>
        </w:rPr>
        <w:t>4.</w:t>
      </w:r>
      <w:r w:rsidR="002462CA" w:rsidRPr="00AF5516">
        <w:rPr>
          <w:rFonts w:ascii="Arial" w:hAnsi="Arial" w:cs="Arial"/>
          <w:b/>
          <w:bCs/>
        </w:rPr>
        <w:t xml:space="preserve">CONCLUSION </w:t>
      </w:r>
    </w:p>
    <w:p w14:paraId="2BAAF819" w14:textId="77777777" w:rsidR="002462CA" w:rsidRPr="002462CA" w:rsidRDefault="002462CA" w:rsidP="002462CA">
      <w:pPr>
        <w:spacing w:line="360" w:lineRule="auto"/>
        <w:rPr>
          <w:rFonts w:ascii="Arial" w:hAnsi="Arial" w:cs="Arial"/>
        </w:rPr>
      </w:pPr>
      <w:r w:rsidRPr="002462CA">
        <w:rPr>
          <w:rFonts w:ascii="Arial" w:hAnsi="Arial" w:cs="Arial"/>
        </w:rPr>
        <w:t>The tragic, preventable death of Lewis Blackman stands as a stark warning regarding the catastrophic consequences of systemic organizational failure, steep authority gradients, and unmonitored care fragmentation. While superficial analyses of adverse clinical events often seek to assign individual blame to frontline doctors or nurses, this comprehensive Level 7 critical analysis demonstrates that the failure to rescue Lewis was the direct output of a deeply flawed organizational system. A rigid medical hierarchy that intimidated junior staff, combined with severe weekend senior staffing deficits, unmonitored frontline decentralisation, diagnostic anchoring bias, and an absence of objective escalation guardrails, created an environment where a 30-hour clinical collapse went unaddressed by senior decision-makers.</w:t>
      </w:r>
    </w:p>
    <w:p w14:paraId="58FC8F80" w14:textId="77777777" w:rsidR="002462CA" w:rsidRPr="002462CA" w:rsidRDefault="002462CA" w:rsidP="002462CA">
      <w:pPr>
        <w:spacing w:line="360" w:lineRule="auto"/>
        <w:rPr>
          <w:rFonts w:ascii="Arial" w:hAnsi="Arial" w:cs="Arial"/>
        </w:rPr>
      </w:pPr>
      <w:r w:rsidRPr="002462CA">
        <w:rPr>
          <w:rFonts w:ascii="Arial" w:hAnsi="Arial" w:cs="Arial"/>
        </w:rPr>
        <w:t xml:space="preserve">Rebuilding healthcare organizational resilience demands a fundamental shift in leadership philosophy, governance structures, and human factors integration. Patient safety cannot be guaranteed by policy documents alone; it requires purpose-driven, transformational leadership that cultivates psychological safety, flattens destructive </w:t>
      </w:r>
      <w:r w:rsidRPr="002462CA">
        <w:rPr>
          <w:rFonts w:ascii="Arial" w:hAnsi="Arial" w:cs="Arial"/>
        </w:rPr>
        <w:lastRenderedPageBreak/>
        <w:t>authority gradients, and empowers every multidisciplinary team member—as well as patients and their families—to act as assertive safety guardians. By embedding technological forcing functions, such as automated PEWS alerts and family-activated Rapid Response Teams, alongside a Just Culture framework and Crew Resource Management training, healthcare institutions can effectively seal the latent vulnerabilities in their systems of defense.</w:t>
      </w:r>
    </w:p>
    <w:p w14:paraId="6C1A1915" w14:textId="77777777" w:rsidR="002462CA" w:rsidRPr="002462CA" w:rsidRDefault="002462CA" w:rsidP="002462CA">
      <w:pPr>
        <w:spacing w:line="360" w:lineRule="auto"/>
        <w:rPr>
          <w:rFonts w:ascii="Arial" w:hAnsi="Arial" w:cs="Arial"/>
        </w:rPr>
      </w:pPr>
      <w:r w:rsidRPr="002462CA">
        <w:rPr>
          <w:rFonts w:ascii="Arial" w:hAnsi="Arial" w:cs="Arial"/>
        </w:rPr>
        <w:t xml:space="preserve">Ultimately, driving sustainable transformation in health and social care organization requires recognizing that human clinicians will occasionally experience cognitive blind spots, but highly reliable healthcare organizations are engineered to prevent those blind spots from resulting in patient harm. The profound lessons derived from </w:t>
      </w:r>
      <w:r w:rsidRPr="00AF5516">
        <w:rPr>
          <w:rFonts w:ascii="Arial" w:hAnsi="Arial" w:cs="Arial"/>
        </w:rPr>
        <w:t>The Lewis Blackman</w:t>
      </w:r>
      <w:r w:rsidRPr="002462CA">
        <w:rPr>
          <w:rFonts w:ascii="Arial" w:hAnsi="Arial" w:cs="Arial"/>
          <w:i/>
          <w:iCs/>
        </w:rPr>
        <w:t xml:space="preserve"> </w:t>
      </w:r>
      <w:r w:rsidRPr="00AF5516">
        <w:rPr>
          <w:rFonts w:ascii="Arial" w:hAnsi="Arial" w:cs="Arial"/>
        </w:rPr>
        <w:t>Story provide</w:t>
      </w:r>
      <w:r w:rsidRPr="002462CA">
        <w:rPr>
          <w:rFonts w:ascii="Arial" w:hAnsi="Arial" w:cs="Arial"/>
        </w:rPr>
        <w:t xml:space="preserve"> an imperative blueprint for healthcare leaders, policy makers, and clinical executives to construct resilient, transparent, and uncompromisingly safe care delivery systems.</w:t>
      </w:r>
    </w:p>
    <w:p w14:paraId="404136EF" w14:textId="77777777" w:rsidR="002462CA" w:rsidRPr="00AF5516" w:rsidRDefault="002462CA" w:rsidP="002462CA">
      <w:pPr>
        <w:spacing w:line="360" w:lineRule="auto"/>
        <w:rPr>
          <w:rFonts w:ascii="Arial" w:hAnsi="Arial" w:cs="Arial"/>
          <w:b/>
          <w:bCs/>
        </w:rPr>
      </w:pPr>
      <w:r w:rsidRPr="00AF5516">
        <w:rPr>
          <w:rFonts w:ascii="Arial" w:hAnsi="Arial" w:cs="Arial"/>
          <w:b/>
          <w:bCs/>
        </w:rPr>
        <w:t>REFERENCES</w:t>
      </w:r>
    </w:p>
    <w:p w14:paraId="20E555DA"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Argyris, C. and Schön, D.A. (1978) Organizational learning: A theory of action perspective. Reading, MA: Addison-Wesley.</w:t>
      </w:r>
    </w:p>
    <w:p w14:paraId="191B5CAC"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Avolio, B.J. and Yammarino, F.J. (eds.) (2013) Transformational and charismatic leadership: The road ahead. 10th anniversary edn. Bingley: Emerald Group Publishing.</w:t>
      </w:r>
    </w:p>
    <w:p w14:paraId="49BEE91B"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Aylin, P., Yunus, A., Bottle, A., Majeed, A. and Bell, D. (2010) 'Weekend mortality for emergency admissions: A large, national observational study', BMC Health Services Research, 10(1), pp. 1–8.</w:t>
      </w:r>
    </w:p>
    <w:p w14:paraId="3C019A9C"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Bass, B.M. and Avolio, B.J. (1994) Improving organizational effectiveness through transformational leadership. Thousand Oaks, CA: Sage Publications.</w:t>
      </w:r>
    </w:p>
    <w:p w14:paraId="2495186F"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Bell, C.M. and Redelmeier, D.A. (2001) 'Mortality among patients admitted to hospitals on weekends as compared with weekdays', New England Journal of Medicine, 345(9), pp. 663–668.</w:t>
      </w:r>
    </w:p>
    <w:p w14:paraId="06D711ED"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Burns, J.M. (1978) Leadership. New York: Harper &amp; Row.</w:t>
      </w:r>
    </w:p>
    <w:p w14:paraId="03D75C09"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 xml:space="preserve">Carayon, P., Wetterneck, T.B., Rivera-Rodriguez, A.J., Hundt, A.S., Hoonakker, P., Holden, R. and Gurses, A.P. (2014) 'Human factors systems </w:t>
      </w:r>
      <w:r w:rsidRPr="00AF5516">
        <w:rPr>
          <w:rFonts w:ascii="Arial" w:hAnsi="Arial" w:cs="Arial"/>
        </w:rPr>
        <w:lastRenderedPageBreak/>
        <w:t>approach to healthcare quality and patient safety', Applied Ergonomics, 45(1), pp. 14–25.</w:t>
      </w:r>
    </w:p>
    <w:p w14:paraId="77F27BD0"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Charns, M.P. and Tewksbury, L.S. (1993) Collaborative management in health care: Implementing horizontal structures. San Francisco: Jossey-Bass.</w:t>
      </w:r>
    </w:p>
    <w:p w14:paraId="2C84E3C2"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Checkland, P. (1999) Systems thinking, systems practice. Chichester: John Wiley &amp; Sons.</w:t>
      </w:r>
    </w:p>
    <w:p w14:paraId="0122536F"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Cosby, K.S. and Croskerry, P. (2004) 'Profiles in patient safety: Authority gradients in clinical practice', Academic Emergency Medicine, 11(12), pp. 1341–1345.</w:t>
      </w:r>
    </w:p>
    <w:p w14:paraId="1CE78784"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Croskerry, P. (2003) 'The importance of cognitive errors in diagnosis and strategies to minimize them', Academic Medicine, 78(8), pp. 775–780.</w:t>
      </w:r>
    </w:p>
    <w:p w14:paraId="7946A3A6"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DeVita, M.A., Bellomo, R., Hillman, K., Kellum, J., Rotondi, A., Teres, D., Auerbach, A., Chen, J. and Duncan, K. (2006) 'Findings of the first consensus conference on medical emergency teams', Critical Care Medicine, 34(9), pp. 2463–2478.</w:t>
      </w:r>
    </w:p>
    <w:p w14:paraId="260114B3"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Edmondson, A.C. (2018) The fearless organization: Creating psychological safety in the workplace for learning, innovation, and growth. Hoboken, NJ: John Wiley &amp; Sons.</w:t>
      </w:r>
    </w:p>
    <w:p w14:paraId="1283DCCA"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Francis, R. (2013) Report of the Mid Staffordshire NHS Foundation Trust Public Inquiry. London: The Stationery Office.</w:t>
      </w:r>
    </w:p>
    <w:p w14:paraId="67B9E8FA"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Glouberman, S. and Mintzberg, H. (2001) 'Managing the care of health and the cure of disease—Part I: Differentiation', Health Care Management Review, 26(1), pp. 56–69.</w:t>
      </w:r>
    </w:p>
    <w:p w14:paraId="622BB67B"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 xml:space="preserve">Haskell, H. (2008) 'Lewis Blackman's story', Patient Safety Movement Foundation. Available at: </w:t>
      </w:r>
      <w:hyperlink r:id="rId9" w:tgtFrame="_blank" w:history="1">
        <w:r w:rsidRPr="00AF5516">
          <w:rPr>
            <w:rStyle w:val="Hyperlink"/>
            <w:rFonts w:ascii="Arial" w:hAnsi="Arial" w:cs="Arial"/>
          </w:rPr>
          <w:t>https://psmf.org/story/lewis-blackman/</w:t>
        </w:r>
      </w:hyperlink>
      <w:r w:rsidRPr="00AF5516">
        <w:rPr>
          <w:rFonts w:ascii="Arial" w:hAnsi="Arial" w:cs="Arial"/>
        </w:rPr>
        <w:t xml:space="preserve"> (Accessed: 10 August 2026).</w:t>
      </w:r>
    </w:p>
    <w:p w14:paraId="42046998"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Hersey, P. and Blanchard, K.H. (1988) Management of organizational behavior: Utilizing human resources. 5th edn. Englewood Cliffs, NJ: Prentice-Hall.</w:t>
      </w:r>
    </w:p>
    <w:p w14:paraId="3E53CF0D"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lastRenderedPageBreak/>
        <w:t>Institute for Healthcare Improvement (IHI) (2020) Safer care save lives: Systemic approaches to error reduction. Cambridge, MA: IHI.</w:t>
      </w:r>
    </w:p>
    <w:p w14:paraId="303AEF9A"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Joint Commission (2017) 'Inadequacies in hospital care escalation processes', Sentinel Event Alert, 58, pp. 1–6.</w:t>
      </w:r>
    </w:p>
    <w:p w14:paraId="6006C487"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Kahneman, D. (2011) Thinking, fast and slow. New York: Farrar, Straus and Giroux.</w:t>
      </w:r>
    </w:p>
    <w:p w14:paraId="7EAE6A39"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Mannion, R. and Davies, H. (2018) 'Understanding organisational culture for healthcare improvement', BMJ, 363, p. k4907.</w:t>
      </w:r>
    </w:p>
    <w:p w14:paraId="042DFE3A"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Marx, D. (2001) Patient safety and the just culture: A primer for health care executives. New York: Columbia University Press.</w:t>
      </w:r>
    </w:p>
    <w:p w14:paraId="737EB1BD"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Mintzberg, H. (1983) Structure in fives: Designing effective organizations. Englewood Cliffs, NJ: Prentice-Hall.</w:t>
      </w:r>
    </w:p>
    <w:p w14:paraId="5E75821D"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Monaghan, A. (2005) 'Detecting their fall: Validation of the Paediatric Early Warning Score', Paediatric Nursing, 17(1), pp. 32–35.</w:t>
      </w:r>
    </w:p>
    <w:p w14:paraId="5D0D8673"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Musson, D.M. and Helmreich, R.L. (2004) 'Team training and resource management in health care: Current issues and future directions', Harvard Health Policy Review, 5(1), pp. 25–35.</w:t>
      </w:r>
    </w:p>
    <w:p w14:paraId="6AEBC38A"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National Health Service (NHS) Improvement (2021) Revised Never Events policy and framework. London: NHS Improvement.</w:t>
      </w:r>
    </w:p>
    <w:p w14:paraId="71B97632"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Northouse, P.G. (2021) Leadership: Theory and practice. 9th edn. Thousand Oaks, CA: Sage Publications.</w:t>
      </w:r>
    </w:p>
    <w:p w14:paraId="72F8601C"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Peckham, S., Exworthy, M., Powell, M. and Greener, I. (2008) 'Decentralising health services: More than just a policy slogan?', Journal of Health Services Research &amp; Policy, 13(1), pp. 33–40.</w:t>
      </w:r>
    </w:p>
    <w:p w14:paraId="3D8C0D6E"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Reason, J. (1990) Human error. Cambridge: Cambridge University Press.</w:t>
      </w:r>
    </w:p>
    <w:p w14:paraId="40EC0728"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Reason, J. (1997) Managing the risks of organizational accidents. Aldershot: Ashgate.</w:t>
      </w:r>
    </w:p>
    <w:p w14:paraId="39DB6D56"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Reason, J. (2000) 'Human error: Models and management', BMJ, 320(7237), pp. 768–770.</w:t>
      </w:r>
    </w:p>
    <w:p w14:paraId="31FE53FC"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lastRenderedPageBreak/>
        <w:t>Saltman, R.B., Bankauskaite, V. and Vrangbaek, K. (eds.) (2007) Decentralization in health care: Strategies and outcomes. Maidenhead: Open University Press.</w:t>
      </w:r>
    </w:p>
    <w:p w14:paraId="04E8B8ED"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Sexton, J.B., Thomas, E.J. and Helmreich, R.L. (2000) 'Error, stress, and teamwork in medicine and aviation: Cross sectional survey', BMJ, 320(7237), pp. 745–749.</w:t>
      </w:r>
    </w:p>
    <w:p w14:paraId="6F0B0F6C"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Silber, J.H., Williams, S.V., Krakauer, H. and Schwartz, J.S. (1992) 'Hospital and patient characteristics associated with death after surgery: A study of "failure to rescue"', Medical Care, 30(7), pp. 615–629.</w:t>
      </w:r>
    </w:p>
    <w:p w14:paraId="165B8C56"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Spillane, J.P. (2006) Distributed leadership. San Francisco: Jossey-Bass.</w:t>
      </w:r>
    </w:p>
    <w:p w14:paraId="51237A82"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Sterman, J.D. (2000) Business dynamics: Systems thinking and modeling for a complex world. Boston: Irwin/McGraw-Hill.</w:t>
      </w:r>
    </w:p>
    <w:p w14:paraId="591FC111"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Subbe, C.P., Welch, J.R., Jeune, I. and Inada-Kim, M. (2013) 'Patient and family activated escalation of care in hospital: A systematic review', Resuscitation, 84(10), pp. 1320–1327.</w:t>
      </w:r>
    </w:p>
    <w:p w14:paraId="323E7BF9"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Taenzer, A.H., Pyke, J.B. and McGrath, S.P. (2010) 'Impact of pulse oximetry surveillance on rescue events and intensive care unit transfers: A before-and-after concurrence study', Anesthesiology, 112(2), pp. 282–287.</w:t>
      </w:r>
    </w:p>
    <w:p w14:paraId="2226CE49"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Thomas, E.J., Sexton, J.B., Neilands, T.B., Frankel, A. and Helmreich, R.L. (2005) 'The Executive Walkround: A method for assessing safety culture', Joint Commission Journal on Quality and Safety, 31(1), pp. 28–38.</w:t>
      </w:r>
    </w:p>
    <w:p w14:paraId="45C47D4B"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West, M., Armit, K., Loewenthal, L., Eckert, R., West, T. and Lee, A. (2015) Leadership and leadership development in health care: The evidence base. London: The King's Fund / Center for Creative Leadership.</w:t>
      </w:r>
    </w:p>
    <w:p w14:paraId="1E07779F" w14:textId="77777777" w:rsidR="002462CA" w:rsidRPr="00AF5516" w:rsidRDefault="002462CA" w:rsidP="002462CA">
      <w:pPr>
        <w:numPr>
          <w:ilvl w:val="0"/>
          <w:numId w:val="13"/>
        </w:numPr>
        <w:spacing w:line="360" w:lineRule="auto"/>
        <w:rPr>
          <w:rFonts w:ascii="Arial" w:hAnsi="Arial" w:cs="Arial"/>
        </w:rPr>
      </w:pPr>
      <w:r w:rsidRPr="00AF5516">
        <w:rPr>
          <w:rFonts w:ascii="Arial" w:hAnsi="Arial" w:cs="Arial"/>
        </w:rPr>
        <w:t>Wong, C.A., Cummings, G.G. and Ducharme, L. (2013) 'The relationship between nursing leadership and patient outcomes: A systematic review update', Journal of Nursing Management, 21(5), pp. 709–724.</w:t>
      </w:r>
    </w:p>
    <w:p w14:paraId="1F84CC48" w14:textId="1F1C67AC" w:rsidR="002462CA" w:rsidRPr="002462CA" w:rsidRDefault="002462CA" w:rsidP="002462CA">
      <w:pPr>
        <w:numPr>
          <w:ilvl w:val="0"/>
          <w:numId w:val="13"/>
        </w:numPr>
        <w:spacing w:line="360" w:lineRule="auto"/>
        <w:rPr>
          <w:rFonts w:ascii="Arial" w:hAnsi="Arial" w:cs="Arial"/>
        </w:rPr>
      </w:pPr>
      <w:r w:rsidRPr="00AF5516">
        <w:rPr>
          <w:rFonts w:ascii="Arial" w:hAnsi="Arial" w:cs="Arial"/>
        </w:rPr>
        <w:t xml:space="preserve">World Health Organization (WHO) (2020) Global patient safety action plan 2021–2030: Towards eliminating preventable harm in health care. Geneva: </w:t>
      </w:r>
      <w:r w:rsidRPr="002462CA">
        <w:rPr>
          <w:rFonts w:ascii="Arial" w:hAnsi="Arial" w:cs="Arial"/>
        </w:rPr>
        <w:t>World Health Organization</w:t>
      </w:r>
    </w:p>
    <w:p w14:paraId="31771672" w14:textId="77777777" w:rsidR="00A251F5" w:rsidRDefault="00A251F5"/>
    <w:sectPr w:rsidR="00A251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AC511" w14:textId="77777777" w:rsidR="00596C68" w:rsidRDefault="00596C68" w:rsidP="002462CA">
      <w:pPr>
        <w:spacing w:after="0" w:line="240" w:lineRule="auto"/>
      </w:pPr>
      <w:r>
        <w:separator/>
      </w:r>
    </w:p>
  </w:endnote>
  <w:endnote w:type="continuationSeparator" w:id="0">
    <w:p w14:paraId="45FD58C2" w14:textId="77777777" w:rsidR="00596C68" w:rsidRDefault="00596C68" w:rsidP="00246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36C57" w14:textId="77777777" w:rsidR="00596C68" w:rsidRDefault="00596C68" w:rsidP="002462CA">
      <w:pPr>
        <w:spacing w:after="0" w:line="240" w:lineRule="auto"/>
      </w:pPr>
      <w:r>
        <w:separator/>
      </w:r>
    </w:p>
  </w:footnote>
  <w:footnote w:type="continuationSeparator" w:id="0">
    <w:p w14:paraId="00FCE9B8" w14:textId="77777777" w:rsidR="00596C68" w:rsidRDefault="00596C68" w:rsidP="002462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469FE"/>
    <w:multiLevelType w:val="multilevel"/>
    <w:tmpl w:val="E7C05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066FB"/>
    <w:multiLevelType w:val="multilevel"/>
    <w:tmpl w:val="0E44A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37424"/>
    <w:multiLevelType w:val="multilevel"/>
    <w:tmpl w:val="CFA8F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D7128F"/>
    <w:multiLevelType w:val="multilevel"/>
    <w:tmpl w:val="555C1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FA779A"/>
    <w:multiLevelType w:val="multilevel"/>
    <w:tmpl w:val="3FA2A3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131B42"/>
    <w:multiLevelType w:val="multilevel"/>
    <w:tmpl w:val="BBB81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9779EA"/>
    <w:multiLevelType w:val="multilevel"/>
    <w:tmpl w:val="A8045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BA0D5A"/>
    <w:multiLevelType w:val="multilevel"/>
    <w:tmpl w:val="B212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A73ACB"/>
    <w:multiLevelType w:val="multilevel"/>
    <w:tmpl w:val="23CEE4EC"/>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5D5320"/>
    <w:multiLevelType w:val="multilevel"/>
    <w:tmpl w:val="75D4D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2469CA"/>
    <w:multiLevelType w:val="multilevel"/>
    <w:tmpl w:val="50EA88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1E5F80"/>
    <w:multiLevelType w:val="multilevel"/>
    <w:tmpl w:val="FA927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D07C9C"/>
    <w:multiLevelType w:val="multilevel"/>
    <w:tmpl w:val="8850D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261BC5"/>
    <w:multiLevelType w:val="multilevel"/>
    <w:tmpl w:val="27E4E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5661F1"/>
    <w:multiLevelType w:val="multilevel"/>
    <w:tmpl w:val="2C6A2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EB7970"/>
    <w:multiLevelType w:val="multilevel"/>
    <w:tmpl w:val="0BA05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2A4E25"/>
    <w:multiLevelType w:val="multilevel"/>
    <w:tmpl w:val="5B761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42321D"/>
    <w:multiLevelType w:val="multilevel"/>
    <w:tmpl w:val="9746F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65775C"/>
    <w:multiLevelType w:val="multilevel"/>
    <w:tmpl w:val="BBD6B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E82FC4"/>
    <w:multiLevelType w:val="multilevel"/>
    <w:tmpl w:val="4816C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75663A"/>
    <w:multiLevelType w:val="multilevel"/>
    <w:tmpl w:val="31C47D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0235CC"/>
    <w:multiLevelType w:val="multilevel"/>
    <w:tmpl w:val="15B8A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5157030">
    <w:abstractNumId w:val="12"/>
  </w:num>
  <w:num w:numId="2" w16cid:durableId="1541941718">
    <w:abstractNumId w:val="14"/>
  </w:num>
  <w:num w:numId="3" w16cid:durableId="1274290894">
    <w:abstractNumId w:val="7"/>
  </w:num>
  <w:num w:numId="4" w16cid:durableId="1607154846">
    <w:abstractNumId w:val="0"/>
  </w:num>
  <w:num w:numId="5" w16cid:durableId="1954360299">
    <w:abstractNumId w:val="11"/>
  </w:num>
  <w:num w:numId="6" w16cid:durableId="1393575771">
    <w:abstractNumId w:val="6"/>
  </w:num>
  <w:num w:numId="7" w16cid:durableId="141040778">
    <w:abstractNumId w:val="9"/>
  </w:num>
  <w:num w:numId="8" w16cid:durableId="1970739690">
    <w:abstractNumId w:val="2"/>
  </w:num>
  <w:num w:numId="9" w16cid:durableId="398866657">
    <w:abstractNumId w:val="18"/>
  </w:num>
  <w:num w:numId="10" w16cid:durableId="1839029415">
    <w:abstractNumId w:val="13"/>
  </w:num>
  <w:num w:numId="11" w16cid:durableId="1431925446">
    <w:abstractNumId w:val="8"/>
  </w:num>
  <w:num w:numId="12" w16cid:durableId="1655841893">
    <w:abstractNumId w:val="16"/>
  </w:num>
  <w:num w:numId="13" w16cid:durableId="1833906642">
    <w:abstractNumId w:val="21"/>
  </w:num>
  <w:num w:numId="14" w16cid:durableId="1884751737">
    <w:abstractNumId w:val="20"/>
  </w:num>
  <w:num w:numId="15" w16cid:durableId="65231715">
    <w:abstractNumId w:val="15"/>
  </w:num>
  <w:num w:numId="16" w16cid:durableId="383331911">
    <w:abstractNumId w:val="10"/>
  </w:num>
  <w:num w:numId="17" w16cid:durableId="2122451258">
    <w:abstractNumId w:val="4"/>
  </w:num>
  <w:num w:numId="18" w16cid:durableId="1388528811">
    <w:abstractNumId w:val="5"/>
  </w:num>
  <w:num w:numId="19" w16cid:durableId="1667976931">
    <w:abstractNumId w:val="3"/>
  </w:num>
  <w:num w:numId="20" w16cid:durableId="1664119721">
    <w:abstractNumId w:val="1"/>
  </w:num>
  <w:num w:numId="21" w16cid:durableId="1628197709">
    <w:abstractNumId w:val="19"/>
  </w:num>
  <w:num w:numId="22" w16cid:durableId="4176036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2CA"/>
    <w:rsid w:val="0024464A"/>
    <w:rsid w:val="002462CA"/>
    <w:rsid w:val="00293DDF"/>
    <w:rsid w:val="00340314"/>
    <w:rsid w:val="00596C68"/>
    <w:rsid w:val="006A1DF8"/>
    <w:rsid w:val="00756512"/>
    <w:rsid w:val="008606B4"/>
    <w:rsid w:val="00A251F5"/>
    <w:rsid w:val="00AC6619"/>
    <w:rsid w:val="00AF5516"/>
    <w:rsid w:val="00B908A9"/>
    <w:rsid w:val="00D67132"/>
    <w:rsid w:val="00F549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9B605"/>
  <w15:chartTrackingRefBased/>
  <w15:docId w15:val="{31D81C65-D734-4684-82C1-F4C101FEE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2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2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2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2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2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2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2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2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2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2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62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2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2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2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2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2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2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2CA"/>
    <w:rPr>
      <w:rFonts w:eastAsiaTheme="majorEastAsia" w:cstheme="majorBidi"/>
      <w:color w:val="272727" w:themeColor="text1" w:themeTint="D8"/>
    </w:rPr>
  </w:style>
  <w:style w:type="paragraph" w:styleId="Title">
    <w:name w:val="Title"/>
    <w:basedOn w:val="Normal"/>
    <w:next w:val="Normal"/>
    <w:link w:val="TitleChar"/>
    <w:uiPriority w:val="10"/>
    <w:qFormat/>
    <w:rsid w:val="002462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2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2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2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2CA"/>
    <w:pPr>
      <w:spacing w:before="160"/>
      <w:jc w:val="center"/>
    </w:pPr>
    <w:rPr>
      <w:i/>
      <w:iCs/>
      <w:color w:val="404040" w:themeColor="text1" w:themeTint="BF"/>
    </w:rPr>
  </w:style>
  <w:style w:type="character" w:customStyle="1" w:styleId="QuoteChar">
    <w:name w:val="Quote Char"/>
    <w:basedOn w:val="DefaultParagraphFont"/>
    <w:link w:val="Quote"/>
    <w:uiPriority w:val="29"/>
    <w:rsid w:val="002462CA"/>
    <w:rPr>
      <w:i/>
      <w:iCs/>
      <w:color w:val="404040" w:themeColor="text1" w:themeTint="BF"/>
    </w:rPr>
  </w:style>
  <w:style w:type="paragraph" w:styleId="ListParagraph">
    <w:name w:val="List Paragraph"/>
    <w:basedOn w:val="Normal"/>
    <w:uiPriority w:val="34"/>
    <w:qFormat/>
    <w:rsid w:val="002462CA"/>
    <w:pPr>
      <w:ind w:left="720"/>
      <w:contextualSpacing/>
    </w:pPr>
  </w:style>
  <w:style w:type="character" w:styleId="IntenseEmphasis">
    <w:name w:val="Intense Emphasis"/>
    <w:basedOn w:val="DefaultParagraphFont"/>
    <w:uiPriority w:val="21"/>
    <w:qFormat/>
    <w:rsid w:val="002462CA"/>
    <w:rPr>
      <w:i/>
      <w:iCs/>
      <w:color w:val="0F4761" w:themeColor="accent1" w:themeShade="BF"/>
    </w:rPr>
  </w:style>
  <w:style w:type="paragraph" w:styleId="IntenseQuote">
    <w:name w:val="Intense Quote"/>
    <w:basedOn w:val="Normal"/>
    <w:next w:val="Normal"/>
    <w:link w:val="IntenseQuoteChar"/>
    <w:uiPriority w:val="30"/>
    <w:qFormat/>
    <w:rsid w:val="002462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2CA"/>
    <w:rPr>
      <w:i/>
      <w:iCs/>
      <w:color w:val="0F4761" w:themeColor="accent1" w:themeShade="BF"/>
    </w:rPr>
  </w:style>
  <w:style w:type="character" w:styleId="IntenseReference">
    <w:name w:val="Intense Reference"/>
    <w:basedOn w:val="DefaultParagraphFont"/>
    <w:uiPriority w:val="32"/>
    <w:qFormat/>
    <w:rsid w:val="002462CA"/>
    <w:rPr>
      <w:b/>
      <w:bCs/>
      <w:smallCaps/>
      <w:color w:val="0F4761" w:themeColor="accent1" w:themeShade="BF"/>
      <w:spacing w:val="5"/>
    </w:rPr>
  </w:style>
  <w:style w:type="character" w:styleId="Hyperlink">
    <w:name w:val="Hyperlink"/>
    <w:basedOn w:val="DefaultParagraphFont"/>
    <w:uiPriority w:val="99"/>
    <w:unhideWhenUsed/>
    <w:rsid w:val="002462CA"/>
    <w:rPr>
      <w:color w:val="467886" w:themeColor="hyperlink"/>
      <w:u w:val="single"/>
    </w:rPr>
  </w:style>
  <w:style w:type="character" w:styleId="UnresolvedMention">
    <w:name w:val="Unresolved Mention"/>
    <w:basedOn w:val="DefaultParagraphFont"/>
    <w:uiPriority w:val="99"/>
    <w:semiHidden/>
    <w:unhideWhenUsed/>
    <w:rsid w:val="002462CA"/>
    <w:rPr>
      <w:color w:val="605E5C"/>
      <w:shd w:val="clear" w:color="auto" w:fill="E1DFDD"/>
    </w:rPr>
  </w:style>
  <w:style w:type="paragraph" w:styleId="Header">
    <w:name w:val="header"/>
    <w:basedOn w:val="Normal"/>
    <w:link w:val="HeaderChar"/>
    <w:uiPriority w:val="99"/>
    <w:unhideWhenUsed/>
    <w:rsid w:val="00246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2CA"/>
  </w:style>
  <w:style w:type="paragraph" w:styleId="Footer">
    <w:name w:val="footer"/>
    <w:basedOn w:val="Normal"/>
    <w:link w:val="FooterChar"/>
    <w:uiPriority w:val="99"/>
    <w:unhideWhenUsed/>
    <w:rsid w:val="00246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2CA"/>
  </w:style>
  <w:style w:type="table" w:styleId="TableGrid">
    <w:name w:val="Table Grid"/>
    <w:basedOn w:val="TableNormal"/>
    <w:uiPriority w:val="39"/>
    <w:rsid w:val="002462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umpedfont15">
    <w:name w:val="bumpedfont15"/>
    <w:basedOn w:val="DefaultParagraphFont"/>
    <w:rsid w:val="00B908A9"/>
  </w:style>
  <w:style w:type="character" w:customStyle="1" w:styleId="apple-converted-space">
    <w:name w:val="apple-converted-space"/>
    <w:basedOn w:val="DefaultParagraphFont"/>
    <w:rsid w:val="00B908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smf.org/story/lewis-black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6384</Words>
  <Characters>36394</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shanipatel29@outlook.com</dc:creator>
  <cp:keywords/>
  <dc:description/>
  <cp:lastModifiedBy>shanipatel29@outlook.com</cp:lastModifiedBy>
  <cp:revision>2</cp:revision>
  <cp:lastPrinted>2026-08-10T13:53:00Z</cp:lastPrinted>
  <dcterms:created xsi:type="dcterms:W3CDTF">2026-08-11T09:38:00Z</dcterms:created>
  <dcterms:modified xsi:type="dcterms:W3CDTF">2026-08-11T09:38:00Z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e0928fc8-5175-4cdc-84c1-3e19f5ab579a</vt:lpwstr>
  </property>
</Properties>
</file>